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0BBAB8" w14:textId="68A600F3" w:rsidR="00A929BF" w:rsidRDefault="005C4146">
      <w:r>
        <w:rPr>
          <w:noProof/>
        </w:rPr>
        <w:drawing>
          <wp:inline distT="0" distB="0" distL="0" distR="0" wp14:anchorId="437F5D98" wp14:editId="00873B9B">
            <wp:extent cx="2664682" cy="1800860"/>
            <wp:effectExtent l="0" t="0" r="2540" b="8890"/>
            <wp:docPr id="801198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198033" name="Picture 801198033"/>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70032" cy="1804476"/>
                    </a:xfrm>
                    <a:prstGeom prst="rect">
                      <a:avLst/>
                    </a:prstGeom>
                  </pic:spPr>
                </pic:pic>
              </a:graphicData>
            </a:graphic>
          </wp:inline>
        </w:drawing>
      </w:r>
    </w:p>
    <w:p w14:paraId="48E77CCD" w14:textId="61ECB7D2" w:rsidR="005C4146" w:rsidRPr="008B0129" w:rsidRDefault="005C4146" w:rsidP="008B0129">
      <w:pPr>
        <w:jc w:val="center"/>
        <w:rPr>
          <w:rFonts w:ascii="Times New Roman" w:hAnsi="Times New Roman" w:cs="Times New Roman"/>
          <w:b/>
          <w:bCs/>
          <w:sz w:val="32"/>
          <w:szCs w:val="32"/>
        </w:rPr>
      </w:pPr>
      <w:r w:rsidRPr="008B0129">
        <w:rPr>
          <w:rFonts w:ascii="Times New Roman" w:hAnsi="Times New Roman" w:cs="Times New Roman"/>
          <w:b/>
          <w:bCs/>
          <w:sz w:val="32"/>
          <w:szCs w:val="32"/>
        </w:rPr>
        <w:t>STUDENT NAME:</w:t>
      </w:r>
      <w:r w:rsidR="008B0129" w:rsidRPr="008B0129">
        <w:rPr>
          <w:rFonts w:ascii="Times New Roman" w:hAnsi="Times New Roman" w:cs="Times New Roman"/>
          <w:b/>
          <w:bCs/>
          <w:sz w:val="32"/>
          <w:szCs w:val="32"/>
        </w:rPr>
        <w:t xml:space="preserve"> CARMEN CARAMAN</w:t>
      </w:r>
    </w:p>
    <w:p w14:paraId="3C11B02A" w14:textId="7211C72D" w:rsidR="005C4146" w:rsidRPr="008B0129" w:rsidRDefault="005C4146" w:rsidP="008B0129">
      <w:pPr>
        <w:jc w:val="center"/>
        <w:rPr>
          <w:rFonts w:ascii="Times New Roman" w:hAnsi="Times New Roman" w:cs="Times New Roman"/>
          <w:b/>
          <w:bCs/>
          <w:sz w:val="32"/>
          <w:szCs w:val="32"/>
        </w:rPr>
      </w:pPr>
      <w:r w:rsidRPr="008B0129">
        <w:rPr>
          <w:rFonts w:ascii="Times New Roman" w:hAnsi="Times New Roman" w:cs="Times New Roman"/>
          <w:b/>
          <w:bCs/>
          <w:sz w:val="32"/>
          <w:szCs w:val="32"/>
        </w:rPr>
        <w:t>STUDENT ID:</w:t>
      </w:r>
      <w:r w:rsidR="008B0129" w:rsidRPr="008B0129">
        <w:rPr>
          <w:rFonts w:ascii="Times New Roman" w:hAnsi="Times New Roman" w:cs="Times New Roman"/>
          <w:b/>
          <w:bCs/>
          <w:sz w:val="32"/>
          <w:szCs w:val="32"/>
        </w:rPr>
        <w:t xml:space="preserve"> 2213756</w:t>
      </w:r>
    </w:p>
    <w:p w14:paraId="66F8ECEA" w14:textId="5154CFC0" w:rsidR="005C4146" w:rsidRPr="008B0129" w:rsidRDefault="005C4146" w:rsidP="008B0129">
      <w:pPr>
        <w:jc w:val="center"/>
        <w:rPr>
          <w:rFonts w:ascii="Times New Roman" w:hAnsi="Times New Roman" w:cs="Times New Roman"/>
          <w:b/>
          <w:bCs/>
          <w:sz w:val="32"/>
          <w:szCs w:val="32"/>
        </w:rPr>
      </w:pPr>
      <w:r w:rsidRPr="008B0129">
        <w:rPr>
          <w:rFonts w:ascii="Times New Roman" w:hAnsi="Times New Roman" w:cs="Times New Roman"/>
          <w:b/>
          <w:bCs/>
          <w:sz w:val="32"/>
          <w:szCs w:val="32"/>
        </w:rPr>
        <w:t>MODULE CODE: LCBB015</w:t>
      </w:r>
    </w:p>
    <w:p w14:paraId="03EFEB30" w14:textId="72FF8CC1" w:rsidR="008B0129" w:rsidRPr="008B0129" w:rsidRDefault="008B0129" w:rsidP="008B0129">
      <w:pPr>
        <w:jc w:val="center"/>
        <w:rPr>
          <w:rFonts w:ascii="Times New Roman" w:hAnsi="Times New Roman" w:cs="Times New Roman"/>
          <w:b/>
          <w:bCs/>
          <w:sz w:val="32"/>
          <w:szCs w:val="32"/>
        </w:rPr>
      </w:pPr>
      <w:r w:rsidRPr="008B0129">
        <w:rPr>
          <w:rFonts w:ascii="Times New Roman" w:hAnsi="Times New Roman" w:cs="Times New Roman"/>
          <w:b/>
          <w:bCs/>
          <w:sz w:val="32"/>
          <w:szCs w:val="32"/>
        </w:rPr>
        <w:t>COM 1</w:t>
      </w:r>
    </w:p>
    <w:p w14:paraId="1973F329" w14:textId="111A72F6" w:rsidR="008B0129" w:rsidRPr="008B0129" w:rsidRDefault="008B0129" w:rsidP="008B0129">
      <w:pPr>
        <w:jc w:val="center"/>
        <w:rPr>
          <w:rFonts w:ascii="Times New Roman" w:hAnsi="Times New Roman" w:cs="Times New Roman"/>
          <w:b/>
          <w:bCs/>
          <w:sz w:val="32"/>
          <w:szCs w:val="32"/>
        </w:rPr>
      </w:pPr>
      <w:r w:rsidRPr="008B0129">
        <w:rPr>
          <w:rFonts w:ascii="Times New Roman" w:hAnsi="Times New Roman" w:cs="Times New Roman"/>
          <w:b/>
          <w:bCs/>
          <w:sz w:val="32"/>
          <w:szCs w:val="32"/>
        </w:rPr>
        <w:t>WORDS: 2,000</w:t>
      </w:r>
    </w:p>
    <w:p w14:paraId="70507133" w14:textId="77777777" w:rsidR="008B0129" w:rsidRPr="008B0129" w:rsidRDefault="008B0129" w:rsidP="008B0129">
      <w:pPr>
        <w:jc w:val="center"/>
        <w:rPr>
          <w:rFonts w:ascii="Times New Roman" w:hAnsi="Times New Roman" w:cs="Times New Roman"/>
          <w:b/>
          <w:bCs/>
          <w:sz w:val="32"/>
          <w:szCs w:val="32"/>
        </w:rPr>
      </w:pPr>
    </w:p>
    <w:p w14:paraId="0D005BDB" w14:textId="77777777" w:rsidR="008B0129" w:rsidRDefault="008B0129"/>
    <w:p w14:paraId="1D4CC698" w14:textId="77777777" w:rsidR="008B0129" w:rsidRDefault="008B0129"/>
    <w:p w14:paraId="2753E70A" w14:textId="77777777" w:rsidR="008B0129" w:rsidRDefault="008B0129"/>
    <w:p w14:paraId="3BEB2826" w14:textId="77777777" w:rsidR="008B0129" w:rsidRDefault="008B0129"/>
    <w:p w14:paraId="2E55D927" w14:textId="77777777" w:rsidR="008B0129" w:rsidRDefault="008B0129"/>
    <w:p w14:paraId="60E02966" w14:textId="77777777" w:rsidR="008B0129" w:rsidRDefault="008B0129"/>
    <w:p w14:paraId="46A76EA4" w14:textId="77777777" w:rsidR="008B0129" w:rsidRDefault="008B0129"/>
    <w:p w14:paraId="2B7269DC" w14:textId="77777777" w:rsidR="008B0129" w:rsidRDefault="008B0129"/>
    <w:p w14:paraId="2E7CDE92" w14:textId="77777777" w:rsidR="008B0129" w:rsidRDefault="008B0129"/>
    <w:p w14:paraId="6FB770A6" w14:textId="77777777" w:rsidR="008B0129" w:rsidRDefault="008B0129"/>
    <w:p w14:paraId="4BDF5CB7" w14:textId="77777777" w:rsidR="008B0129" w:rsidRDefault="008B0129"/>
    <w:p w14:paraId="102A884F" w14:textId="77777777" w:rsidR="008B0129" w:rsidRDefault="008B0129"/>
    <w:p w14:paraId="294BE2BE" w14:textId="77777777" w:rsidR="008B0129" w:rsidRDefault="008B0129"/>
    <w:p w14:paraId="47735CB8" w14:textId="77777777" w:rsidR="008B0129" w:rsidRDefault="008B0129"/>
    <w:p w14:paraId="6164B2E2" w14:textId="77777777" w:rsidR="008B0129" w:rsidRDefault="008B0129"/>
    <w:sdt>
      <w:sdtPr>
        <w:id w:val="16690833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3F4993B6" w14:textId="03C3AE10" w:rsidR="00DD7A1E" w:rsidRDefault="00DD7A1E">
          <w:pPr>
            <w:pStyle w:val="TOCHeading"/>
          </w:pPr>
          <w:r>
            <w:t>Table of Contents</w:t>
          </w:r>
        </w:p>
        <w:p w14:paraId="52CD3A26" w14:textId="5ED30E77" w:rsidR="00DD7A1E" w:rsidRDefault="00DD7A1E">
          <w:pPr>
            <w:pStyle w:val="TOC2"/>
            <w:tabs>
              <w:tab w:val="right" w:leader="dot" w:pos="9016"/>
            </w:tabs>
            <w:rPr>
              <w:noProof/>
            </w:rPr>
          </w:pPr>
          <w:r>
            <w:fldChar w:fldCharType="begin"/>
          </w:r>
          <w:r>
            <w:instrText xml:space="preserve"> TOC \o "1-3" \h \z \u </w:instrText>
          </w:r>
          <w:r>
            <w:fldChar w:fldCharType="separate"/>
          </w:r>
          <w:hyperlink w:anchor="_Toc233390207" w:history="1">
            <w:r w:rsidRPr="00484FCE">
              <w:rPr>
                <w:rStyle w:val="Hyperlink"/>
                <w:noProof/>
              </w:rPr>
              <w:t>Executive Summary</w:t>
            </w:r>
            <w:r>
              <w:rPr>
                <w:noProof/>
                <w:webHidden/>
              </w:rPr>
              <w:tab/>
            </w:r>
            <w:r>
              <w:rPr>
                <w:noProof/>
                <w:webHidden/>
              </w:rPr>
              <w:fldChar w:fldCharType="begin"/>
            </w:r>
            <w:r>
              <w:rPr>
                <w:noProof/>
                <w:webHidden/>
              </w:rPr>
              <w:instrText xml:space="preserve"> PAGEREF _Toc233390207 \h </w:instrText>
            </w:r>
            <w:r>
              <w:rPr>
                <w:noProof/>
                <w:webHidden/>
              </w:rPr>
            </w:r>
            <w:r>
              <w:rPr>
                <w:noProof/>
                <w:webHidden/>
              </w:rPr>
              <w:fldChar w:fldCharType="separate"/>
            </w:r>
            <w:r>
              <w:rPr>
                <w:noProof/>
                <w:webHidden/>
              </w:rPr>
              <w:t>3</w:t>
            </w:r>
            <w:r>
              <w:rPr>
                <w:noProof/>
                <w:webHidden/>
              </w:rPr>
              <w:fldChar w:fldCharType="end"/>
            </w:r>
          </w:hyperlink>
        </w:p>
        <w:p w14:paraId="263C9840" w14:textId="3E516623" w:rsidR="00DD7A1E" w:rsidRDefault="00DD7A1E">
          <w:pPr>
            <w:pStyle w:val="TOC2"/>
            <w:tabs>
              <w:tab w:val="right" w:leader="dot" w:pos="9016"/>
            </w:tabs>
            <w:rPr>
              <w:noProof/>
            </w:rPr>
          </w:pPr>
          <w:hyperlink w:anchor="_Toc233390208" w:history="1">
            <w:r w:rsidRPr="00484FCE">
              <w:rPr>
                <w:rStyle w:val="Hyperlink"/>
                <w:noProof/>
              </w:rPr>
              <w:t>Introduction</w:t>
            </w:r>
            <w:r>
              <w:rPr>
                <w:noProof/>
                <w:webHidden/>
              </w:rPr>
              <w:tab/>
            </w:r>
            <w:r>
              <w:rPr>
                <w:noProof/>
                <w:webHidden/>
              </w:rPr>
              <w:fldChar w:fldCharType="begin"/>
            </w:r>
            <w:r>
              <w:rPr>
                <w:noProof/>
                <w:webHidden/>
              </w:rPr>
              <w:instrText xml:space="preserve"> PAGEREF _Toc233390208 \h </w:instrText>
            </w:r>
            <w:r>
              <w:rPr>
                <w:noProof/>
                <w:webHidden/>
              </w:rPr>
            </w:r>
            <w:r>
              <w:rPr>
                <w:noProof/>
                <w:webHidden/>
              </w:rPr>
              <w:fldChar w:fldCharType="separate"/>
            </w:r>
            <w:r>
              <w:rPr>
                <w:noProof/>
                <w:webHidden/>
              </w:rPr>
              <w:t>3</w:t>
            </w:r>
            <w:r>
              <w:rPr>
                <w:noProof/>
                <w:webHidden/>
              </w:rPr>
              <w:fldChar w:fldCharType="end"/>
            </w:r>
          </w:hyperlink>
        </w:p>
        <w:p w14:paraId="7DA99DEC" w14:textId="3FD52EC2" w:rsidR="00DD7A1E" w:rsidRDefault="00DD7A1E">
          <w:pPr>
            <w:pStyle w:val="TOC2"/>
            <w:tabs>
              <w:tab w:val="right" w:leader="dot" w:pos="9016"/>
            </w:tabs>
            <w:rPr>
              <w:noProof/>
            </w:rPr>
          </w:pPr>
          <w:hyperlink w:anchor="_Toc233390209" w:history="1">
            <w:r w:rsidRPr="00484FCE">
              <w:rPr>
                <w:rStyle w:val="Hyperlink"/>
                <w:noProof/>
              </w:rPr>
              <w:t>Strategy Analysis</w:t>
            </w:r>
            <w:r>
              <w:rPr>
                <w:noProof/>
                <w:webHidden/>
              </w:rPr>
              <w:tab/>
            </w:r>
            <w:r>
              <w:rPr>
                <w:noProof/>
                <w:webHidden/>
              </w:rPr>
              <w:fldChar w:fldCharType="begin"/>
            </w:r>
            <w:r>
              <w:rPr>
                <w:noProof/>
                <w:webHidden/>
              </w:rPr>
              <w:instrText xml:space="preserve"> PAGEREF _Toc233390209 \h </w:instrText>
            </w:r>
            <w:r>
              <w:rPr>
                <w:noProof/>
                <w:webHidden/>
              </w:rPr>
            </w:r>
            <w:r>
              <w:rPr>
                <w:noProof/>
                <w:webHidden/>
              </w:rPr>
              <w:fldChar w:fldCharType="separate"/>
            </w:r>
            <w:r>
              <w:rPr>
                <w:noProof/>
                <w:webHidden/>
              </w:rPr>
              <w:t>4</w:t>
            </w:r>
            <w:r>
              <w:rPr>
                <w:noProof/>
                <w:webHidden/>
              </w:rPr>
              <w:fldChar w:fldCharType="end"/>
            </w:r>
          </w:hyperlink>
        </w:p>
        <w:p w14:paraId="6F1C5C4B" w14:textId="06F4C09E" w:rsidR="00DD7A1E" w:rsidRDefault="00DD7A1E">
          <w:pPr>
            <w:pStyle w:val="TOC2"/>
            <w:tabs>
              <w:tab w:val="right" w:leader="dot" w:pos="9016"/>
            </w:tabs>
            <w:rPr>
              <w:noProof/>
            </w:rPr>
          </w:pPr>
          <w:hyperlink w:anchor="_Toc233390210" w:history="1">
            <w:r w:rsidRPr="00484FCE">
              <w:rPr>
                <w:rStyle w:val="Hyperlink"/>
                <w:noProof/>
              </w:rPr>
              <w:t>PESTLE Analysis</w:t>
            </w:r>
            <w:r>
              <w:rPr>
                <w:noProof/>
                <w:webHidden/>
              </w:rPr>
              <w:tab/>
            </w:r>
            <w:r>
              <w:rPr>
                <w:noProof/>
                <w:webHidden/>
              </w:rPr>
              <w:fldChar w:fldCharType="begin"/>
            </w:r>
            <w:r>
              <w:rPr>
                <w:noProof/>
                <w:webHidden/>
              </w:rPr>
              <w:instrText xml:space="preserve"> PAGEREF _Toc233390210 \h </w:instrText>
            </w:r>
            <w:r>
              <w:rPr>
                <w:noProof/>
                <w:webHidden/>
              </w:rPr>
            </w:r>
            <w:r>
              <w:rPr>
                <w:noProof/>
                <w:webHidden/>
              </w:rPr>
              <w:fldChar w:fldCharType="separate"/>
            </w:r>
            <w:r>
              <w:rPr>
                <w:noProof/>
                <w:webHidden/>
              </w:rPr>
              <w:t>4</w:t>
            </w:r>
            <w:r>
              <w:rPr>
                <w:noProof/>
                <w:webHidden/>
              </w:rPr>
              <w:fldChar w:fldCharType="end"/>
            </w:r>
          </w:hyperlink>
        </w:p>
        <w:p w14:paraId="2E0DA94D" w14:textId="455685A2" w:rsidR="00DD7A1E" w:rsidRDefault="00DD7A1E">
          <w:pPr>
            <w:pStyle w:val="TOC2"/>
            <w:tabs>
              <w:tab w:val="right" w:leader="dot" w:pos="9016"/>
            </w:tabs>
            <w:rPr>
              <w:noProof/>
            </w:rPr>
          </w:pPr>
          <w:hyperlink w:anchor="_Toc233390211" w:history="1">
            <w:r w:rsidRPr="00484FCE">
              <w:rPr>
                <w:rStyle w:val="Hyperlink"/>
                <w:noProof/>
              </w:rPr>
              <w:t>Porter's Five Forces Analysis</w:t>
            </w:r>
            <w:r>
              <w:rPr>
                <w:noProof/>
                <w:webHidden/>
              </w:rPr>
              <w:tab/>
            </w:r>
            <w:r>
              <w:rPr>
                <w:noProof/>
                <w:webHidden/>
              </w:rPr>
              <w:fldChar w:fldCharType="begin"/>
            </w:r>
            <w:r>
              <w:rPr>
                <w:noProof/>
                <w:webHidden/>
              </w:rPr>
              <w:instrText xml:space="preserve"> PAGEREF _Toc233390211 \h </w:instrText>
            </w:r>
            <w:r>
              <w:rPr>
                <w:noProof/>
                <w:webHidden/>
              </w:rPr>
            </w:r>
            <w:r>
              <w:rPr>
                <w:noProof/>
                <w:webHidden/>
              </w:rPr>
              <w:fldChar w:fldCharType="separate"/>
            </w:r>
            <w:r>
              <w:rPr>
                <w:noProof/>
                <w:webHidden/>
              </w:rPr>
              <w:t>6</w:t>
            </w:r>
            <w:r>
              <w:rPr>
                <w:noProof/>
                <w:webHidden/>
              </w:rPr>
              <w:fldChar w:fldCharType="end"/>
            </w:r>
          </w:hyperlink>
        </w:p>
        <w:p w14:paraId="5D24B2C8" w14:textId="07525BAA" w:rsidR="00DD7A1E" w:rsidRDefault="00DD7A1E">
          <w:pPr>
            <w:pStyle w:val="TOC2"/>
            <w:tabs>
              <w:tab w:val="right" w:leader="dot" w:pos="9016"/>
            </w:tabs>
            <w:rPr>
              <w:noProof/>
            </w:rPr>
          </w:pPr>
          <w:hyperlink w:anchor="_Toc233390212" w:history="1">
            <w:r w:rsidRPr="00484FCE">
              <w:rPr>
                <w:rStyle w:val="Hyperlink"/>
                <w:noProof/>
              </w:rPr>
              <w:t>Internal Environment Audit</w:t>
            </w:r>
            <w:r>
              <w:rPr>
                <w:noProof/>
                <w:webHidden/>
              </w:rPr>
              <w:tab/>
            </w:r>
            <w:r>
              <w:rPr>
                <w:noProof/>
                <w:webHidden/>
              </w:rPr>
              <w:fldChar w:fldCharType="begin"/>
            </w:r>
            <w:r>
              <w:rPr>
                <w:noProof/>
                <w:webHidden/>
              </w:rPr>
              <w:instrText xml:space="preserve"> PAGEREF _Toc233390212 \h </w:instrText>
            </w:r>
            <w:r>
              <w:rPr>
                <w:noProof/>
                <w:webHidden/>
              </w:rPr>
            </w:r>
            <w:r>
              <w:rPr>
                <w:noProof/>
                <w:webHidden/>
              </w:rPr>
              <w:fldChar w:fldCharType="separate"/>
            </w:r>
            <w:r>
              <w:rPr>
                <w:noProof/>
                <w:webHidden/>
              </w:rPr>
              <w:t>7</w:t>
            </w:r>
            <w:r>
              <w:rPr>
                <w:noProof/>
                <w:webHidden/>
              </w:rPr>
              <w:fldChar w:fldCharType="end"/>
            </w:r>
          </w:hyperlink>
        </w:p>
        <w:p w14:paraId="63EB8B41" w14:textId="15F04AA9" w:rsidR="00DD7A1E" w:rsidRDefault="00DD7A1E">
          <w:pPr>
            <w:pStyle w:val="TOC2"/>
            <w:tabs>
              <w:tab w:val="right" w:leader="dot" w:pos="9016"/>
            </w:tabs>
            <w:rPr>
              <w:noProof/>
            </w:rPr>
          </w:pPr>
          <w:hyperlink w:anchor="_Toc233390213" w:history="1">
            <w:r w:rsidRPr="00484FCE">
              <w:rPr>
                <w:rStyle w:val="Hyperlink"/>
                <w:noProof/>
              </w:rPr>
              <w:t>Value Chain Analysis</w:t>
            </w:r>
            <w:r>
              <w:rPr>
                <w:noProof/>
                <w:webHidden/>
              </w:rPr>
              <w:tab/>
            </w:r>
            <w:r>
              <w:rPr>
                <w:noProof/>
                <w:webHidden/>
              </w:rPr>
              <w:fldChar w:fldCharType="begin"/>
            </w:r>
            <w:r>
              <w:rPr>
                <w:noProof/>
                <w:webHidden/>
              </w:rPr>
              <w:instrText xml:space="preserve"> PAGEREF _Toc233390213 \h </w:instrText>
            </w:r>
            <w:r>
              <w:rPr>
                <w:noProof/>
                <w:webHidden/>
              </w:rPr>
            </w:r>
            <w:r>
              <w:rPr>
                <w:noProof/>
                <w:webHidden/>
              </w:rPr>
              <w:fldChar w:fldCharType="separate"/>
            </w:r>
            <w:r>
              <w:rPr>
                <w:noProof/>
                <w:webHidden/>
              </w:rPr>
              <w:t>7</w:t>
            </w:r>
            <w:r>
              <w:rPr>
                <w:noProof/>
                <w:webHidden/>
              </w:rPr>
              <w:fldChar w:fldCharType="end"/>
            </w:r>
          </w:hyperlink>
        </w:p>
        <w:p w14:paraId="5E4A2C54" w14:textId="73510321" w:rsidR="00DD7A1E" w:rsidRDefault="00DD7A1E">
          <w:pPr>
            <w:pStyle w:val="TOC2"/>
            <w:tabs>
              <w:tab w:val="right" w:leader="dot" w:pos="9016"/>
            </w:tabs>
            <w:rPr>
              <w:noProof/>
            </w:rPr>
          </w:pPr>
          <w:hyperlink w:anchor="_Toc233390214" w:history="1">
            <w:r w:rsidRPr="00484FCE">
              <w:rPr>
                <w:rStyle w:val="Hyperlink"/>
                <w:noProof/>
              </w:rPr>
              <w:t>Resource-Based View (RBV)</w:t>
            </w:r>
            <w:r>
              <w:rPr>
                <w:noProof/>
                <w:webHidden/>
              </w:rPr>
              <w:tab/>
            </w:r>
            <w:r>
              <w:rPr>
                <w:noProof/>
                <w:webHidden/>
              </w:rPr>
              <w:fldChar w:fldCharType="begin"/>
            </w:r>
            <w:r>
              <w:rPr>
                <w:noProof/>
                <w:webHidden/>
              </w:rPr>
              <w:instrText xml:space="preserve"> PAGEREF _Toc233390214 \h </w:instrText>
            </w:r>
            <w:r>
              <w:rPr>
                <w:noProof/>
                <w:webHidden/>
              </w:rPr>
            </w:r>
            <w:r>
              <w:rPr>
                <w:noProof/>
                <w:webHidden/>
              </w:rPr>
              <w:fldChar w:fldCharType="separate"/>
            </w:r>
            <w:r>
              <w:rPr>
                <w:noProof/>
                <w:webHidden/>
              </w:rPr>
              <w:t>8</w:t>
            </w:r>
            <w:r>
              <w:rPr>
                <w:noProof/>
                <w:webHidden/>
              </w:rPr>
              <w:fldChar w:fldCharType="end"/>
            </w:r>
          </w:hyperlink>
        </w:p>
        <w:p w14:paraId="5E938C0C" w14:textId="2F9CC277" w:rsidR="00DD7A1E" w:rsidRDefault="00DD7A1E">
          <w:pPr>
            <w:pStyle w:val="TOC2"/>
            <w:tabs>
              <w:tab w:val="right" w:leader="dot" w:pos="9016"/>
            </w:tabs>
            <w:rPr>
              <w:noProof/>
            </w:rPr>
          </w:pPr>
          <w:hyperlink w:anchor="_Toc233390215" w:history="1">
            <w:r w:rsidRPr="00484FCE">
              <w:rPr>
                <w:rStyle w:val="Hyperlink"/>
                <w:noProof/>
              </w:rPr>
              <w:t>VRIO Analysis</w:t>
            </w:r>
            <w:r>
              <w:rPr>
                <w:noProof/>
                <w:webHidden/>
              </w:rPr>
              <w:tab/>
            </w:r>
            <w:r>
              <w:rPr>
                <w:noProof/>
                <w:webHidden/>
              </w:rPr>
              <w:fldChar w:fldCharType="begin"/>
            </w:r>
            <w:r>
              <w:rPr>
                <w:noProof/>
                <w:webHidden/>
              </w:rPr>
              <w:instrText xml:space="preserve"> PAGEREF _Toc233390215 \h </w:instrText>
            </w:r>
            <w:r>
              <w:rPr>
                <w:noProof/>
                <w:webHidden/>
              </w:rPr>
            </w:r>
            <w:r>
              <w:rPr>
                <w:noProof/>
                <w:webHidden/>
              </w:rPr>
              <w:fldChar w:fldCharType="separate"/>
            </w:r>
            <w:r>
              <w:rPr>
                <w:noProof/>
                <w:webHidden/>
              </w:rPr>
              <w:t>8</w:t>
            </w:r>
            <w:r>
              <w:rPr>
                <w:noProof/>
                <w:webHidden/>
              </w:rPr>
              <w:fldChar w:fldCharType="end"/>
            </w:r>
          </w:hyperlink>
        </w:p>
        <w:p w14:paraId="5D709A06" w14:textId="5CD6DC38" w:rsidR="00DD7A1E" w:rsidRDefault="00DD7A1E">
          <w:pPr>
            <w:pStyle w:val="TOC2"/>
            <w:tabs>
              <w:tab w:val="right" w:leader="dot" w:pos="9016"/>
            </w:tabs>
            <w:rPr>
              <w:noProof/>
            </w:rPr>
          </w:pPr>
          <w:hyperlink w:anchor="_Toc233390216" w:history="1">
            <w:r w:rsidRPr="00484FCE">
              <w:rPr>
                <w:rStyle w:val="Hyperlink"/>
                <w:noProof/>
              </w:rPr>
              <w:t>Strategy Formulation</w:t>
            </w:r>
            <w:r>
              <w:rPr>
                <w:noProof/>
                <w:webHidden/>
              </w:rPr>
              <w:tab/>
            </w:r>
            <w:r>
              <w:rPr>
                <w:noProof/>
                <w:webHidden/>
              </w:rPr>
              <w:fldChar w:fldCharType="begin"/>
            </w:r>
            <w:r>
              <w:rPr>
                <w:noProof/>
                <w:webHidden/>
              </w:rPr>
              <w:instrText xml:space="preserve"> PAGEREF _Toc233390216 \h </w:instrText>
            </w:r>
            <w:r>
              <w:rPr>
                <w:noProof/>
                <w:webHidden/>
              </w:rPr>
            </w:r>
            <w:r>
              <w:rPr>
                <w:noProof/>
                <w:webHidden/>
              </w:rPr>
              <w:fldChar w:fldCharType="separate"/>
            </w:r>
            <w:r>
              <w:rPr>
                <w:noProof/>
                <w:webHidden/>
              </w:rPr>
              <w:t>10</w:t>
            </w:r>
            <w:r>
              <w:rPr>
                <w:noProof/>
                <w:webHidden/>
              </w:rPr>
              <w:fldChar w:fldCharType="end"/>
            </w:r>
          </w:hyperlink>
        </w:p>
        <w:p w14:paraId="43D1C713" w14:textId="46990B25" w:rsidR="00DD7A1E" w:rsidRDefault="00DD7A1E">
          <w:pPr>
            <w:pStyle w:val="TOC2"/>
            <w:tabs>
              <w:tab w:val="right" w:leader="dot" w:pos="9016"/>
            </w:tabs>
            <w:rPr>
              <w:noProof/>
            </w:rPr>
          </w:pPr>
          <w:hyperlink w:anchor="_Toc233390217" w:history="1">
            <w:r w:rsidRPr="00484FCE">
              <w:rPr>
                <w:rStyle w:val="Hyperlink"/>
                <w:noProof/>
              </w:rPr>
              <w:t>Conclusion and Recommendations</w:t>
            </w:r>
            <w:r>
              <w:rPr>
                <w:noProof/>
                <w:webHidden/>
              </w:rPr>
              <w:tab/>
            </w:r>
            <w:r>
              <w:rPr>
                <w:noProof/>
                <w:webHidden/>
              </w:rPr>
              <w:fldChar w:fldCharType="begin"/>
            </w:r>
            <w:r>
              <w:rPr>
                <w:noProof/>
                <w:webHidden/>
              </w:rPr>
              <w:instrText xml:space="preserve"> PAGEREF _Toc233390217 \h </w:instrText>
            </w:r>
            <w:r>
              <w:rPr>
                <w:noProof/>
                <w:webHidden/>
              </w:rPr>
            </w:r>
            <w:r>
              <w:rPr>
                <w:noProof/>
                <w:webHidden/>
              </w:rPr>
              <w:fldChar w:fldCharType="separate"/>
            </w:r>
            <w:r>
              <w:rPr>
                <w:noProof/>
                <w:webHidden/>
              </w:rPr>
              <w:t>10</w:t>
            </w:r>
            <w:r>
              <w:rPr>
                <w:noProof/>
                <w:webHidden/>
              </w:rPr>
              <w:fldChar w:fldCharType="end"/>
            </w:r>
          </w:hyperlink>
        </w:p>
        <w:p w14:paraId="61CEF725" w14:textId="4CC7C76C" w:rsidR="00DD7A1E" w:rsidRDefault="00DD7A1E">
          <w:pPr>
            <w:pStyle w:val="TOC2"/>
            <w:tabs>
              <w:tab w:val="right" w:leader="dot" w:pos="9016"/>
            </w:tabs>
            <w:rPr>
              <w:noProof/>
            </w:rPr>
          </w:pPr>
          <w:hyperlink w:anchor="_Toc233390218" w:history="1">
            <w:r w:rsidRPr="00484FCE">
              <w:rPr>
                <w:rStyle w:val="Hyperlink"/>
                <w:noProof/>
              </w:rPr>
              <w:t>Harvard Reference List</w:t>
            </w:r>
            <w:r>
              <w:rPr>
                <w:noProof/>
                <w:webHidden/>
              </w:rPr>
              <w:tab/>
            </w:r>
            <w:r>
              <w:rPr>
                <w:noProof/>
                <w:webHidden/>
              </w:rPr>
              <w:fldChar w:fldCharType="begin"/>
            </w:r>
            <w:r>
              <w:rPr>
                <w:noProof/>
                <w:webHidden/>
              </w:rPr>
              <w:instrText xml:space="preserve"> PAGEREF _Toc233390218 \h </w:instrText>
            </w:r>
            <w:r>
              <w:rPr>
                <w:noProof/>
                <w:webHidden/>
              </w:rPr>
            </w:r>
            <w:r>
              <w:rPr>
                <w:noProof/>
                <w:webHidden/>
              </w:rPr>
              <w:fldChar w:fldCharType="separate"/>
            </w:r>
            <w:r>
              <w:rPr>
                <w:noProof/>
                <w:webHidden/>
              </w:rPr>
              <w:t>12</w:t>
            </w:r>
            <w:r>
              <w:rPr>
                <w:noProof/>
                <w:webHidden/>
              </w:rPr>
              <w:fldChar w:fldCharType="end"/>
            </w:r>
          </w:hyperlink>
        </w:p>
        <w:p w14:paraId="04B487B6" w14:textId="273A5460" w:rsidR="00DD7A1E" w:rsidRDefault="00DD7A1E">
          <w:r>
            <w:rPr>
              <w:b/>
              <w:bCs/>
            </w:rPr>
            <w:fldChar w:fldCharType="end"/>
          </w:r>
        </w:p>
      </w:sdtContent>
    </w:sdt>
    <w:p w14:paraId="0B6AC295" w14:textId="77777777" w:rsidR="008B0129" w:rsidRDefault="008B0129"/>
    <w:p w14:paraId="5D271FEE" w14:textId="77777777" w:rsidR="005C4146" w:rsidRDefault="005C4146"/>
    <w:p w14:paraId="3919870F" w14:textId="77777777" w:rsidR="008B0129" w:rsidRDefault="008B0129"/>
    <w:p w14:paraId="12876D80" w14:textId="77777777" w:rsidR="008B0129" w:rsidRDefault="008B0129"/>
    <w:p w14:paraId="0C53B67D" w14:textId="77777777" w:rsidR="008B0129" w:rsidRDefault="008B0129"/>
    <w:p w14:paraId="631188A3" w14:textId="77777777" w:rsidR="008B0129" w:rsidRDefault="008B0129"/>
    <w:p w14:paraId="3637E7C2" w14:textId="77777777" w:rsidR="008B0129" w:rsidRDefault="008B0129"/>
    <w:p w14:paraId="5F2A99DE" w14:textId="77777777" w:rsidR="008B0129" w:rsidRDefault="008B0129"/>
    <w:p w14:paraId="29AC86B1" w14:textId="77777777" w:rsidR="008B0129" w:rsidRDefault="008B0129"/>
    <w:p w14:paraId="5DE46A99" w14:textId="77777777" w:rsidR="008B0129" w:rsidRDefault="008B0129"/>
    <w:p w14:paraId="38E612E5" w14:textId="77777777" w:rsidR="008B0129" w:rsidRDefault="008B0129"/>
    <w:p w14:paraId="72A31883" w14:textId="77777777" w:rsidR="008B0129" w:rsidRDefault="008B0129"/>
    <w:p w14:paraId="2180892F" w14:textId="77777777" w:rsidR="008B0129" w:rsidRDefault="008B0129"/>
    <w:p w14:paraId="4C166CED" w14:textId="77777777" w:rsidR="008B0129" w:rsidRDefault="008B0129"/>
    <w:p w14:paraId="1D9CCA39" w14:textId="77777777" w:rsidR="00DD7A1E" w:rsidRDefault="00DD7A1E" w:rsidP="00DD7A1E"/>
    <w:p w14:paraId="1DB48C2A" w14:textId="0D29F4B0" w:rsidR="00ED1D3B" w:rsidRPr="00980C37" w:rsidRDefault="00980C37" w:rsidP="00DD7A1E">
      <w:pPr>
        <w:jc w:val="center"/>
        <w:rPr>
          <w:rFonts w:ascii="Times New Roman" w:hAnsi="Times New Roman" w:cs="Times New Roman"/>
          <w:b/>
          <w:bCs/>
          <w:sz w:val="32"/>
          <w:szCs w:val="32"/>
        </w:rPr>
      </w:pPr>
      <w:r w:rsidRPr="00980C37">
        <w:rPr>
          <w:rFonts w:ascii="Times New Roman" w:hAnsi="Times New Roman" w:cs="Times New Roman"/>
          <w:b/>
          <w:bCs/>
          <w:sz w:val="32"/>
          <w:szCs w:val="32"/>
        </w:rPr>
        <w:lastRenderedPageBreak/>
        <w:t>S</w:t>
      </w:r>
      <w:r w:rsidR="00ED1D3B" w:rsidRPr="00980C37">
        <w:rPr>
          <w:rFonts w:ascii="Times New Roman" w:hAnsi="Times New Roman" w:cs="Times New Roman"/>
          <w:b/>
          <w:bCs/>
          <w:sz w:val="32"/>
          <w:szCs w:val="32"/>
        </w:rPr>
        <w:t>trategic Management Report for Lotus Cars</w:t>
      </w:r>
    </w:p>
    <w:p w14:paraId="11D9E84A" w14:textId="77777777" w:rsidR="00980C37" w:rsidRPr="00ED1D3B" w:rsidRDefault="00980C37" w:rsidP="00980C37">
      <w:pPr>
        <w:jc w:val="center"/>
        <w:rPr>
          <w:b/>
          <w:bCs/>
        </w:rPr>
      </w:pPr>
    </w:p>
    <w:p w14:paraId="3271E380" w14:textId="77777777" w:rsidR="00ED1D3B" w:rsidRPr="00DD7A1E" w:rsidRDefault="00ED1D3B" w:rsidP="00DD7A1E">
      <w:pPr>
        <w:pStyle w:val="Heading2"/>
      </w:pPr>
      <w:bookmarkStart w:id="0" w:name="_Toc233390207"/>
      <w:r w:rsidRPr="00DD7A1E">
        <w:t>Executive Summary</w:t>
      </w:r>
      <w:bookmarkEnd w:id="0"/>
    </w:p>
    <w:p w14:paraId="081433B8" w14:textId="1E7EDFA8" w:rsidR="00980C37" w:rsidRPr="00DD7A1E" w:rsidRDefault="00980C37" w:rsidP="00DD7A1E">
      <w:pPr>
        <w:spacing w:line="360" w:lineRule="auto"/>
        <w:jc w:val="both"/>
        <w:rPr>
          <w:rFonts w:ascii="Arial" w:hAnsi="Arial" w:cs="Arial"/>
        </w:rPr>
      </w:pPr>
      <w:r w:rsidRPr="00DD7A1E">
        <w:rPr>
          <w:rFonts w:ascii="Arial" w:hAnsi="Arial" w:cs="Arial"/>
        </w:rPr>
        <w:t xml:space="preserve">Organizations use strategic management to achieve a sustainable competitive advantage over the long term by matching the organization’s purpose and resources to </w:t>
      </w:r>
      <w:r w:rsidR="00CA7FCB" w:rsidRPr="00DD7A1E">
        <w:rPr>
          <w:rFonts w:ascii="Arial" w:hAnsi="Arial" w:cs="Arial"/>
        </w:rPr>
        <w:t>manoeuvres</w:t>
      </w:r>
      <w:r w:rsidRPr="00DD7A1E">
        <w:rPr>
          <w:rFonts w:ascii="Arial" w:hAnsi="Arial" w:cs="Arial"/>
        </w:rPr>
        <w:t xml:space="preserve"> in the business environment (Nag, Hambrick and Chen, 2007). The UK automobile industries are facing increasing strains due to environmental changes to adjust and formulate strategic plans to stay competitive (Nag, Hambrick and Chen, 2007). Apart from this, the UK automotive industry faces stiff competition especially from international players upon which effective strategic planning is critical for competitive success and sustainability (Nag, Hambrick and Chen, 2007). Lotus Cars is one of Britain’s most recognisable brands. This report examines the current strategic position of the sports car manufacturer. The analysis of chosen organisations will be carried out in this business report with usage of most up to date and contemporary approaches of business strategy and management incorporating both the external as well as internal environment </w:t>
      </w:r>
      <w:r w:rsidR="00DD7A1E" w:rsidRPr="00DD7A1E">
        <w:rPr>
          <w:rFonts w:ascii="Arial" w:hAnsi="Arial" w:cs="Arial"/>
        </w:rPr>
        <w:t>to</w:t>
      </w:r>
      <w:r w:rsidRPr="00DD7A1E">
        <w:rPr>
          <w:rFonts w:ascii="Arial" w:hAnsi="Arial" w:cs="Arial"/>
        </w:rPr>
        <w:t xml:space="preserve"> present the most appropriate SWOT analysis to the organisation. This will entail a PESTLE </w:t>
      </w:r>
      <w:r w:rsidR="00DD7A1E" w:rsidRPr="00DD7A1E">
        <w:rPr>
          <w:rFonts w:ascii="Arial" w:hAnsi="Arial" w:cs="Arial"/>
        </w:rPr>
        <w:t>analysis;</w:t>
      </w:r>
      <w:r w:rsidRPr="00DD7A1E">
        <w:rPr>
          <w:rFonts w:ascii="Arial" w:hAnsi="Arial" w:cs="Arial"/>
        </w:rPr>
        <w:t xml:space="preserve"> Porter’s Five Forces and Value Chain Analysis thinking about the external environment and then the RBV and VRIO framework for thinking about the internal environment. To sum up, the conclusion of the report will have a conclusion in which (we) synthesising what the implications of our analysis overleaf are and sets out a range of strategic alternatives (White, 2020</w:t>
      </w:r>
      <w:proofErr w:type="gramStart"/>
      <w:r w:rsidRPr="00DD7A1E">
        <w:rPr>
          <w:rFonts w:ascii="Arial" w:hAnsi="Arial" w:cs="Arial"/>
        </w:rPr>
        <w:t>) .</w:t>
      </w:r>
      <w:proofErr w:type="gramEnd"/>
    </w:p>
    <w:p w14:paraId="144869BA" w14:textId="272D1891" w:rsidR="00ED1D3B" w:rsidRPr="00DD7A1E" w:rsidRDefault="00ED1D3B" w:rsidP="00DD7A1E">
      <w:pPr>
        <w:pStyle w:val="Heading2"/>
      </w:pPr>
      <w:bookmarkStart w:id="1" w:name="_Toc233390208"/>
      <w:r w:rsidRPr="00DD7A1E">
        <w:t>Introduction</w:t>
      </w:r>
      <w:bookmarkEnd w:id="1"/>
    </w:p>
    <w:p w14:paraId="32A7A3D5" w14:textId="77777777" w:rsidR="00980C37" w:rsidRPr="00DD7A1E" w:rsidRDefault="00980C37" w:rsidP="00DD7A1E">
      <w:pPr>
        <w:spacing w:line="360" w:lineRule="auto"/>
        <w:jc w:val="both"/>
        <w:rPr>
          <w:rFonts w:ascii="Arial" w:hAnsi="Arial" w:cs="Arial"/>
        </w:rPr>
      </w:pPr>
      <w:r w:rsidRPr="00DD7A1E">
        <w:rPr>
          <w:rFonts w:ascii="Arial" w:hAnsi="Arial" w:cs="Arial"/>
        </w:rPr>
        <w:t xml:space="preserve">The strategic management of an organisation involves a systematic process wherein organisations analyse their internal and external business environment in response to changing scenario. The analysis is done to ensure development of a strategy that will help organisations in attaining their objectives (Johnson et al., 2020). The strategic planning allows the organization to spot and seize chances to outperform competitors, reduce or mitigate risk possibilities and a better allocation of resources also (Johnson et al, 2020). The organization is ultimately able to attain a competitive advantage. </w:t>
      </w:r>
    </w:p>
    <w:p w14:paraId="117B9660" w14:textId="1655EEA0" w:rsidR="00ED1D3B" w:rsidRPr="00DD7A1E" w:rsidRDefault="00980C37" w:rsidP="00DD7A1E">
      <w:pPr>
        <w:spacing w:line="360" w:lineRule="auto"/>
        <w:jc w:val="both"/>
        <w:rPr>
          <w:rFonts w:ascii="Arial" w:hAnsi="Arial" w:cs="Arial"/>
        </w:rPr>
      </w:pPr>
      <w:r w:rsidRPr="00DD7A1E">
        <w:rPr>
          <w:rFonts w:ascii="Arial" w:hAnsi="Arial" w:cs="Arial"/>
        </w:rPr>
        <w:t xml:space="preserve">Because of hyper-competition in the markets, organizations have dramatically grown the use of strategic management practices (Lynch, 2021). This is especially the case for firms in fast-changing industries, such as automotive and manufacturing. The </w:t>
      </w:r>
      <w:r w:rsidRPr="00DD7A1E">
        <w:rPr>
          <w:rFonts w:ascii="Arial" w:hAnsi="Arial" w:cs="Arial"/>
        </w:rPr>
        <w:lastRenderedPageBreak/>
        <w:t xml:space="preserve">economy of the UK would be impacted adversely </w:t>
      </w:r>
      <w:r w:rsidR="00DD7A1E" w:rsidRPr="00DD7A1E">
        <w:rPr>
          <w:rFonts w:ascii="Arial" w:hAnsi="Arial" w:cs="Arial"/>
        </w:rPr>
        <w:t>because of</w:t>
      </w:r>
      <w:r w:rsidRPr="00DD7A1E">
        <w:rPr>
          <w:rFonts w:ascii="Arial" w:hAnsi="Arial" w:cs="Arial"/>
        </w:rPr>
        <w:t xml:space="preserve"> the limited availability of car parts. The automotive industry in the UK is extremely strong, contributing to the overall economy and job market of the country. The sector-driven sustainability transformation changes rapidly </w:t>
      </w:r>
      <w:r w:rsidR="00DD7A1E" w:rsidRPr="00DD7A1E">
        <w:rPr>
          <w:rFonts w:ascii="Arial" w:hAnsi="Arial" w:cs="Arial"/>
        </w:rPr>
        <w:t>because of</w:t>
      </w:r>
      <w:r w:rsidRPr="00DD7A1E">
        <w:rPr>
          <w:rFonts w:ascii="Arial" w:hAnsi="Arial" w:cs="Arial"/>
        </w:rPr>
        <w:t xml:space="preserve"> stricter environmental legislation, increasing digitalisation in the sector and global supply chain disruptions (Society of Motor Manufacturers and Traders (SMMT), 2024). For this reason, producers are drawing up and implementing </w:t>
      </w:r>
      <w:r w:rsidR="00DD7A1E" w:rsidRPr="00DD7A1E">
        <w:rPr>
          <w:rFonts w:ascii="Arial" w:hAnsi="Arial" w:cs="Arial"/>
        </w:rPr>
        <w:t>more</w:t>
      </w:r>
      <w:r w:rsidRPr="00DD7A1E">
        <w:rPr>
          <w:rFonts w:ascii="Arial" w:hAnsi="Arial" w:cs="Arial"/>
        </w:rPr>
        <w:t xml:space="preserve"> flexible strategies to meet a complexifying market.</w:t>
      </w:r>
    </w:p>
    <w:p w14:paraId="2E9E5E1F" w14:textId="7549FD01" w:rsidR="00980C37" w:rsidRPr="00DD7A1E" w:rsidRDefault="00980C37" w:rsidP="00DD7A1E">
      <w:pPr>
        <w:spacing w:line="360" w:lineRule="auto"/>
        <w:jc w:val="both"/>
        <w:rPr>
          <w:rFonts w:ascii="Arial" w:hAnsi="Arial" w:cs="Arial"/>
        </w:rPr>
      </w:pPr>
      <w:r w:rsidRPr="00DD7A1E">
        <w:rPr>
          <w:rFonts w:ascii="Arial" w:hAnsi="Arial" w:cs="Arial"/>
        </w:rPr>
        <w:t xml:space="preserve">Having great expertise in engineering </w:t>
      </w:r>
      <w:r w:rsidR="00DD7A1E" w:rsidRPr="00DD7A1E">
        <w:rPr>
          <w:rFonts w:ascii="Arial" w:hAnsi="Arial" w:cs="Arial"/>
        </w:rPr>
        <w:t>lightweight</w:t>
      </w:r>
      <w:r w:rsidRPr="00DD7A1E">
        <w:rPr>
          <w:rFonts w:ascii="Arial" w:hAnsi="Arial" w:cs="Arial"/>
        </w:rPr>
        <w:t xml:space="preserve"> &amp; high-performance sports cars, many decades ago, Lotus Cars became a British automobile manufacturer. Moreover, the company was established in the year 1948. Lotus Cars, or Lotus Engineering Limited, is the name of a British automotive engineering company that designs and builds sports cars and racing cars. After acquiring Lotus in 2017, Geely Holding Group has accelerated strategic transformation leveraging electric vehicles technologies, international expansion and enhancement of advanced manufacturing capabilities (Lotus Cars, 2024). Lotus vision is to become the world leader in luxury performance electric vehicle engineering while maintaining performance, engineering excellence, and innovative heritage. </w:t>
      </w:r>
    </w:p>
    <w:p w14:paraId="230FFF39" w14:textId="1A391E37" w:rsidR="00980C37" w:rsidRPr="00DD7A1E" w:rsidRDefault="00980C37" w:rsidP="00DD7A1E">
      <w:pPr>
        <w:spacing w:line="360" w:lineRule="auto"/>
        <w:jc w:val="both"/>
        <w:rPr>
          <w:rFonts w:ascii="Arial" w:hAnsi="Arial" w:cs="Arial"/>
        </w:rPr>
      </w:pPr>
      <w:r w:rsidRPr="00DD7A1E">
        <w:rPr>
          <w:rFonts w:ascii="Arial" w:hAnsi="Arial" w:cs="Arial"/>
        </w:rPr>
        <w:t>This report is a critical assessment of Lotus strategic position and analysis of its external environment and internal environment from strategic management.</w:t>
      </w:r>
    </w:p>
    <w:p w14:paraId="61349570" w14:textId="0F3F7BC3" w:rsidR="00ED1D3B" w:rsidRPr="00DD7A1E" w:rsidRDefault="00ED1D3B" w:rsidP="00DD7A1E">
      <w:pPr>
        <w:pStyle w:val="Heading2"/>
      </w:pPr>
      <w:bookmarkStart w:id="2" w:name="_Toc233390209"/>
      <w:r w:rsidRPr="00DD7A1E">
        <w:t>Strategy Analysis</w:t>
      </w:r>
      <w:bookmarkEnd w:id="2"/>
    </w:p>
    <w:p w14:paraId="3955CD0B" w14:textId="77777777" w:rsidR="00ED1D3B" w:rsidRPr="00DD7A1E" w:rsidRDefault="00ED1D3B" w:rsidP="00DD7A1E">
      <w:pPr>
        <w:spacing w:line="360" w:lineRule="auto"/>
        <w:jc w:val="both"/>
        <w:rPr>
          <w:rFonts w:ascii="Arial" w:hAnsi="Arial" w:cs="Arial"/>
          <w:b/>
          <w:bCs/>
        </w:rPr>
      </w:pPr>
      <w:r w:rsidRPr="00DD7A1E">
        <w:rPr>
          <w:rFonts w:ascii="Arial" w:hAnsi="Arial" w:cs="Arial"/>
          <w:b/>
          <w:bCs/>
        </w:rPr>
        <w:t>External Environment Audit</w:t>
      </w:r>
    </w:p>
    <w:p w14:paraId="71E0EFC5" w14:textId="14C96A05" w:rsidR="00CA7FCB" w:rsidRPr="00DD7A1E" w:rsidRDefault="00CA7FCB" w:rsidP="00DD7A1E">
      <w:pPr>
        <w:spacing w:line="360" w:lineRule="auto"/>
        <w:jc w:val="both"/>
        <w:rPr>
          <w:rFonts w:ascii="Arial" w:hAnsi="Arial" w:cs="Arial"/>
        </w:rPr>
      </w:pPr>
      <w:r w:rsidRPr="00DD7A1E">
        <w:rPr>
          <w:rFonts w:ascii="Arial" w:hAnsi="Arial" w:cs="Arial"/>
        </w:rPr>
        <w:t xml:space="preserve">Strategic management underlines the importance for businesses to </w:t>
      </w:r>
      <w:proofErr w:type="spellStart"/>
      <w:r w:rsidRPr="00DD7A1E">
        <w:rPr>
          <w:rFonts w:ascii="Arial" w:hAnsi="Arial" w:cs="Arial"/>
        </w:rPr>
        <w:t>analyze</w:t>
      </w:r>
      <w:proofErr w:type="spellEnd"/>
      <w:r w:rsidRPr="00DD7A1E">
        <w:rPr>
          <w:rFonts w:ascii="Arial" w:hAnsi="Arial" w:cs="Arial"/>
        </w:rPr>
        <w:t xml:space="preserve"> their environment. The performance of business and their future visibility is impacted by external environment which consists of political, economic, social, technological, legal and environmental environment (Johnson et al., 2020). As a result, Lotus Cars must continuously </w:t>
      </w:r>
      <w:r w:rsidR="00DD7A1E" w:rsidRPr="00DD7A1E">
        <w:rPr>
          <w:rFonts w:ascii="Arial" w:hAnsi="Arial" w:cs="Arial"/>
        </w:rPr>
        <w:t>socially</w:t>
      </w:r>
      <w:r w:rsidRPr="00DD7A1E">
        <w:rPr>
          <w:rFonts w:ascii="Arial" w:hAnsi="Arial" w:cs="Arial"/>
        </w:rPr>
        <w:t xml:space="preserve"> </w:t>
      </w:r>
      <w:r w:rsidR="00DD7A1E" w:rsidRPr="00DD7A1E">
        <w:rPr>
          <w:rFonts w:ascii="Arial" w:hAnsi="Arial" w:cs="Arial"/>
        </w:rPr>
        <w:t>monitor</w:t>
      </w:r>
      <w:r w:rsidRPr="00DD7A1E">
        <w:rPr>
          <w:rFonts w:ascii="Arial" w:hAnsi="Arial" w:cs="Arial"/>
        </w:rPr>
        <w:t xml:space="preserve"> its external environment</w:t>
      </w:r>
      <w:r w:rsidR="00DD7A1E">
        <w:rPr>
          <w:rFonts w:ascii="Arial" w:hAnsi="Arial" w:cs="Arial"/>
        </w:rPr>
        <w:t>.</w:t>
      </w:r>
    </w:p>
    <w:p w14:paraId="52E1FA54" w14:textId="61CC3382" w:rsidR="00ED1D3B" w:rsidRPr="00DD7A1E" w:rsidRDefault="00ED1D3B" w:rsidP="00DD7A1E">
      <w:pPr>
        <w:pStyle w:val="Heading2"/>
      </w:pPr>
      <w:bookmarkStart w:id="3" w:name="_Toc233390210"/>
      <w:r w:rsidRPr="00DD7A1E">
        <w:t>PESTLE Analysis</w:t>
      </w:r>
      <w:bookmarkEnd w:id="3"/>
    </w:p>
    <w:p w14:paraId="284C379A" w14:textId="77777777" w:rsidR="00CA7FCB" w:rsidRPr="00DD7A1E" w:rsidRDefault="00CA7FCB" w:rsidP="00DD7A1E">
      <w:pPr>
        <w:spacing w:line="360" w:lineRule="auto"/>
        <w:jc w:val="both"/>
        <w:rPr>
          <w:rFonts w:ascii="Arial" w:hAnsi="Arial" w:cs="Arial"/>
        </w:rPr>
      </w:pPr>
      <w:r w:rsidRPr="00DD7A1E">
        <w:rPr>
          <w:rFonts w:ascii="Arial" w:hAnsi="Arial" w:cs="Arial"/>
        </w:rPr>
        <w:t xml:space="preserve">PESTLE analysis refers to an assessment of the external environment of an organization that is likely to affect its operations. Furthermore, the macro-environmental issues that Lotus Cars are facing offer various growth possibilities and </w:t>
      </w:r>
      <w:r w:rsidRPr="00DD7A1E">
        <w:rPr>
          <w:rFonts w:ascii="Arial" w:hAnsi="Arial" w:cs="Arial"/>
        </w:rPr>
        <w:lastRenderedPageBreak/>
        <w:t>challenges to a significant level. To stay competitive, the company's policies and strategies must be constantly improved.</w:t>
      </w:r>
    </w:p>
    <w:p w14:paraId="0EFDDF0C" w14:textId="77777777" w:rsidR="00CA7FCB" w:rsidRPr="00DD7A1E" w:rsidRDefault="00CA7FCB" w:rsidP="00DD7A1E">
      <w:pPr>
        <w:spacing w:line="360" w:lineRule="auto"/>
        <w:jc w:val="both"/>
        <w:rPr>
          <w:rFonts w:ascii="Arial" w:hAnsi="Arial" w:cs="Arial"/>
        </w:rPr>
      </w:pPr>
    </w:p>
    <w:p w14:paraId="1BEA152B" w14:textId="65158104" w:rsidR="00CA7FCB" w:rsidRPr="00DD7A1E" w:rsidRDefault="00CA7FCB" w:rsidP="00DD7A1E">
      <w:pPr>
        <w:spacing w:line="360" w:lineRule="auto"/>
        <w:jc w:val="both"/>
        <w:rPr>
          <w:rFonts w:ascii="Arial" w:hAnsi="Arial" w:cs="Arial"/>
        </w:rPr>
      </w:pPr>
      <w:r w:rsidRPr="00DD7A1E">
        <w:rPr>
          <w:rFonts w:ascii="Arial" w:hAnsi="Arial" w:cs="Arial"/>
        </w:rPr>
        <w:t>According to the UK Government, sales of new petrol and diesel vehicles will remove by 2035. This has resulted in the automobile industry electrifying itself (Department for Transport 2023). This situation is providing Lotus with growth opportunities while the company is expanding its EV product range. In like manner, Brexit has caused trade barriers, customs clearance delays and raised supply chain costs. As a result, manufacturers’ operations in the UK have encountered greater inefficiency. As a result, Lotus needs to formulate professional associations and capabilities with overseas nation</w:t>
      </w:r>
      <w:r w:rsidRPr="00DD7A1E">
        <w:rPr>
          <w:rFonts w:ascii="Arial" w:hAnsi="Arial" w:cs="Arial"/>
        </w:rPr>
        <w:t>s.</w:t>
      </w:r>
    </w:p>
    <w:p w14:paraId="68983164" w14:textId="617F4FD5" w:rsidR="00CA7FCB" w:rsidRPr="00DD7A1E" w:rsidRDefault="00CA7FCB" w:rsidP="00DD7A1E">
      <w:pPr>
        <w:spacing w:line="360" w:lineRule="auto"/>
        <w:jc w:val="both"/>
        <w:rPr>
          <w:rFonts w:ascii="Arial" w:hAnsi="Arial" w:cs="Arial"/>
        </w:rPr>
      </w:pPr>
      <w:r w:rsidRPr="00DD7A1E">
        <w:rPr>
          <w:rFonts w:ascii="Arial" w:hAnsi="Arial" w:cs="Arial"/>
        </w:rPr>
        <w:t xml:space="preserve">According to </w:t>
      </w:r>
      <w:r w:rsidR="00DD7A1E">
        <w:rPr>
          <w:rFonts w:ascii="Arial" w:hAnsi="Arial" w:cs="Arial"/>
        </w:rPr>
        <w:t>(</w:t>
      </w:r>
      <w:r w:rsidRPr="00DD7A1E">
        <w:rPr>
          <w:rFonts w:ascii="Arial" w:hAnsi="Arial" w:cs="Arial"/>
        </w:rPr>
        <w:t xml:space="preserve">McKinsey &amp; </w:t>
      </w:r>
      <w:r w:rsidR="00DD7A1E" w:rsidRPr="00DD7A1E">
        <w:rPr>
          <w:rFonts w:ascii="Arial" w:hAnsi="Arial" w:cs="Arial"/>
        </w:rPr>
        <w:t>Co,</w:t>
      </w:r>
      <w:r w:rsidR="00DD7A1E">
        <w:rPr>
          <w:rFonts w:ascii="Arial" w:hAnsi="Arial" w:cs="Arial"/>
        </w:rPr>
        <w:t xml:space="preserve"> </w:t>
      </w:r>
      <w:r w:rsidRPr="00DD7A1E">
        <w:rPr>
          <w:rFonts w:ascii="Arial" w:hAnsi="Arial" w:cs="Arial"/>
        </w:rPr>
        <w:t>2024), continuous inflation, changing exchange rates, and increasing prices of raw materials have raised manufacturing costs significantly across the automotive value chain. In addition, the demand for premium electric vehicles is skyrocketing, with both Asia and the Middle East witnessing a boom in premium electric vehicles. However, due to economic uncertainty, consumer spending is likely to drop which will hurt luxury vehicle sales. Lotus will be required to keep spending on the latest innovation with changing time</w:t>
      </w:r>
      <w:r w:rsidRPr="00DD7A1E">
        <w:rPr>
          <w:rFonts w:ascii="Arial" w:hAnsi="Arial" w:cs="Arial"/>
        </w:rPr>
        <w:t>s.</w:t>
      </w:r>
    </w:p>
    <w:p w14:paraId="766A9204" w14:textId="1EFDBE8E" w:rsidR="00CA7FCB" w:rsidRPr="00DD7A1E" w:rsidRDefault="00DD7A1E" w:rsidP="00DD7A1E">
      <w:pPr>
        <w:spacing w:line="360" w:lineRule="auto"/>
        <w:jc w:val="both"/>
        <w:rPr>
          <w:rFonts w:ascii="Arial" w:hAnsi="Arial" w:cs="Arial"/>
        </w:rPr>
      </w:pPr>
      <w:r>
        <w:rPr>
          <w:rFonts w:ascii="Arial" w:hAnsi="Arial" w:cs="Arial"/>
        </w:rPr>
        <w:t>(</w:t>
      </w:r>
      <w:r w:rsidR="00CA7FCB" w:rsidRPr="00DD7A1E">
        <w:rPr>
          <w:rFonts w:ascii="Arial" w:hAnsi="Arial" w:cs="Arial"/>
        </w:rPr>
        <w:t xml:space="preserve">Kotler </w:t>
      </w:r>
      <w:r w:rsidRPr="00DD7A1E">
        <w:rPr>
          <w:rFonts w:ascii="Arial" w:hAnsi="Arial" w:cs="Arial"/>
        </w:rPr>
        <w:t>et al.,</w:t>
      </w:r>
      <w:r>
        <w:rPr>
          <w:rFonts w:ascii="Arial" w:hAnsi="Arial" w:cs="Arial"/>
        </w:rPr>
        <w:t xml:space="preserve"> </w:t>
      </w:r>
      <w:r w:rsidR="00CA7FCB" w:rsidRPr="00DD7A1E">
        <w:rPr>
          <w:rFonts w:ascii="Arial" w:hAnsi="Arial" w:cs="Arial"/>
        </w:rPr>
        <w:t>2022) state that the shift in consumer attitude towards sustainability and environmental responsibility has increased the demand for electric and tech-savvy vehicles. This helps Lotus with its strategic repositioning as a luxury EV maker, but the expectations of customers today are a lot higher than product performance, and include things like digital connectivity, sustainability and personalised experiences.  If the company does not respond to these changing preferences, then competitive position of the company may weaken</w:t>
      </w:r>
      <w:r w:rsidR="00CA7FCB" w:rsidRPr="00DD7A1E">
        <w:rPr>
          <w:rFonts w:ascii="Arial" w:hAnsi="Arial" w:cs="Arial"/>
        </w:rPr>
        <w:t>.</w:t>
      </w:r>
    </w:p>
    <w:p w14:paraId="62FFA2EB" w14:textId="716B2EFA" w:rsidR="00CA7FCB" w:rsidRPr="00DD7A1E" w:rsidRDefault="00CA7FCB" w:rsidP="00DD7A1E">
      <w:pPr>
        <w:spacing w:line="360" w:lineRule="auto"/>
        <w:jc w:val="both"/>
        <w:rPr>
          <w:rFonts w:ascii="Arial" w:hAnsi="Arial" w:cs="Arial"/>
        </w:rPr>
      </w:pPr>
      <w:r w:rsidRPr="00DD7A1E">
        <w:rPr>
          <w:rFonts w:ascii="Arial" w:hAnsi="Arial" w:cs="Arial"/>
        </w:rPr>
        <w:t>Technological development is greatly influenced by various external factors. Quicker advancement in battery technology, artificial intelligence and connected vehicle systems helps the industry to leverage cutting-edge technology for making the vehicles. Yet, the organization should also place prominence on R and D expenditure (Lynch, 2021). The business is under pressure to energize itself as the competitors such as Tesla and Porsche are accelerating the pace of technological innovations rapidly</w:t>
      </w:r>
      <w:r w:rsidR="00DD7A1E">
        <w:rPr>
          <w:rFonts w:ascii="Arial" w:hAnsi="Arial" w:cs="Arial"/>
        </w:rPr>
        <w:t>.</w:t>
      </w:r>
    </w:p>
    <w:p w14:paraId="51E59449" w14:textId="33AD40AC" w:rsidR="002827B4" w:rsidRPr="00DD7A1E" w:rsidRDefault="002827B4" w:rsidP="00DD7A1E">
      <w:pPr>
        <w:spacing w:line="360" w:lineRule="auto"/>
        <w:jc w:val="both"/>
        <w:rPr>
          <w:rFonts w:ascii="Arial" w:hAnsi="Arial" w:cs="Arial"/>
        </w:rPr>
      </w:pPr>
      <w:r w:rsidRPr="00DD7A1E">
        <w:rPr>
          <w:rFonts w:ascii="Arial" w:hAnsi="Arial" w:cs="Arial"/>
        </w:rPr>
        <w:lastRenderedPageBreak/>
        <w:t>Legal issues and environmental issues are interrelated Tighter laws about emissions and sustainability require the manufacturer to cut carbon emissions as well as meet higher safety and environmental standards (European Commission, 2023). Compliance does increase operating costs, but it inspires innovations that can save costs in the long run. Further, compliance improves the reputation of the company. Lotus PESTLE Analysis shows that the company functions in a very dynamic environment in which it needs to respond to political and economic and technological changes over time for long term success. Sustainability should be a part of strategic choices not a stand-alone strategy</w:t>
      </w:r>
      <w:r w:rsidRPr="00DD7A1E">
        <w:rPr>
          <w:rFonts w:ascii="Arial" w:hAnsi="Arial" w:cs="Arial"/>
        </w:rPr>
        <w:t>.</w:t>
      </w:r>
    </w:p>
    <w:p w14:paraId="1B7E3B0C" w14:textId="553AF569" w:rsidR="00ED1D3B" w:rsidRPr="00DD7A1E" w:rsidRDefault="00ED1D3B" w:rsidP="00DD7A1E">
      <w:pPr>
        <w:pStyle w:val="Heading2"/>
      </w:pPr>
      <w:bookmarkStart w:id="4" w:name="_Toc233390211"/>
      <w:r w:rsidRPr="00DD7A1E">
        <w:t>Porter's Five Forces Analysis</w:t>
      </w:r>
      <w:bookmarkEnd w:id="4"/>
    </w:p>
    <w:p w14:paraId="50F32A46" w14:textId="77777777" w:rsidR="002827B4" w:rsidRPr="00DD7A1E" w:rsidRDefault="002827B4" w:rsidP="00DD7A1E">
      <w:pPr>
        <w:spacing w:line="360" w:lineRule="auto"/>
        <w:jc w:val="both"/>
        <w:rPr>
          <w:rFonts w:ascii="Arial" w:hAnsi="Arial" w:cs="Arial"/>
        </w:rPr>
      </w:pPr>
      <w:r w:rsidRPr="00DD7A1E">
        <w:rPr>
          <w:rFonts w:ascii="Arial" w:hAnsi="Arial" w:cs="Arial"/>
        </w:rPr>
        <w:t>Ever since Michael Porter introduced his Five Forces framework in 1979, it has been widely embraced for competitive analysis. The effect of competitive forces is rather high on Lotus Cars. However, that is not the same with each force but rather with each buyer group within the industry. The car industry can be segregated into economy, mid-level, and premium cars. Lotus works with high-end premium products which mean the competitive forces at this end of the market are much stronger than at the mid-level or economy levels of the car market.</w:t>
      </w:r>
    </w:p>
    <w:p w14:paraId="3A1DD3D3" w14:textId="2806ADE9" w:rsidR="002827B4" w:rsidRPr="00DD7A1E" w:rsidRDefault="002827B4" w:rsidP="00DD7A1E">
      <w:pPr>
        <w:spacing w:line="360" w:lineRule="auto"/>
        <w:jc w:val="both"/>
        <w:rPr>
          <w:rFonts w:ascii="Arial" w:hAnsi="Arial" w:cs="Arial"/>
        </w:rPr>
      </w:pPr>
      <w:r w:rsidRPr="00DD7A1E">
        <w:rPr>
          <w:rFonts w:ascii="Arial" w:hAnsi="Arial" w:cs="Arial"/>
        </w:rPr>
        <w:t>There is considerable competition in the automotive industry market, mainly due to the presence of brands such as Toyota and Ford. These brands have competitive advantages such as research capability, brand equity and financial resources (Lorenz and Voigt, 2018). Lotus could never be competitive in terms of scale of production. The firm must enable complemented by engineering competence and innovation and draw on its lightweight development heritage</w:t>
      </w:r>
      <w:r w:rsidRPr="00DD7A1E">
        <w:rPr>
          <w:rFonts w:ascii="Arial" w:hAnsi="Arial" w:cs="Arial"/>
        </w:rPr>
        <w:t>.</w:t>
      </w:r>
    </w:p>
    <w:p w14:paraId="6EC88979" w14:textId="70D6EBEA" w:rsidR="00ED1D3B" w:rsidRPr="00DD7A1E" w:rsidRDefault="002827B4" w:rsidP="00DD7A1E">
      <w:pPr>
        <w:spacing w:line="360" w:lineRule="auto"/>
        <w:jc w:val="both"/>
        <w:rPr>
          <w:rFonts w:ascii="Arial" w:hAnsi="Arial" w:cs="Arial"/>
        </w:rPr>
      </w:pPr>
      <w:r w:rsidRPr="00DD7A1E">
        <w:rPr>
          <w:rFonts w:ascii="Arial" w:hAnsi="Arial" w:cs="Arial"/>
        </w:rPr>
        <w:t xml:space="preserve">Lotus requires special suppliers do batteries, </w:t>
      </w:r>
      <w:r w:rsidR="00DD7A1E" w:rsidRPr="00DD7A1E">
        <w:rPr>
          <w:rFonts w:ascii="Arial" w:hAnsi="Arial" w:cs="Arial"/>
        </w:rPr>
        <w:t>semiconductors</w:t>
      </w:r>
      <w:r w:rsidRPr="00DD7A1E">
        <w:rPr>
          <w:rFonts w:ascii="Arial" w:hAnsi="Arial" w:cs="Arial"/>
        </w:rPr>
        <w:t xml:space="preserve"> and other advanced electronic components. As such, the bargaining power of suppliers is moderate to high. Disruptions to the global supply chain have made suppliers more powerful over prices and availability. It also demonstrates the importance of Geely’s integrated supply network. The buyer strength is neither strong nor weak as consumers can compare cars in premium segment easily on technological features, sustainability, quality and performance. Lotus consistently </w:t>
      </w:r>
      <w:r w:rsidR="00DD7A1E" w:rsidRPr="00DD7A1E">
        <w:rPr>
          <w:rFonts w:ascii="Arial" w:hAnsi="Arial" w:cs="Arial"/>
        </w:rPr>
        <w:t>needs</w:t>
      </w:r>
      <w:r w:rsidRPr="00DD7A1E">
        <w:rPr>
          <w:rFonts w:ascii="Arial" w:hAnsi="Arial" w:cs="Arial"/>
        </w:rPr>
        <w:t xml:space="preserve"> to enhance value on a regular basis </w:t>
      </w:r>
      <w:proofErr w:type="gramStart"/>
      <w:r w:rsidRPr="00DD7A1E">
        <w:rPr>
          <w:rFonts w:ascii="Arial" w:hAnsi="Arial" w:cs="Arial"/>
        </w:rPr>
        <w:t>in order to</w:t>
      </w:r>
      <w:proofErr w:type="gramEnd"/>
      <w:r w:rsidRPr="00DD7A1E">
        <w:rPr>
          <w:rFonts w:ascii="Arial" w:hAnsi="Arial" w:cs="Arial"/>
        </w:rPr>
        <w:t xml:space="preserve"> maintain brand loyalty. Ultimately, the likelihood of substitution is rising as </w:t>
      </w:r>
      <w:r w:rsidRPr="00DD7A1E">
        <w:rPr>
          <w:rFonts w:ascii="Arial" w:hAnsi="Arial" w:cs="Arial"/>
        </w:rPr>
        <w:lastRenderedPageBreak/>
        <w:t>consumers shift to electric SUVs, shared mobility services, and luxurious alternative transport.</w:t>
      </w:r>
    </w:p>
    <w:p w14:paraId="087F73ED" w14:textId="4CFBB12A" w:rsidR="00ED1D3B" w:rsidRPr="00DD7A1E" w:rsidRDefault="00ED1D3B" w:rsidP="00DD7A1E">
      <w:pPr>
        <w:pStyle w:val="Heading2"/>
      </w:pPr>
      <w:bookmarkStart w:id="5" w:name="_Toc233390212"/>
      <w:r w:rsidRPr="00DD7A1E">
        <w:t>Internal Environment Audit</w:t>
      </w:r>
      <w:bookmarkEnd w:id="5"/>
    </w:p>
    <w:p w14:paraId="1AE1B53A" w14:textId="6C5FC670" w:rsidR="002827B4" w:rsidRPr="00DD7A1E" w:rsidRDefault="002827B4" w:rsidP="00DD7A1E">
      <w:pPr>
        <w:spacing w:line="360" w:lineRule="auto"/>
        <w:jc w:val="both"/>
        <w:rPr>
          <w:rFonts w:ascii="Arial" w:hAnsi="Arial" w:cs="Arial"/>
        </w:rPr>
      </w:pPr>
      <w:r w:rsidRPr="00DD7A1E">
        <w:rPr>
          <w:rFonts w:ascii="Arial" w:hAnsi="Arial" w:cs="Arial"/>
        </w:rPr>
        <w:t xml:space="preserve">Internal resources and capabilities of an organisation contribute more towards their long-run competitive advantage than the external factor such as the industry the organisation is in (Barney, 1991).  As previously </w:t>
      </w:r>
      <w:proofErr w:type="gramStart"/>
      <w:r w:rsidRPr="00DD7A1E">
        <w:rPr>
          <w:rFonts w:ascii="Arial" w:hAnsi="Arial" w:cs="Arial"/>
        </w:rPr>
        <w:t>discussed</w:t>
      </w:r>
      <w:proofErr w:type="gramEnd"/>
      <w:r w:rsidRPr="00DD7A1E">
        <w:rPr>
          <w:rFonts w:ascii="Arial" w:hAnsi="Arial" w:cs="Arial"/>
        </w:rPr>
        <w:t xml:space="preserve"> the Lotus Cars external environment the ability of an organisation to exploit</w:t>
      </w:r>
      <w:r w:rsidRPr="00DD7A1E">
        <w:rPr>
          <w:rFonts w:ascii="Arial" w:hAnsi="Arial" w:cs="Arial"/>
        </w:rPr>
        <w:t>.</w:t>
      </w:r>
    </w:p>
    <w:p w14:paraId="35D10B1F" w14:textId="2BE21238" w:rsidR="00ED1D3B" w:rsidRPr="00DD7A1E" w:rsidRDefault="00ED1D3B" w:rsidP="00DD7A1E">
      <w:pPr>
        <w:spacing w:line="360" w:lineRule="auto"/>
        <w:jc w:val="both"/>
        <w:rPr>
          <w:rFonts w:ascii="Arial" w:hAnsi="Arial" w:cs="Arial"/>
          <w:b/>
          <w:bCs/>
        </w:rPr>
      </w:pPr>
      <w:r w:rsidRPr="00DD7A1E">
        <w:rPr>
          <w:rFonts w:ascii="Arial" w:hAnsi="Arial" w:cs="Arial"/>
          <w:b/>
          <w:bCs/>
        </w:rPr>
        <w:t>Internal Environment Audit</w:t>
      </w:r>
    </w:p>
    <w:p w14:paraId="2FA472A3" w14:textId="0379CA3D" w:rsidR="00ED1D3B" w:rsidRPr="00DD7A1E" w:rsidRDefault="002827B4" w:rsidP="00DD7A1E">
      <w:pPr>
        <w:spacing w:line="360" w:lineRule="auto"/>
        <w:jc w:val="both"/>
        <w:rPr>
          <w:rFonts w:ascii="Arial" w:hAnsi="Arial" w:cs="Arial"/>
        </w:rPr>
      </w:pPr>
      <w:r w:rsidRPr="00DD7A1E">
        <w:rPr>
          <w:rFonts w:ascii="Arial" w:hAnsi="Arial" w:cs="Arial"/>
        </w:rPr>
        <w:t>An organization's internal environment consists of resource and competencies which enables an organisation to gain competitive advantage. Barney (1991) believes that organizations that own resources which are valuable, rare, inimitable and well-organized will own superior performance as compared to its competitors. Over the years, Lotus Cars has developed a variety of strategic capabilities by virtue of engineering excellence, technological innovation, and brand heritage</w:t>
      </w:r>
      <w:r w:rsidR="00ED1D3B" w:rsidRPr="00DD7A1E">
        <w:rPr>
          <w:rFonts w:ascii="Arial" w:hAnsi="Arial" w:cs="Arial"/>
        </w:rPr>
        <w:t>.</w:t>
      </w:r>
    </w:p>
    <w:p w14:paraId="52CEB0E7" w14:textId="77777777" w:rsidR="00ED1D3B" w:rsidRPr="00DD7A1E" w:rsidRDefault="00ED1D3B" w:rsidP="00DD7A1E">
      <w:pPr>
        <w:pStyle w:val="Heading2"/>
      </w:pPr>
      <w:bookmarkStart w:id="6" w:name="_Toc233390213"/>
      <w:r w:rsidRPr="00DD7A1E">
        <w:t>Value Chain Analysis</w:t>
      </w:r>
      <w:bookmarkEnd w:id="6"/>
    </w:p>
    <w:p w14:paraId="549EDE20" w14:textId="77777777" w:rsidR="002827B4" w:rsidRPr="00DD7A1E" w:rsidRDefault="002827B4" w:rsidP="00DD7A1E">
      <w:pPr>
        <w:spacing w:line="360" w:lineRule="auto"/>
        <w:jc w:val="both"/>
        <w:rPr>
          <w:rFonts w:ascii="Arial" w:hAnsi="Arial" w:cs="Arial"/>
        </w:rPr>
      </w:pPr>
      <w:r w:rsidRPr="00DD7A1E">
        <w:rPr>
          <w:rFonts w:ascii="Arial" w:hAnsi="Arial" w:cs="Arial"/>
        </w:rPr>
        <w:t xml:space="preserve">According to Porter (1985), organisations can create competitive advantage by adding value through primary and support activities to an inventory, goods or services. When it comes to Lotus Cars, the value chain illustrates that engineering and product quality are the main sources of competitive differentiation rather than cost leadership. Lotus Cars has significantly improved its inbound logistics since Geely Holding took possession of the company. Improved procurement effectiveness and supply chain resilience will also benefit from access to a larger supplier base and advanced technology. Lotus has made a strong statement in the premium luxury car space; however, it will remain affected by the global shortage of semiconductors and battery metals that are beyond the control of the car maker. The value chain analysis, thus, shows the reliance on external suppliers and manufacturers. Lotus is the strongest in terms of Operations. This is prioritising investments in manufacturing, research and development and light-weight engineering. However, to take advantage of the first mover of technologies will require a continuous infusion in people and infrastructure. This means the operating cost will further increases in a highly competitive market (Lotus Cars, 2024). Lotus doesn’t just make niche sports cars like before and this has </w:t>
      </w:r>
      <w:r w:rsidRPr="00DD7A1E">
        <w:rPr>
          <w:rFonts w:ascii="Arial" w:hAnsi="Arial" w:cs="Arial"/>
        </w:rPr>
        <w:lastRenderedPageBreak/>
        <w:t xml:space="preserve">resulted in marketing and sales improvements in many ways. The global market for premium electric vehicles is on the rise. </w:t>
      </w:r>
    </w:p>
    <w:p w14:paraId="566F9B29" w14:textId="2E92D13D" w:rsidR="001C6B70" w:rsidRPr="00DD7A1E" w:rsidRDefault="002827B4" w:rsidP="00DD7A1E">
      <w:pPr>
        <w:spacing w:line="360" w:lineRule="auto"/>
        <w:jc w:val="both"/>
        <w:rPr>
          <w:rFonts w:ascii="Arial" w:hAnsi="Arial" w:cs="Arial"/>
        </w:rPr>
      </w:pPr>
      <w:r w:rsidRPr="00DD7A1E">
        <w:rPr>
          <w:rFonts w:ascii="Arial" w:hAnsi="Arial" w:cs="Arial"/>
        </w:rPr>
        <w:t>The company's presence in more countries has improved after digital marketing and expansion in international markets. However, the company continues to face stiff competition from highly.</w:t>
      </w:r>
    </w:p>
    <w:p w14:paraId="2C1AA83A" w14:textId="77777777" w:rsidR="001C6B70" w:rsidRPr="00DD7A1E" w:rsidRDefault="001C6B70" w:rsidP="00DD7A1E">
      <w:pPr>
        <w:spacing w:line="360" w:lineRule="auto"/>
        <w:jc w:val="both"/>
        <w:rPr>
          <w:rFonts w:ascii="Arial" w:hAnsi="Arial" w:cs="Arial"/>
        </w:rPr>
      </w:pPr>
    </w:p>
    <w:p w14:paraId="49F95763" w14:textId="77777777" w:rsidR="001C6B70" w:rsidRPr="00DD7A1E" w:rsidRDefault="001C6B70" w:rsidP="00DD7A1E">
      <w:pPr>
        <w:spacing w:line="360" w:lineRule="auto"/>
        <w:jc w:val="both"/>
        <w:rPr>
          <w:rFonts w:ascii="Arial" w:hAnsi="Arial" w:cs="Arial"/>
        </w:rPr>
      </w:pPr>
    </w:p>
    <w:p w14:paraId="242BC763" w14:textId="77777777" w:rsidR="001C6B70" w:rsidRPr="00DD7A1E" w:rsidRDefault="001C6B70" w:rsidP="00DD7A1E">
      <w:pPr>
        <w:spacing w:line="360" w:lineRule="auto"/>
        <w:jc w:val="both"/>
        <w:rPr>
          <w:rFonts w:ascii="Arial" w:hAnsi="Arial" w:cs="Arial"/>
        </w:rPr>
      </w:pPr>
    </w:p>
    <w:p w14:paraId="386D67F7" w14:textId="77777777" w:rsidR="001C6B70" w:rsidRPr="00DD7A1E" w:rsidRDefault="001C6B70" w:rsidP="00DD7A1E">
      <w:pPr>
        <w:spacing w:line="360" w:lineRule="auto"/>
        <w:jc w:val="both"/>
        <w:rPr>
          <w:rFonts w:ascii="Arial" w:hAnsi="Arial" w:cs="Arial"/>
        </w:rPr>
      </w:pPr>
    </w:p>
    <w:p w14:paraId="071E2194" w14:textId="4AE7C495" w:rsidR="00ED1D3B" w:rsidRPr="00DD7A1E" w:rsidRDefault="00ED1D3B" w:rsidP="00DD7A1E">
      <w:pPr>
        <w:pStyle w:val="Heading2"/>
      </w:pPr>
      <w:bookmarkStart w:id="7" w:name="_Toc233390214"/>
      <w:r w:rsidRPr="00DD7A1E">
        <w:t>Resource-Based View (RBV)</w:t>
      </w:r>
      <w:bookmarkEnd w:id="7"/>
    </w:p>
    <w:p w14:paraId="6461CB4F" w14:textId="77777777" w:rsidR="002827B4" w:rsidRPr="00DD7A1E" w:rsidRDefault="002827B4" w:rsidP="00DD7A1E">
      <w:pPr>
        <w:spacing w:line="360" w:lineRule="auto"/>
        <w:jc w:val="both"/>
        <w:rPr>
          <w:rFonts w:ascii="Arial" w:hAnsi="Arial" w:cs="Arial"/>
        </w:rPr>
      </w:pPr>
      <w:r w:rsidRPr="00DD7A1E">
        <w:rPr>
          <w:rFonts w:ascii="Arial" w:hAnsi="Arial" w:cs="Arial"/>
        </w:rPr>
        <w:t>The Resource-Based View states that organizations are likely to achieve sustainable competitive advantage with the help of valuable, rare and difficult to imitate asset (Barney, 1991). Lotus Automobiles possesses certain strategic resources. For instance, the model boasts an internationally recognized brand name and engineering expertise. In addition, it is a strategic resource because of its innovative capacity. Furthermore, the firm’s know-how in lightweight engineering makes it different from rivals. Moreover, the car manufacturer has customers with strong enough loyalty base to help it out.</w:t>
      </w:r>
    </w:p>
    <w:p w14:paraId="5A7EF915" w14:textId="7C159E2B" w:rsidR="00ED1D3B" w:rsidRPr="00DD7A1E" w:rsidRDefault="00ED1D3B" w:rsidP="00DD7A1E">
      <w:pPr>
        <w:pStyle w:val="Heading2"/>
      </w:pPr>
      <w:bookmarkStart w:id="8" w:name="_Toc233390215"/>
      <w:r w:rsidRPr="00DD7A1E">
        <w:t>VRIO Analysis</w:t>
      </w:r>
      <w:bookmarkEnd w:id="8"/>
    </w:p>
    <w:p w14:paraId="69BC046E" w14:textId="347FF9B2" w:rsidR="00DD7A1E" w:rsidRPr="00DD7A1E" w:rsidRDefault="00DD7A1E" w:rsidP="00DD7A1E">
      <w:pPr>
        <w:spacing w:line="360" w:lineRule="auto"/>
        <w:jc w:val="both"/>
        <w:rPr>
          <w:rFonts w:ascii="Arial" w:hAnsi="Arial" w:cs="Arial"/>
        </w:rPr>
      </w:pPr>
      <w:r w:rsidRPr="00DD7A1E">
        <w:rPr>
          <w:rFonts w:ascii="Arial" w:hAnsi="Arial" w:cs="Arial"/>
        </w:rPr>
        <w:t xml:space="preserve">Barney and Hesterly (2019) mention that organisational resources that passes the VRIO test is valuable, rare, hard-to-imitate and supported by organisation. VRIO (valuable, rare, imitable and organised) is an internal evaluation of the resource of an organisation. The VRIO Framework Application Shows That Lotus Company Has Resources That Provide It </w:t>
      </w:r>
      <w:r w:rsidRPr="00DD7A1E">
        <w:rPr>
          <w:rFonts w:ascii="Arial" w:hAnsi="Arial" w:cs="Arial"/>
        </w:rPr>
        <w:t>with</w:t>
      </w:r>
      <w:r w:rsidRPr="00DD7A1E">
        <w:rPr>
          <w:rFonts w:ascii="Arial" w:hAnsi="Arial" w:cs="Arial"/>
        </w:rPr>
        <w:t xml:space="preserve"> Sustainable Competitive Advantage. For example, it is extremely useful when the engineering expertise of the company helps customers develop cars innovative, high-tech, high-performance and to customer requirements.</w:t>
      </w:r>
    </w:p>
    <w:p w14:paraId="6D02D14A"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This area of expertise and capability is also rare. Therefore, due to its specialist lightweight engineering and vehicle dynamics offering, Lotus will have less competition than other automotive manufacturers. Due to years of the accumulation of engineering skills, this ability is very difficult for the competition to imitate. Lotus's research and </w:t>
      </w:r>
      <w:r w:rsidRPr="00DD7A1E">
        <w:rPr>
          <w:rFonts w:ascii="Arial" w:hAnsi="Arial" w:cs="Arial"/>
        </w:rPr>
        <w:lastRenderedPageBreak/>
        <w:t>development functions are well-organised to use this capability effectively. Likewise, the Lotus brand is valuable and rare, given the heritage, reputation and emotional attachment to car lovers.</w:t>
      </w:r>
    </w:p>
    <w:p w14:paraId="2075B50D" w14:textId="69ED0B72" w:rsidR="00DD7A1E" w:rsidRPr="00DD7A1E" w:rsidRDefault="00DD7A1E" w:rsidP="00DD7A1E">
      <w:pPr>
        <w:spacing w:line="360" w:lineRule="auto"/>
        <w:jc w:val="both"/>
        <w:rPr>
          <w:rFonts w:ascii="Arial" w:hAnsi="Arial" w:cs="Arial"/>
        </w:rPr>
      </w:pPr>
      <w:r w:rsidRPr="00DD7A1E">
        <w:rPr>
          <w:rFonts w:ascii="Arial" w:hAnsi="Arial" w:cs="Arial"/>
        </w:rPr>
        <w:t>Competitors find it tough to imitate over seventy years of brand history and its deep motorsport roots. Thanks to the effective marketing strategies and globalisation, this brand has become organised in global markets. Geely’s financial support has proven valuable as it allows the organization to invest highly in innovation and internationalization efforts.</w:t>
      </w:r>
    </w:p>
    <w:p w14:paraId="5A0416D7" w14:textId="4CC8EA71" w:rsidR="00DD7A1E" w:rsidRPr="00DD7A1E" w:rsidRDefault="00DD7A1E" w:rsidP="00DD7A1E">
      <w:pPr>
        <w:spacing w:line="360" w:lineRule="auto"/>
        <w:jc w:val="both"/>
        <w:rPr>
          <w:rFonts w:ascii="Arial" w:hAnsi="Arial" w:cs="Arial"/>
        </w:rPr>
      </w:pPr>
      <w:r w:rsidRPr="00DD7A1E">
        <w:rPr>
          <w:rFonts w:ascii="Arial" w:hAnsi="Arial" w:cs="Arial"/>
        </w:rPr>
        <w:t xml:space="preserve">The Lotus staff level discovered that the agency has high managerial value due to its link to Geely. The additional possibilities that come from Geely’s comprehensive automotive activities must leverage Lotus’ core competence, which </w:t>
      </w:r>
      <w:proofErr w:type="gramStart"/>
      <w:r w:rsidRPr="00DD7A1E">
        <w:rPr>
          <w:rFonts w:ascii="Arial" w:hAnsi="Arial" w:cs="Arial"/>
        </w:rPr>
        <w:t>has the ability to</w:t>
      </w:r>
      <w:proofErr w:type="gramEnd"/>
      <w:r w:rsidRPr="00DD7A1E">
        <w:rPr>
          <w:rFonts w:ascii="Arial" w:hAnsi="Arial" w:cs="Arial"/>
        </w:rPr>
        <w:t xml:space="preserve"> modify the product and learn</w:t>
      </w:r>
      <w:r w:rsidRPr="00DD7A1E">
        <w:rPr>
          <w:rFonts w:ascii="Arial" w:hAnsi="Arial" w:cs="Arial"/>
        </w:rPr>
        <w:t>.</w:t>
      </w:r>
    </w:p>
    <w:p w14:paraId="06790549" w14:textId="0A4D7EBF" w:rsidR="00ED1D3B" w:rsidRPr="00DD7A1E" w:rsidRDefault="00ED1D3B" w:rsidP="00DD7A1E">
      <w:pPr>
        <w:spacing w:line="360" w:lineRule="auto"/>
        <w:jc w:val="both"/>
        <w:rPr>
          <w:rFonts w:ascii="Arial" w:hAnsi="Arial" w:cs="Arial"/>
          <w:b/>
          <w:bCs/>
        </w:rPr>
      </w:pPr>
      <w:r w:rsidRPr="00DD7A1E">
        <w:rPr>
          <w:rFonts w:ascii="Arial" w:hAnsi="Arial" w:cs="Arial"/>
          <w:b/>
          <w:bCs/>
        </w:rPr>
        <w:t>SWOT Analysis</w:t>
      </w:r>
    </w:p>
    <w:p w14:paraId="375AD49B" w14:textId="76136380" w:rsidR="00DD7A1E" w:rsidRPr="00DD7A1E" w:rsidRDefault="00DD7A1E" w:rsidP="00DD7A1E">
      <w:pPr>
        <w:spacing w:line="360" w:lineRule="auto"/>
        <w:jc w:val="both"/>
        <w:rPr>
          <w:rFonts w:ascii="Arial" w:hAnsi="Arial" w:cs="Arial"/>
        </w:rPr>
      </w:pPr>
      <w:r w:rsidRPr="00DD7A1E">
        <w:rPr>
          <w:rFonts w:ascii="Arial" w:hAnsi="Arial" w:cs="Arial"/>
        </w:rPr>
        <w:t xml:space="preserve">Through a SWOT analysis, an organization will better understand the different factors which can impact the company. Internal or external are these factors. The internal factors refer to the strengths and weaknesses of the company which define the organisation. The external factors, on the other hand, are the opportunities and threats, which are in the business surroundings of the organisation. SWOT Analysis of Lotus Cars helps the company to analyse its internal strengths and weaknesses along with the external opportunities and threats it is facing in the automobile </w:t>
      </w:r>
      <w:proofErr w:type="gramStart"/>
      <w:r w:rsidRPr="00DD7A1E">
        <w:rPr>
          <w:rFonts w:ascii="Arial" w:hAnsi="Arial" w:cs="Arial"/>
        </w:rPr>
        <w:t>industry</w:t>
      </w:r>
      <w:r>
        <w:rPr>
          <w:rFonts w:ascii="Arial" w:hAnsi="Arial" w:cs="Arial"/>
        </w:rPr>
        <w:t xml:space="preserve"> ,</w:t>
      </w:r>
      <w:proofErr w:type="gramEnd"/>
      <w:r>
        <w:rPr>
          <w:rFonts w:ascii="Arial" w:hAnsi="Arial" w:cs="Arial"/>
        </w:rPr>
        <w:t xml:space="preserve"> </w:t>
      </w:r>
      <w:r w:rsidRPr="00DD7A1E">
        <w:rPr>
          <w:rFonts w:ascii="Arial" w:hAnsi="Arial" w:cs="Arial"/>
        </w:rPr>
        <w:t>Strengths of Lotus Cars – SWOT Analysis of Lotus Cars.</w:t>
      </w:r>
    </w:p>
    <w:p w14:paraId="329B06C4" w14:textId="1BAC4237" w:rsidR="00DD7A1E" w:rsidRPr="00DD7A1E" w:rsidRDefault="00DD7A1E" w:rsidP="00DD7A1E">
      <w:pPr>
        <w:spacing w:line="360" w:lineRule="auto"/>
        <w:jc w:val="both"/>
        <w:rPr>
          <w:rFonts w:ascii="Arial" w:hAnsi="Arial" w:cs="Arial"/>
        </w:rPr>
      </w:pPr>
      <w:r w:rsidRPr="00DD7A1E">
        <w:rPr>
          <w:rFonts w:ascii="Arial" w:hAnsi="Arial" w:cs="Arial"/>
        </w:rPr>
        <w:t xml:space="preserve">Strengths are the capabilities or resources of an Organisation to achieve its objectives. Strengths refer to internal factors that the organization can control </w:t>
      </w:r>
      <w:r w:rsidRPr="00DD7A1E">
        <w:rPr>
          <w:rFonts w:ascii="Arial" w:hAnsi="Arial" w:cs="Arial"/>
        </w:rPr>
        <w:t>for</w:t>
      </w:r>
      <w:r w:rsidRPr="00DD7A1E">
        <w:rPr>
          <w:rFonts w:ascii="Arial" w:hAnsi="Arial" w:cs="Arial"/>
        </w:rPr>
        <w:t xml:space="preserve"> this reason, Lotus Cars leverages its strengths for business expansion and competitive advantage. For example, the firm garners strong consumer loyalty.</w:t>
      </w:r>
    </w:p>
    <w:p w14:paraId="005F597C" w14:textId="77777777" w:rsidR="00DD7A1E" w:rsidRPr="00DD7A1E" w:rsidRDefault="00DD7A1E" w:rsidP="00DD7A1E">
      <w:pPr>
        <w:spacing w:line="360" w:lineRule="auto"/>
        <w:jc w:val="both"/>
        <w:rPr>
          <w:rFonts w:ascii="Arial" w:hAnsi="Arial" w:cs="Arial"/>
        </w:rPr>
      </w:pPr>
      <w:r w:rsidRPr="00DD7A1E">
        <w:rPr>
          <w:rFonts w:ascii="Arial" w:hAnsi="Arial" w:cs="Arial"/>
        </w:rPr>
        <w:t>The company has strong engineering skills and has great capability. The organization's premium brand image helps it to gain the trust of customers. Lotus also has a good innovative product development which helps it to develop new products.</w:t>
      </w:r>
    </w:p>
    <w:p w14:paraId="64F89A13" w14:textId="77777777" w:rsidR="00DD7A1E" w:rsidRPr="00DD7A1E" w:rsidRDefault="00DD7A1E" w:rsidP="00DD7A1E">
      <w:pPr>
        <w:spacing w:line="360" w:lineRule="auto"/>
        <w:jc w:val="both"/>
        <w:rPr>
          <w:rFonts w:ascii="Arial" w:hAnsi="Arial" w:cs="Arial"/>
        </w:rPr>
      </w:pPr>
      <w:r w:rsidRPr="00DD7A1E">
        <w:rPr>
          <w:rFonts w:ascii="Arial" w:hAnsi="Arial" w:cs="Arial"/>
        </w:rPr>
        <w:t>Geely’s financial support enhances Lotus Cars’ reputation and is one of the main strengths of Lotus Cars. Lastly, the company has a large base of loyal customers who continuously buy its products.</w:t>
      </w:r>
    </w:p>
    <w:p w14:paraId="1E568B48" w14:textId="70827C02" w:rsidR="00DD7A1E" w:rsidRPr="00DD7A1E" w:rsidRDefault="00DD7A1E" w:rsidP="00DD7A1E">
      <w:pPr>
        <w:spacing w:line="360" w:lineRule="auto"/>
        <w:jc w:val="both"/>
        <w:rPr>
          <w:rFonts w:ascii="Arial" w:hAnsi="Arial" w:cs="Arial"/>
        </w:rPr>
      </w:pPr>
      <w:r w:rsidRPr="00DD7A1E">
        <w:rPr>
          <w:rFonts w:ascii="Arial" w:hAnsi="Arial" w:cs="Arial"/>
        </w:rPr>
        <w:lastRenderedPageBreak/>
        <w:t xml:space="preserve">Lotus Cars’ </w:t>
      </w:r>
      <w:r w:rsidRPr="00DD7A1E">
        <w:rPr>
          <w:rFonts w:ascii="Arial" w:hAnsi="Arial" w:cs="Arial"/>
        </w:rPr>
        <w:t>Weaknesses. The</w:t>
      </w:r>
      <w:r w:rsidRPr="00DD7A1E">
        <w:rPr>
          <w:rFonts w:ascii="Arial" w:hAnsi="Arial" w:cs="Arial"/>
        </w:rPr>
        <w:t xml:space="preserve"> limitations of an organization which put it in an inferior position as compared to its competitors are called weaknesses. In other words, they are the possible drawbacks of a business entity</w:t>
      </w:r>
      <w:r w:rsidRPr="00DD7A1E">
        <w:rPr>
          <w:rFonts w:ascii="Arial" w:hAnsi="Arial" w:cs="Arial"/>
        </w:rPr>
        <w:t>.</w:t>
      </w:r>
    </w:p>
    <w:p w14:paraId="270A0F27" w14:textId="11FC7D10" w:rsidR="001C6B70" w:rsidRPr="00DD7A1E" w:rsidRDefault="001C6B70" w:rsidP="00DD7A1E">
      <w:pPr>
        <w:pStyle w:val="Heading2"/>
      </w:pPr>
      <w:bookmarkStart w:id="9" w:name="_Toc233390216"/>
      <w:r w:rsidRPr="00DD7A1E">
        <w:t>Strategy Formulation</w:t>
      </w:r>
      <w:bookmarkEnd w:id="9"/>
    </w:p>
    <w:p w14:paraId="7681C294" w14:textId="3F0EE271" w:rsidR="001C6B70" w:rsidRPr="00DD7A1E" w:rsidRDefault="00DD7A1E" w:rsidP="00DD7A1E">
      <w:pPr>
        <w:spacing w:line="360" w:lineRule="auto"/>
        <w:jc w:val="both"/>
        <w:rPr>
          <w:rFonts w:ascii="Arial" w:hAnsi="Arial" w:cs="Arial"/>
        </w:rPr>
      </w:pPr>
      <w:r w:rsidRPr="00DD7A1E">
        <w:rPr>
          <w:rFonts w:ascii="Arial" w:hAnsi="Arial" w:cs="Arial"/>
        </w:rPr>
        <w:t xml:space="preserve">As can be seen from the Ansoff’s Growth Matrix, Lotus cars should undertake a product development plus market development strategy </w:t>
      </w:r>
      <w:proofErr w:type="gramStart"/>
      <w:r w:rsidRPr="00DD7A1E">
        <w:rPr>
          <w:rFonts w:ascii="Arial" w:hAnsi="Arial" w:cs="Arial"/>
        </w:rPr>
        <w:t>in order to</w:t>
      </w:r>
      <w:proofErr w:type="gramEnd"/>
      <w:r w:rsidRPr="00DD7A1E">
        <w:rPr>
          <w:rFonts w:ascii="Arial" w:hAnsi="Arial" w:cs="Arial"/>
        </w:rPr>
        <w:t xml:space="preserve"> improve its competitive position in the niche premium EV segment of the automobile industry (Ansoff, 1987). To maintain technological differentiation in an increasingly competitive industry, an escalation of research and development investment is required to enhance the performance of battery technology, Autonomous Driving and Connected Vehicle. In addition to this, the rise of new luxury market hotspots, especially in Asia and the Middle East, will diversify revenues and lessen dependence on traditional European markets. </w:t>
      </w:r>
      <w:r w:rsidRPr="00DD7A1E">
        <w:rPr>
          <w:rFonts w:ascii="Arial" w:hAnsi="Arial" w:cs="Arial"/>
        </w:rPr>
        <w:t>Partnership</w:t>
      </w:r>
      <w:r w:rsidRPr="00DD7A1E">
        <w:rPr>
          <w:rFonts w:ascii="Arial" w:hAnsi="Arial" w:cs="Arial"/>
        </w:rPr>
        <w:t xml:space="preserve"> with Geely and technology partners should also be strengthened for speeding up of innovation process, Enhanced supply chain resilience and reduced development costs. </w:t>
      </w:r>
      <w:r w:rsidRPr="00DD7A1E">
        <w:rPr>
          <w:rFonts w:ascii="Arial" w:hAnsi="Arial" w:cs="Arial"/>
        </w:rPr>
        <w:t xml:space="preserve"> </w:t>
      </w:r>
      <w:r w:rsidRPr="00DD7A1E">
        <w:rPr>
          <w:rFonts w:ascii="Arial" w:hAnsi="Arial" w:cs="Arial"/>
        </w:rPr>
        <w:t>Lotus should strengthen the digital transformation initiative that includes online consumer engagement, and Connected Mobility Services.</w:t>
      </w:r>
    </w:p>
    <w:p w14:paraId="2A04C637" w14:textId="77777777" w:rsidR="00DD7A1E" w:rsidRPr="00DD7A1E" w:rsidRDefault="00DD7A1E" w:rsidP="00DD7A1E">
      <w:pPr>
        <w:spacing w:line="360" w:lineRule="auto"/>
        <w:jc w:val="both"/>
        <w:rPr>
          <w:rFonts w:ascii="Arial" w:hAnsi="Arial" w:cs="Arial"/>
        </w:rPr>
      </w:pPr>
    </w:p>
    <w:p w14:paraId="4B7F5C1A" w14:textId="77777777" w:rsidR="00980C37" w:rsidRPr="00DD7A1E" w:rsidRDefault="00980C37" w:rsidP="00DD7A1E">
      <w:pPr>
        <w:pStyle w:val="Heading2"/>
      </w:pPr>
      <w:bookmarkStart w:id="10" w:name="_Toc233390217"/>
      <w:r w:rsidRPr="00DD7A1E">
        <w:t>Conclusion and Recommendations</w:t>
      </w:r>
      <w:bookmarkEnd w:id="10"/>
    </w:p>
    <w:p w14:paraId="16EA0783" w14:textId="347DE0A3" w:rsidR="008B0129" w:rsidRPr="00DD7A1E" w:rsidRDefault="00DD7A1E" w:rsidP="00DD7A1E">
      <w:pPr>
        <w:spacing w:line="360" w:lineRule="auto"/>
        <w:jc w:val="both"/>
        <w:rPr>
          <w:rFonts w:ascii="Arial" w:hAnsi="Arial" w:cs="Arial"/>
        </w:rPr>
      </w:pPr>
      <w:r w:rsidRPr="00DD7A1E">
        <w:rPr>
          <w:rFonts w:ascii="Arial" w:hAnsi="Arial" w:cs="Arial"/>
        </w:rPr>
        <w:t xml:space="preserve">The strategic position of Lotus Cars has been critically evaluated in this report that is through using well-known strategic management frameworks.  The report made it clear that the company functions in a highly competitive and </w:t>
      </w:r>
      <w:r w:rsidRPr="00DD7A1E">
        <w:rPr>
          <w:rFonts w:ascii="Arial" w:hAnsi="Arial" w:cs="Arial"/>
        </w:rPr>
        <w:t>fast-moving</w:t>
      </w:r>
      <w:r w:rsidRPr="00DD7A1E">
        <w:rPr>
          <w:rFonts w:ascii="Arial" w:hAnsi="Arial" w:cs="Arial"/>
        </w:rPr>
        <w:t xml:space="preserve"> automobile industry. In addition, the mobility division of the automotive industry is constantly increasing the threat of new entrants due to technological disruption and increasing safety and environmental regulations. Additionally, luxury car makers are facing increasing cost pressure due to the global supply of parts being disrupted under falling demand conditions. For premium vehicle manufacturers, including Lotus Cars, enhancing operational efficiency and cost competitiveness are priorities. Yet engineering know-how, premium brand heritage and financial strength from Geely are strong sustainable sources of competitive advantage for the company. The strategy aims to achieve continuous growth in Lotus Cars and develop long-run competitiveness and profitability with implementation of resources-based strategy, </w:t>
      </w:r>
      <w:r w:rsidRPr="00DD7A1E">
        <w:rPr>
          <w:rFonts w:ascii="Arial" w:hAnsi="Arial" w:cs="Arial"/>
        </w:rPr>
        <w:lastRenderedPageBreak/>
        <w:t>innovation, operational-efficiency and customer-centric digital transformation (Johnson et al., 2020; Barney and Hesterly, 2019).</w:t>
      </w:r>
    </w:p>
    <w:p w14:paraId="430B5045" w14:textId="77777777" w:rsidR="00DD7A1E" w:rsidRPr="00DD7A1E" w:rsidRDefault="00DD7A1E" w:rsidP="00DD7A1E">
      <w:pPr>
        <w:spacing w:line="360" w:lineRule="auto"/>
        <w:jc w:val="both"/>
        <w:rPr>
          <w:rFonts w:ascii="Arial" w:hAnsi="Arial" w:cs="Arial"/>
        </w:rPr>
      </w:pPr>
    </w:p>
    <w:p w14:paraId="11BC354F" w14:textId="77777777" w:rsidR="00DD7A1E" w:rsidRPr="00DD7A1E" w:rsidRDefault="00DD7A1E" w:rsidP="00DD7A1E">
      <w:pPr>
        <w:spacing w:line="360" w:lineRule="auto"/>
        <w:jc w:val="both"/>
        <w:rPr>
          <w:rFonts w:ascii="Arial" w:hAnsi="Arial" w:cs="Arial"/>
        </w:rPr>
      </w:pPr>
    </w:p>
    <w:p w14:paraId="04F85126" w14:textId="77777777" w:rsidR="00DD7A1E" w:rsidRPr="00DD7A1E" w:rsidRDefault="00DD7A1E" w:rsidP="00DD7A1E">
      <w:pPr>
        <w:spacing w:line="360" w:lineRule="auto"/>
        <w:jc w:val="both"/>
        <w:rPr>
          <w:rFonts w:ascii="Arial" w:hAnsi="Arial" w:cs="Arial"/>
        </w:rPr>
      </w:pPr>
    </w:p>
    <w:p w14:paraId="568B9A30" w14:textId="77777777" w:rsidR="00DD7A1E" w:rsidRPr="00DD7A1E" w:rsidRDefault="00DD7A1E" w:rsidP="00DD7A1E">
      <w:pPr>
        <w:spacing w:line="360" w:lineRule="auto"/>
        <w:jc w:val="both"/>
        <w:rPr>
          <w:rFonts w:ascii="Arial" w:hAnsi="Arial" w:cs="Arial"/>
        </w:rPr>
      </w:pPr>
    </w:p>
    <w:p w14:paraId="5726C941" w14:textId="77777777" w:rsidR="00DD7A1E" w:rsidRPr="00DD7A1E" w:rsidRDefault="00DD7A1E" w:rsidP="00DD7A1E">
      <w:pPr>
        <w:spacing w:line="360" w:lineRule="auto"/>
        <w:jc w:val="both"/>
        <w:rPr>
          <w:rFonts w:ascii="Arial" w:hAnsi="Arial" w:cs="Arial"/>
        </w:rPr>
      </w:pPr>
    </w:p>
    <w:p w14:paraId="55B8073D" w14:textId="77777777" w:rsidR="00DD7A1E" w:rsidRDefault="00DD7A1E" w:rsidP="00DD7A1E">
      <w:pPr>
        <w:spacing w:line="360" w:lineRule="auto"/>
        <w:jc w:val="both"/>
        <w:rPr>
          <w:rFonts w:ascii="Arial" w:hAnsi="Arial" w:cs="Arial"/>
        </w:rPr>
      </w:pPr>
    </w:p>
    <w:p w14:paraId="365F2C4D" w14:textId="77777777" w:rsidR="00DD7A1E" w:rsidRDefault="00DD7A1E" w:rsidP="00DD7A1E">
      <w:pPr>
        <w:spacing w:line="360" w:lineRule="auto"/>
        <w:jc w:val="both"/>
        <w:rPr>
          <w:rFonts w:ascii="Arial" w:hAnsi="Arial" w:cs="Arial"/>
        </w:rPr>
      </w:pPr>
    </w:p>
    <w:p w14:paraId="5848F33E" w14:textId="77777777" w:rsidR="00DD7A1E" w:rsidRDefault="00DD7A1E" w:rsidP="00DD7A1E">
      <w:pPr>
        <w:spacing w:line="360" w:lineRule="auto"/>
        <w:jc w:val="both"/>
        <w:rPr>
          <w:rFonts w:ascii="Arial" w:hAnsi="Arial" w:cs="Arial"/>
        </w:rPr>
      </w:pPr>
    </w:p>
    <w:p w14:paraId="39A96CBA" w14:textId="77777777" w:rsidR="00DD7A1E" w:rsidRDefault="00DD7A1E" w:rsidP="00DD7A1E">
      <w:pPr>
        <w:spacing w:line="360" w:lineRule="auto"/>
        <w:jc w:val="both"/>
        <w:rPr>
          <w:rFonts w:ascii="Arial" w:hAnsi="Arial" w:cs="Arial"/>
        </w:rPr>
      </w:pPr>
    </w:p>
    <w:p w14:paraId="733C58FC" w14:textId="77777777" w:rsidR="00DD7A1E" w:rsidRDefault="00DD7A1E" w:rsidP="00DD7A1E">
      <w:pPr>
        <w:spacing w:line="360" w:lineRule="auto"/>
        <w:jc w:val="both"/>
        <w:rPr>
          <w:rFonts w:ascii="Arial" w:hAnsi="Arial" w:cs="Arial"/>
        </w:rPr>
      </w:pPr>
    </w:p>
    <w:p w14:paraId="333379F3" w14:textId="77777777" w:rsidR="00DD7A1E" w:rsidRDefault="00DD7A1E" w:rsidP="00DD7A1E">
      <w:pPr>
        <w:spacing w:line="360" w:lineRule="auto"/>
        <w:jc w:val="both"/>
        <w:rPr>
          <w:rFonts w:ascii="Arial" w:hAnsi="Arial" w:cs="Arial"/>
        </w:rPr>
      </w:pPr>
    </w:p>
    <w:p w14:paraId="4804779A" w14:textId="77777777" w:rsidR="00DD7A1E" w:rsidRDefault="00DD7A1E" w:rsidP="00DD7A1E">
      <w:pPr>
        <w:spacing w:line="360" w:lineRule="auto"/>
        <w:jc w:val="both"/>
        <w:rPr>
          <w:rFonts w:ascii="Arial" w:hAnsi="Arial" w:cs="Arial"/>
        </w:rPr>
      </w:pPr>
    </w:p>
    <w:p w14:paraId="6EFB9F15" w14:textId="77777777" w:rsidR="00DD7A1E" w:rsidRDefault="00DD7A1E" w:rsidP="00DD7A1E">
      <w:pPr>
        <w:spacing w:line="360" w:lineRule="auto"/>
        <w:jc w:val="both"/>
        <w:rPr>
          <w:rFonts w:ascii="Arial" w:hAnsi="Arial" w:cs="Arial"/>
        </w:rPr>
      </w:pPr>
    </w:p>
    <w:p w14:paraId="5CDD17BF" w14:textId="77777777" w:rsidR="00DD7A1E" w:rsidRDefault="00DD7A1E" w:rsidP="00DD7A1E">
      <w:pPr>
        <w:spacing w:line="360" w:lineRule="auto"/>
        <w:jc w:val="both"/>
        <w:rPr>
          <w:rFonts w:ascii="Arial" w:hAnsi="Arial" w:cs="Arial"/>
        </w:rPr>
      </w:pPr>
    </w:p>
    <w:p w14:paraId="715A7C73" w14:textId="77777777" w:rsidR="00DD7A1E" w:rsidRDefault="00DD7A1E" w:rsidP="00DD7A1E">
      <w:pPr>
        <w:spacing w:line="360" w:lineRule="auto"/>
        <w:jc w:val="both"/>
        <w:rPr>
          <w:rFonts w:ascii="Arial" w:hAnsi="Arial" w:cs="Arial"/>
        </w:rPr>
      </w:pPr>
    </w:p>
    <w:p w14:paraId="42BB230A" w14:textId="77777777" w:rsidR="00DD7A1E" w:rsidRDefault="00DD7A1E" w:rsidP="00DD7A1E">
      <w:pPr>
        <w:spacing w:line="360" w:lineRule="auto"/>
        <w:jc w:val="both"/>
        <w:rPr>
          <w:rFonts w:ascii="Arial" w:hAnsi="Arial" w:cs="Arial"/>
        </w:rPr>
      </w:pPr>
    </w:p>
    <w:p w14:paraId="391A7D1B" w14:textId="77777777" w:rsidR="00DD7A1E" w:rsidRDefault="00DD7A1E" w:rsidP="00DD7A1E">
      <w:pPr>
        <w:spacing w:line="360" w:lineRule="auto"/>
        <w:jc w:val="both"/>
        <w:rPr>
          <w:rFonts w:ascii="Arial" w:hAnsi="Arial" w:cs="Arial"/>
        </w:rPr>
      </w:pPr>
    </w:p>
    <w:p w14:paraId="1A395E05" w14:textId="77777777" w:rsidR="00DD7A1E" w:rsidRDefault="00DD7A1E" w:rsidP="00DD7A1E">
      <w:pPr>
        <w:spacing w:line="360" w:lineRule="auto"/>
        <w:jc w:val="both"/>
        <w:rPr>
          <w:rFonts w:ascii="Arial" w:hAnsi="Arial" w:cs="Arial"/>
        </w:rPr>
      </w:pPr>
    </w:p>
    <w:p w14:paraId="059C9476" w14:textId="77777777" w:rsidR="00DD7A1E" w:rsidRDefault="00DD7A1E" w:rsidP="00DD7A1E">
      <w:pPr>
        <w:spacing w:line="360" w:lineRule="auto"/>
        <w:jc w:val="both"/>
        <w:rPr>
          <w:rFonts w:ascii="Arial" w:hAnsi="Arial" w:cs="Arial"/>
        </w:rPr>
      </w:pPr>
    </w:p>
    <w:p w14:paraId="6262CC7A" w14:textId="77777777" w:rsidR="00DD7A1E" w:rsidRDefault="00DD7A1E" w:rsidP="00DD7A1E">
      <w:pPr>
        <w:spacing w:line="360" w:lineRule="auto"/>
        <w:jc w:val="both"/>
        <w:rPr>
          <w:rFonts w:ascii="Arial" w:hAnsi="Arial" w:cs="Arial"/>
        </w:rPr>
      </w:pPr>
    </w:p>
    <w:p w14:paraId="7E08DE19" w14:textId="77777777" w:rsidR="00DD7A1E" w:rsidRDefault="00DD7A1E" w:rsidP="00DD7A1E">
      <w:pPr>
        <w:spacing w:line="360" w:lineRule="auto"/>
        <w:jc w:val="both"/>
        <w:rPr>
          <w:rFonts w:ascii="Arial" w:hAnsi="Arial" w:cs="Arial"/>
        </w:rPr>
      </w:pPr>
    </w:p>
    <w:p w14:paraId="0FFBE36B" w14:textId="77777777" w:rsidR="00DD7A1E" w:rsidRDefault="00DD7A1E" w:rsidP="00DD7A1E">
      <w:pPr>
        <w:spacing w:line="360" w:lineRule="auto"/>
        <w:jc w:val="both"/>
        <w:rPr>
          <w:rFonts w:ascii="Arial" w:hAnsi="Arial" w:cs="Arial"/>
        </w:rPr>
      </w:pPr>
    </w:p>
    <w:p w14:paraId="1A303F19" w14:textId="77777777" w:rsidR="00DD7A1E" w:rsidRDefault="00DD7A1E" w:rsidP="00DD7A1E">
      <w:pPr>
        <w:spacing w:line="360" w:lineRule="auto"/>
        <w:jc w:val="both"/>
        <w:rPr>
          <w:rFonts w:ascii="Arial" w:hAnsi="Arial" w:cs="Arial"/>
        </w:rPr>
      </w:pPr>
    </w:p>
    <w:p w14:paraId="14E14D48" w14:textId="77777777" w:rsidR="00DD7A1E" w:rsidRPr="00DD7A1E" w:rsidRDefault="00DD7A1E" w:rsidP="00DD7A1E">
      <w:pPr>
        <w:spacing w:line="360" w:lineRule="auto"/>
        <w:jc w:val="both"/>
        <w:rPr>
          <w:rFonts w:ascii="Arial" w:hAnsi="Arial" w:cs="Arial"/>
        </w:rPr>
      </w:pPr>
    </w:p>
    <w:p w14:paraId="1CB97065" w14:textId="77777777" w:rsidR="00DD7A1E" w:rsidRPr="00DD7A1E" w:rsidRDefault="00DD7A1E" w:rsidP="00DD7A1E">
      <w:pPr>
        <w:spacing w:line="360" w:lineRule="auto"/>
        <w:jc w:val="both"/>
        <w:rPr>
          <w:rFonts w:ascii="Arial" w:hAnsi="Arial" w:cs="Arial"/>
        </w:rPr>
      </w:pPr>
    </w:p>
    <w:p w14:paraId="4B446A32" w14:textId="77777777" w:rsidR="00DD7A1E" w:rsidRPr="00DD7A1E" w:rsidRDefault="00DD7A1E" w:rsidP="00DD7A1E">
      <w:pPr>
        <w:pStyle w:val="Heading2"/>
      </w:pPr>
      <w:bookmarkStart w:id="11" w:name="_Toc233390218"/>
      <w:r w:rsidRPr="00DD7A1E">
        <w:t>Harvard Reference List</w:t>
      </w:r>
      <w:bookmarkEnd w:id="11"/>
    </w:p>
    <w:p w14:paraId="1AAAD3DD"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Ansoff, H.I. (1987) </w:t>
      </w:r>
      <w:r w:rsidRPr="00DD7A1E">
        <w:rPr>
          <w:rFonts w:ascii="Arial" w:hAnsi="Arial" w:cs="Arial"/>
          <w:i/>
          <w:iCs/>
        </w:rPr>
        <w:t>Corporate Strategy</w:t>
      </w:r>
      <w:r w:rsidRPr="00DD7A1E">
        <w:rPr>
          <w:rFonts w:ascii="Arial" w:hAnsi="Arial" w:cs="Arial"/>
        </w:rPr>
        <w:t xml:space="preserve">. Revised </w:t>
      </w:r>
      <w:proofErr w:type="spellStart"/>
      <w:r w:rsidRPr="00DD7A1E">
        <w:rPr>
          <w:rFonts w:ascii="Arial" w:hAnsi="Arial" w:cs="Arial"/>
        </w:rPr>
        <w:t>edn</w:t>
      </w:r>
      <w:proofErr w:type="spellEnd"/>
      <w:r w:rsidRPr="00DD7A1E">
        <w:rPr>
          <w:rFonts w:ascii="Arial" w:hAnsi="Arial" w:cs="Arial"/>
        </w:rPr>
        <w:t>. London: Penguin Books.</w:t>
      </w:r>
    </w:p>
    <w:p w14:paraId="268E74A4"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Barney, J.B. (1991) ‘Firm resources and sustained competitive advantage’, </w:t>
      </w:r>
      <w:r w:rsidRPr="00DD7A1E">
        <w:rPr>
          <w:rFonts w:ascii="Arial" w:hAnsi="Arial" w:cs="Arial"/>
          <w:i/>
          <w:iCs/>
        </w:rPr>
        <w:t>Journal of Management</w:t>
      </w:r>
      <w:r w:rsidRPr="00DD7A1E">
        <w:rPr>
          <w:rFonts w:ascii="Arial" w:hAnsi="Arial" w:cs="Arial"/>
        </w:rPr>
        <w:t>, 17(1), pp. 99–120.</w:t>
      </w:r>
    </w:p>
    <w:p w14:paraId="421D89A0"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Barney, J.B. and Hesterly, W.S. (2021) </w:t>
      </w:r>
      <w:r w:rsidRPr="00DD7A1E">
        <w:rPr>
          <w:rFonts w:ascii="Arial" w:hAnsi="Arial" w:cs="Arial"/>
          <w:i/>
          <w:iCs/>
        </w:rPr>
        <w:t>Strategic Management and Competitive Advantage: Concepts and Cases</w:t>
      </w:r>
      <w:r w:rsidRPr="00DD7A1E">
        <w:rPr>
          <w:rFonts w:ascii="Arial" w:hAnsi="Arial" w:cs="Arial"/>
        </w:rPr>
        <w:t xml:space="preserve">. 7th </w:t>
      </w:r>
      <w:proofErr w:type="spellStart"/>
      <w:r w:rsidRPr="00DD7A1E">
        <w:rPr>
          <w:rFonts w:ascii="Arial" w:hAnsi="Arial" w:cs="Arial"/>
        </w:rPr>
        <w:t>edn</w:t>
      </w:r>
      <w:proofErr w:type="spellEnd"/>
      <w:r w:rsidRPr="00DD7A1E">
        <w:rPr>
          <w:rFonts w:ascii="Arial" w:hAnsi="Arial" w:cs="Arial"/>
        </w:rPr>
        <w:t>. Harlow: Pearson.</w:t>
      </w:r>
    </w:p>
    <w:p w14:paraId="023594FF"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Department for Transport (2023) </w:t>
      </w:r>
      <w:r w:rsidRPr="00DD7A1E">
        <w:rPr>
          <w:rFonts w:ascii="Arial" w:hAnsi="Arial" w:cs="Arial"/>
          <w:i/>
          <w:iCs/>
        </w:rPr>
        <w:t>Decarbonising Transport: A Better, Greener Britain</w:t>
      </w:r>
      <w:r w:rsidRPr="00DD7A1E">
        <w:rPr>
          <w:rFonts w:ascii="Arial" w:hAnsi="Arial" w:cs="Arial"/>
        </w:rPr>
        <w:t>. London: Department for Transport.</w:t>
      </w:r>
    </w:p>
    <w:p w14:paraId="5CA1B441"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European Commission (2023) </w:t>
      </w:r>
      <w:r w:rsidRPr="00DD7A1E">
        <w:rPr>
          <w:rFonts w:ascii="Arial" w:hAnsi="Arial" w:cs="Arial"/>
          <w:i/>
          <w:iCs/>
        </w:rPr>
        <w:t>Fit for 55: Delivering the European Green Deal</w:t>
      </w:r>
      <w:r w:rsidRPr="00DD7A1E">
        <w:rPr>
          <w:rFonts w:ascii="Arial" w:hAnsi="Arial" w:cs="Arial"/>
        </w:rPr>
        <w:t>. Brussels: European Commission.</w:t>
      </w:r>
    </w:p>
    <w:p w14:paraId="428D159B"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Johnson, G., Scholes, K., Whittington, R. and Angwin, D. (2020) </w:t>
      </w:r>
      <w:r w:rsidRPr="00DD7A1E">
        <w:rPr>
          <w:rFonts w:ascii="Arial" w:hAnsi="Arial" w:cs="Arial"/>
          <w:i/>
          <w:iCs/>
        </w:rPr>
        <w:t>Exploring Strategy</w:t>
      </w:r>
      <w:r w:rsidRPr="00DD7A1E">
        <w:rPr>
          <w:rFonts w:ascii="Arial" w:hAnsi="Arial" w:cs="Arial"/>
        </w:rPr>
        <w:t xml:space="preserve">. 12th </w:t>
      </w:r>
      <w:proofErr w:type="spellStart"/>
      <w:r w:rsidRPr="00DD7A1E">
        <w:rPr>
          <w:rFonts w:ascii="Arial" w:hAnsi="Arial" w:cs="Arial"/>
        </w:rPr>
        <w:t>edn</w:t>
      </w:r>
      <w:proofErr w:type="spellEnd"/>
      <w:r w:rsidRPr="00DD7A1E">
        <w:rPr>
          <w:rFonts w:ascii="Arial" w:hAnsi="Arial" w:cs="Arial"/>
        </w:rPr>
        <w:t>. Harlow: Pearson Education.</w:t>
      </w:r>
    </w:p>
    <w:p w14:paraId="3982ACAE"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Kotler, P., Keller, K.L. and Chernev, A. (2022) </w:t>
      </w:r>
      <w:r w:rsidRPr="00DD7A1E">
        <w:rPr>
          <w:rFonts w:ascii="Arial" w:hAnsi="Arial" w:cs="Arial"/>
          <w:i/>
          <w:iCs/>
        </w:rPr>
        <w:t>Marketing Management</w:t>
      </w:r>
      <w:r w:rsidRPr="00DD7A1E">
        <w:rPr>
          <w:rFonts w:ascii="Arial" w:hAnsi="Arial" w:cs="Arial"/>
        </w:rPr>
        <w:t xml:space="preserve">. 16th </w:t>
      </w:r>
      <w:proofErr w:type="spellStart"/>
      <w:r w:rsidRPr="00DD7A1E">
        <w:rPr>
          <w:rFonts w:ascii="Arial" w:hAnsi="Arial" w:cs="Arial"/>
        </w:rPr>
        <w:t>edn</w:t>
      </w:r>
      <w:proofErr w:type="spellEnd"/>
      <w:r w:rsidRPr="00DD7A1E">
        <w:rPr>
          <w:rFonts w:ascii="Arial" w:hAnsi="Arial" w:cs="Arial"/>
        </w:rPr>
        <w:t>. Harlow: Pearson Education.</w:t>
      </w:r>
    </w:p>
    <w:p w14:paraId="65277317"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Lynch, R. (2021) </w:t>
      </w:r>
      <w:r w:rsidRPr="00DD7A1E">
        <w:rPr>
          <w:rFonts w:ascii="Arial" w:hAnsi="Arial" w:cs="Arial"/>
          <w:i/>
          <w:iCs/>
        </w:rPr>
        <w:t>Strategic Management</w:t>
      </w:r>
      <w:r w:rsidRPr="00DD7A1E">
        <w:rPr>
          <w:rFonts w:ascii="Arial" w:hAnsi="Arial" w:cs="Arial"/>
        </w:rPr>
        <w:t xml:space="preserve">. 9th </w:t>
      </w:r>
      <w:proofErr w:type="spellStart"/>
      <w:r w:rsidRPr="00DD7A1E">
        <w:rPr>
          <w:rFonts w:ascii="Arial" w:hAnsi="Arial" w:cs="Arial"/>
        </w:rPr>
        <w:t>edn</w:t>
      </w:r>
      <w:proofErr w:type="spellEnd"/>
      <w:r w:rsidRPr="00DD7A1E">
        <w:rPr>
          <w:rFonts w:ascii="Arial" w:hAnsi="Arial" w:cs="Arial"/>
        </w:rPr>
        <w:t>. Harlow: Pearson Education.</w:t>
      </w:r>
    </w:p>
    <w:p w14:paraId="35771811" w14:textId="2A05CC77" w:rsidR="00DD7A1E" w:rsidRPr="00DD7A1E" w:rsidRDefault="00DD7A1E" w:rsidP="00DD7A1E">
      <w:pPr>
        <w:spacing w:line="360" w:lineRule="auto"/>
        <w:jc w:val="both"/>
        <w:rPr>
          <w:rFonts w:ascii="Arial" w:hAnsi="Arial" w:cs="Arial"/>
        </w:rPr>
      </w:pPr>
      <w:r w:rsidRPr="00DD7A1E">
        <w:rPr>
          <w:rFonts w:ascii="Arial" w:hAnsi="Arial" w:cs="Arial"/>
        </w:rPr>
        <w:t xml:space="preserve">McKinsey &amp; Company (2024) </w:t>
      </w:r>
      <w:r w:rsidRPr="00DD7A1E">
        <w:rPr>
          <w:rFonts w:ascii="Arial" w:hAnsi="Arial" w:cs="Arial"/>
          <w:i/>
          <w:iCs/>
        </w:rPr>
        <w:t>The State of the Automotive Industry 2024</w:t>
      </w:r>
      <w:r w:rsidRPr="00DD7A1E">
        <w:rPr>
          <w:rFonts w:ascii="Arial" w:hAnsi="Arial" w:cs="Arial"/>
        </w:rPr>
        <w:t xml:space="preserve">. Available at: </w:t>
      </w:r>
      <w:hyperlink r:id="rId8" w:tgtFrame="_new" w:history="1">
        <w:r w:rsidRPr="00DD7A1E">
          <w:rPr>
            <w:rStyle w:val="Hyperlink"/>
            <w:rFonts w:ascii="Arial" w:hAnsi="Arial" w:cs="Arial"/>
          </w:rPr>
          <w:t>https://www.mckinsey.com</w:t>
        </w:r>
      </w:hyperlink>
      <w:r w:rsidRPr="00DD7A1E">
        <w:rPr>
          <w:rFonts w:ascii="Arial" w:hAnsi="Arial" w:cs="Arial"/>
        </w:rPr>
        <w:t xml:space="preserve"> </w:t>
      </w:r>
    </w:p>
    <w:p w14:paraId="34E30E6E" w14:textId="77777777" w:rsidR="00DD7A1E" w:rsidRPr="00DD7A1E" w:rsidRDefault="00DD7A1E" w:rsidP="00DD7A1E">
      <w:pPr>
        <w:spacing w:line="360" w:lineRule="auto"/>
        <w:jc w:val="both"/>
        <w:rPr>
          <w:rFonts w:ascii="Arial" w:hAnsi="Arial" w:cs="Arial"/>
        </w:rPr>
      </w:pPr>
      <w:hyperlink r:id="rId9" w:tgtFrame="_blank" w:history="1">
        <w:r w:rsidRPr="00DD7A1E">
          <w:rPr>
            <w:rStyle w:val="Hyperlink"/>
            <w:rFonts w:ascii="Arial" w:hAnsi="Arial" w:cs="Arial"/>
          </w:rPr>
          <w:t>Lotus Cars</w:t>
        </w:r>
      </w:hyperlink>
    </w:p>
    <w:p w14:paraId="05AD6C07"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Lotus Cars (2024) </w:t>
      </w:r>
      <w:r w:rsidRPr="00DD7A1E">
        <w:rPr>
          <w:rFonts w:ascii="Arial" w:hAnsi="Arial" w:cs="Arial"/>
          <w:i/>
          <w:iCs/>
        </w:rPr>
        <w:t>Annual Report and Corporate Information</w:t>
      </w:r>
      <w:r w:rsidRPr="00DD7A1E">
        <w:rPr>
          <w:rFonts w:ascii="Arial" w:hAnsi="Arial" w:cs="Arial"/>
        </w:rPr>
        <w:t xml:space="preserve">. </w:t>
      </w:r>
      <w:proofErr w:type="spellStart"/>
      <w:r w:rsidRPr="00DD7A1E">
        <w:rPr>
          <w:rFonts w:ascii="Arial" w:hAnsi="Arial" w:cs="Arial"/>
        </w:rPr>
        <w:t>Hethel</w:t>
      </w:r>
      <w:proofErr w:type="spellEnd"/>
      <w:r w:rsidRPr="00DD7A1E">
        <w:rPr>
          <w:rFonts w:ascii="Arial" w:hAnsi="Arial" w:cs="Arial"/>
        </w:rPr>
        <w:t>: Lotus Cars.</w:t>
      </w:r>
    </w:p>
    <w:p w14:paraId="691608C1"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Porter, M.E. (1985) </w:t>
      </w:r>
      <w:r w:rsidRPr="00DD7A1E">
        <w:rPr>
          <w:rFonts w:ascii="Arial" w:hAnsi="Arial" w:cs="Arial"/>
          <w:i/>
          <w:iCs/>
        </w:rPr>
        <w:t>Competitive Advantage: Creating and Sustaining Superior Performance</w:t>
      </w:r>
      <w:r w:rsidRPr="00DD7A1E">
        <w:rPr>
          <w:rFonts w:ascii="Arial" w:hAnsi="Arial" w:cs="Arial"/>
        </w:rPr>
        <w:t>. New York: Free Press.</w:t>
      </w:r>
    </w:p>
    <w:p w14:paraId="0D5AC782"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Porter, M.E. (2008) ‘The Five Competitive Forces That Shape Strategy’, </w:t>
      </w:r>
      <w:r w:rsidRPr="00DD7A1E">
        <w:rPr>
          <w:rFonts w:ascii="Arial" w:hAnsi="Arial" w:cs="Arial"/>
          <w:i/>
          <w:iCs/>
        </w:rPr>
        <w:t>Harvard Business Review</w:t>
      </w:r>
      <w:r w:rsidRPr="00DD7A1E">
        <w:rPr>
          <w:rFonts w:ascii="Arial" w:hAnsi="Arial" w:cs="Arial"/>
        </w:rPr>
        <w:t>, 86(1), pp. 78–93.</w:t>
      </w:r>
    </w:p>
    <w:p w14:paraId="6EA46F36" w14:textId="77777777" w:rsidR="00DD7A1E" w:rsidRPr="00DD7A1E" w:rsidRDefault="00DD7A1E" w:rsidP="00DD7A1E">
      <w:pPr>
        <w:spacing w:line="360" w:lineRule="auto"/>
        <w:jc w:val="both"/>
        <w:rPr>
          <w:rFonts w:ascii="Arial" w:hAnsi="Arial" w:cs="Arial"/>
        </w:rPr>
      </w:pPr>
      <w:hyperlink r:id="rId10" w:tgtFrame="_blank" w:history="1">
        <w:r w:rsidRPr="00DD7A1E">
          <w:rPr>
            <w:rStyle w:val="Hyperlink"/>
            <w:rFonts w:ascii="Arial" w:hAnsi="Arial" w:cs="Arial"/>
          </w:rPr>
          <w:t>Society of Motor Manufacturers and Traders (SMMT)</w:t>
        </w:r>
      </w:hyperlink>
    </w:p>
    <w:p w14:paraId="354B522B" w14:textId="77777777" w:rsidR="00DD7A1E" w:rsidRPr="00DD7A1E" w:rsidRDefault="00DD7A1E" w:rsidP="00DD7A1E">
      <w:pPr>
        <w:spacing w:line="360" w:lineRule="auto"/>
        <w:jc w:val="both"/>
        <w:rPr>
          <w:rFonts w:ascii="Arial" w:hAnsi="Arial" w:cs="Arial"/>
        </w:rPr>
      </w:pPr>
      <w:r w:rsidRPr="00DD7A1E">
        <w:rPr>
          <w:rFonts w:ascii="Arial" w:hAnsi="Arial" w:cs="Arial"/>
        </w:rPr>
        <w:lastRenderedPageBreak/>
        <w:t xml:space="preserve">Society of Motor Manufacturers and Traders (SMMT) (2024) </w:t>
      </w:r>
      <w:r w:rsidRPr="00DD7A1E">
        <w:rPr>
          <w:rFonts w:ascii="Arial" w:hAnsi="Arial" w:cs="Arial"/>
          <w:i/>
          <w:iCs/>
        </w:rPr>
        <w:t>UK Automotive Sustainability Report 2024</w:t>
      </w:r>
      <w:r w:rsidRPr="00DD7A1E">
        <w:rPr>
          <w:rFonts w:ascii="Arial" w:hAnsi="Arial" w:cs="Arial"/>
        </w:rPr>
        <w:t>. London: SMMT.</w:t>
      </w:r>
    </w:p>
    <w:p w14:paraId="259C16A9" w14:textId="77777777" w:rsidR="00DD7A1E" w:rsidRPr="00DD7A1E" w:rsidRDefault="00DD7A1E" w:rsidP="00DD7A1E">
      <w:pPr>
        <w:spacing w:line="360" w:lineRule="auto"/>
        <w:jc w:val="both"/>
        <w:rPr>
          <w:rFonts w:ascii="Arial" w:hAnsi="Arial" w:cs="Arial"/>
        </w:rPr>
      </w:pPr>
      <w:hyperlink r:id="rId11" w:tgtFrame="_blank" w:history="1">
        <w:r w:rsidRPr="00DD7A1E">
          <w:rPr>
            <w:rStyle w:val="Hyperlink"/>
            <w:rFonts w:ascii="Arial" w:hAnsi="Arial" w:cs="Arial"/>
          </w:rPr>
          <w:t>United Nations Sustainable Development Goals</w:t>
        </w:r>
      </w:hyperlink>
    </w:p>
    <w:p w14:paraId="701E1F78" w14:textId="77777777" w:rsidR="00DD7A1E" w:rsidRPr="00DD7A1E" w:rsidRDefault="00DD7A1E" w:rsidP="00DD7A1E">
      <w:pPr>
        <w:spacing w:line="360" w:lineRule="auto"/>
        <w:jc w:val="both"/>
        <w:rPr>
          <w:rFonts w:ascii="Arial" w:hAnsi="Arial" w:cs="Arial"/>
        </w:rPr>
      </w:pPr>
      <w:r w:rsidRPr="00DD7A1E">
        <w:rPr>
          <w:rFonts w:ascii="Arial" w:hAnsi="Arial" w:cs="Arial"/>
        </w:rPr>
        <w:t xml:space="preserve">United Nations (2023) </w:t>
      </w:r>
      <w:r w:rsidRPr="00DD7A1E">
        <w:rPr>
          <w:rFonts w:ascii="Arial" w:hAnsi="Arial" w:cs="Arial"/>
          <w:i/>
          <w:iCs/>
        </w:rPr>
        <w:t>The Sustainable Development Goals Report 2023</w:t>
      </w:r>
      <w:r w:rsidRPr="00DD7A1E">
        <w:rPr>
          <w:rFonts w:ascii="Arial" w:hAnsi="Arial" w:cs="Arial"/>
        </w:rPr>
        <w:t>. New York: United Nations.</w:t>
      </w:r>
    </w:p>
    <w:p w14:paraId="1C56A49F" w14:textId="77777777" w:rsidR="00DD7A1E" w:rsidRPr="00DD7A1E" w:rsidRDefault="00DD7A1E" w:rsidP="00DD7A1E">
      <w:pPr>
        <w:spacing w:line="360" w:lineRule="auto"/>
        <w:jc w:val="both"/>
        <w:rPr>
          <w:rFonts w:ascii="Arial" w:hAnsi="Arial" w:cs="Arial"/>
        </w:rPr>
      </w:pPr>
    </w:p>
    <w:p w14:paraId="7926264F" w14:textId="77777777" w:rsidR="00DD7A1E" w:rsidRPr="00DD7A1E" w:rsidRDefault="00DD7A1E" w:rsidP="00DD7A1E">
      <w:pPr>
        <w:spacing w:line="360" w:lineRule="auto"/>
        <w:jc w:val="both"/>
        <w:rPr>
          <w:rFonts w:ascii="Arial" w:hAnsi="Arial" w:cs="Arial"/>
        </w:rPr>
      </w:pPr>
    </w:p>
    <w:p w14:paraId="43E45BB8" w14:textId="77777777" w:rsidR="00DD7A1E" w:rsidRPr="00DD7A1E" w:rsidRDefault="00DD7A1E" w:rsidP="00DD7A1E">
      <w:pPr>
        <w:spacing w:line="360" w:lineRule="auto"/>
        <w:jc w:val="both"/>
        <w:rPr>
          <w:rFonts w:ascii="Arial" w:hAnsi="Arial" w:cs="Arial"/>
        </w:rPr>
      </w:pPr>
    </w:p>
    <w:sectPr w:rsidR="00DD7A1E" w:rsidRPr="00DD7A1E">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44EDFC" w14:textId="77777777" w:rsidR="00BD5969" w:rsidRDefault="00BD5969" w:rsidP="008B0129">
      <w:pPr>
        <w:spacing w:after="0" w:line="240" w:lineRule="auto"/>
      </w:pPr>
      <w:r>
        <w:separator/>
      </w:r>
    </w:p>
  </w:endnote>
  <w:endnote w:type="continuationSeparator" w:id="0">
    <w:p w14:paraId="6123DC57" w14:textId="77777777" w:rsidR="00BD5969" w:rsidRDefault="00BD5969" w:rsidP="008B01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D70B3B" w14:textId="77777777" w:rsidR="00BD5969" w:rsidRDefault="00BD5969" w:rsidP="008B0129">
      <w:pPr>
        <w:spacing w:after="0" w:line="240" w:lineRule="auto"/>
      </w:pPr>
      <w:r>
        <w:separator/>
      </w:r>
    </w:p>
  </w:footnote>
  <w:footnote w:type="continuationSeparator" w:id="0">
    <w:p w14:paraId="1B439E75" w14:textId="77777777" w:rsidR="00BD5969" w:rsidRDefault="00BD5969" w:rsidP="008B01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99457378"/>
      <w:docPartObj>
        <w:docPartGallery w:val="Page Numbers (Top of Page)"/>
        <w:docPartUnique/>
      </w:docPartObj>
    </w:sdtPr>
    <w:sdtContent>
      <w:p w14:paraId="78A76F8B" w14:textId="216D5C94" w:rsidR="008B0129" w:rsidRDefault="008B0129">
        <w:pPr>
          <w:pStyle w:val="Header"/>
          <w:jc w:val="right"/>
        </w:pPr>
        <w:r>
          <w:fldChar w:fldCharType="begin"/>
        </w:r>
        <w:r>
          <w:instrText>PAGE   \* MERGEFORMAT</w:instrText>
        </w:r>
        <w:r>
          <w:fldChar w:fldCharType="separate"/>
        </w:r>
        <w:r>
          <w:t>2</w:t>
        </w:r>
        <w:r>
          <w:fldChar w:fldCharType="end"/>
        </w:r>
      </w:p>
    </w:sdtContent>
  </w:sdt>
  <w:p w14:paraId="1F52E7EA" w14:textId="77777777" w:rsidR="008B0129" w:rsidRDefault="008B01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146"/>
    <w:rsid w:val="001C6B70"/>
    <w:rsid w:val="002827B4"/>
    <w:rsid w:val="005C4146"/>
    <w:rsid w:val="008B0129"/>
    <w:rsid w:val="00951857"/>
    <w:rsid w:val="00980C37"/>
    <w:rsid w:val="00A929BF"/>
    <w:rsid w:val="00BD5969"/>
    <w:rsid w:val="00CA7FCB"/>
    <w:rsid w:val="00DD7A1E"/>
    <w:rsid w:val="00ED1D3B"/>
    <w:rsid w:val="00FA0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B1EAA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8B01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0129"/>
  </w:style>
  <w:style w:type="paragraph" w:styleId="Footer">
    <w:name w:val="footer"/>
    <w:basedOn w:val="Normal"/>
    <w:link w:val="FooterChar"/>
    <w:uiPriority w:val="99"/>
    <w:unhideWhenUsed/>
    <w:rsid w:val="008B01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0129"/>
  </w:style>
  <w:style w:type="character" w:styleId="Hyperlink">
    <w:name w:val="Hyperlink"/>
    <w:basedOn w:val="DefaultParagraphFont"/>
    <w:uiPriority w:val="99"/>
    <w:unhideWhenUsed/>
    <w:rsid w:val="00DD7A1E"/>
    <w:rPr>
      <w:color w:val="467886" w:themeColor="hyperlink"/>
      <w:u w:val="single"/>
    </w:rPr>
  </w:style>
  <w:style w:type="character" w:styleId="UnresolvedMention">
    <w:name w:val="Unresolved Mention"/>
    <w:basedOn w:val="DefaultParagraphFont"/>
    <w:uiPriority w:val="99"/>
    <w:semiHidden/>
    <w:unhideWhenUsed/>
    <w:rsid w:val="00DD7A1E"/>
    <w:rPr>
      <w:color w:val="605E5C"/>
      <w:shd w:val="clear" w:color="auto" w:fill="E1DFDD"/>
    </w:rPr>
  </w:style>
  <w:style w:type="paragraph" w:styleId="TOCHeading">
    <w:name w:val="TOC Heading"/>
    <w:basedOn w:val="Heading1"/>
    <w:next w:val="Normal"/>
    <w:uiPriority w:val="39"/>
    <w:unhideWhenUsed/>
    <w:qFormat/>
    <w:rsid w:val="00DD7A1E"/>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D7A1E"/>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ckinsey.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sdgs.un.org?utm_source=chatgpt.com" TargetMode="External"/><Relationship Id="rId5" Type="http://schemas.openxmlformats.org/officeDocument/2006/relationships/footnotes" Target="footnotes.xml"/><Relationship Id="rId10" Type="http://schemas.openxmlformats.org/officeDocument/2006/relationships/hyperlink" Target="https://www.smmt.co.uk?utm_source=chatgpt.com" TargetMode="External"/><Relationship Id="rId4" Type="http://schemas.openxmlformats.org/officeDocument/2006/relationships/webSettings" Target="webSettings.xml"/><Relationship Id="rId9" Type="http://schemas.openxmlformats.org/officeDocument/2006/relationships/hyperlink" Target="https://www.lotuscars.com?utm_source=chatgp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D0C9EA-4D5C-48B4-9035-31619AF9A3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3184</Words>
  <Characters>18154</Characters>
  <Application>Microsoft Office Word</Application>
  <DocSecurity>0</DocSecurity>
  <Lines>151</Lines>
  <Paragraphs>42</Paragraphs>
  <ScaleCrop>false</ScaleCrop>
  <Company/>
  <LinksUpToDate>false</LinksUpToDate>
  <CharactersWithSpaces>21296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2026-06-26T17:17:00Z</dcterms:created>
  <dcterms:modified xsi:type="dcterms:W3CDTF">2026-06-26T17:18:00Z</dcterms:modified>
</cp:coreProperties>
</file>