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72D54" w14:textId="4BA969CA" w:rsidR="00561889" w:rsidRDefault="00F75044" w:rsidP="00282AC2">
      <w:pPr>
        <w:shd w:val="clear" w:color="auto" w:fill="00B0F0"/>
        <w:textAlignment w:val="baseline"/>
        <w:rPr>
          <w:b/>
          <w:color w:val="000000"/>
          <w:sz w:val="24"/>
        </w:rPr>
      </w:pPr>
      <w:r w:rsidRPr="00170E7A">
        <w:rPr>
          <w:b/>
          <w:color w:val="000000"/>
          <w:sz w:val="24"/>
          <w:shd w:val="clear" w:color="auto" w:fill="00B0F0"/>
        </w:rPr>
        <w:t xml:space="preserve">Assignment </w:t>
      </w:r>
      <w:r w:rsidR="004D1227" w:rsidRPr="00170E7A">
        <w:rPr>
          <w:b/>
          <w:color w:val="000000"/>
          <w:sz w:val="24"/>
          <w:shd w:val="clear" w:color="auto" w:fill="00B0F0"/>
        </w:rPr>
        <w:t>1</w:t>
      </w:r>
    </w:p>
    <w:p w14:paraId="4E94FDBC" w14:textId="77777777" w:rsidR="00561889" w:rsidRDefault="00561889" w:rsidP="00282AC2">
      <w:pPr>
        <w:shd w:val="clear" w:color="auto" w:fill="FFFFFF"/>
        <w:textAlignment w:val="baseline"/>
        <w:rPr>
          <w:b/>
          <w:color w:val="000000"/>
          <w:sz w:val="24"/>
        </w:rPr>
      </w:pPr>
    </w:p>
    <w:p w14:paraId="79E4189F" w14:textId="6F1D355C" w:rsidR="00F75044" w:rsidRDefault="00F75044" w:rsidP="00282AC2">
      <w:pPr>
        <w:shd w:val="clear" w:color="auto" w:fill="FFFFFF"/>
        <w:textAlignment w:val="baseline"/>
        <w:rPr>
          <w:color w:val="242424"/>
          <w:sz w:val="24"/>
          <w:szCs w:val="24"/>
          <w:bdr w:val="none" w:sz="0" w:space="0" w:color="auto" w:frame="1"/>
          <w:shd w:val="clear" w:color="auto" w:fill="FFFFFF"/>
        </w:rPr>
      </w:pPr>
      <w:r w:rsidRPr="00F7409A">
        <w:rPr>
          <w:color w:val="242424"/>
          <w:sz w:val="24"/>
          <w:szCs w:val="24"/>
          <w:bdr w:val="none" w:sz="0" w:space="0" w:color="auto" w:frame="1"/>
          <w:shd w:val="clear" w:color="auto" w:fill="FFFFFF"/>
        </w:rPr>
        <w:t>Briefly explain the purpose of the CCA 2004, its supporting regulations and the accompanying statutory guidance, and the extent to which this legislation influences your own work area.</w:t>
      </w:r>
    </w:p>
    <w:p w14:paraId="3E918525" w14:textId="77777777" w:rsidR="00F75044" w:rsidRDefault="00F75044" w:rsidP="00282AC2">
      <w:pPr>
        <w:shd w:val="clear" w:color="auto" w:fill="FFFFFF"/>
        <w:textAlignment w:val="baseline"/>
        <w:rPr>
          <w:color w:val="242424"/>
          <w:sz w:val="24"/>
          <w:szCs w:val="24"/>
          <w:bdr w:val="none" w:sz="0" w:space="0" w:color="auto" w:frame="1"/>
          <w:shd w:val="clear" w:color="auto" w:fill="FFFFFF"/>
        </w:rPr>
      </w:pPr>
    </w:p>
    <w:p w14:paraId="6FADC02B" w14:textId="77777777" w:rsidR="00F75044" w:rsidRDefault="00F75044" w:rsidP="00282AC2">
      <w:pPr>
        <w:pStyle w:val="ListParagraph"/>
        <w:numPr>
          <w:ilvl w:val="0"/>
          <w:numId w:val="1"/>
        </w:numPr>
        <w:shd w:val="clear" w:color="auto" w:fill="FFFFFF"/>
        <w:jc w:val="left"/>
        <w:textAlignment w:val="baseline"/>
        <w:rPr>
          <w:color w:val="242424"/>
          <w:sz w:val="24"/>
          <w:szCs w:val="24"/>
          <w:bdr w:val="none" w:sz="0" w:space="0" w:color="auto" w:frame="1"/>
          <w:shd w:val="clear" w:color="auto" w:fill="FFFFFF"/>
        </w:rPr>
      </w:pPr>
      <w:r w:rsidRPr="00500D7E">
        <w:rPr>
          <w:color w:val="242424"/>
          <w:sz w:val="24"/>
          <w:szCs w:val="24"/>
          <w:bdr w:val="none" w:sz="0" w:space="0" w:color="auto" w:frame="1"/>
          <w:shd w:val="clear" w:color="auto" w:fill="FFFFFF"/>
        </w:rPr>
        <w:t>Describe how transfer of functions to Welsh Ministers under the CCA has the potential to change the landscape of preparedness</w:t>
      </w:r>
      <w:r>
        <w:rPr>
          <w:color w:val="242424"/>
          <w:sz w:val="24"/>
          <w:szCs w:val="24"/>
          <w:bdr w:val="none" w:sz="0" w:space="0" w:color="auto" w:frame="1"/>
          <w:shd w:val="clear" w:color="auto" w:fill="FFFFFF"/>
        </w:rPr>
        <w:t xml:space="preserve"> for, and response to,</w:t>
      </w:r>
      <w:r w:rsidRPr="00500D7E">
        <w:rPr>
          <w:color w:val="242424"/>
          <w:sz w:val="24"/>
          <w:szCs w:val="24"/>
          <w:bdr w:val="none" w:sz="0" w:space="0" w:color="auto" w:frame="1"/>
          <w:shd w:val="clear" w:color="auto" w:fill="FFFFFF"/>
        </w:rPr>
        <w:t xml:space="preserve"> in Wales.</w:t>
      </w:r>
    </w:p>
    <w:p w14:paraId="77B228C1" w14:textId="77777777" w:rsidR="00F75044" w:rsidRDefault="00F75044" w:rsidP="00282AC2">
      <w:pPr>
        <w:pStyle w:val="ListParagraph"/>
        <w:numPr>
          <w:ilvl w:val="0"/>
          <w:numId w:val="1"/>
        </w:numPr>
        <w:shd w:val="clear" w:color="auto" w:fill="FFFFFF"/>
        <w:jc w:val="left"/>
        <w:textAlignment w:val="baseline"/>
        <w:rPr>
          <w:color w:val="242424"/>
          <w:sz w:val="24"/>
          <w:szCs w:val="24"/>
          <w:bdr w:val="none" w:sz="0" w:space="0" w:color="auto" w:frame="1"/>
          <w:shd w:val="clear" w:color="auto" w:fill="FFFFFF"/>
        </w:rPr>
      </w:pPr>
      <w:r w:rsidRPr="00D60059">
        <w:rPr>
          <w:color w:val="242424"/>
          <w:sz w:val="24"/>
          <w:szCs w:val="24"/>
          <w:bdr w:val="none" w:sz="0" w:space="0" w:color="auto" w:frame="1"/>
          <w:shd w:val="clear" w:color="auto" w:fill="FFFFFF"/>
        </w:rPr>
        <w:t>Describe what emergency powers exist under the Act</w:t>
      </w:r>
      <w:r>
        <w:rPr>
          <w:color w:val="242424"/>
          <w:sz w:val="24"/>
          <w:szCs w:val="24"/>
          <w:bdr w:val="none" w:sz="0" w:space="0" w:color="auto" w:frame="1"/>
          <w:shd w:val="clear" w:color="auto" w:fill="FFFFFF"/>
        </w:rPr>
        <w:t>,</w:t>
      </w:r>
      <w:r w:rsidRPr="00D60059">
        <w:rPr>
          <w:color w:val="242424"/>
          <w:sz w:val="24"/>
          <w:szCs w:val="24"/>
          <w:bdr w:val="none" w:sz="0" w:space="0" w:color="auto" w:frame="1"/>
          <w:shd w:val="clear" w:color="auto" w:fill="FFFFFF"/>
        </w:rPr>
        <w:t xml:space="preserve"> and how those powers can be exercised.</w:t>
      </w:r>
    </w:p>
    <w:p w14:paraId="08D26D20" w14:textId="77777777" w:rsidR="00F75044" w:rsidRPr="00500D7E" w:rsidRDefault="00F75044" w:rsidP="00282AC2">
      <w:pPr>
        <w:pStyle w:val="ListParagraph"/>
        <w:numPr>
          <w:ilvl w:val="0"/>
          <w:numId w:val="1"/>
        </w:numPr>
        <w:shd w:val="clear" w:color="auto" w:fill="FFFFFF"/>
        <w:jc w:val="left"/>
        <w:textAlignment w:val="baseline"/>
        <w:rPr>
          <w:color w:val="242424"/>
          <w:sz w:val="24"/>
          <w:szCs w:val="24"/>
          <w:bdr w:val="none" w:sz="0" w:space="0" w:color="auto" w:frame="1"/>
          <w:shd w:val="clear" w:color="auto" w:fill="FFFFFF"/>
        </w:rPr>
      </w:pPr>
      <w:bookmarkStart w:id="0" w:name="_Hlk153186905"/>
      <w:r w:rsidRPr="001E3EDE">
        <w:rPr>
          <w:color w:val="242424"/>
          <w:sz w:val="24"/>
          <w:szCs w:val="24"/>
          <w:bdr w:val="none" w:sz="0" w:space="0" w:color="auto" w:frame="1"/>
          <w:shd w:val="clear" w:color="auto" w:fill="FFFFFF"/>
        </w:rPr>
        <w:t>Describe how the Act ensures responder agencies comply with their duties and how such compliance is monitored in your own organisations.</w:t>
      </w:r>
    </w:p>
    <w:bookmarkEnd w:id="0"/>
    <w:p w14:paraId="4B4EDE37" w14:textId="39FB0AF5" w:rsidR="004D1227" w:rsidRPr="00170E7A" w:rsidRDefault="004D1227" w:rsidP="00282AC2">
      <w:pPr>
        <w:rPr>
          <w:b/>
          <w:color w:val="000000"/>
          <w:sz w:val="24"/>
        </w:rPr>
      </w:pPr>
    </w:p>
    <w:p w14:paraId="71AE5D66" w14:textId="220E821E" w:rsidR="0061756D" w:rsidRDefault="0081613A" w:rsidP="00282AC2">
      <w:pPr>
        <w:rPr>
          <w:color w:val="000000"/>
          <w:sz w:val="24"/>
        </w:rPr>
      </w:pPr>
      <w:r>
        <w:rPr>
          <w:color w:val="000000"/>
          <w:sz w:val="24"/>
        </w:rPr>
        <w:t xml:space="preserve">The Author will </w:t>
      </w:r>
      <w:r w:rsidR="00F8629E">
        <w:rPr>
          <w:color w:val="000000"/>
          <w:sz w:val="24"/>
        </w:rPr>
        <w:t>start of this assignment by</w:t>
      </w:r>
      <w:r w:rsidR="00792162">
        <w:rPr>
          <w:color w:val="000000"/>
          <w:sz w:val="24"/>
        </w:rPr>
        <w:t xml:space="preserve"> explaining the purpose of the Civil Contingencies Act of 2004 </w:t>
      </w:r>
      <w:r w:rsidR="00F8629E">
        <w:rPr>
          <w:color w:val="000000"/>
          <w:sz w:val="24"/>
        </w:rPr>
        <w:t xml:space="preserve">with its supporting regulations and the accompanying </w:t>
      </w:r>
      <w:r w:rsidR="000D5B85">
        <w:rPr>
          <w:color w:val="000000"/>
          <w:sz w:val="24"/>
        </w:rPr>
        <w:t>statutory guidance. The Author will explain the extent to which this legislation influences their</w:t>
      </w:r>
      <w:r w:rsidR="00B25BB3">
        <w:rPr>
          <w:color w:val="000000"/>
          <w:sz w:val="24"/>
        </w:rPr>
        <w:t xml:space="preserve"> organisation.</w:t>
      </w:r>
    </w:p>
    <w:p w14:paraId="6EF16803" w14:textId="77777777" w:rsidR="000E7B97" w:rsidRDefault="000E7B97" w:rsidP="00282AC2">
      <w:pPr>
        <w:rPr>
          <w:color w:val="000000"/>
          <w:sz w:val="24"/>
        </w:rPr>
      </w:pPr>
    </w:p>
    <w:p w14:paraId="7B82F15B" w14:textId="1A3F3F22" w:rsidR="00931C26" w:rsidRDefault="000E7B97" w:rsidP="00282AC2">
      <w:pPr>
        <w:rPr>
          <w:color w:val="000000"/>
          <w:sz w:val="24"/>
        </w:rPr>
      </w:pPr>
      <w:r w:rsidRPr="000E7B97">
        <w:rPr>
          <w:color w:val="000000"/>
          <w:sz w:val="24"/>
        </w:rPr>
        <w:t>The Civil Contingencies Act 2004 is an act of the Parliament of the United Kingdom that makes provision about civil contingencies. It also replaces former civil defence and emergency powers legislation of the 20th century.</w:t>
      </w:r>
      <w:r>
        <w:rPr>
          <w:color w:val="000000"/>
          <w:sz w:val="24"/>
        </w:rPr>
        <w:t xml:space="preserve"> </w:t>
      </w:r>
      <w:sdt>
        <w:sdtPr>
          <w:rPr>
            <w:color w:val="000000"/>
            <w:sz w:val="24"/>
          </w:rPr>
          <w:id w:val="-1849932490"/>
          <w:citation/>
        </w:sdtPr>
        <w:sdtEndPr/>
        <w:sdtContent>
          <w:r w:rsidR="00CC55E8">
            <w:rPr>
              <w:color w:val="000000"/>
              <w:sz w:val="24"/>
            </w:rPr>
            <w:fldChar w:fldCharType="begin"/>
          </w:r>
          <w:r w:rsidR="00CC55E8">
            <w:rPr>
              <w:color w:val="000000"/>
              <w:sz w:val="24"/>
            </w:rPr>
            <w:instrText xml:space="preserve"> CITATION Cab132 \l 2057 </w:instrText>
          </w:r>
          <w:r w:rsidR="00CC55E8">
            <w:rPr>
              <w:color w:val="000000"/>
              <w:sz w:val="24"/>
            </w:rPr>
            <w:fldChar w:fldCharType="separate"/>
          </w:r>
          <w:r w:rsidR="00CC55E8" w:rsidRPr="00CC55E8">
            <w:rPr>
              <w:noProof/>
              <w:color w:val="000000"/>
              <w:sz w:val="24"/>
            </w:rPr>
            <w:t>(Office, Emergency Response and Recovery , 2013)</w:t>
          </w:r>
          <w:r w:rsidR="00CC55E8">
            <w:rPr>
              <w:color w:val="000000"/>
              <w:sz w:val="24"/>
            </w:rPr>
            <w:fldChar w:fldCharType="end"/>
          </w:r>
        </w:sdtContent>
      </w:sdt>
    </w:p>
    <w:p w14:paraId="5D7B8308" w14:textId="77777777" w:rsidR="00931C26" w:rsidRDefault="00931C26" w:rsidP="00282AC2">
      <w:pPr>
        <w:rPr>
          <w:color w:val="000000"/>
          <w:sz w:val="24"/>
        </w:rPr>
      </w:pPr>
    </w:p>
    <w:p w14:paraId="5C509F3E" w14:textId="0765AA1C" w:rsidR="00170E7A" w:rsidRDefault="00170E7A" w:rsidP="00282AC2">
      <w:pPr>
        <w:rPr>
          <w:color w:val="000000"/>
          <w:sz w:val="24"/>
        </w:rPr>
      </w:pPr>
      <w:r>
        <w:rPr>
          <w:color w:val="000000"/>
          <w:sz w:val="24"/>
        </w:rPr>
        <w:t xml:space="preserve">The introduction of the </w:t>
      </w:r>
      <w:bookmarkStart w:id="1" w:name="_Hlk155790132"/>
      <w:r>
        <w:rPr>
          <w:color w:val="000000"/>
          <w:sz w:val="24"/>
        </w:rPr>
        <w:t>C</w:t>
      </w:r>
      <w:r w:rsidR="00C458FE">
        <w:rPr>
          <w:color w:val="000000"/>
          <w:sz w:val="24"/>
        </w:rPr>
        <w:t xml:space="preserve">ivil </w:t>
      </w:r>
      <w:r>
        <w:rPr>
          <w:color w:val="000000"/>
          <w:sz w:val="24"/>
        </w:rPr>
        <w:t>C</w:t>
      </w:r>
      <w:r w:rsidR="00C458FE">
        <w:rPr>
          <w:color w:val="000000"/>
          <w:sz w:val="24"/>
        </w:rPr>
        <w:t xml:space="preserve">ontingencies </w:t>
      </w:r>
      <w:r>
        <w:rPr>
          <w:color w:val="000000"/>
          <w:sz w:val="24"/>
        </w:rPr>
        <w:t>A</w:t>
      </w:r>
      <w:r w:rsidR="00C458FE">
        <w:rPr>
          <w:color w:val="000000"/>
          <w:sz w:val="24"/>
        </w:rPr>
        <w:t xml:space="preserve">ct 2004 </w:t>
      </w:r>
      <w:bookmarkEnd w:id="1"/>
      <w:r w:rsidR="00C458FE">
        <w:rPr>
          <w:color w:val="000000"/>
          <w:sz w:val="24"/>
        </w:rPr>
        <w:t>(CCA)</w:t>
      </w:r>
      <w:r>
        <w:rPr>
          <w:color w:val="000000"/>
          <w:sz w:val="24"/>
        </w:rPr>
        <w:t xml:space="preserve"> was to replace outdated legislation to ensure that appropriate fit for purpose arrangements were in place to meet the challenges of the 21</w:t>
      </w:r>
      <w:r w:rsidRPr="00170E7A">
        <w:rPr>
          <w:color w:val="000000"/>
          <w:sz w:val="24"/>
          <w:vertAlign w:val="superscript"/>
        </w:rPr>
        <w:t>st</w:t>
      </w:r>
      <w:r>
        <w:rPr>
          <w:color w:val="000000"/>
          <w:sz w:val="24"/>
        </w:rPr>
        <w:t xml:space="preserve"> century. The </w:t>
      </w:r>
      <w:r w:rsidR="006A3CAB">
        <w:rPr>
          <w:color w:val="000000"/>
          <w:sz w:val="24"/>
        </w:rPr>
        <w:t xml:space="preserve">Civil Contingencies Act </w:t>
      </w:r>
      <w:r w:rsidR="008B6E39">
        <w:rPr>
          <w:color w:val="000000"/>
          <w:sz w:val="24"/>
        </w:rPr>
        <w:t>2004 replaced</w:t>
      </w:r>
      <w:r>
        <w:rPr>
          <w:color w:val="000000"/>
          <w:sz w:val="24"/>
        </w:rPr>
        <w:t xml:space="preserve"> the 1920 Emergency Powers Act and the 1948 Civil Defence Act. </w:t>
      </w:r>
    </w:p>
    <w:p w14:paraId="6AD83440" w14:textId="77777777" w:rsidR="0084348B" w:rsidRDefault="0084348B" w:rsidP="00282AC2">
      <w:pPr>
        <w:rPr>
          <w:color w:val="000000"/>
          <w:sz w:val="24"/>
        </w:rPr>
      </w:pPr>
    </w:p>
    <w:p w14:paraId="71385B5A" w14:textId="7F2F587C" w:rsidR="0084348B" w:rsidRPr="0084348B" w:rsidRDefault="0084348B" w:rsidP="0084348B">
      <w:pPr>
        <w:rPr>
          <w:color w:val="000000"/>
          <w:sz w:val="24"/>
        </w:rPr>
      </w:pPr>
      <w:r w:rsidRPr="0084348B">
        <w:rPr>
          <w:color w:val="000000"/>
          <w:sz w:val="24"/>
        </w:rPr>
        <w:t>The Civil Contingencies Act 2004 repeals the Civil Defence Act 1948 and the Civil Defence Act (Northern Ireland) 1950. Part 1 of the act establishes a new and broad definition of "emergency". The definition includes war or attack by a foreign power, which were defined as emergencies under previous legislation, as well as terrorism which poses a threat of serious damage to the security of the United Kingdom and events which threaten serious damage to human welfare in a place in the United Kingdom or to the environment of a place in the United Kingdom. Previous legislation, which was enacted during or after the Second World War, provided for civil protection solely in terms of "civil defence", which was defined as "measures, other than actual combat, for affording defence against a hostile attack by a foreign power". The act also broadens the number of local bodies which have duties in the event of an emergency; previous legislation only related to local authorities, police authorities and certain fire authorities.</w:t>
      </w:r>
      <w:r>
        <w:rPr>
          <w:color w:val="000000"/>
          <w:sz w:val="24"/>
        </w:rPr>
        <w:t xml:space="preserve"> </w:t>
      </w:r>
      <w:r w:rsidRPr="0084348B">
        <w:rPr>
          <w:color w:val="000000"/>
          <w:sz w:val="24"/>
        </w:rPr>
        <w:t>Neither strand had seen any significant amendments in a number of years and they were not deemed able to cope in the event of domestic threats to services such as the fuel protests of 2000 or natural threats like the mass flooding in 2000 and the outbreak of foot and mouth disease in 2001.</w:t>
      </w:r>
      <w:r>
        <w:rPr>
          <w:color w:val="000000"/>
          <w:sz w:val="24"/>
        </w:rPr>
        <w:t xml:space="preserve"> </w:t>
      </w:r>
      <w:sdt>
        <w:sdtPr>
          <w:rPr>
            <w:color w:val="000000"/>
            <w:sz w:val="24"/>
          </w:rPr>
          <w:id w:val="906413754"/>
          <w:citation/>
        </w:sdtPr>
        <w:sdtEndPr/>
        <w:sdtContent>
          <w:r>
            <w:rPr>
              <w:color w:val="000000"/>
              <w:sz w:val="24"/>
            </w:rPr>
            <w:fldChar w:fldCharType="begin"/>
          </w:r>
          <w:r>
            <w:rPr>
              <w:color w:val="000000"/>
              <w:sz w:val="24"/>
            </w:rPr>
            <w:instrText xml:space="preserve"> CITATION Cab132 \l 2057 </w:instrText>
          </w:r>
          <w:r>
            <w:rPr>
              <w:color w:val="000000"/>
              <w:sz w:val="24"/>
            </w:rPr>
            <w:fldChar w:fldCharType="separate"/>
          </w:r>
          <w:r w:rsidRPr="0084348B">
            <w:rPr>
              <w:noProof/>
              <w:color w:val="000000"/>
              <w:sz w:val="24"/>
            </w:rPr>
            <w:t>(Office, Emergency Response and Recovery , 2013)</w:t>
          </w:r>
          <w:r>
            <w:rPr>
              <w:color w:val="000000"/>
              <w:sz w:val="24"/>
            </w:rPr>
            <w:fldChar w:fldCharType="end"/>
          </w:r>
        </w:sdtContent>
      </w:sdt>
    </w:p>
    <w:p w14:paraId="1A157187" w14:textId="77777777" w:rsidR="0084348B" w:rsidRPr="0084348B" w:rsidRDefault="0084348B" w:rsidP="0084348B">
      <w:pPr>
        <w:rPr>
          <w:color w:val="000000"/>
          <w:sz w:val="24"/>
        </w:rPr>
      </w:pPr>
    </w:p>
    <w:p w14:paraId="43B0F5D3" w14:textId="77777777" w:rsidR="0084348B" w:rsidRPr="0084348B" w:rsidRDefault="0084348B" w:rsidP="0084348B">
      <w:pPr>
        <w:rPr>
          <w:color w:val="000000"/>
          <w:sz w:val="24"/>
        </w:rPr>
      </w:pPr>
      <w:r w:rsidRPr="0084348B">
        <w:rPr>
          <w:color w:val="000000"/>
          <w:sz w:val="24"/>
        </w:rPr>
        <w:t xml:space="preserve">In the wake of these three events, the Deputy Prime Minister, John Prescott, announced a formal review into emergency planning arrangements. The review included a public consultation exercise, which generally supported the government's </w:t>
      </w:r>
      <w:r w:rsidRPr="0084348B">
        <w:rPr>
          <w:color w:val="000000"/>
          <w:sz w:val="24"/>
        </w:rPr>
        <w:lastRenderedPageBreak/>
        <w:t xml:space="preserve">conclusion that existing legislation was no longer adequate and that new legislation was required. A draft bill was scrutinised in detail by the Joint Committee on the Draft Civil Contingencies Bill,[7] which was very influential in shaping the legislation though several of its proposals (notably creation of a new agency) were </w:t>
      </w:r>
      <w:proofErr w:type="gramStart"/>
      <w:r w:rsidRPr="0084348B">
        <w:rPr>
          <w:color w:val="000000"/>
          <w:sz w:val="24"/>
        </w:rPr>
        <w:t>rejected.[</w:t>
      </w:r>
      <w:proofErr w:type="gramEnd"/>
      <w:r w:rsidRPr="0084348B">
        <w:rPr>
          <w:color w:val="000000"/>
          <w:sz w:val="24"/>
        </w:rPr>
        <w:t>citation needed]</w:t>
      </w:r>
    </w:p>
    <w:p w14:paraId="76D378D0" w14:textId="77777777" w:rsidR="0084348B" w:rsidRPr="0084348B" w:rsidRDefault="0084348B" w:rsidP="0084348B">
      <w:pPr>
        <w:rPr>
          <w:color w:val="000000"/>
          <w:sz w:val="24"/>
        </w:rPr>
      </w:pPr>
    </w:p>
    <w:p w14:paraId="1A18ABF1" w14:textId="29CEC99C" w:rsidR="0084348B" w:rsidRDefault="0084348B" w:rsidP="0084348B">
      <w:pPr>
        <w:rPr>
          <w:color w:val="000000"/>
          <w:sz w:val="24"/>
        </w:rPr>
      </w:pPr>
      <w:r w:rsidRPr="0084348B">
        <w:rPr>
          <w:color w:val="000000"/>
          <w:sz w:val="24"/>
        </w:rPr>
        <w:t>The act guides and authorises the creation of a Local Resilience Forum to consider such matters within an existing police force boundary and requires responders to undertake risk assessments, maintain them in a Community Risk Register and to publish this register. Risks in this context are those that could result in a major emergency. This Community Risk Register is the first step in the emergency planning process; it ensures that the plans that are developed are proportionate to the risk.</w:t>
      </w:r>
    </w:p>
    <w:p w14:paraId="2BC74AB0" w14:textId="77777777" w:rsidR="00191EA0" w:rsidRDefault="00191EA0" w:rsidP="00282AC2">
      <w:pPr>
        <w:rPr>
          <w:color w:val="000000"/>
          <w:sz w:val="24"/>
        </w:rPr>
      </w:pPr>
    </w:p>
    <w:p w14:paraId="004BE94C" w14:textId="60F5C7A7" w:rsidR="00AD24C4" w:rsidRPr="00AD24C4" w:rsidRDefault="00191EA0" w:rsidP="00AD24C4">
      <w:pPr>
        <w:rPr>
          <w:color w:val="000000"/>
          <w:sz w:val="24"/>
        </w:rPr>
      </w:pPr>
      <w:r w:rsidRPr="00191EA0">
        <w:rPr>
          <w:color w:val="000000"/>
          <w:sz w:val="24"/>
        </w:rPr>
        <w:t>T</w:t>
      </w:r>
      <w:r w:rsidR="00C458FE">
        <w:rPr>
          <w:color w:val="000000"/>
          <w:sz w:val="24"/>
        </w:rPr>
        <w:t xml:space="preserve">he </w:t>
      </w:r>
      <w:r w:rsidR="006A3CAB">
        <w:rPr>
          <w:color w:val="000000"/>
          <w:sz w:val="24"/>
        </w:rPr>
        <w:t xml:space="preserve">Civil Contingencies Act 2004 </w:t>
      </w:r>
      <w:r w:rsidR="00C458FE">
        <w:rPr>
          <w:color w:val="000000"/>
          <w:sz w:val="24"/>
        </w:rPr>
        <w:t>2004</w:t>
      </w:r>
      <w:r w:rsidRPr="00191EA0">
        <w:rPr>
          <w:color w:val="000000"/>
          <w:sz w:val="24"/>
        </w:rPr>
        <w:t>, and accompanying non-legislative measures, delivers a single framework for civil protection in the United Kingdom</w:t>
      </w:r>
      <w:r w:rsidR="00AD24C4">
        <w:rPr>
          <w:color w:val="000000"/>
          <w:sz w:val="24"/>
        </w:rPr>
        <w:t xml:space="preserve">. </w:t>
      </w:r>
      <w:r w:rsidR="00AD24C4" w:rsidRPr="00AD24C4">
        <w:rPr>
          <w:color w:val="000000"/>
          <w:sz w:val="24"/>
        </w:rPr>
        <w:t>The main civil protection duties fall on the Category 1 responders as follows</w:t>
      </w:r>
      <w:r w:rsidR="00AD24C4">
        <w:rPr>
          <w:color w:val="000000"/>
          <w:sz w:val="24"/>
        </w:rPr>
        <w:t>:</w:t>
      </w:r>
      <w:r w:rsidR="00AD24C4" w:rsidRPr="00AD24C4">
        <w:rPr>
          <w:color w:val="000000"/>
          <w:sz w:val="24"/>
        </w:rPr>
        <w:t xml:space="preserve"> </w:t>
      </w:r>
    </w:p>
    <w:p w14:paraId="7B41B5F0" w14:textId="2F51EB39" w:rsidR="00AD24C4" w:rsidRPr="00E77737" w:rsidRDefault="00AD24C4" w:rsidP="00E77737">
      <w:pPr>
        <w:pStyle w:val="ListParagraph"/>
        <w:numPr>
          <w:ilvl w:val="0"/>
          <w:numId w:val="28"/>
        </w:numPr>
        <w:rPr>
          <w:color w:val="000000"/>
          <w:sz w:val="24"/>
        </w:rPr>
      </w:pPr>
      <w:r w:rsidRPr="00E77737">
        <w:rPr>
          <w:color w:val="000000"/>
          <w:sz w:val="24"/>
        </w:rPr>
        <w:t xml:space="preserve">Risk assessment </w:t>
      </w:r>
    </w:p>
    <w:p w14:paraId="22EDB446" w14:textId="2788347A" w:rsidR="00AD24C4" w:rsidRPr="00E77737" w:rsidRDefault="00AD24C4" w:rsidP="00E77737">
      <w:pPr>
        <w:pStyle w:val="ListParagraph"/>
        <w:numPr>
          <w:ilvl w:val="0"/>
          <w:numId w:val="28"/>
        </w:numPr>
        <w:rPr>
          <w:color w:val="000000"/>
          <w:sz w:val="24"/>
        </w:rPr>
      </w:pPr>
      <w:r w:rsidRPr="00E77737">
        <w:rPr>
          <w:color w:val="000000"/>
          <w:sz w:val="24"/>
        </w:rPr>
        <w:t>Business continuity management (BCM)</w:t>
      </w:r>
    </w:p>
    <w:p w14:paraId="14299B81" w14:textId="2FF9189A" w:rsidR="00AD24C4" w:rsidRPr="00E77737" w:rsidRDefault="00AD24C4" w:rsidP="00E77737">
      <w:pPr>
        <w:pStyle w:val="ListParagraph"/>
        <w:numPr>
          <w:ilvl w:val="0"/>
          <w:numId w:val="28"/>
        </w:numPr>
        <w:rPr>
          <w:color w:val="000000"/>
          <w:sz w:val="24"/>
        </w:rPr>
      </w:pPr>
      <w:r w:rsidRPr="00E77737">
        <w:rPr>
          <w:color w:val="000000"/>
          <w:sz w:val="24"/>
        </w:rPr>
        <w:t xml:space="preserve">Emergency planning </w:t>
      </w:r>
    </w:p>
    <w:p w14:paraId="1B3F4E93" w14:textId="6D99BB24" w:rsidR="00AD24C4" w:rsidRPr="00E77737" w:rsidRDefault="00AD24C4" w:rsidP="00E77737">
      <w:pPr>
        <w:pStyle w:val="ListParagraph"/>
        <w:numPr>
          <w:ilvl w:val="0"/>
          <w:numId w:val="28"/>
        </w:numPr>
        <w:rPr>
          <w:color w:val="000000"/>
          <w:sz w:val="24"/>
        </w:rPr>
      </w:pPr>
      <w:r w:rsidRPr="00E77737">
        <w:rPr>
          <w:color w:val="000000"/>
          <w:sz w:val="24"/>
        </w:rPr>
        <w:t xml:space="preserve">Maintaining public awareness and arrangements to warn, inform and </w:t>
      </w:r>
    </w:p>
    <w:p w14:paraId="66B62568" w14:textId="09BB584C" w:rsidR="00AD24C4" w:rsidRPr="00E77737" w:rsidRDefault="00AD24C4" w:rsidP="00E77737">
      <w:pPr>
        <w:pStyle w:val="ListParagraph"/>
        <w:numPr>
          <w:ilvl w:val="0"/>
          <w:numId w:val="28"/>
        </w:numPr>
        <w:rPr>
          <w:color w:val="000000"/>
          <w:sz w:val="24"/>
        </w:rPr>
      </w:pPr>
      <w:r w:rsidRPr="00E77737">
        <w:rPr>
          <w:color w:val="000000"/>
          <w:sz w:val="24"/>
        </w:rPr>
        <w:t>advise the public</w:t>
      </w:r>
    </w:p>
    <w:p w14:paraId="4A171529" w14:textId="34EFC7C7" w:rsidR="00AD24C4" w:rsidRPr="00AD24C4" w:rsidRDefault="00AD24C4" w:rsidP="00AD24C4">
      <w:pPr>
        <w:rPr>
          <w:color w:val="000000"/>
          <w:sz w:val="24"/>
        </w:rPr>
      </w:pPr>
      <w:r w:rsidRPr="00AD24C4">
        <w:rPr>
          <w:color w:val="000000"/>
          <w:sz w:val="24"/>
        </w:rPr>
        <w:t xml:space="preserve">A fifth duty applies to local authorities alone: </w:t>
      </w:r>
    </w:p>
    <w:p w14:paraId="72939218" w14:textId="733219A1" w:rsidR="00AD24C4" w:rsidRPr="00E77737" w:rsidRDefault="00AD24C4" w:rsidP="00E77737">
      <w:pPr>
        <w:pStyle w:val="ListParagraph"/>
        <w:numPr>
          <w:ilvl w:val="0"/>
          <w:numId w:val="29"/>
        </w:numPr>
        <w:rPr>
          <w:color w:val="000000"/>
          <w:sz w:val="24"/>
        </w:rPr>
      </w:pPr>
      <w:r w:rsidRPr="00E77737">
        <w:rPr>
          <w:color w:val="000000"/>
          <w:sz w:val="24"/>
        </w:rPr>
        <w:t xml:space="preserve">Provision of advice and assistance to the commercial sector and </w:t>
      </w:r>
    </w:p>
    <w:p w14:paraId="22589882" w14:textId="39089C90" w:rsidR="00AD24C4" w:rsidRPr="00AD24C4" w:rsidRDefault="00AD24C4" w:rsidP="00E77737">
      <w:pPr>
        <w:ind w:firstLine="720"/>
        <w:rPr>
          <w:color w:val="000000"/>
          <w:sz w:val="24"/>
        </w:rPr>
      </w:pPr>
      <w:r w:rsidRPr="00AD24C4">
        <w:rPr>
          <w:color w:val="000000"/>
          <w:sz w:val="24"/>
        </w:rPr>
        <w:t>voluntary organisations.</w:t>
      </w:r>
    </w:p>
    <w:p w14:paraId="3BDF7B62" w14:textId="082B7C76" w:rsidR="00AD24C4" w:rsidRPr="00AD24C4" w:rsidRDefault="00AD24C4" w:rsidP="00AD24C4">
      <w:pPr>
        <w:rPr>
          <w:color w:val="000000"/>
          <w:sz w:val="24"/>
        </w:rPr>
      </w:pPr>
      <w:r w:rsidRPr="00AD24C4">
        <w:rPr>
          <w:color w:val="000000"/>
          <w:sz w:val="24"/>
        </w:rPr>
        <w:t xml:space="preserve">Two further duties are prescribed in the Regulations: </w:t>
      </w:r>
    </w:p>
    <w:p w14:paraId="078D355F" w14:textId="706A4C93" w:rsidR="00AD24C4" w:rsidRPr="00E77737" w:rsidRDefault="00AD24C4" w:rsidP="00E77737">
      <w:pPr>
        <w:pStyle w:val="ListParagraph"/>
        <w:numPr>
          <w:ilvl w:val="0"/>
          <w:numId w:val="29"/>
        </w:numPr>
        <w:rPr>
          <w:color w:val="000000"/>
          <w:sz w:val="24"/>
        </w:rPr>
      </w:pPr>
      <w:r w:rsidRPr="00E77737">
        <w:rPr>
          <w:color w:val="000000"/>
          <w:sz w:val="24"/>
        </w:rPr>
        <w:t>Co-operation</w:t>
      </w:r>
    </w:p>
    <w:p w14:paraId="1ECA2507" w14:textId="51824140" w:rsidR="00AD24C4" w:rsidRPr="00E77737" w:rsidRDefault="00AD24C4" w:rsidP="00E77737">
      <w:pPr>
        <w:pStyle w:val="ListParagraph"/>
        <w:numPr>
          <w:ilvl w:val="0"/>
          <w:numId w:val="29"/>
        </w:numPr>
        <w:rPr>
          <w:color w:val="000000"/>
          <w:sz w:val="24"/>
        </w:rPr>
      </w:pPr>
      <w:r w:rsidRPr="00E77737">
        <w:rPr>
          <w:color w:val="000000"/>
          <w:sz w:val="24"/>
        </w:rPr>
        <w:t>Information sharing</w:t>
      </w:r>
    </w:p>
    <w:p w14:paraId="7E3E225D" w14:textId="36BE539C" w:rsidR="00AD24C4" w:rsidRDefault="00D450FD" w:rsidP="00282AC2">
      <w:pPr>
        <w:rPr>
          <w:color w:val="000000"/>
          <w:sz w:val="24"/>
        </w:rPr>
      </w:pPr>
      <w:sdt>
        <w:sdtPr>
          <w:rPr>
            <w:color w:val="000000"/>
            <w:sz w:val="24"/>
          </w:rPr>
          <w:id w:val="1379974760"/>
          <w:citation/>
        </w:sdtPr>
        <w:sdtEndPr/>
        <w:sdtContent>
          <w:r w:rsidR="004F6A28">
            <w:rPr>
              <w:color w:val="000000"/>
              <w:sz w:val="24"/>
            </w:rPr>
            <w:fldChar w:fldCharType="begin"/>
          </w:r>
          <w:r w:rsidR="004F6A28">
            <w:rPr>
              <w:color w:val="000000"/>
              <w:sz w:val="24"/>
            </w:rPr>
            <w:instrText xml:space="preserve"> CITATION Cab12 \l 2057 </w:instrText>
          </w:r>
          <w:r w:rsidR="004F6A28">
            <w:rPr>
              <w:color w:val="000000"/>
              <w:sz w:val="24"/>
            </w:rPr>
            <w:fldChar w:fldCharType="separate"/>
          </w:r>
          <w:r w:rsidR="00876347" w:rsidRPr="00876347">
            <w:rPr>
              <w:noProof/>
              <w:color w:val="000000"/>
              <w:sz w:val="24"/>
            </w:rPr>
            <w:t>(Office, Civil Contingencies Act Enhancement Programme, 2012)</w:t>
          </w:r>
          <w:r w:rsidR="004F6A28">
            <w:rPr>
              <w:color w:val="000000"/>
              <w:sz w:val="24"/>
            </w:rPr>
            <w:fldChar w:fldCharType="end"/>
          </w:r>
        </w:sdtContent>
      </w:sdt>
    </w:p>
    <w:p w14:paraId="17DBF0CD" w14:textId="77777777" w:rsidR="00EC795F" w:rsidRDefault="00EC795F" w:rsidP="00282AC2">
      <w:pPr>
        <w:rPr>
          <w:color w:val="000000"/>
          <w:sz w:val="24"/>
        </w:rPr>
      </w:pPr>
    </w:p>
    <w:p w14:paraId="004FA2E4" w14:textId="77777777" w:rsidR="00EC795F" w:rsidRPr="00EC795F" w:rsidRDefault="00EC795F" w:rsidP="00EC795F">
      <w:pPr>
        <w:rPr>
          <w:color w:val="000000"/>
          <w:sz w:val="24"/>
        </w:rPr>
      </w:pPr>
      <w:r w:rsidRPr="00EC795F">
        <w:rPr>
          <w:color w:val="000000"/>
          <w:sz w:val="24"/>
        </w:rPr>
        <w:t xml:space="preserve">The purpose of Emergency Preparedness is to accompany Part 1 of the Act, and its </w:t>
      </w:r>
    </w:p>
    <w:p w14:paraId="0A28B709" w14:textId="77777777" w:rsidR="00EC795F" w:rsidRPr="00EC795F" w:rsidRDefault="00EC795F" w:rsidP="00EC795F">
      <w:pPr>
        <w:rPr>
          <w:color w:val="000000"/>
          <w:sz w:val="24"/>
        </w:rPr>
      </w:pPr>
      <w:r w:rsidRPr="00EC795F">
        <w:rPr>
          <w:color w:val="000000"/>
          <w:sz w:val="24"/>
        </w:rPr>
        <w:t xml:space="preserve">supporting Regulations (The Civil Contingencies Act 2004 (Contingency Planning) </w:t>
      </w:r>
    </w:p>
    <w:p w14:paraId="57027C35" w14:textId="77777777" w:rsidR="00EC795F" w:rsidRPr="00EC795F" w:rsidRDefault="00EC795F" w:rsidP="00EC795F">
      <w:pPr>
        <w:rPr>
          <w:color w:val="000000"/>
          <w:sz w:val="24"/>
        </w:rPr>
      </w:pPr>
      <w:r w:rsidRPr="00EC795F">
        <w:rPr>
          <w:color w:val="000000"/>
          <w:sz w:val="24"/>
        </w:rPr>
        <w:t xml:space="preserve">Regulations 2012) (the Regulations). Integrated emergency management (IEM) </w:t>
      </w:r>
    </w:p>
    <w:p w14:paraId="1563DE5B" w14:textId="77777777" w:rsidR="00EC795F" w:rsidRPr="00EC795F" w:rsidRDefault="00EC795F" w:rsidP="00EC795F">
      <w:pPr>
        <w:rPr>
          <w:color w:val="000000"/>
          <w:sz w:val="24"/>
        </w:rPr>
      </w:pPr>
      <w:r w:rsidRPr="00EC795F">
        <w:rPr>
          <w:color w:val="000000"/>
          <w:sz w:val="24"/>
        </w:rPr>
        <w:t xml:space="preserve">comprises six related activities: anticipation, assessment, prevention, preparation, </w:t>
      </w:r>
    </w:p>
    <w:p w14:paraId="05366511" w14:textId="0FA55955" w:rsidR="00EC795F" w:rsidRDefault="00EC795F" w:rsidP="00EC795F">
      <w:pPr>
        <w:rPr>
          <w:color w:val="000000"/>
          <w:sz w:val="24"/>
        </w:rPr>
      </w:pPr>
      <w:r w:rsidRPr="00EC795F">
        <w:rPr>
          <w:color w:val="000000"/>
          <w:sz w:val="24"/>
        </w:rPr>
        <w:t>response and recovery. A volume of non-statutory guidance Emergency Response and Recovery describes the multi-agency framework for responding to, and recovering from, civil emergencies in the UK. This non-statutory guidance is targeted at all personnel who may become involved in emergencies. It aims to develop a shared understanding of multi-agency response and recovery arrangements across responding agencies.</w:t>
      </w:r>
      <w:r>
        <w:rPr>
          <w:color w:val="000000"/>
          <w:sz w:val="24"/>
        </w:rPr>
        <w:t xml:space="preserve"> </w:t>
      </w:r>
      <w:sdt>
        <w:sdtPr>
          <w:rPr>
            <w:color w:val="000000"/>
            <w:sz w:val="24"/>
          </w:rPr>
          <w:id w:val="760031658"/>
          <w:citation/>
        </w:sdtPr>
        <w:sdtEndPr/>
        <w:sdtContent>
          <w:r w:rsidR="00AD529C">
            <w:rPr>
              <w:color w:val="000000"/>
              <w:sz w:val="24"/>
            </w:rPr>
            <w:fldChar w:fldCharType="begin"/>
          </w:r>
          <w:r w:rsidR="00AD529C">
            <w:rPr>
              <w:color w:val="000000"/>
              <w:sz w:val="24"/>
            </w:rPr>
            <w:instrText xml:space="preserve"> CITATION Cab12 \l 2057 </w:instrText>
          </w:r>
          <w:r w:rsidR="00AD529C">
            <w:rPr>
              <w:color w:val="000000"/>
              <w:sz w:val="24"/>
            </w:rPr>
            <w:fldChar w:fldCharType="separate"/>
          </w:r>
          <w:r w:rsidR="00876347" w:rsidRPr="00876347">
            <w:rPr>
              <w:noProof/>
              <w:color w:val="000000"/>
              <w:sz w:val="24"/>
            </w:rPr>
            <w:t>(Office, Civil Contingencies Act Enhancement Programme, 2012)</w:t>
          </w:r>
          <w:r w:rsidR="00AD529C">
            <w:rPr>
              <w:color w:val="000000"/>
              <w:sz w:val="24"/>
            </w:rPr>
            <w:fldChar w:fldCharType="end"/>
          </w:r>
        </w:sdtContent>
      </w:sdt>
    </w:p>
    <w:p w14:paraId="19CF32E6" w14:textId="77777777" w:rsidR="00EC795F" w:rsidRDefault="00EC795F" w:rsidP="00282AC2">
      <w:pPr>
        <w:rPr>
          <w:color w:val="000000"/>
          <w:sz w:val="24"/>
        </w:rPr>
      </w:pPr>
    </w:p>
    <w:p w14:paraId="15927FAA" w14:textId="2380B61E" w:rsidR="00FF5D2B" w:rsidRDefault="003E4256" w:rsidP="00282AC2">
      <w:pPr>
        <w:rPr>
          <w:color w:val="000000"/>
          <w:sz w:val="24"/>
        </w:rPr>
      </w:pPr>
      <w:r>
        <w:rPr>
          <w:color w:val="000000"/>
          <w:sz w:val="24"/>
        </w:rPr>
        <w:t xml:space="preserve">It enabled Government to make emergency provisions in circumstances where other legislation </w:t>
      </w:r>
      <w:r w:rsidR="00D41340">
        <w:rPr>
          <w:color w:val="000000"/>
          <w:sz w:val="24"/>
        </w:rPr>
        <w:t xml:space="preserve">did not adequately address such incidences. </w:t>
      </w:r>
      <w:r w:rsidR="00950421">
        <w:rPr>
          <w:color w:val="000000"/>
          <w:sz w:val="24"/>
        </w:rPr>
        <w:t xml:space="preserve"> </w:t>
      </w:r>
    </w:p>
    <w:p w14:paraId="197544FE" w14:textId="77777777" w:rsidR="002774AF" w:rsidRDefault="002774AF" w:rsidP="00282AC2">
      <w:pPr>
        <w:rPr>
          <w:color w:val="000000"/>
          <w:sz w:val="24"/>
        </w:rPr>
      </w:pPr>
    </w:p>
    <w:p w14:paraId="4862A303" w14:textId="4D2542A0" w:rsidR="002774AF" w:rsidRPr="002774AF" w:rsidRDefault="002774AF" w:rsidP="00282AC2">
      <w:pPr>
        <w:rPr>
          <w:color w:val="000000"/>
          <w:sz w:val="24"/>
        </w:rPr>
      </w:pPr>
      <w:r w:rsidRPr="002774AF">
        <w:rPr>
          <w:color w:val="000000"/>
          <w:sz w:val="24"/>
        </w:rPr>
        <w:t xml:space="preserve">The </w:t>
      </w:r>
      <w:r w:rsidR="006A3CAB">
        <w:rPr>
          <w:color w:val="000000"/>
          <w:sz w:val="24"/>
        </w:rPr>
        <w:t xml:space="preserve">Civil Contingencies Act </w:t>
      </w:r>
      <w:r w:rsidR="008B6E39">
        <w:rPr>
          <w:color w:val="000000"/>
          <w:sz w:val="24"/>
        </w:rPr>
        <w:t xml:space="preserve">2004 </w:t>
      </w:r>
      <w:r w:rsidR="008B6E39" w:rsidRPr="002774AF">
        <w:rPr>
          <w:color w:val="000000"/>
          <w:sz w:val="24"/>
        </w:rPr>
        <w:t>defines</w:t>
      </w:r>
      <w:r w:rsidRPr="002774AF">
        <w:rPr>
          <w:color w:val="000000"/>
          <w:sz w:val="24"/>
        </w:rPr>
        <w:t xml:space="preserve"> emergencies in a broad context whilst the Joint Emergency Services Interoperability Programme (JESIP) sets out more specifically what defines a major incident:</w:t>
      </w:r>
    </w:p>
    <w:p w14:paraId="0B1478C5" w14:textId="77777777" w:rsidR="002774AF" w:rsidRPr="002774AF" w:rsidRDefault="002774AF" w:rsidP="00282AC2">
      <w:pPr>
        <w:rPr>
          <w:color w:val="000000"/>
          <w:sz w:val="24"/>
        </w:rPr>
      </w:pPr>
    </w:p>
    <w:p w14:paraId="2B69C667" w14:textId="77777777" w:rsidR="002774AF" w:rsidRDefault="002774AF" w:rsidP="00282AC2">
      <w:pPr>
        <w:rPr>
          <w:color w:val="000000"/>
          <w:sz w:val="24"/>
        </w:rPr>
      </w:pPr>
      <w:r w:rsidRPr="002774AF">
        <w:rPr>
          <w:color w:val="000000"/>
          <w:sz w:val="24"/>
        </w:rPr>
        <w:lastRenderedPageBreak/>
        <w:t>“An event or situation with a range of serious consequences which requires special arrangements to be implemented by one or more emergency responder agency”.</w:t>
      </w:r>
    </w:p>
    <w:p w14:paraId="25AAC99B" w14:textId="77777777" w:rsidR="002774AF" w:rsidRDefault="002774AF" w:rsidP="00282AC2">
      <w:pPr>
        <w:rPr>
          <w:color w:val="000000"/>
          <w:sz w:val="24"/>
        </w:rPr>
      </w:pPr>
    </w:p>
    <w:p w14:paraId="6D6714BD" w14:textId="3574BE80" w:rsidR="002774AF" w:rsidRPr="002774AF" w:rsidRDefault="00EA4CC6" w:rsidP="00282AC2">
      <w:pPr>
        <w:rPr>
          <w:color w:val="000000"/>
          <w:sz w:val="24"/>
        </w:rPr>
      </w:pPr>
      <w:r>
        <w:rPr>
          <w:color w:val="000000"/>
          <w:sz w:val="24"/>
        </w:rPr>
        <w:t>The</w:t>
      </w:r>
      <w:r w:rsidR="002774AF" w:rsidRPr="002774AF">
        <w:rPr>
          <w:color w:val="000000"/>
          <w:sz w:val="24"/>
        </w:rPr>
        <w:t xml:space="preserve"> </w:t>
      </w:r>
      <w:r w:rsidR="00AC4467">
        <w:rPr>
          <w:color w:val="000000"/>
          <w:sz w:val="24"/>
        </w:rPr>
        <w:t xml:space="preserve">authors organisation, the </w:t>
      </w:r>
      <w:r w:rsidR="002774AF" w:rsidRPr="002774AF">
        <w:rPr>
          <w:color w:val="000000"/>
          <w:sz w:val="24"/>
        </w:rPr>
        <w:t>N</w:t>
      </w:r>
      <w:r w:rsidR="002774AF">
        <w:rPr>
          <w:color w:val="000000"/>
          <w:sz w:val="24"/>
        </w:rPr>
        <w:t>ational Health Service (NHS)</w:t>
      </w:r>
      <w:r w:rsidR="002774AF" w:rsidRPr="002774AF">
        <w:rPr>
          <w:color w:val="000000"/>
          <w:sz w:val="24"/>
        </w:rPr>
        <w:t>,</w:t>
      </w:r>
      <w:r w:rsidR="00AC4467">
        <w:rPr>
          <w:color w:val="000000"/>
          <w:sz w:val="24"/>
        </w:rPr>
        <w:t xml:space="preserve"> defines a Major Incident as</w:t>
      </w:r>
      <w:r w:rsidR="002774AF" w:rsidRPr="002774AF">
        <w:rPr>
          <w:color w:val="000000"/>
          <w:sz w:val="24"/>
        </w:rPr>
        <w:t xml:space="preserve"> </w:t>
      </w:r>
      <w:r w:rsidR="002774AF">
        <w:rPr>
          <w:color w:val="000000"/>
          <w:sz w:val="24"/>
        </w:rPr>
        <w:t>“</w:t>
      </w:r>
      <w:r w:rsidR="002774AF" w:rsidRPr="002774AF">
        <w:rPr>
          <w:color w:val="000000"/>
          <w:sz w:val="24"/>
        </w:rPr>
        <w:t>any occurrence that presents a serious threat to the health of the community, disruption to the service or causes, or is likely to cause, such numbers or types of casualties as to require special arrangements to be implemented by hospitals</w:t>
      </w:r>
      <w:r w:rsidR="002774AF">
        <w:rPr>
          <w:color w:val="000000"/>
          <w:sz w:val="24"/>
        </w:rPr>
        <w:t>”</w:t>
      </w:r>
      <w:r w:rsidR="00AC4467">
        <w:rPr>
          <w:color w:val="000000"/>
          <w:sz w:val="24"/>
        </w:rPr>
        <w:t>.</w:t>
      </w:r>
    </w:p>
    <w:p w14:paraId="13ED3709" w14:textId="77777777" w:rsidR="002774AF" w:rsidRPr="002774AF" w:rsidRDefault="002774AF" w:rsidP="00282AC2">
      <w:pPr>
        <w:rPr>
          <w:color w:val="000000"/>
          <w:sz w:val="24"/>
        </w:rPr>
      </w:pPr>
    </w:p>
    <w:p w14:paraId="777F8FE5" w14:textId="7E67E8E1" w:rsidR="002F3785" w:rsidRPr="002F3785" w:rsidRDefault="002F3785" w:rsidP="002F3785">
      <w:pPr>
        <w:rPr>
          <w:color w:val="000000"/>
          <w:sz w:val="24"/>
        </w:rPr>
      </w:pPr>
      <w:r w:rsidRPr="002F3785">
        <w:rPr>
          <w:color w:val="000000"/>
          <w:sz w:val="24"/>
        </w:rPr>
        <w:t>The National Risk Register (NRR) is the external version of the</w:t>
      </w:r>
      <w:r>
        <w:rPr>
          <w:color w:val="000000"/>
          <w:sz w:val="24"/>
        </w:rPr>
        <w:t xml:space="preserve"> </w:t>
      </w:r>
      <w:r w:rsidRPr="002F3785">
        <w:rPr>
          <w:color w:val="000000"/>
          <w:sz w:val="24"/>
        </w:rPr>
        <w:t>National Security Risk Assessment (NSRA), which is the government’s</w:t>
      </w:r>
      <w:r>
        <w:rPr>
          <w:color w:val="000000"/>
          <w:sz w:val="24"/>
        </w:rPr>
        <w:t xml:space="preserve"> </w:t>
      </w:r>
      <w:r w:rsidRPr="002F3785">
        <w:rPr>
          <w:color w:val="000000"/>
          <w:sz w:val="24"/>
        </w:rPr>
        <w:t>assessment of the most serious risks facing the UK</w:t>
      </w:r>
      <w:r>
        <w:rPr>
          <w:color w:val="000000"/>
          <w:sz w:val="24"/>
        </w:rPr>
        <w:t xml:space="preserve">. </w:t>
      </w:r>
      <w:r w:rsidRPr="002F3785">
        <w:rPr>
          <w:color w:val="000000"/>
          <w:sz w:val="24"/>
        </w:rPr>
        <w:t xml:space="preserve">The UK faces a broad and diverse range of risks, including threats to lives, health, society, critical infrastructure, economy and sovereignty. Risks may </w:t>
      </w:r>
    </w:p>
    <w:p w14:paraId="10565AF5" w14:textId="719EBB19" w:rsidR="002F3785" w:rsidRPr="002F3785" w:rsidRDefault="002F3785" w:rsidP="002F3785">
      <w:pPr>
        <w:rPr>
          <w:color w:val="000000"/>
          <w:sz w:val="24"/>
        </w:rPr>
      </w:pPr>
      <w:r w:rsidRPr="002F3785">
        <w:rPr>
          <w:color w:val="000000"/>
          <w:sz w:val="24"/>
        </w:rPr>
        <w:t xml:space="preserve">be non-malicious, such as accidents or natural hazards, or they may be malicious threats from malign actors who seek to do us harm. The risks that meet the threshold for inclusion in the NRR would have a substantial impact on the UK’s safety, security and/or critical systems at a national level. The NRR includes information about 89 risks, within 9 risk themes – although several risks could be categorised under </w:t>
      </w:r>
    </w:p>
    <w:p w14:paraId="5BEC2D69" w14:textId="77777777" w:rsidR="002F3785" w:rsidRPr="002F3785" w:rsidRDefault="002F3785" w:rsidP="002F3785">
      <w:pPr>
        <w:rPr>
          <w:color w:val="000000"/>
          <w:sz w:val="24"/>
        </w:rPr>
      </w:pPr>
      <w:r w:rsidRPr="002F3785">
        <w:rPr>
          <w:color w:val="000000"/>
          <w:sz w:val="24"/>
        </w:rPr>
        <w:t>more than one theme. These are:</w:t>
      </w:r>
    </w:p>
    <w:p w14:paraId="0E970F22" w14:textId="77777777" w:rsidR="002F3785" w:rsidRPr="002F3785" w:rsidRDefault="002F3785" w:rsidP="002F3785">
      <w:pPr>
        <w:rPr>
          <w:color w:val="000000"/>
          <w:sz w:val="24"/>
        </w:rPr>
      </w:pPr>
      <w:r w:rsidRPr="002F3785">
        <w:rPr>
          <w:color w:val="000000"/>
          <w:sz w:val="24"/>
        </w:rPr>
        <w:t>• Terrorism</w:t>
      </w:r>
    </w:p>
    <w:p w14:paraId="542C33BD" w14:textId="77777777" w:rsidR="002F3785" w:rsidRPr="002F3785" w:rsidRDefault="002F3785" w:rsidP="002F3785">
      <w:pPr>
        <w:rPr>
          <w:color w:val="000000"/>
          <w:sz w:val="24"/>
        </w:rPr>
      </w:pPr>
      <w:r w:rsidRPr="002F3785">
        <w:rPr>
          <w:color w:val="000000"/>
          <w:sz w:val="24"/>
        </w:rPr>
        <w:t>• Cyber</w:t>
      </w:r>
    </w:p>
    <w:p w14:paraId="3EC9AFD4" w14:textId="77777777" w:rsidR="002F3785" w:rsidRPr="002F3785" w:rsidRDefault="002F3785" w:rsidP="002F3785">
      <w:pPr>
        <w:rPr>
          <w:color w:val="000000"/>
          <w:sz w:val="24"/>
        </w:rPr>
      </w:pPr>
      <w:r w:rsidRPr="002F3785">
        <w:rPr>
          <w:color w:val="000000"/>
          <w:sz w:val="24"/>
        </w:rPr>
        <w:t>• State threats</w:t>
      </w:r>
    </w:p>
    <w:p w14:paraId="5A6B2D82" w14:textId="77777777" w:rsidR="002F3785" w:rsidRPr="002F3785" w:rsidRDefault="002F3785" w:rsidP="002F3785">
      <w:pPr>
        <w:rPr>
          <w:color w:val="000000"/>
          <w:sz w:val="24"/>
        </w:rPr>
      </w:pPr>
      <w:r w:rsidRPr="002F3785">
        <w:rPr>
          <w:color w:val="000000"/>
          <w:sz w:val="24"/>
        </w:rPr>
        <w:t>• Geographic and diplomatic</w:t>
      </w:r>
    </w:p>
    <w:p w14:paraId="5CBDB7BB" w14:textId="77777777" w:rsidR="002F3785" w:rsidRPr="002F3785" w:rsidRDefault="002F3785" w:rsidP="002F3785">
      <w:pPr>
        <w:rPr>
          <w:color w:val="000000"/>
          <w:sz w:val="24"/>
        </w:rPr>
      </w:pPr>
      <w:r w:rsidRPr="002F3785">
        <w:rPr>
          <w:color w:val="000000"/>
          <w:sz w:val="24"/>
        </w:rPr>
        <w:t>• Accidents and systems failures</w:t>
      </w:r>
    </w:p>
    <w:p w14:paraId="753E6329" w14:textId="77777777" w:rsidR="002F3785" w:rsidRPr="002F3785" w:rsidRDefault="002F3785" w:rsidP="002F3785">
      <w:pPr>
        <w:rPr>
          <w:color w:val="000000"/>
          <w:sz w:val="24"/>
        </w:rPr>
      </w:pPr>
      <w:r w:rsidRPr="002F3785">
        <w:rPr>
          <w:color w:val="000000"/>
          <w:sz w:val="24"/>
        </w:rPr>
        <w:t>• Natural and environmental hazards</w:t>
      </w:r>
    </w:p>
    <w:p w14:paraId="756F211D" w14:textId="77777777" w:rsidR="002F3785" w:rsidRPr="002F3785" w:rsidRDefault="002F3785" w:rsidP="002F3785">
      <w:pPr>
        <w:rPr>
          <w:color w:val="000000"/>
          <w:sz w:val="24"/>
        </w:rPr>
      </w:pPr>
      <w:r w:rsidRPr="002F3785">
        <w:rPr>
          <w:color w:val="000000"/>
          <w:sz w:val="24"/>
        </w:rPr>
        <w:t>• Human, animal and plant health</w:t>
      </w:r>
    </w:p>
    <w:p w14:paraId="4356543D" w14:textId="77777777" w:rsidR="002F3785" w:rsidRPr="002F3785" w:rsidRDefault="002F3785" w:rsidP="002F3785">
      <w:pPr>
        <w:rPr>
          <w:color w:val="000000"/>
          <w:sz w:val="24"/>
        </w:rPr>
      </w:pPr>
      <w:r w:rsidRPr="002F3785">
        <w:rPr>
          <w:color w:val="000000"/>
          <w:sz w:val="24"/>
        </w:rPr>
        <w:t>• Societal</w:t>
      </w:r>
    </w:p>
    <w:p w14:paraId="61EA87FE" w14:textId="77777777" w:rsidR="002F3785" w:rsidRDefault="002F3785" w:rsidP="002F3785">
      <w:pPr>
        <w:rPr>
          <w:color w:val="000000"/>
          <w:sz w:val="24"/>
        </w:rPr>
      </w:pPr>
      <w:r w:rsidRPr="002F3785">
        <w:rPr>
          <w:color w:val="000000"/>
          <w:sz w:val="24"/>
        </w:rPr>
        <w:t>• Conflict and instability</w:t>
      </w:r>
    </w:p>
    <w:p w14:paraId="54A1D603" w14:textId="5E6711F5" w:rsidR="002F3785" w:rsidRDefault="00D450FD" w:rsidP="002F3785">
      <w:pPr>
        <w:rPr>
          <w:color w:val="000000"/>
          <w:sz w:val="24"/>
        </w:rPr>
      </w:pPr>
      <w:sdt>
        <w:sdtPr>
          <w:rPr>
            <w:color w:val="000000"/>
            <w:sz w:val="24"/>
          </w:rPr>
          <w:id w:val="1632516057"/>
          <w:citation/>
        </w:sdtPr>
        <w:sdtEndPr/>
        <w:sdtContent>
          <w:r w:rsidR="005E10E2">
            <w:rPr>
              <w:color w:val="000000"/>
              <w:sz w:val="24"/>
            </w:rPr>
            <w:fldChar w:fldCharType="begin"/>
          </w:r>
          <w:r w:rsidR="005E10E2">
            <w:rPr>
              <w:color w:val="000000"/>
              <w:sz w:val="24"/>
            </w:rPr>
            <w:instrText xml:space="preserve">CITATION HmG23 \l 2057 </w:instrText>
          </w:r>
          <w:r w:rsidR="005E10E2">
            <w:rPr>
              <w:color w:val="000000"/>
              <w:sz w:val="24"/>
            </w:rPr>
            <w:fldChar w:fldCharType="separate"/>
          </w:r>
          <w:r w:rsidR="005E10E2" w:rsidRPr="005E10E2">
            <w:rPr>
              <w:noProof/>
              <w:color w:val="000000"/>
              <w:sz w:val="24"/>
            </w:rPr>
            <w:t>(Government, 2023)</w:t>
          </w:r>
          <w:r w:rsidR="005E10E2">
            <w:rPr>
              <w:color w:val="000000"/>
              <w:sz w:val="24"/>
            </w:rPr>
            <w:fldChar w:fldCharType="end"/>
          </w:r>
        </w:sdtContent>
      </w:sdt>
    </w:p>
    <w:p w14:paraId="3CB19D05" w14:textId="77777777" w:rsidR="005E10E2" w:rsidRPr="002F3785" w:rsidRDefault="005E10E2" w:rsidP="002F3785">
      <w:pPr>
        <w:rPr>
          <w:color w:val="000000"/>
          <w:sz w:val="24"/>
        </w:rPr>
      </w:pPr>
    </w:p>
    <w:p w14:paraId="6782CC66" w14:textId="1C03CF8F" w:rsidR="002F3785" w:rsidRPr="002F3785" w:rsidRDefault="002F3785" w:rsidP="002F3785">
      <w:pPr>
        <w:rPr>
          <w:color w:val="000000"/>
          <w:sz w:val="24"/>
        </w:rPr>
      </w:pPr>
      <w:r w:rsidRPr="002F3785">
        <w:rPr>
          <w:color w:val="000000"/>
          <w:sz w:val="24"/>
        </w:rPr>
        <w:t xml:space="preserve">The NRR assesses the likelihood and impact for each risk, following a rigorous and well-tested methodology (see Chapter 2). Risks can manifest in different ways, with different levels of severity. To ensure the UK is prepared for a broad range of scenarios, the NRR sets out a ‘reasonable worst-case scenario’ for each risk. These scenarios are not a prediction of what is most likely to happen, instead they represent the worst plausible manifestation of that particular risk (once highly unlikely variations have been discounted). This enables relevant bodies to undertake proportionate planning. The NRR includes information on the capabilities required to respond to and </w:t>
      </w:r>
    </w:p>
    <w:p w14:paraId="04910A9A" w14:textId="5D771DB9" w:rsidR="00072434" w:rsidRDefault="002F3785" w:rsidP="002F3785">
      <w:pPr>
        <w:rPr>
          <w:color w:val="000000"/>
          <w:sz w:val="24"/>
        </w:rPr>
      </w:pPr>
      <w:r w:rsidRPr="002F3785">
        <w:rPr>
          <w:color w:val="000000"/>
          <w:sz w:val="24"/>
        </w:rPr>
        <w:t xml:space="preserve">recover from the emergency, should the risk </w:t>
      </w:r>
      <w:r w:rsidR="004D14B0" w:rsidRPr="002F3785">
        <w:rPr>
          <w:color w:val="000000"/>
          <w:sz w:val="24"/>
        </w:rPr>
        <w:t>materialise. These</w:t>
      </w:r>
      <w:r w:rsidRPr="002F3785">
        <w:rPr>
          <w:color w:val="000000"/>
          <w:sz w:val="24"/>
        </w:rPr>
        <w:t xml:space="preserve"> are not the only risks facing the UK. The NRR focuses on ‘acute’ risks, which are discrete events requiring an emergency response. In addition, the UK faces a range of serious ‘chronic’ risks, which are long-term challenges that gradually erode our economy, community, way of life, and/or national security. To make the NRR most usable by resilience practitioners, these ‘chronic’ risks are not included in the NRR. This is a reflection of the need for a</w:t>
      </w:r>
      <w:r w:rsidR="004D14B0">
        <w:rPr>
          <w:color w:val="000000"/>
          <w:sz w:val="24"/>
        </w:rPr>
        <w:t xml:space="preserve"> </w:t>
      </w:r>
      <w:r w:rsidRPr="002F3785">
        <w:rPr>
          <w:color w:val="000000"/>
          <w:sz w:val="24"/>
        </w:rPr>
        <w:t>separate process for identifying and managing these risks, and the government is also focused on this. As set out in the Integrated Review Refresh, the government is establishing a new process for identifying and assessing these risks</w:t>
      </w:r>
      <w:r w:rsidR="004D14B0">
        <w:rPr>
          <w:color w:val="000000"/>
          <w:sz w:val="24"/>
        </w:rPr>
        <w:t xml:space="preserve">. </w:t>
      </w:r>
      <w:sdt>
        <w:sdtPr>
          <w:rPr>
            <w:color w:val="000000"/>
            <w:sz w:val="24"/>
          </w:rPr>
          <w:id w:val="-942909583"/>
          <w:citation/>
        </w:sdtPr>
        <w:sdtEndPr/>
        <w:sdtContent>
          <w:r w:rsidR="000342E7">
            <w:rPr>
              <w:color w:val="000000"/>
              <w:sz w:val="24"/>
            </w:rPr>
            <w:fldChar w:fldCharType="begin"/>
          </w:r>
          <w:r w:rsidR="000342E7">
            <w:rPr>
              <w:color w:val="000000"/>
              <w:sz w:val="24"/>
            </w:rPr>
            <w:instrText xml:space="preserve"> CITATION HmG23 \l 2057 </w:instrText>
          </w:r>
          <w:r w:rsidR="000342E7">
            <w:rPr>
              <w:color w:val="000000"/>
              <w:sz w:val="24"/>
            </w:rPr>
            <w:fldChar w:fldCharType="separate"/>
          </w:r>
          <w:r w:rsidR="000342E7" w:rsidRPr="000342E7">
            <w:rPr>
              <w:noProof/>
              <w:color w:val="000000"/>
              <w:sz w:val="24"/>
            </w:rPr>
            <w:t>(Government, 2023)</w:t>
          </w:r>
          <w:r w:rsidR="000342E7">
            <w:rPr>
              <w:color w:val="000000"/>
              <w:sz w:val="24"/>
            </w:rPr>
            <w:fldChar w:fldCharType="end"/>
          </w:r>
        </w:sdtContent>
      </w:sdt>
      <w:r w:rsidR="000342E7">
        <w:rPr>
          <w:color w:val="000000"/>
          <w:sz w:val="24"/>
        </w:rPr>
        <w:t>.</w:t>
      </w:r>
    </w:p>
    <w:p w14:paraId="67F5D318" w14:textId="77777777" w:rsidR="007B0900" w:rsidRDefault="007B0900" w:rsidP="00282AC2">
      <w:pPr>
        <w:rPr>
          <w:color w:val="000000"/>
          <w:sz w:val="24"/>
        </w:rPr>
      </w:pPr>
    </w:p>
    <w:p w14:paraId="62FAAC5B" w14:textId="7E193C4C" w:rsidR="000F3340" w:rsidRDefault="00BE2CA6" w:rsidP="00282AC2">
      <w:pPr>
        <w:rPr>
          <w:color w:val="000000"/>
          <w:sz w:val="24"/>
        </w:rPr>
      </w:pPr>
      <w:r w:rsidRPr="00645BEE">
        <w:rPr>
          <w:color w:val="000000"/>
          <w:sz w:val="24"/>
        </w:rPr>
        <w:t xml:space="preserve">The Act </w:t>
      </w:r>
      <w:r w:rsidR="00904717">
        <w:rPr>
          <w:color w:val="000000"/>
          <w:sz w:val="24"/>
        </w:rPr>
        <w:t xml:space="preserve">itself </w:t>
      </w:r>
      <w:r w:rsidRPr="00645BEE">
        <w:rPr>
          <w:color w:val="000000"/>
          <w:sz w:val="24"/>
        </w:rPr>
        <w:t>is separate</w:t>
      </w:r>
      <w:r>
        <w:rPr>
          <w:color w:val="000000"/>
          <w:sz w:val="24"/>
        </w:rPr>
        <w:t>d into two parts</w:t>
      </w:r>
      <w:r w:rsidR="007A0D60">
        <w:rPr>
          <w:color w:val="000000"/>
          <w:sz w:val="24"/>
        </w:rPr>
        <w:t xml:space="preserve"> as follows</w:t>
      </w:r>
      <w:r>
        <w:rPr>
          <w:color w:val="000000"/>
          <w:sz w:val="24"/>
        </w:rPr>
        <w:t xml:space="preserve">, part one – </w:t>
      </w:r>
      <w:r w:rsidRPr="00645BEE">
        <w:rPr>
          <w:color w:val="000000"/>
          <w:sz w:val="24"/>
        </w:rPr>
        <w:t>Local arrangements for civil protection</w:t>
      </w:r>
      <w:r>
        <w:rPr>
          <w:color w:val="000000"/>
          <w:sz w:val="24"/>
        </w:rPr>
        <w:t>.</w:t>
      </w:r>
    </w:p>
    <w:p w14:paraId="6440B4F6" w14:textId="77777777" w:rsidR="004E08F5" w:rsidRDefault="004E08F5" w:rsidP="00282AC2">
      <w:pPr>
        <w:rPr>
          <w:color w:val="000000"/>
          <w:sz w:val="24"/>
        </w:rPr>
      </w:pPr>
    </w:p>
    <w:p w14:paraId="2C5985A7" w14:textId="0CD4D688" w:rsidR="00397657" w:rsidRPr="00AA68A7" w:rsidRDefault="00451B3E" w:rsidP="00282AC2">
      <w:pPr>
        <w:rPr>
          <w:color w:val="000000"/>
          <w:sz w:val="24"/>
        </w:rPr>
      </w:pPr>
      <w:r>
        <w:rPr>
          <w:color w:val="000000"/>
          <w:sz w:val="24"/>
        </w:rPr>
        <w:t>In this part</w:t>
      </w:r>
      <w:r w:rsidR="000A31E5" w:rsidRPr="00AA68A7">
        <w:rPr>
          <w:color w:val="000000"/>
          <w:sz w:val="24"/>
        </w:rPr>
        <w:t xml:space="preserve"> “</w:t>
      </w:r>
      <w:r w:rsidR="00AA68A7">
        <w:rPr>
          <w:color w:val="000000"/>
          <w:sz w:val="24"/>
        </w:rPr>
        <w:t>E</w:t>
      </w:r>
      <w:r w:rsidR="000A31E5" w:rsidRPr="00AA68A7">
        <w:rPr>
          <w:color w:val="000000"/>
          <w:sz w:val="24"/>
        </w:rPr>
        <w:t xml:space="preserve">mergency” means – </w:t>
      </w:r>
    </w:p>
    <w:p w14:paraId="6CC34B25" w14:textId="77777777" w:rsidR="00397657" w:rsidRPr="00397657" w:rsidRDefault="00397657" w:rsidP="00282AC2">
      <w:pPr>
        <w:pStyle w:val="ListParagraph"/>
        <w:rPr>
          <w:color w:val="000000"/>
          <w:sz w:val="24"/>
        </w:rPr>
      </w:pPr>
    </w:p>
    <w:p w14:paraId="01691317" w14:textId="0D57E30B" w:rsidR="00397657" w:rsidRPr="00451B3E" w:rsidRDefault="00397657" w:rsidP="00282AC2">
      <w:pPr>
        <w:pStyle w:val="ListParagraph"/>
        <w:numPr>
          <w:ilvl w:val="0"/>
          <w:numId w:val="15"/>
        </w:numPr>
        <w:rPr>
          <w:color w:val="000000"/>
          <w:sz w:val="24"/>
        </w:rPr>
      </w:pPr>
      <w:r w:rsidRPr="00451B3E">
        <w:rPr>
          <w:color w:val="000000"/>
          <w:sz w:val="24"/>
        </w:rPr>
        <w:t>An event or situation which threatens serious damage to human welfare in a place in the United Kingdom,</w:t>
      </w:r>
    </w:p>
    <w:p w14:paraId="370E0E68" w14:textId="450CEECD" w:rsidR="00397657" w:rsidRPr="00451B3E" w:rsidRDefault="00397657" w:rsidP="00282AC2">
      <w:pPr>
        <w:pStyle w:val="ListParagraph"/>
        <w:numPr>
          <w:ilvl w:val="0"/>
          <w:numId w:val="15"/>
        </w:numPr>
        <w:rPr>
          <w:color w:val="000000"/>
          <w:sz w:val="24"/>
        </w:rPr>
      </w:pPr>
      <w:r w:rsidRPr="00451B3E">
        <w:rPr>
          <w:color w:val="000000"/>
          <w:sz w:val="24"/>
        </w:rPr>
        <w:t>An event or situation which threatens serious damage to the environment of a place in the United Kingdom, or</w:t>
      </w:r>
    </w:p>
    <w:p w14:paraId="10E8569A" w14:textId="1D770480" w:rsidR="004E08F5" w:rsidRDefault="00397657" w:rsidP="00282AC2">
      <w:pPr>
        <w:pStyle w:val="ListParagraph"/>
        <w:numPr>
          <w:ilvl w:val="0"/>
          <w:numId w:val="15"/>
        </w:numPr>
        <w:rPr>
          <w:color w:val="000000"/>
          <w:sz w:val="24"/>
        </w:rPr>
      </w:pPr>
      <w:r w:rsidRPr="00451B3E">
        <w:rPr>
          <w:color w:val="000000"/>
          <w:sz w:val="24"/>
        </w:rPr>
        <w:t>War, or terrorism, which threatens serious damage to the security of the United Kingdom.</w:t>
      </w:r>
    </w:p>
    <w:p w14:paraId="5435AEB6" w14:textId="77777777" w:rsidR="003D368B" w:rsidRDefault="003D368B" w:rsidP="00282AC2">
      <w:pPr>
        <w:rPr>
          <w:color w:val="000000"/>
          <w:sz w:val="24"/>
        </w:rPr>
      </w:pPr>
    </w:p>
    <w:p w14:paraId="2A7C60E6" w14:textId="210EDBEE" w:rsidR="003D368B" w:rsidRDefault="003D368B" w:rsidP="00282AC2">
      <w:pPr>
        <w:rPr>
          <w:color w:val="000000"/>
          <w:sz w:val="24"/>
        </w:rPr>
      </w:pPr>
      <w:r>
        <w:rPr>
          <w:color w:val="000000"/>
          <w:sz w:val="24"/>
        </w:rPr>
        <w:t xml:space="preserve">Part two – Focuses on Emergency Powers. This part is reserved to the UK Government. For an emergency to be serious enough </w:t>
      </w:r>
      <w:r w:rsidR="00BD1D19">
        <w:rPr>
          <w:color w:val="000000"/>
          <w:sz w:val="24"/>
        </w:rPr>
        <w:t xml:space="preserve">to </w:t>
      </w:r>
      <w:r>
        <w:rPr>
          <w:color w:val="000000"/>
          <w:sz w:val="24"/>
        </w:rPr>
        <w:t xml:space="preserve">require emergency powers, the UK Government wanted full control of their implementation. Part two is a last resort, a </w:t>
      </w:r>
      <w:r w:rsidRPr="00B37024">
        <w:rPr>
          <w:color w:val="000000"/>
          <w:sz w:val="24"/>
        </w:rPr>
        <w:t>tool that can be deployed to address all</w:t>
      </w:r>
      <w:r>
        <w:rPr>
          <w:color w:val="000000"/>
          <w:sz w:val="24"/>
        </w:rPr>
        <w:t xml:space="preserve"> </w:t>
      </w:r>
      <w:r w:rsidRPr="00B37024">
        <w:rPr>
          <w:color w:val="000000"/>
          <w:sz w:val="24"/>
        </w:rPr>
        <w:t>forms of disruptive challenge where existing legislation is insufficient.</w:t>
      </w:r>
    </w:p>
    <w:p w14:paraId="4541FAFA" w14:textId="77777777" w:rsidR="002F5E8E" w:rsidRDefault="002F5E8E" w:rsidP="00282AC2">
      <w:pPr>
        <w:rPr>
          <w:sz w:val="24"/>
        </w:rPr>
      </w:pPr>
    </w:p>
    <w:p w14:paraId="2EC75F74" w14:textId="5CBFCDAB" w:rsidR="00CD24C1" w:rsidRDefault="003D368B" w:rsidP="00282AC2">
      <w:pPr>
        <w:rPr>
          <w:sz w:val="24"/>
        </w:rPr>
      </w:pPr>
      <w:r w:rsidRPr="006675AC">
        <w:rPr>
          <w:sz w:val="24"/>
        </w:rPr>
        <w:t xml:space="preserve">The purpose of Part one </w:t>
      </w:r>
      <w:r>
        <w:rPr>
          <w:sz w:val="24"/>
        </w:rPr>
        <w:t>is to establish a new statutory framework for civil protection at the local level and the detail of what those duties mean and how they should be executed is delivered through the Regulations, which came into force on 14</w:t>
      </w:r>
      <w:r w:rsidRPr="004F2D9C">
        <w:rPr>
          <w:sz w:val="24"/>
          <w:vertAlign w:val="superscript"/>
        </w:rPr>
        <w:t>th</w:t>
      </w:r>
      <w:r>
        <w:rPr>
          <w:sz w:val="24"/>
        </w:rPr>
        <w:t xml:space="preserve"> November 2005. The regulations made under this Act provide more detail in relation to contingency planning and more specific guidance on how these regulations are to be performed. Part one is heavily dependent on the supporting regulations which are fundamental to the establishment of the new legislation for civil protection at the local level. </w:t>
      </w:r>
    </w:p>
    <w:p w14:paraId="51C8FD6D" w14:textId="77777777" w:rsidR="00170DC6" w:rsidRDefault="00170DC6" w:rsidP="00282AC2">
      <w:pPr>
        <w:rPr>
          <w:sz w:val="24"/>
        </w:rPr>
      </w:pPr>
    </w:p>
    <w:p w14:paraId="3825F2CC" w14:textId="2C0F6897" w:rsidR="002F5E8E" w:rsidRDefault="0038456A" w:rsidP="00282AC2">
      <w:pPr>
        <w:rPr>
          <w:sz w:val="24"/>
        </w:rPr>
      </w:pPr>
      <w:r>
        <w:rPr>
          <w:sz w:val="24"/>
        </w:rPr>
        <w:t>The purpose of n</w:t>
      </w:r>
      <w:r w:rsidRPr="0038456A">
        <w:rPr>
          <w:sz w:val="24"/>
        </w:rPr>
        <w:t>on-Statutory Guidance</w:t>
      </w:r>
      <w:r>
        <w:rPr>
          <w:sz w:val="24"/>
        </w:rPr>
        <w:t xml:space="preserve">, </w:t>
      </w:r>
      <w:r w:rsidR="008938E5">
        <w:rPr>
          <w:sz w:val="24"/>
        </w:rPr>
        <w:t xml:space="preserve">with regards to </w:t>
      </w:r>
      <w:r w:rsidRPr="0038456A">
        <w:rPr>
          <w:sz w:val="24"/>
        </w:rPr>
        <w:t>Emergency Response and Recovery</w:t>
      </w:r>
      <w:r>
        <w:rPr>
          <w:sz w:val="24"/>
        </w:rPr>
        <w:t xml:space="preserve">, is </w:t>
      </w:r>
      <w:r w:rsidR="008938E5">
        <w:rPr>
          <w:sz w:val="24"/>
        </w:rPr>
        <w:t xml:space="preserve">intended to </w:t>
      </w:r>
      <w:r w:rsidR="006F22C8">
        <w:rPr>
          <w:sz w:val="24"/>
        </w:rPr>
        <w:t>corroborate</w:t>
      </w:r>
      <w:r w:rsidR="00CB1189">
        <w:rPr>
          <w:sz w:val="24"/>
        </w:rPr>
        <w:t xml:space="preserve"> </w:t>
      </w:r>
      <w:r w:rsidR="006F22C8">
        <w:rPr>
          <w:sz w:val="24"/>
        </w:rPr>
        <w:t xml:space="preserve">best </w:t>
      </w:r>
      <w:r w:rsidR="00CB1189">
        <w:rPr>
          <w:sz w:val="24"/>
        </w:rPr>
        <w:t>practice</w:t>
      </w:r>
      <w:r w:rsidR="00DE728E">
        <w:rPr>
          <w:sz w:val="24"/>
        </w:rPr>
        <w:t xml:space="preserve"> </w:t>
      </w:r>
      <w:r w:rsidR="00095B74">
        <w:rPr>
          <w:sz w:val="24"/>
        </w:rPr>
        <w:t>derived from</w:t>
      </w:r>
      <w:r w:rsidR="00DE728E">
        <w:rPr>
          <w:sz w:val="24"/>
        </w:rPr>
        <w:t xml:space="preserve"> shared learning </w:t>
      </w:r>
      <w:r w:rsidR="00095B74">
        <w:rPr>
          <w:sz w:val="24"/>
        </w:rPr>
        <w:t xml:space="preserve">that has been </w:t>
      </w:r>
      <w:r w:rsidR="00CB1189">
        <w:rPr>
          <w:sz w:val="24"/>
        </w:rPr>
        <w:t xml:space="preserve">identified </w:t>
      </w:r>
      <w:r w:rsidR="00E7300B">
        <w:rPr>
          <w:sz w:val="24"/>
        </w:rPr>
        <w:t>not only in the</w:t>
      </w:r>
      <w:r w:rsidR="007042AF">
        <w:rPr>
          <w:sz w:val="24"/>
        </w:rPr>
        <w:t xml:space="preserve"> UK </w:t>
      </w:r>
      <w:r w:rsidR="00E7300B">
        <w:rPr>
          <w:sz w:val="24"/>
        </w:rPr>
        <w:t>but</w:t>
      </w:r>
      <w:r w:rsidR="007042AF">
        <w:rPr>
          <w:sz w:val="24"/>
        </w:rPr>
        <w:t xml:space="preserve"> internationally</w:t>
      </w:r>
      <w:r w:rsidR="00095B74">
        <w:rPr>
          <w:sz w:val="24"/>
        </w:rPr>
        <w:t xml:space="preserve"> in </w:t>
      </w:r>
      <w:r w:rsidR="00095B74" w:rsidRPr="00095B74">
        <w:rPr>
          <w:sz w:val="24"/>
        </w:rPr>
        <w:t>respon</w:t>
      </w:r>
      <w:r w:rsidR="00E7300B">
        <w:rPr>
          <w:sz w:val="24"/>
        </w:rPr>
        <w:t>ding to</w:t>
      </w:r>
      <w:r w:rsidR="00095B74" w:rsidRPr="00095B74">
        <w:rPr>
          <w:sz w:val="24"/>
        </w:rPr>
        <w:t xml:space="preserve"> and recovering from </w:t>
      </w:r>
      <w:r w:rsidR="00E7300B">
        <w:rPr>
          <w:sz w:val="24"/>
        </w:rPr>
        <w:t>emergency situations.</w:t>
      </w:r>
    </w:p>
    <w:p w14:paraId="65B832FE" w14:textId="77777777" w:rsidR="00813082" w:rsidRDefault="00813082" w:rsidP="00282AC2">
      <w:pPr>
        <w:rPr>
          <w:sz w:val="24"/>
        </w:rPr>
      </w:pPr>
    </w:p>
    <w:p w14:paraId="651DF305" w14:textId="77777777" w:rsidR="00574719" w:rsidRPr="00574719" w:rsidRDefault="00574719" w:rsidP="00282AC2">
      <w:pPr>
        <w:rPr>
          <w:sz w:val="24"/>
        </w:rPr>
      </w:pPr>
      <w:r w:rsidRPr="00574719">
        <w:rPr>
          <w:sz w:val="24"/>
        </w:rPr>
        <w:t>The Emergency Response and Recovery guidance aims to further develop:</w:t>
      </w:r>
    </w:p>
    <w:p w14:paraId="4900E6A6" w14:textId="77777777" w:rsidR="00574719" w:rsidRPr="00574719" w:rsidRDefault="00574719" w:rsidP="00282AC2">
      <w:pPr>
        <w:rPr>
          <w:sz w:val="24"/>
        </w:rPr>
      </w:pPr>
    </w:p>
    <w:p w14:paraId="429D545B" w14:textId="77777777" w:rsidR="00574719" w:rsidRPr="00574719" w:rsidRDefault="00574719" w:rsidP="00282AC2">
      <w:pPr>
        <w:pStyle w:val="ListParagraph"/>
        <w:numPr>
          <w:ilvl w:val="0"/>
          <w:numId w:val="20"/>
        </w:numPr>
        <w:rPr>
          <w:sz w:val="24"/>
        </w:rPr>
      </w:pPr>
      <w:r w:rsidRPr="00574719">
        <w:rPr>
          <w:sz w:val="24"/>
        </w:rPr>
        <w:t>a shared understanding of the multi-agency framework for emergency response and recovery at the local level, and the roles and responsibilities of individual organisations</w:t>
      </w:r>
    </w:p>
    <w:p w14:paraId="28BA1009" w14:textId="77777777" w:rsidR="00574719" w:rsidRPr="00574719" w:rsidRDefault="00574719" w:rsidP="00282AC2">
      <w:pPr>
        <w:pStyle w:val="ListParagraph"/>
        <w:numPr>
          <w:ilvl w:val="0"/>
          <w:numId w:val="20"/>
        </w:numPr>
        <w:rPr>
          <w:sz w:val="24"/>
        </w:rPr>
      </w:pPr>
      <w:r w:rsidRPr="00574719">
        <w:rPr>
          <w:sz w:val="24"/>
        </w:rPr>
        <w:t>a shared understanding of the role of local and national levels in emergency response, and how they will work together</w:t>
      </w:r>
    </w:p>
    <w:p w14:paraId="0505EF1B" w14:textId="77777777" w:rsidR="00574719" w:rsidRPr="00574719" w:rsidRDefault="00574719" w:rsidP="00282AC2">
      <w:pPr>
        <w:pStyle w:val="ListParagraph"/>
        <w:numPr>
          <w:ilvl w:val="0"/>
          <w:numId w:val="20"/>
        </w:numPr>
        <w:rPr>
          <w:sz w:val="24"/>
        </w:rPr>
      </w:pPr>
      <w:r w:rsidRPr="00574719">
        <w:rPr>
          <w:sz w:val="24"/>
        </w:rPr>
        <w:t>a common frame of reference, especially concepts and language, for those involved in responding to emergencies</w:t>
      </w:r>
    </w:p>
    <w:p w14:paraId="1784D694" w14:textId="77777777" w:rsidR="00574719" w:rsidRDefault="00574719" w:rsidP="00282AC2">
      <w:pPr>
        <w:rPr>
          <w:sz w:val="24"/>
        </w:rPr>
      </w:pPr>
    </w:p>
    <w:p w14:paraId="2D871FD0" w14:textId="2214155C" w:rsidR="005744E8" w:rsidRDefault="00574719" w:rsidP="00282AC2">
      <w:pPr>
        <w:rPr>
          <w:sz w:val="24"/>
        </w:rPr>
      </w:pPr>
      <w:r w:rsidRPr="00574719">
        <w:rPr>
          <w:sz w:val="24"/>
        </w:rPr>
        <w:t xml:space="preserve">The modifications made since this document was first published in November 2005 reflect the organisational and operational changes that have occurred as well as the commitment given by the Home Secretary in response to the </w:t>
      </w:r>
      <w:r w:rsidR="002F5E8E" w:rsidRPr="00574719">
        <w:rPr>
          <w:sz w:val="24"/>
        </w:rPr>
        <w:t>coroner’s</w:t>
      </w:r>
      <w:r w:rsidRPr="00574719">
        <w:rPr>
          <w:sz w:val="24"/>
        </w:rPr>
        <w:t xml:space="preserve"> report on the 7 July London bombings</w:t>
      </w:r>
      <w:r w:rsidR="00B45227">
        <w:rPr>
          <w:sz w:val="24"/>
        </w:rPr>
        <w:t xml:space="preserve">. </w:t>
      </w:r>
      <w:sdt>
        <w:sdtPr>
          <w:rPr>
            <w:sz w:val="24"/>
          </w:rPr>
          <w:id w:val="755862917"/>
          <w:citation/>
        </w:sdtPr>
        <w:sdtEndPr/>
        <w:sdtContent>
          <w:r w:rsidR="00930587">
            <w:rPr>
              <w:sz w:val="24"/>
            </w:rPr>
            <w:fldChar w:fldCharType="begin"/>
          </w:r>
          <w:r w:rsidR="00930587">
            <w:rPr>
              <w:sz w:val="24"/>
            </w:rPr>
            <w:instrText xml:space="preserve"> CITATION Cab13 \l 2057 </w:instrText>
          </w:r>
          <w:r w:rsidR="00930587">
            <w:rPr>
              <w:sz w:val="24"/>
            </w:rPr>
            <w:fldChar w:fldCharType="separate"/>
          </w:r>
          <w:r w:rsidR="00876347" w:rsidRPr="00876347">
            <w:rPr>
              <w:noProof/>
              <w:sz w:val="24"/>
            </w:rPr>
            <w:t>(Office, GOV.UK, 2013)</w:t>
          </w:r>
          <w:r w:rsidR="00930587">
            <w:rPr>
              <w:sz w:val="24"/>
            </w:rPr>
            <w:fldChar w:fldCharType="end"/>
          </w:r>
        </w:sdtContent>
      </w:sdt>
    </w:p>
    <w:p w14:paraId="2F6A7F75" w14:textId="77777777" w:rsidR="00BF2A8E" w:rsidRDefault="00BF2A8E" w:rsidP="00282AC2">
      <w:pPr>
        <w:rPr>
          <w:sz w:val="24"/>
        </w:rPr>
      </w:pPr>
    </w:p>
    <w:p w14:paraId="4F5EA95D" w14:textId="1EAFED56" w:rsidR="006C6D74" w:rsidRDefault="00EF4CAE" w:rsidP="00282AC2">
      <w:pPr>
        <w:rPr>
          <w:sz w:val="24"/>
        </w:rPr>
      </w:pPr>
      <w:r>
        <w:rPr>
          <w:sz w:val="24"/>
        </w:rPr>
        <w:t xml:space="preserve">Separate to the </w:t>
      </w:r>
      <w:r w:rsidR="006C6D74">
        <w:rPr>
          <w:sz w:val="24"/>
        </w:rPr>
        <w:t>supporting Statutory and Non</w:t>
      </w:r>
      <w:r w:rsidR="00BF2A8E">
        <w:rPr>
          <w:sz w:val="24"/>
        </w:rPr>
        <w:t>-</w:t>
      </w:r>
      <w:r w:rsidR="006C6D74">
        <w:rPr>
          <w:sz w:val="24"/>
        </w:rPr>
        <w:t>Statutory Guidance of Emer</w:t>
      </w:r>
      <w:r w:rsidR="00340724">
        <w:rPr>
          <w:sz w:val="24"/>
        </w:rPr>
        <w:t xml:space="preserve">gency </w:t>
      </w:r>
      <w:r w:rsidR="00D31A56">
        <w:rPr>
          <w:sz w:val="24"/>
        </w:rPr>
        <w:t>Preparedness and</w:t>
      </w:r>
      <w:r w:rsidR="00340724">
        <w:rPr>
          <w:sz w:val="24"/>
        </w:rPr>
        <w:t xml:space="preserve"> Emergency Response and Recovery, the Gover</w:t>
      </w:r>
      <w:r>
        <w:rPr>
          <w:sz w:val="24"/>
        </w:rPr>
        <w:t xml:space="preserve">nment has </w:t>
      </w:r>
      <w:r w:rsidR="000958EF">
        <w:rPr>
          <w:sz w:val="24"/>
        </w:rPr>
        <w:t>publishe</w:t>
      </w:r>
      <w:r>
        <w:rPr>
          <w:sz w:val="24"/>
        </w:rPr>
        <w:t>d</w:t>
      </w:r>
      <w:r w:rsidR="000958EF">
        <w:rPr>
          <w:sz w:val="24"/>
        </w:rPr>
        <w:t xml:space="preserve"> </w:t>
      </w:r>
      <w:r>
        <w:rPr>
          <w:sz w:val="24"/>
        </w:rPr>
        <w:t xml:space="preserve">supplementary </w:t>
      </w:r>
      <w:r w:rsidR="000958EF">
        <w:rPr>
          <w:sz w:val="24"/>
        </w:rPr>
        <w:t xml:space="preserve">supporting guidance to aid local responders covered by the </w:t>
      </w:r>
      <w:r w:rsidRPr="00EF4CAE">
        <w:rPr>
          <w:sz w:val="24"/>
          <w:szCs w:val="24"/>
        </w:rPr>
        <w:t xml:space="preserve">Civil Contingencies Act 2004. </w:t>
      </w:r>
    </w:p>
    <w:p w14:paraId="50699E09" w14:textId="77777777" w:rsidR="007970FB" w:rsidRDefault="007970FB" w:rsidP="00282AC2">
      <w:pPr>
        <w:rPr>
          <w:sz w:val="24"/>
        </w:rPr>
      </w:pPr>
    </w:p>
    <w:p w14:paraId="0B0805B5" w14:textId="1A7C8924" w:rsidR="007970FB" w:rsidRDefault="007970FB" w:rsidP="00282AC2">
      <w:pPr>
        <w:rPr>
          <w:sz w:val="24"/>
        </w:rPr>
      </w:pPr>
      <w:r>
        <w:rPr>
          <w:sz w:val="24"/>
        </w:rPr>
        <w:t>Such guidance includes</w:t>
      </w:r>
      <w:r w:rsidR="00D31A56">
        <w:rPr>
          <w:sz w:val="24"/>
        </w:rPr>
        <w:t>;</w:t>
      </w:r>
    </w:p>
    <w:p w14:paraId="55AC63AC" w14:textId="77777777" w:rsidR="007970FB" w:rsidRDefault="007970FB" w:rsidP="00282AC2">
      <w:pPr>
        <w:rPr>
          <w:sz w:val="24"/>
        </w:rPr>
      </w:pPr>
    </w:p>
    <w:p w14:paraId="1088D5C7" w14:textId="616F6850" w:rsidR="00D31A56" w:rsidRPr="0090775F" w:rsidRDefault="007970FB" w:rsidP="00282AC2">
      <w:pPr>
        <w:pStyle w:val="ListParagraph"/>
        <w:numPr>
          <w:ilvl w:val="0"/>
          <w:numId w:val="24"/>
        </w:numPr>
        <w:rPr>
          <w:sz w:val="24"/>
        </w:rPr>
      </w:pPr>
      <w:r w:rsidRPr="0090775F">
        <w:rPr>
          <w:sz w:val="24"/>
        </w:rPr>
        <w:t xml:space="preserve">Expectations and Indicators of Good Practice Set for Category 1 and 2 Responders - </w:t>
      </w:r>
      <w:r w:rsidR="00D31A56" w:rsidRPr="0090775F">
        <w:rPr>
          <w:sz w:val="24"/>
        </w:rPr>
        <w:t>aims to clarify what is expected of Category 1 and 2 responders in England and Wales in relation to:</w:t>
      </w:r>
    </w:p>
    <w:p w14:paraId="6C7DE844" w14:textId="77777777" w:rsidR="00D31A56" w:rsidRPr="00D31A56" w:rsidRDefault="00D31A56" w:rsidP="00282AC2">
      <w:pPr>
        <w:pStyle w:val="ListParagraph"/>
        <w:ind w:left="1110"/>
        <w:rPr>
          <w:sz w:val="24"/>
        </w:rPr>
      </w:pPr>
    </w:p>
    <w:p w14:paraId="354462A7" w14:textId="3E542F3C" w:rsidR="00D31A56" w:rsidRPr="00D31A56" w:rsidRDefault="00D31A56" w:rsidP="00282AC2">
      <w:pPr>
        <w:pStyle w:val="ListParagraph"/>
        <w:numPr>
          <w:ilvl w:val="0"/>
          <w:numId w:val="23"/>
        </w:numPr>
        <w:rPr>
          <w:sz w:val="24"/>
        </w:rPr>
      </w:pPr>
      <w:r w:rsidRPr="00D31A56">
        <w:rPr>
          <w:sz w:val="24"/>
        </w:rPr>
        <w:t xml:space="preserve">the duties within the </w:t>
      </w:r>
      <w:r w:rsidR="009B7301">
        <w:rPr>
          <w:sz w:val="24"/>
        </w:rPr>
        <w:t>C</w:t>
      </w:r>
      <w:r w:rsidR="000716F4">
        <w:rPr>
          <w:sz w:val="24"/>
        </w:rPr>
        <w:t>ivil Contingencies Act</w:t>
      </w:r>
      <w:r w:rsidRPr="00D31A56">
        <w:rPr>
          <w:sz w:val="24"/>
        </w:rPr>
        <w:t xml:space="preserve"> 2004 </w:t>
      </w:r>
    </w:p>
    <w:p w14:paraId="1B897484" w14:textId="77777777" w:rsidR="00D31A56" w:rsidRPr="00D31A56" w:rsidRDefault="00D31A56" w:rsidP="00282AC2">
      <w:pPr>
        <w:pStyle w:val="ListParagraph"/>
        <w:numPr>
          <w:ilvl w:val="0"/>
          <w:numId w:val="23"/>
        </w:numPr>
        <w:rPr>
          <w:sz w:val="24"/>
        </w:rPr>
      </w:pPr>
      <w:r w:rsidRPr="00D31A56">
        <w:rPr>
          <w:sz w:val="24"/>
        </w:rPr>
        <w:t>the associated Contingency Planning Regulations 2005 (Regulations) and guidance</w:t>
      </w:r>
    </w:p>
    <w:p w14:paraId="0347A940" w14:textId="77777777" w:rsidR="00D31A56" w:rsidRPr="00D31A56" w:rsidRDefault="00D31A56" w:rsidP="00282AC2">
      <w:pPr>
        <w:pStyle w:val="ListParagraph"/>
        <w:numPr>
          <w:ilvl w:val="0"/>
          <w:numId w:val="23"/>
        </w:numPr>
        <w:rPr>
          <w:sz w:val="24"/>
        </w:rPr>
      </w:pPr>
      <w:r w:rsidRPr="00D31A56">
        <w:rPr>
          <w:sz w:val="24"/>
        </w:rPr>
        <w:t>the National Resilience Capabilities Programme</w:t>
      </w:r>
    </w:p>
    <w:p w14:paraId="70C38CD3" w14:textId="15650CCB" w:rsidR="009B7301" w:rsidRDefault="00D31A56" w:rsidP="00282AC2">
      <w:pPr>
        <w:pStyle w:val="ListParagraph"/>
        <w:numPr>
          <w:ilvl w:val="0"/>
          <w:numId w:val="23"/>
        </w:numPr>
        <w:rPr>
          <w:sz w:val="24"/>
        </w:rPr>
      </w:pPr>
      <w:r w:rsidRPr="00D31A56">
        <w:rPr>
          <w:sz w:val="24"/>
        </w:rPr>
        <w:t>emergency response and recovery</w:t>
      </w:r>
    </w:p>
    <w:p w14:paraId="3A4FAE18" w14:textId="77777777" w:rsidR="009B7301" w:rsidRDefault="009B7301" w:rsidP="00282AC2">
      <w:pPr>
        <w:rPr>
          <w:sz w:val="24"/>
        </w:rPr>
      </w:pPr>
    </w:p>
    <w:p w14:paraId="1E2A8185" w14:textId="2186FE5D" w:rsidR="009B7301" w:rsidRDefault="0090775F" w:rsidP="00282AC2">
      <w:pPr>
        <w:pStyle w:val="ListParagraph"/>
        <w:numPr>
          <w:ilvl w:val="0"/>
          <w:numId w:val="24"/>
        </w:numPr>
        <w:rPr>
          <w:sz w:val="24"/>
        </w:rPr>
      </w:pPr>
      <w:r w:rsidRPr="0090775F">
        <w:rPr>
          <w:sz w:val="24"/>
        </w:rPr>
        <w:t>Preparation and planning for emergencies: responsibilities of responder agencies and others</w:t>
      </w:r>
    </w:p>
    <w:p w14:paraId="1AAFB48A" w14:textId="77777777" w:rsidR="003F574B" w:rsidRDefault="003F574B" w:rsidP="00282AC2">
      <w:pPr>
        <w:pStyle w:val="ListParagraph"/>
        <w:ind w:left="360"/>
        <w:rPr>
          <w:sz w:val="24"/>
        </w:rPr>
      </w:pPr>
    </w:p>
    <w:p w14:paraId="734EEB80" w14:textId="7D4869C8" w:rsidR="003F574B" w:rsidRDefault="00131AB2" w:rsidP="00282AC2">
      <w:pPr>
        <w:pStyle w:val="ListParagraph"/>
        <w:numPr>
          <w:ilvl w:val="0"/>
          <w:numId w:val="26"/>
        </w:numPr>
        <w:rPr>
          <w:sz w:val="24"/>
        </w:rPr>
      </w:pPr>
      <w:r w:rsidRPr="00131AB2">
        <w:rPr>
          <w:sz w:val="24"/>
        </w:rPr>
        <w:t>How the government prepares and plans for emergencies, working nationally, locally and co-operatively to ensure civil protection in the UK.</w:t>
      </w:r>
    </w:p>
    <w:p w14:paraId="2119745D" w14:textId="77777777" w:rsidR="003F574B" w:rsidRDefault="003F574B" w:rsidP="00282AC2">
      <w:pPr>
        <w:pStyle w:val="ListParagraph"/>
        <w:ind w:left="360"/>
        <w:rPr>
          <w:sz w:val="24"/>
        </w:rPr>
      </w:pPr>
    </w:p>
    <w:p w14:paraId="48EEC389" w14:textId="4148D102" w:rsidR="0090775F" w:rsidRDefault="0070230C" w:rsidP="00282AC2">
      <w:pPr>
        <w:pStyle w:val="ListParagraph"/>
        <w:numPr>
          <w:ilvl w:val="0"/>
          <w:numId w:val="24"/>
        </w:numPr>
        <w:rPr>
          <w:sz w:val="24"/>
        </w:rPr>
      </w:pPr>
      <w:r w:rsidRPr="0070230C">
        <w:rPr>
          <w:sz w:val="24"/>
        </w:rPr>
        <w:t>Emergency planning and preparedness: exercises and training</w:t>
      </w:r>
    </w:p>
    <w:p w14:paraId="3D74DBB1" w14:textId="77777777" w:rsidR="003F574B" w:rsidRPr="003F574B" w:rsidRDefault="003F574B" w:rsidP="00282AC2">
      <w:pPr>
        <w:rPr>
          <w:sz w:val="24"/>
        </w:rPr>
      </w:pPr>
    </w:p>
    <w:p w14:paraId="584E55B1" w14:textId="5AF48F5A" w:rsidR="003F574B" w:rsidRPr="003F574B" w:rsidRDefault="003F574B" w:rsidP="00282AC2">
      <w:pPr>
        <w:pStyle w:val="ListParagraph"/>
        <w:numPr>
          <w:ilvl w:val="0"/>
          <w:numId w:val="25"/>
        </w:numPr>
        <w:rPr>
          <w:sz w:val="24"/>
        </w:rPr>
      </w:pPr>
      <w:r w:rsidRPr="003F574B">
        <w:rPr>
          <w:sz w:val="24"/>
        </w:rPr>
        <w:t>The government aims to ensure all organisations are fully prepared for all types of emergencies.</w:t>
      </w:r>
      <w:r>
        <w:rPr>
          <w:sz w:val="24"/>
        </w:rPr>
        <w:t xml:space="preserve"> </w:t>
      </w:r>
      <w:r w:rsidRPr="003F574B">
        <w:rPr>
          <w:sz w:val="24"/>
        </w:rPr>
        <w:t xml:space="preserve">Integral to that is the practising and testing of all the elements of emergency plans. This guide outlines what we mean by exercising, describes different types of exercise, and outlines the exercising which takes place at all levels of government. It also provides some specific examples of recent </w:t>
      </w:r>
      <w:r w:rsidR="00131AB2" w:rsidRPr="003F574B">
        <w:rPr>
          <w:sz w:val="24"/>
        </w:rPr>
        <w:t>exercises. Training</w:t>
      </w:r>
      <w:r w:rsidRPr="003F574B">
        <w:rPr>
          <w:sz w:val="24"/>
        </w:rPr>
        <w:t xml:space="preserve"> staff who are involved in emergency planning and response is fundamental to an organisation’s ability to handle any type of emergency. This guide also outlines the aims of training in this context, describes different types of training, and points out the emphasis placed on training within the Civil Contingencies Act. It also introduces the Central Government Emergency Response Training (CGERT) Course, which is designed to equip people with the knowledge, skills and awareness necessary for their role in crisis management at the national strategic level.</w:t>
      </w:r>
      <w:r w:rsidR="00335B22">
        <w:rPr>
          <w:sz w:val="24"/>
        </w:rPr>
        <w:t xml:space="preserve"> </w:t>
      </w:r>
      <w:sdt>
        <w:sdtPr>
          <w:rPr>
            <w:sz w:val="24"/>
          </w:rPr>
          <w:id w:val="-1616891929"/>
          <w:citation/>
        </w:sdtPr>
        <w:sdtEndPr/>
        <w:sdtContent>
          <w:r w:rsidR="00E024F3">
            <w:rPr>
              <w:sz w:val="24"/>
            </w:rPr>
            <w:fldChar w:fldCharType="begin"/>
          </w:r>
          <w:r w:rsidR="00E024F3">
            <w:rPr>
              <w:sz w:val="24"/>
            </w:rPr>
            <w:instrText xml:space="preserve"> CITATION Cab131 \l 2057 </w:instrText>
          </w:r>
          <w:r w:rsidR="00E024F3">
            <w:rPr>
              <w:sz w:val="24"/>
            </w:rPr>
            <w:fldChar w:fldCharType="separate"/>
          </w:r>
          <w:r w:rsidR="00876347" w:rsidRPr="00876347">
            <w:rPr>
              <w:noProof/>
              <w:sz w:val="24"/>
            </w:rPr>
            <w:t>(Office, Preparation and planning for emergencies: responsibilities of responder agencies and others, 2013)</w:t>
          </w:r>
          <w:r w:rsidR="00E024F3">
            <w:rPr>
              <w:sz w:val="24"/>
            </w:rPr>
            <w:fldChar w:fldCharType="end"/>
          </w:r>
        </w:sdtContent>
      </w:sdt>
    </w:p>
    <w:p w14:paraId="06AC4014" w14:textId="77777777" w:rsidR="005744E8" w:rsidRDefault="005744E8" w:rsidP="00282AC2">
      <w:pPr>
        <w:rPr>
          <w:sz w:val="24"/>
        </w:rPr>
      </w:pPr>
    </w:p>
    <w:p w14:paraId="6AAACD02" w14:textId="7450AE35" w:rsidR="005744E8" w:rsidRDefault="0066280F" w:rsidP="00282AC2">
      <w:pPr>
        <w:rPr>
          <w:sz w:val="24"/>
        </w:rPr>
      </w:pPr>
      <w:r>
        <w:rPr>
          <w:sz w:val="24"/>
        </w:rPr>
        <w:t xml:space="preserve">There are a series of agreements between the UK Government </w:t>
      </w:r>
      <w:r w:rsidR="00450742">
        <w:rPr>
          <w:sz w:val="24"/>
        </w:rPr>
        <w:t>and the devolved administrations in Scotland, Wales and Northern Ireland setting out the principles which underlie relations between them</w:t>
      </w:r>
      <w:r w:rsidR="00E3509B">
        <w:rPr>
          <w:sz w:val="24"/>
        </w:rPr>
        <w:t xml:space="preserve">. It is not intended that these arrangements should be legally binding. The principal agreement is the Memorandum of Understanding </w:t>
      </w:r>
      <w:r w:rsidR="00FB11AB">
        <w:rPr>
          <w:sz w:val="24"/>
        </w:rPr>
        <w:t xml:space="preserve">which provides Joint Ministerial </w:t>
      </w:r>
      <w:r w:rsidR="00725D21">
        <w:rPr>
          <w:sz w:val="24"/>
        </w:rPr>
        <w:t>Committee (JMC) and this is supported by a number of concordats on specific issues</w:t>
      </w:r>
      <w:r w:rsidR="00F6532D">
        <w:rPr>
          <w:sz w:val="24"/>
        </w:rPr>
        <w:t xml:space="preserve">. Included in these is the Concordat between the UK Government and the Welsh Government on the </w:t>
      </w:r>
      <w:r w:rsidR="00A63E44" w:rsidRPr="00A63E44">
        <w:rPr>
          <w:sz w:val="24"/>
        </w:rPr>
        <w:t xml:space="preserve">Civil Contingencies Act </w:t>
      </w:r>
      <w:r w:rsidR="009431EA" w:rsidRPr="00A63E44">
        <w:rPr>
          <w:sz w:val="24"/>
        </w:rPr>
        <w:t>2004.</w:t>
      </w:r>
      <w:r w:rsidR="00F6532D">
        <w:rPr>
          <w:sz w:val="24"/>
        </w:rPr>
        <w:t xml:space="preserve"> </w:t>
      </w:r>
    </w:p>
    <w:p w14:paraId="2F395496" w14:textId="77777777" w:rsidR="00F17BE8" w:rsidRDefault="00F17BE8" w:rsidP="00282AC2">
      <w:pPr>
        <w:rPr>
          <w:sz w:val="24"/>
        </w:rPr>
      </w:pPr>
    </w:p>
    <w:p w14:paraId="42D009F6" w14:textId="55626703" w:rsidR="00880475" w:rsidRDefault="00F17BE8" w:rsidP="00282AC2">
      <w:pPr>
        <w:rPr>
          <w:sz w:val="24"/>
        </w:rPr>
      </w:pPr>
      <w:r>
        <w:rPr>
          <w:sz w:val="24"/>
        </w:rPr>
        <w:t xml:space="preserve">The concordat establishes an agreed framework for co-operation between </w:t>
      </w:r>
      <w:r w:rsidR="00FC5907">
        <w:rPr>
          <w:sz w:val="24"/>
        </w:rPr>
        <w:t xml:space="preserve">the UK Government and the Welsh Government on issues pertaining to Part 2 of the </w:t>
      </w:r>
      <w:bookmarkStart w:id="2" w:name="_Hlk155793889"/>
      <w:r w:rsidR="00FC5907">
        <w:rPr>
          <w:sz w:val="24"/>
        </w:rPr>
        <w:t>C</w:t>
      </w:r>
      <w:r w:rsidR="00A63E44">
        <w:rPr>
          <w:sz w:val="24"/>
        </w:rPr>
        <w:t xml:space="preserve">ivil </w:t>
      </w:r>
      <w:r w:rsidR="00FC5907">
        <w:rPr>
          <w:sz w:val="24"/>
        </w:rPr>
        <w:t>C</w:t>
      </w:r>
      <w:r w:rsidR="00A63E44">
        <w:rPr>
          <w:sz w:val="24"/>
        </w:rPr>
        <w:t xml:space="preserve">ontingencies </w:t>
      </w:r>
      <w:r w:rsidR="00FC5907">
        <w:rPr>
          <w:sz w:val="24"/>
        </w:rPr>
        <w:t>A</w:t>
      </w:r>
      <w:r w:rsidR="00A63E44">
        <w:rPr>
          <w:sz w:val="24"/>
        </w:rPr>
        <w:t>ct</w:t>
      </w:r>
      <w:r w:rsidR="00FC5907">
        <w:rPr>
          <w:sz w:val="24"/>
        </w:rPr>
        <w:t xml:space="preserve"> 2004. </w:t>
      </w:r>
      <w:bookmarkEnd w:id="2"/>
      <w:r w:rsidR="00FC5907">
        <w:rPr>
          <w:sz w:val="24"/>
        </w:rPr>
        <w:t xml:space="preserve">The concordat needs to be read in conjunction with the Regulations and Guidance supporting Part 1 of the Act. They set out in detail how the </w:t>
      </w:r>
      <w:r w:rsidR="00FC5907">
        <w:rPr>
          <w:sz w:val="24"/>
        </w:rPr>
        <w:lastRenderedPageBreak/>
        <w:t>UK Go</w:t>
      </w:r>
      <w:r w:rsidR="00D0721B">
        <w:rPr>
          <w:sz w:val="24"/>
        </w:rPr>
        <w:t xml:space="preserve">vernment and the Welsh Government will cooperate in taking forward Part 1 of the Act. </w:t>
      </w:r>
      <w:r w:rsidR="00A41927">
        <w:rPr>
          <w:sz w:val="24"/>
        </w:rPr>
        <w:t xml:space="preserve">In summary </w:t>
      </w:r>
      <w:r w:rsidR="00880475">
        <w:rPr>
          <w:sz w:val="24"/>
        </w:rPr>
        <w:t xml:space="preserve">the </w:t>
      </w:r>
      <w:r w:rsidR="00A63E44">
        <w:rPr>
          <w:sz w:val="24"/>
        </w:rPr>
        <w:t xml:space="preserve">Civil Contingencies Act 2004. </w:t>
      </w:r>
      <w:r w:rsidR="00880475">
        <w:rPr>
          <w:sz w:val="24"/>
        </w:rPr>
        <w:t xml:space="preserve"> is constructed of the following components:</w:t>
      </w:r>
    </w:p>
    <w:p w14:paraId="5DA4A8E5" w14:textId="6724F4E4" w:rsidR="00880475" w:rsidRPr="00171855" w:rsidRDefault="00880475" w:rsidP="00171855">
      <w:pPr>
        <w:pStyle w:val="ListParagraph"/>
        <w:numPr>
          <w:ilvl w:val="0"/>
          <w:numId w:val="25"/>
        </w:numPr>
        <w:rPr>
          <w:sz w:val="24"/>
        </w:rPr>
      </w:pPr>
      <w:r w:rsidRPr="00171855">
        <w:rPr>
          <w:sz w:val="24"/>
        </w:rPr>
        <w:t>The Act itself</w:t>
      </w:r>
    </w:p>
    <w:p w14:paraId="4AF9A03E" w14:textId="2078E5D8" w:rsidR="00880475" w:rsidRPr="00171855" w:rsidRDefault="00880475" w:rsidP="00171855">
      <w:pPr>
        <w:pStyle w:val="ListParagraph"/>
        <w:numPr>
          <w:ilvl w:val="0"/>
          <w:numId w:val="25"/>
        </w:numPr>
        <w:rPr>
          <w:sz w:val="24"/>
        </w:rPr>
      </w:pPr>
      <w:r w:rsidRPr="00171855">
        <w:rPr>
          <w:sz w:val="24"/>
        </w:rPr>
        <w:t xml:space="preserve">The supporting Regulations </w:t>
      </w:r>
    </w:p>
    <w:p w14:paraId="47F8D9BB" w14:textId="3915B7BB" w:rsidR="00880475" w:rsidRPr="00171855" w:rsidRDefault="009C0BBE" w:rsidP="00171855">
      <w:pPr>
        <w:pStyle w:val="ListParagraph"/>
        <w:numPr>
          <w:ilvl w:val="0"/>
          <w:numId w:val="25"/>
        </w:numPr>
        <w:rPr>
          <w:sz w:val="24"/>
        </w:rPr>
      </w:pPr>
      <w:r w:rsidRPr="00171855">
        <w:rPr>
          <w:sz w:val="24"/>
        </w:rPr>
        <w:t xml:space="preserve">Statutory Guidance – Emergency Preparedness </w:t>
      </w:r>
    </w:p>
    <w:p w14:paraId="6DC0CA0A" w14:textId="59486422" w:rsidR="009C0BBE" w:rsidRPr="00171855" w:rsidRDefault="009C0BBE" w:rsidP="00171855">
      <w:pPr>
        <w:pStyle w:val="ListParagraph"/>
        <w:numPr>
          <w:ilvl w:val="0"/>
          <w:numId w:val="25"/>
        </w:numPr>
        <w:rPr>
          <w:sz w:val="24"/>
        </w:rPr>
      </w:pPr>
      <w:r w:rsidRPr="00171855">
        <w:rPr>
          <w:sz w:val="24"/>
        </w:rPr>
        <w:t>Non-Statutory Guidance</w:t>
      </w:r>
      <w:r w:rsidR="00356A7C" w:rsidRPr="00171855">
        <w:rPr>
          <w:sz w:val="24"/>
        </w:rPr>
        <w:t xml:space="preserve"> – Emergency Response and Recovery</w:t>
      </w:r>
    </w:p>
    <w:p w14:paraId="3DE13173" w14:textId="4D915E57" w:rsidR="00530410" w:rsidRPr="00171855" w:rsidRDefault="00530410" w:rsidP="00171855">
      <w:pPr>
        <w:pStyle w:val="ListParagraph"/>
        <w:numPr>
          <w:ilvl w:val="0"/>
          <w:numId w:val="25"/>
        </w:numPr>
        <w:rPr>
          <w:sz w:val="24"/>
        </w:rPr>
      </w:pPr>
      <w:r w:rsidRPr="00171855">
        <w:rPr>
          <w:sz w:val="24"/>
        </w:rPr>
        <w:t>Concordats and Memoranda of Understanding</w:t>
      </w:r>
    </w:p>
    <w:p w14:paraId="046614DE" w14:textId="35ED98EB" w:rsidR="00530410" w:rsidRPr="00171855" w:rsidRDefault="00530410" w:rsidP="00171855">
      <w:pPr>
        <w:pStyle w:val="ListParagraph"/>
        <w:numPr>
          <w:ilvl w:val="0"/>
          <w:numId w:val="25"/>
        </w:numPr>
        <w:rPr>
          <w:sz w:val="24"/>
        </w:rPr>
      </w:pPr>
      <w:r w:rsidRPr="00171855">
        <w:rPr>
          <w:sz w:val="24"/>
        </w:rPr>
        <w:t xml:space="preserve">Other supporting guidance </w:t>
      </w:r>
      <w:sdt>
        <w:sdtPr>
          <w:rPr>
            <w:sz w:val="24"/>
          </w:rPr>
          <w:id w:val="-1099018011"/>
          <w:citation/>
        </w:sdtPr>
        <w:sdtEndPr/>
        <w:sdtContent>
          <w:r w:rsidR="00171855">
            <w:rPr>
              <w:sz w:val="24"/>
            </w:rPr>
            <w:fldChar w:fldCharType="begin"/>
          </w:r>
          <w:r w:rsidR="00171855">
            <w:rPr>
              <w:sz w:val="24"/>
            </w:rPr>
            <w:instrText xml:space="preserve"> CITATION Cab11 \l 2057 </w:instrText>
          </w:r>
          <w:r w:rsidR="00171855">
            <w:rPr>
              <w:sz w:val="24"/>
            </w:rPr>
            <w:fldChar w:fldCharType="separate"/>
          </w:r>
          <w:r w:rsidR="00876347" w:rsidRPr="00876347">
            <w:rPr>
              <w:noProof/>
              <w:sz w:val="24"/>
            </w:rPr>
            <w:t>(Office, Civil Contingencies Act 2004: concordat between the UK government and the Welsh government, 2011)</w:t>
          </w:r>
          <w:r w:rsidR="00171855">
            <w:rPr>
              <w:sz w:val="24"/>
            </w:rPr>
            <w:fldChar w:fldCharType="end"/>
          </w:r>
        </w:sdtContent>
      </w:sdt>
    </w:p>
    <w:p w14:paraId="6E029485" w14:textId="77777777" w:rsidR="002774AF" w:rsidRDefault="002774AF" w:rsidP="00282AC2">
      <w:pPr>
        <w:rPr>
          <w:sz w:val="24"/>
        </w:rPr>
      </w:pPr>
    </w:p>
    <w:p w14:paraId="5A37753D" w14:textId="77777777" w:rsidR="002774AF" w:rsidRDefault="002774AF" w:rsidP="00282AC2">
      <w:pPr>
        <w:rPr>
          <w:sz w:val="24"/>
        </w:rPr>
      </w:pPr>
    </w:p>
    <w:p w14:paraId="427598C9" w14:textId="7416C6CA" w:rsidR="00855678" w:rsidRPr="00006DE8" w:rsidRDefault="00390AE2" w:rsidP="00282AC2">
      <w:pPr>
        <w:rPr>
          <w:color w:val="242424"/>
          <w:sz w:val="24"/>
          <w:szCs w:val="24"/>
          <w:bdr w:val="none" w:sz="0" w:space="0" w:color="auto" w:frame="1"/>
        </w:rPr>
      </w:pPr>
      <w:r w:rsidRPr="00006DE8">
        <w:rPr>
          <w:color w:val="242424"/>
          <w:sz w:val="24"/>
          <w:szCs w:val="24"/>
          <w:bdr w:val="none" w:sz="0" w:space="0" w:color="auto" w:frame="1"/>
        </w:rPr>
        <w:t>The</w:t>
      </w:r>
      <w:r w:rsidR="00E5161D" w:rsidRPr="00006DE8">
        <w:rPr>
          <w:color w:val="242424"/>
          <w:sz w:val="24"/>
          <w:szCs w:val="24"/>
          <w:bdr w:val="none" w:sz="0" w:space="0" w:color="auto" w:frame="1"/>
        </w:rPr>
        <w:t xml:space="preserve"> transfer of functions to Welsh Ministers under the C</w:t>
      </w:r>
      <w:r w:rsidRPr="00006DE8">
        <w:rPr>
          <w:color w:val="242424"/>
          <w:sz w:val="24"/>
          <w:szCs w:val="24"/>
          <w:bdr w:val="none" w:sz="0" w:space="0" w:color="auto" w:frame="1"/>
        </w:rPr>
        <w:t>ivil Contingencies Act 2004</w:t>
      </w:r>
      <w:r w:rsidR="00E5161D" w:rsidRPr="00006DE8">
        <w:rPr>
          <w:color w:val="242424"/>
          <w:sz w:val="24"/>
          <w:szCs w:val="24"/>
          <w:bdr w:val="none" w:sz="0" w:space="0" w:color="auto" w:frame="1"/>
        </w:rPr>
        <w:t xml:space="preserve"> change</w:t>
      </w:r>
      <w:r w:rsidR="00006DE8" w:rsidRPr="00006DE8">
        <w:rPr>
          <w:color w:val="242424"/>
          <w:sz w:val="24"/>
          <w:szCs w:val="24"/>
          <w:bdr w:val="none" w:sz="0" w:space="0" w:color="auto" w:frame="1"/>
        </w:rPr>
        <w:t>d</w:t>
      </w:r>
      <w:r w:rsidR="00E5161D" w:rsidRPr="00006DE8">
        <w:rPr>
          <w:color w:val="242424"/>
          <w:sz w:val="24"/>
          <w:szCs w:val="24"/>
          <w:bdr w:val="none" w:sz="0" w:space="0" w:color="auto" w:frame="1"/>
        </w:rPr>
        <w:t xml:space="preserve"> the landscape of preparedness for, and response to</w:t>
      </w:r>
      <w:r w:rsidR="005017FF" w:rsidRPr="00006DE8">
        <w:rPr>
          <w:color w:val="242424"/>
          <w:sz w:val="24"/>
          <w:szCs w:val="24"/>
          <w:bdr w:val="none" w:sz="0" w:space="0" w:color="auto" w:frame="1"/>
        </w:rPr>
        <w:t xml:space="preserve"> emergencies</w:t>
      </w:r>
      <w:r w:rsidR="00E5161D" w:rsidRPr="00006DE8">
        <w:rPr>
          <w:color w:val="242424"/>
          <w:sz w:val="24"/>
          <w:szCs w:val="24"/>
          <w:bdr w:val="none" w:sz="0" w:space="0" w:color="auto" w:frame="1"/>
        </w:rPr>
        <w:t>, in Wale</w:t>
      </w:r>
      <w:r w:rsidR="00006DE8" w:rsidRPr="00006DE8">
        <w:rPr>
          <w:color w:val="242424"/>
          <w:sz w:val="24"/>
          <w:szCs w:val="24"/>
          <w:bdr w:val="none" w:sz="0" w:space="0" w:color="auto" w:frame="1"/>
        </w:rPr>
        <w:t xml:space="preserve">s. </w:t>
      </w:r>
    </w:p>
    <w:p w14:paraId="161D53C2" w14:textId="77777777" w:rsidR="00006DE8" w:rsidRDefault="00006DE8" w:rsidP="00282AC2">
      <w:pPr>
        <w:rPr>
          <w:color w:val="000000"/>
          <w:sz w:val="24"/>
        </w:rPr>
      </w:pPr>
    </w:p>
    <w:p w14:paraId="2E1057C7" w14:textId="7E50A7B9" w:rsidR="00927D1E" w:rsidRDefault="00151250" w:rsidP="00282AC2">
      <w:pPr>
        <w:rPr>
          <w:color w:val="000000"/>
          <w:sz w:val="24"/>
        </w:rPr>
      </w:pPr>
      <w:r>
        <w:rPr>
          <w:color w:val="000000"/>
          <w:sz w:val="24"/>
        </w:rPr>
        <w:t>It is important to note that c</w:t>
      </w:r>
      <w:r w:rsidR="00927D1E">
        <w:rPr>
          <w:color w:val="000000"/>
          <w:sz w:val="24"/>
        </w:rPr>
        <w:t xml:space="preserve">ivil contingencies </w:t>
      </w:r>
      <w:proofErr w:type="gramStart"/>
      <w:r w:rsidR="00927D1E">
        <w:rPr>
          <w:color w:val="000000"/>
          <w:sz w:val="24"/>
        </w:rPr>
        <w:t>was</w:t>
      </w:r>
      <w:proofErr w:type="gramEnd"/>
      <w:r w:rsidR="00927D1E">
        <w:rPr>
          <w:color w:val="000000"/>
          <w:sz w:val="24"/>
        </w:rPr>
        <w:t xml:space="preserve"> not a devolved </w:t>
      </w:r>
      <w:r>
        <w:rPr>
          <w:color w:val="000000"/>
          <w:sz w:val="24"/>
        </w:rPr>
        <w:t>function in Wales however, most of the agencies covered by the plan</w:t>
      </w:r>
      <w:r w:rsidR="004A45FA">
        <w:rPr>
          <w:color w:val="000000"/>
          <w:sz w:val="24"/>
        </w:rPr>
        <w:t xml:space="preserve">ned Act were. In addition to this, the National Assembly for Wales was </w:t>
      </w:r>
      <w:r w:rsidR="00A835EE">
        <w:rPr>
          <w:color w:val="000000"/>
          <w:sz w:val="24"/>
        </w:rPr>
        <w:t xml:space="preserve">a </w:t>
      </w:r>
      <w:r w:rsidR="004A45FA">
        <w:rPr>
          <w:color w:val="000000"/>
          <w:sz w:val="24"/>
        </w:rPr>
        <w:t xml:space="preserve">‘body corporate’ </w:t>
      </w:r>
      <w:r w:rsidR="00A835EE">
        <w:rPr>
          <w:color w:val="000000"/>
          <w:sz w:val="24"/>
        </w:rPr>
        <w:t xml:space="preserve">at the time the Act was introduced which made the </w:t>
      </w:r>
      <w:r w:rsidR="002B402E">
        <w:rPr>
          <w:color w:val="000000"/>
          <w:sz w:val="24"/>
        </w:rPr>
        <w:t xml:space="preserve">review of new Westminster </w:t>
      </w:r>
      <w:r w:rsidR="006C77F1">
        <w:rPr>
          <w:color w:val="000000"/>
          <w:sz w:val="24"/>
        </w:rPr>
        <w:t xml:space="preserve">legislation </w:t>
      </w:r>
      <w:r w:rsidR="002B402E">
        <w:rPr>
          <w:color w:val="000000"/>
          <w:sz w:val="24"/>
        </w:rPr>
        <w:t>far mor</w:t>
      </w:r>
      <w:r w:rsidR="006C77F1">
        <w:rPr>
          <w:color w:val="000000"/>
          <w:sz w:val="24"/>
        </w:rPr>
        <w:t xml:space="preserve">e difficult as it was required to go through a scrutiny committee and then the agreement of the Senedd by vote only. </w:t>
      </w:r>
      <w:r w:rsidR="00624D8D">
        <w:rPr>
          <w:color w:val="000000"/>
          <w:sz w:val="24"/>
        </w:rPr>
        <w:t xml:space="preserve">Given the nature and complexity of the early devolution settlement, </w:t>
      </w:r>
      <w:r w:rsidR="00AB23F2">
        <w:rPr>
          <w:color w:val="000000"/>
          <w:sz w:val="24"/>
        </w:rPr>
        <w:t>t</w:t>
      </w:r>
      <w:r w:rsidR="00963AED">
        <w:rPr>
          <w:color w:val="000000"/>
          <w:sz w:val="24"/>
        </w:rPr>
        <w:t xml:space="preserve">he Act reflected the limited powers Wales had. </w:t>
      </w:r>
    </w:p>
    <w:p w14:paraId="48D778D4" w14:textId="77777777" w:rsidR="0074562D" w:rsidRDefault="0074562D" w:rsidP="00282AC2">
      <w:pPr>
        <w:rPr>
          <w:color w:val="000000"/>
          <w:sz w:val="24"/>
        </w:rPr>
      </w:pPr>
    </w:p>
    <w:p w14:paraId="541CF6B6" w14:textId="6D7D7EF7" w:rsidR="00E5161D" w:rsidRDefault="003A0C06" w:rsidP="003A0C06">
      <w:pPr>
        <w:rPr>
          <w:color w:val="000000"/>
          <w:sz w:val="24"/>
        </w:rPr>
      </w:pPr>
      <w:r w:rsidRPr="003A0C06">
        <w:rPr>
          <w:color w:val="000000"/>
          <w:sz w:val="24"/>
        </w:rPr>
        <w:t>No functions will be transferred to Welsh Ministers which will allow them to have powers over the Police or National Security under the Act. Welsh Ministers will not have the power to change the meaning of an emergency under Section 1 of the Act. This reflects the reserved position on policing in Wales and avoids the potential for a situation to arise where there could be a difference between the police and devolved Welsh responders in understanding what constitutes an emergency.</w:t>
      </w:r>
      <w:r>
        <w:rPr>
          <w:color w:val="000000"/>
          <w:sz w:val="24"/>
        </w:rPr>
        <w:t xml:space="preserve"> </w:t>
      </w:r>
      <w:r w:rsidRPr="003A0C06">
        <w:rPr>
          <w:color w:val="000000"/>
          <w:sz w:val="24"/>
        </w:rPr>
        <w:t>Welsh Ministers will now have powers to issue guidance in relation to the civil contingency duties, monitor compliance of the duties of devolved services under the Act and to enforce duties under the Act by way of proceedings in court. Additionally, after consultation with a Minister of the Crown, Welsh Ministers will be able to make regulations, orders and directions in relation to devolved responders, and to make an order amending the list of responder organisations that fall within devolved competence.</w:t>
      </w:r>
      <w:r>
        <w:rPr>
          <w:color w:val="000000"/>
          <w:sz w:val="24"/>
        </w:rPr>
        <w:t xml:space="preserve"> </w:t>
      </w:r>
      <w:sdt>
        <w:sdtPr>
          <w:rPr>
            <w:color w:val="000000"/>
            <w:sz w:val="24"/>
          </w:rPr>
          <w:id w:val="-1392649329"/>
          <w:citation/>
        </w:sdtPr>
        <w:sdtEndPr/>
        <w:sdtContent>
          <w:r w:rsidR="007D43BF">
            <w:rPr>
              <w:color w:val="000000"/>
              <w:sz w:val="24"/>
            </w:rPr>
            <w:fldChar w:fldCharType="begin"/>
          </w:r>
          <w:r w:rsidR="007D43BF">
            <w:rPr>
              <w:color w:val="000000"/>
              <w:sz w:val="24"/>
            </w:rPr>
            <w:instrText xml:space="preserve"> CITATION Car181 \l 2057 </w:instrText>
          </w:r>
          <w:r w:rsidR="007D43BF">
            <w:rPr>
              <w:color w:val="000000"/>
              <w:sz w:val="24"/>
            </w:rPr>
            <w:fldChar w:fldCharType="separate"/>
          </w:r>
          <w:r w:rsidR="00876347" w:rsidRPr="00876347">
            <w:rPr>
              <w:noProof/>
              <w:color w:val="000000"/>
              <w:sz w:val="24"/>
            </w:rPr>
            <w:t>(Carwyn Jones, Written Statement - The Transfer of Executive Functions under Part 1 of the Civil Contingencies Act 2004, 2018)</w:t>
          </w:r>
          <w:r w:rsidR="007D43BF">
            <w:rPr>
              <w:color w:val="000000"/>
              <w:sz w:val="24"/>
            </w:rPr>
            <w:fldChar w:fldCharType="end"/>
          </w:r>
        </w:sdtContent>
      </w:sdt>
    </w:p>
    <w:p w14:paraId="00C4DFEE" w14:textId="77777777" w:rsidR="003A0C06" w:rsidRDefault="003A0C06" w:rsidP="003A0C06">
      <w:pPr>
        <w:rPr>
          <w:color w:val="000000"/>
          <w:sz w:val="24"/>
        </w:rPr>
      </w:pPr>
    </w:p>
    <w:p w14:paraId="5C3E3461" w14:textId="77777777" w:rsidR="0014305F" w:rsidRDefault="004F1DC6" w:rsidP="00282AC2">
      <w:pPr>
        <w:rPr>
          <w:color w:val="000000"/>
          <w:sz w:val="24"/>
        </w:rPr>
      </w:pPr>
      <w:r>
        <w:rPr>
          <w:color w:val="000000"/>
          <w:sz w:val="24"/>
        </w:rPr>
        <w:t>T</w:t>
      </w:r>
      <w:r w:rsidR="000A7B56">
        <w:rPr>
          <w:color w:val="000000"/>
          <w:sz w:val="24"/>
        </w:rPr>
        <w:t xml:space="preserve">o close, the </w:t>
      </w:r>
      <w:r w:rsidR="004D6803">
        <w:rPr>
          <w:color w:val="000000"/>
          <w:sz w:val="24"/>
        </w:rPr>
        <w:t xml:space="preserve">Concordat agreed that the UK Government will consider a request </w:t>
      </w:r>
      <w:r w:rsidR="00485BBF">
        <w:rPr>
          <w:color w:val="000000"/>
          <w:sz w:val="24"/>
        </w:rPr>
        <w:t xml:space="preserve">from the Welsh Government for emergency regulations to be put in force in Wales where a situation requires it. The UK Government will consult with Welsh Government </w:t>
      </w:r>
      <w:r w:rsidR="004E2966">
        <w:rPr>
          <w:color w:val="000000"/>
          <w:sz w:val="24"/>
        </w:rPr>
        <w:t xml:space="preserve">when they make emergency regulations which relate </w:t>
      </w:r>
      <w:r w:rsidR="002A4998">
        <w:rPr>
          <w:color w:val="000000"/>
          <w:sz w:val="24"/>
        </w:rPr>
        <w:t xml:space="preserve">to Wales, where possible. The UK Government will inform the Welsh Government when they make emergency regulations for England. </w:t>
      </w:r>
      <w:r w:rsidR="00495BDC">
        <w:rPr>
          <w:color w:val="000000"/>
          <w:sz w:val="24"/>
        </w:rPr>
        <w:t xml:space="preserve">There was an agreement that Welsh Government should lead on emergencies on devolved issues and the UK on reserved. </w:t>
      </w:r>
    </w:p>
    <w:p w14:paraId="2A17DA21" w14:textId="77777777" w:rsidR="0014305F" w:rsidRDefault="0014305F" w:rsidP="00282AC2">
      <w:pPr>
        <w:rPr>
          <w:color w:val="000000"/>
          <w:sz w:val="24"/>
        </w:rPr>
      </w:pPr>
    </w:p>
    <w:p w14:paraId="7181BA3A" w14:textId="745AE76E" w:rsidR="00F73EF5" w:rsidRDefault="0014305F" w:rsidP="00121CFD">
      <w:pPr>
        <w:rPr>
          <w:color w:val="000000"/>
          <w:sz w:val="24"/>
        </w:rPr>
      </w:pPr>
      <w:r w:rsidRPr="0014305F">
        <w:rPr>
          <w:color w:val="000000"/>
          <w:sz w:val="24"/>
        </w:rPr>
        <w:t xml:space="preserve">Under any Emergency Regulations having effect in relation to Wales, a senior Minister of the Crown (Senior UK Minister) is required to appoint an Emergency Coordinator in Wales (the Wales Emergency Coordinator). There will be a list jointly compiled by the </w:t>
      </w:r>
      <w:r w:rsidRPr="0014305F">
        <w:rPr>
          <w:color w:val="000000"/>
          <w:sz w:val="24"/>
        </w:rPr>
        <w:lastRenderedPageBreak/>
        <w:t>Welsh Assembly Government and the UK Government of designates for this role for particular emergencies where appropriate</w:t>
      </w:r>
      <w:r>
        <w:rPr>
          <w:color w:val="000000"/>
          <w:sz w:val="24"/>
        </w:rPr>
        <w:t>.</w:t>
      </w:r>
      <w:r w:rsidR="00121CFD">
        <w:rPr>
          <w:color w:val="000000"/>
          <w:sz w:val="24"/>
        </w:rPr>
        <w:t xml:space="preserve"> </w:t>
      </w:r>
      <w:r w:rsidR="00121CFD" w:rsidRPr="00121CFD">
        <w:rPr>
          <w:color w:val="000000"/>
          <w:sz w:val="24"/>
        </w:rPr>
        <w:t>The relevant senior Minister will consult the Assembly before issuing any direction or guidance to the WEC except where he/she is unable to do so for reasons of urgency. In such cases, the senior Minister will provide the Assembly with a copy of any such direction or guidance as soon as possible after it is issued.</w:t>
      </w:r>
      <w:r w:rsidR="00121CFD">
        <w:rPr>
          <w:color w:val="000000"/>
          <w:sz w:val="24"/>
        </w:rPr>
        <w:t xml:space="preserve"> </w:t>
      </w:r>
      <w:r w:rsidR="00121CFD" w:rsidRPr="00121CFD">
        <w:rPr>
          <w:color w:val="000000"/>
          <w:sz w:val="24"/>
        </w:rPr>
        <w:t>In the performance of his/her functions the WEC will consult the Welsh Assembly Government, keep the Welsh Assembly Government informed and make regular reports as set out in his/her Terms of Appointment and/or the emergency regulations.</w:t>
      </w:r>
      <w:r w:rsidR="00121CFD">
        <w:rPr>
          <w:color w:val="000000"/>
          <w:sz w:val="24"/>
        </w:rPr>
        <w:t xml:space="preserve"> </w:t>
      </w:r>
      <w:r w:rsidR="00121CFD" w:rsidRPr="00121CFD">
        <w:rPr>
          <w:color w:val="000000"/>
          <w:sz w:val="24"/>
        </w:rPr>
        <w:t>While ultimate decision-making responsibility in relation to the WEC under the Act rests with the responsible UK Minister, the unique position of the First Minister to advise on Welsh matters and arrangements creates an imperative that the UK Minister and the First Minister will work closely together and in agreement. The emphasis will be firmly upon co-operation and consultation between the UK Government and the Welsh Assembly Government at both the planning and response stages with the views of Assembly Ministers being taken into account in all phases of the decision-making process.</w:t>
      </w:r>
      <w:r w:rsidR="00121CFD">
        <w:rPr>
          <w:color w:val="000000"/>
          <w:sz w:val="24"/>
        </w:rPr>
        <w:t xml:space="preserve"> </w:t>
      </w:r>
      <w:r w:rsidR="00121CFD" w:rsidRPr="00121CFD">
        <w:rPr>
          <w:color w:val="000000"/>
          <w:sz w:val="24"/>
        </w:rPr>
        <w:t>The Welsh Assembly Government will be notified by the UK Government of the appointment of Regional Nominated Coordinators in the English regions on the Welsh border.</w:t>
      </w:r>
      <w:r w:rsidR="002C71FC">
        <w:rPr>
          <w:color w:val="000000"/>
          <w:sz w:val="24"/>
        </w:rPr>
        <w:t xml:space="preserve"> </w:t>
      </w:r>
      <w:sdt>
        <w:sdtPr>
          <w:rPr>
            <w:color w:val="000000"/>
            <w:sz w:val="24"/>
          </w:rPr>
          <w:id w:val="2131276029"/>
          <w:citation/>
        </w:sdtPr>
        <w:sdtEndPr/>
        <w:sdtContent>
          <w:r w:rsidR="002C71FC">
            <w:rPr>
              <w:color w:val="000000"/>
              <w:sz w:val="24"/>
            </w:rPr>
            <w:fldChar w:fldCharType="begin"/>
          </w:r>
          <w:r w:rsidR="002C71FC">
            <w:rPr>
              <w:color w:val="000000"/>
              <w:sz w:val="24"/>
            </w:rPr>
            <w:instrText xml:space="preserve"> CITATION Cab111 \l 2057 </w:instrText>
          </w:r>
          <w:r w:rsidR="002C71FC">
            <w:rPr>
              <w:color w:val="000000"/>
              <w:sz w:val="24"/>
            </w:rPr>
            <w:fldChar w:fldCharType="separate"/>
          </w:r>
          <w:r w:rsidR="00876347" w:rsidRPr="00876347">
            <w:rPr>
              <w:noProof/>
              <w:color w:val="000000"/>
              <w:sz w:val="24"/>
            </w:rPr>
            <w:t>(Office, Civil Contingencies Act 2004: concordat between the UK government and the Welsh government, 2011)</w:t>
          </w:r>
          <w:r w:rsidR="002C71FC">
            <w:rPr>
              <w:color w:val="000000"/>
              <w:sz w:val="24"/>
            </w:rPr>
            <w:fldChar w:fldCharType="end"/>
          </w:r>
        </w:sdtContent>
      </w:sdt>
    </w:p>
    <w:p w14:paraId="6D9AFF7E" w14:textId="77777777" w:rsidR="0014305F" w:rsidRDefault="0014305F" w:rsidP="0014305F">
      <w:pPr>
        <w:rPr>
          <w:color w:val="000000"/>
          <w:sz w:val="24"/>
        </w:rPr>
      </w:pPr>
    </w:p>
    <w:p w14:paraId="55A52397" w14:textId="6CB88D0F" w:rsidR="00F73EF5" w:rsidRDefault="00F73EF5" w:rsidP="00282AC2">
      <w:pPr>
        <w:rPr>
          <w:color w:val="000000"/>
          <w:sz w:val="24"/>
        </w:rPr>
      </w:pPr>
      <w:r>
        <w:rPr>
          <w:color w:val="000000"/>
          <w:sz w:val="24"/>
        </w:rPr>
        <w:t>The p</w:t>
      </w:r>
      <w:r w:rsidR="003118D8">
        <w:rPr>
          <w:color w:val="000000"/>
          <w:sz w:val="24"/>
        </w:rPr>
        <w:t xml:space="preserve">rinciple </w:t>
      </w:r>
      <w:r w:rsidR="00F07B93">
        <w:rPr>
          <w:color w:val="000000"/>
          <w:sz w:val="24"/>
        </w:rPr>
        <w:t>of the transfer was to bring the powers of Welsh Ministers more in</w:t>
      </w:r>
      <w:r w:rsidR="00F81CA1">
        <w:rPr>
          <w:color w:val="000000"/>
          <w:sz w:val="24"/>
        </w:rPr>
        <w:t>to line with those of Scottish Ministers</w:t>
      </w:r>
      <w:r w:rsidR="00E93749">
        <w:rPr>
          <w:color w:val="000000"/>
          <w:sz w:val="24"/>
        </w:rPr>
        <w:t xml:space="preserve">. The transfer means that Welsh Ministers </w:t>
      </w:r>
      <w:r w:rsidR="00695424">
        <w:rPr>
          <w:color w:val="000000"/>
          <w:sz w:val="24"/>
        </w:rPr>
        <w:t xml:space="preserve">now have power to issue guidance for civil contingency duties, monitor compliance </w:t>
      </w:r>
      <w:r w:rsidR="00EC5BD2">
        <w:rPr>
          <w:color w:val="000000"/>
          <w:sz w:val="24"/>
        </w:rPr>
        <w:t xml:space="preserve">of the duties of devolved services and to enforce duties under the Act by way of court proceedings. </w:t>
      </w:r>
      <w:sdt>
        <w:sdtPr>
          <w:rPr>
            <w:color w:val="000000"/>
            <w:sz w:val="24"/>
          </w:rPr>
          <w:id w:val="-64882167"/>
          <w:citation/>
        </w:sdtPr>
        <w:sdtEndPr/>
        <w:sdtContent>
          <w:r w:rsidR="00655487">
            <w:rPr>
              <w:color w:val="000000"/>
              <w:sz w:val="24"/>
            </w:rPr>
            <w:fldChar w:fldCharType="begin"/>
          </w:r>
          <w:r w:rsidR="00655487">
            <w:rPr>
              <w:color w:val="000000"/>
              <w:sz w:val="24"/>
            </w:rPr>
            <w:instrText xml:space="preserve"> CITATION Car18 \l 2057 </w:instrText>
          </w:r>
          <w:r w:rsidR="00655487">
            <w:rPr>
              <w:color w:val="000000"/>
              <w:sz w:val="24"/>
            </w:rPr>
            <w:fldChar w:fldCharType="separate"/>
          </w:r>
          <w:r w:rsidR="00876347" w:rsidRPr="00876347">
            <w:rPr>
              <w:noProof/>
              <w:color w:val="000000"/>
              <w:sz w:val="24"/>
            </w:rPr>
            <w:t>(Carwyn Jones, Written Statement - The Transfer of Executive Functions under Part 1 of the Civil Contingencies Act 2004, 2018)</w:t>
          </w:r>
          <w:r w:rsidR="00655487">
            <w:rPr>
              <w:color w:val="000000"/>
              <w:sz w:val="24"/>
            </w:rPr>
            <w:fldChar w:fldCharType="end"/>
          </w:r>
        </w:sdtContent>
      </w:sdt>
    </w:p>
    <w:p w14:paraId="774A6ADB" w14:textId="77777777" w:rsidR="00140664" w:rsidRDefault="00140664" w:rsidP="00282AC2">
      <w:pPr>
        <w:rPr>
          <w:color w:val="000000"/>
          <w:sz w:val="24"/>
        </w:rPr>
      </w:pPr>
    </w:p>
    <w:p w14:paraId="7450F684" w14:textId="6A829C8F" w:rsidR="00140664" w:rsidRDefault="00140664" w:rsidP="00282AC2">
      <w:pPr>
        <w:rPr>
          <w:color w:val="000000"/>
          <w:sz w:val="24"/>
        </w:rPr>
      </w:pPr>
      <w:r>
        <w:rPr>
          <w:color w:val="000000"/>
          <w:sz w:val="24"/>
        </w:rPr>
        <w:t xml:space="preserve">In addition, Welsh Ministers will be able to make regulations, orders and directions </w:t>
      </w:r>
      <w:r w:rsidR="00F4493B">
        <w:rPr>
          <w:color w:val="000000"/>
          <w:sz w:val="24"/>
        </w:rPr>
        <w:t xml:space="preserve">in relation to devolved responders and to make an order amending the list of responder organisations that fall within devolved competence. </w:t>
      </w:r>
      <w:r w:rsidR="000F0A93" w:rsidRPr="000F0A93">
        <w:rPr>
          <w:color w:val="000000"/>
          <w:sz w:val="24"/>
        </w:rPr>
        <w:t>No functions will be transferred to Welsh Ministers which will allow them to have powers over the Police or National Security under the Act. Welsh Ministers will not have the power to change the meaning of an emergency under Section 1 of the Act</w:t>
      </w:r>
      <w:r w:rsidR="000F0A93">
        <w:rPr>
          <w:color w:val="000000"/>
          <w:sz w:val="24"/>
        </w:rPr>
        <w:t xml:space="preserve">. </w:t>
      </w:r>
      <w:r w:rsidR="00036860">
        <w:rPr>
          <w:color w:val="000000"/>
          <w:sz w:val="24"/>
        </w:rPr>
        <w:t xml:space="preserve">It is important to note, </w:t>
      </w:r>
      <w:r w:rsidR="00FD2427" w:rsidRPr="00FD2427">
        <w:rPr>
          <w:color w:val="000000"/>
          <w:sz w:val="24"/>
        </w:rPr>
        <w:t xml:space="preserve">Powers under Part 2 of the Act </w:t>
      </w:r>
      <w:r w:rsidR="00FD2427">
        <w:rPr>
          <w:color w:val="000000"/>
          <w:sz w:val="24"/>
        </w:rPr>
        <w:t>were not</w:t>
      </w:r>
      <w:r w:rsidR="00FD2427" w:rsidRPr="00FD2427">
        <w:rPr>
          <w:color w:val="000000"/>
          <w:sz w:val="24"/>
        </w:rPr>
        <w:t xml:space="preserve"> transferred. This Part of the Act deals specifically with Emergency Powers which the UK Government reserves on a UK basis.</w:t>
      </w:r>
      <w:r w:rsidR="000F0A93">
        <w:rPr>
          <w:color w:val="000000"/>
          <w:sz w:val="24"/>
        </w:rPr>
        <w:t xml:space="preserve"> </w:t>
      </w:r>
      <w:r w:rsidR="004C134B">
        <w:rPr>
          <w:color w:val="000000"/>
          <w:sz w:val="24"/>
        </w:rPr>
        <w:t xml:space="preserve"> </w:t>
      </w:r>
      <w:sdt>
        <w:sdtPr>
          <w:rPr>
            <w:color w:val="000000"/>
            <w:sz w:val="24"/>
          </w:rPr>
          <w:id w:val="-1593083476"/>
          <w:citation/>
        </w:sdtPr>
        <w:sdtEndPr/>
        <w:sdtContent>
          <w:r w:rsidR="0028067E">
            <w:rPr>
              <w:color w:val="000000"/>
              <w:sz w:val="24"/>
            </w:rPr>
            <w:fldChar w:fldCharType="begin"/>
          </w:r>
          <w:r w:rsidR="0028067E">
            <w:rPr>
              <w:color w:val="000000"/>
              <w:sz w:val="24"/>
            </w:rPr>
            <w:instrText xml:space="preserve"> CITATION Car18 \l 2057 </w:instrText>
          </w:r>
          <w:r w:rsidR="0028067E">
            <w:rPr>
              <w:color w:val="000000"/>
              <w:sz w:val="24"/>
            </w:rPr>
            <w:fldChar w:fldCharType="separate"/>
          </w:r>
          <w:r w:rsidR="00876347" w:rsidRPr="00876347">
            <w:rPr>
              <w:noProof/>
              <w:color w:val="000000"/>
              <w:sz w:val="24"/>
            </w:rPr>
            <w:t>(Carwyn Jones, Written Statement - The Transfer of Executive Functions under Part 1 of the Civil Contingencies Act 2004, 2018)</w:t>
          </w:r>
          <w:r w:rsidR="0028067E">
            <w:rPr>
              <w:color w:val="000000"/>
              <w:sz w:val="24"/>
            </w:rPr>
            <w:fldChar w:fldCharType="end"/>
          </w:r>
        </w:sdtContent>
      </w:sdt>
    </w:p>
    <w:p w14:paraId="05185A67" w14:textId="77777777" w:rsidR="00611AA9" w:rsidRDefault="00611AA9" w:rsidP="00282AC2">
      <w:pPr>
        <w:rPr>
          <w:color w:val="000000"/>
          <w:sz w:val="24"/>
        </w:rPr>
      </w:pPr>
    </w:p>
    <w:p w14:paraId="4A8597D5" w14:textId="132E0DFE" w:rsidR="00F95253" w:rsidRPr="00F95253" w:rsidRDefault="00F95253" w:rsidP="00282AC2">
      <w:pPr>
        <w:rPr>
          <w:color w:val="000000"/>
          <w:sz w:val="24"/>
        </w:rPr>
      </w:pPr>
      <w:r w:rsidRPr="00F95253">
        <w:rPr>
          <w:color w:val="000000"/>
          <w:sz w:val="24"/>
        </w:rPr>
        <w:t>Evidence provided by the Wales Audit Office, the Public Accounts Committee and the Report of the Commission on Devolution in Wales, all showed that the statutory position on civil contingencies was complex and confusing.  Changes were necessary to provide a clear understanding on roles and responsibilities and to strengthen strategic oversight of the legislation. This transfer creates an opportunity to provide a less ambiguous constitutional platform from which to develop preparedness across all agencies and so strengthen resilience against the growing risks. It is the most effective way of clarifying accountability and it recognises the Welsh Ministers’ existing de facto role and the co-ordination function the Welsh Government undertakes.</w:t>
      </w:r>
      <w:r w:rsidR="00052E80">
        <w:rPr>
          <w:color w:val="000000"/>
          <w:sz w:val="24"/>
        </w:rPr>
        <w:t xml:space="preserve"> </w:t>
      </w:r>
      <w:sdt>
        <w:sdtPr>
          <w:rPr>
            <w:color w:val="000000"/>
            <w:sz w:val="24"/>
          </w:rPr>
          <w:id w:val="169604167"/>
          <w:citation/>
        </w:sdtPr>
        <w:sdtEndPr/>
        <w:sdtContent>
          <w:r w:rsidR="00052E80">
            <w:rPr>
              <w:color w:val="000000"/>
              <w:sz w:val="24"/>
            </w:rPr>
            <w:fldChar w:fldCharType="begin"/>
          </w:r>
          <w:r w:rsidR="00052E80">
            <w:rPr>
              <w:color w:val="000000"/>
              <w:sz w:val="24"/>
            </w:rPr>
            <w:instrText xml:space="preserve"> CITATION Car18 \l 2057 </w:instrText>
          </w:r>
          <w:r w:rsidR="00052E80">
            <w:rPr>
              <w:color w:val="000000"/>
              <w:sz w:val="24"/>
            </w:rPr>
            <w:fldChar w:fldCharType="separate"/>
          </w:r>
          <w:r w:rsidR="00876347" w:rsidRPr="00876347">
            <w:rPr>
              <w:noProof/>
              <w:color w:val="000000"/>
              <w:sz w:val="24"/>
            </w:rPr>
            <w:t>(Carwyn Jones, Written Statement - The Transfer of Executive Functions under Part 1 of the Civil Contingencies Act 2004, 2018)</w:t>
          </w:r>
          <w:r w:rsidR="00052E80">
            <w:rPr>
              <w:color w:val="000000"/>
              <w:sz w:val="24"/>
            </w:rPr>
            <w:fldChar w:fldCharType="end"/>
          </w:r>
        </w:sdtContent>
      </w:sdt>
    </w:p>
    <w:p w14:paraId="021EB37B" w14:textId="77777777" w:rsidR="00F95253" w:rsidRPr="00F95253" w:rsidRDefault="00F95253" w:rsidP="00282AC2">
      <w:pPr>
        <w:rPr>
          <w:color w:val="000000"/>
          <w:sz w:val="24"/>
        </w:rPr>
      </w:pPr>
    </w:p>
    <w:p w14:paraId="4D733CCF" w14:textId="20748101" w:rsidR="00903A2F" w:rsidRDefault="00F95253" w:rsidP="00282AC2">
      <w:pPr>
        <w:rPr>
          <w:color w:val="000000"/>
          <w:sz w:val="24"/>
        </w:rPr>
      </w:pPr>
      <w:r w:rsidRPr="00F95253">
        <w:rPr>
          <w:color w:val="000000"/>
          <w:sz w:val="24"/>
        </w:rPr>
        <w:lastRenderedPageBreak/>
        <w:t>Existing UK legislation provides Welsh Ministers very limited formal powers in respect of civil contingencies but this has not prevented us from exercising a de facto leadership and co-ordination role. This is evidenced by the work of the Wales Resilience Forum, which I chair, and its relationship with the four Local Resilience Fora and individual agencies, all working together to strengthen our ability to respond effectively to emergencies.</w:t>
      </w:r>
      <w:sdt>
        <w:sdtPr>
          <w:rPr>
            <w:color w:val="000000"/>
            <w:sz w:val="24"/>
          </w:rPr>
          <w:id w:val="-449328625"/>
          <w:citation/>
        </w:sdtPr>
        <w:sdtEndPr/>
        <w:sdtContent>
          <w:r w:rsidR="00052E80">
            <w:rPr>
              <w:color w:val="000000"/>
              <w:sz w:val="24"/>
            </w:rPr>
            <w:fldChar w:fldCharType="begin"/>
          </w:r>
          <w:r w:rsidR="00052E80">
            <w:rPr>
              <w:color w:val="000000"/>
              <w:sz w:val="24"/>
            </w:rPr>
            <w:instrText xml:space="preserve"> CITATION Car18 \l 2057 </w:instrText>
          </w:r>
          <w:r w:rsidR="00052E80">
            <w:rPr>
              <w:color w:val="000000"/>
              <w:sz w:val="24"/>
            </w:rPr>
            <w:fldChar w:fldCharType="separate"/>
          </w:r>
          <w:r w:rsidR="00876347">
            <w:rPr>
              <w:noProof/>
              <w:color w:val="000000"/>
              <w:sz w:val="24"/>
            </w:rPr>
            <w:t xml:space="preserve"> </w:t>
          </w:r>
          <w:r w:rsidR="00876347" w:rsidRPr="00876347">
            <w:rPr>
              <w:noProof/>
              <w:color w:val="000000"/>
              <w:sz w:val="24"/>
            </w:rPr>
            <w:t>(Carwyn Jones, Written Statement - The Transfer of Executive Functions under Part 1 of the Civil Contingencies Act 2004, 2018)</w:t>
          </w:r>
          <w:r w:rsidR="00052E80">
            <w:rPr>
              <w:color w:val="000000"/>
              <w:sz w:val="24"/>
            </w:rPr>
            <w:fldChar w:fldCharType="end"/>
          </w:r>
        </w:sdtContent>
      </w:sdt>
    </w:p>
    <w:p w14:paraId="47A188AE" w14:textId="77777777" w:rsidR="00F95253" w:rsidRDefault="00F95253" w:rsidP="00282AC2">
      <w:pPr>
        <w:rPr>
          <w:color w:val="000000"/>
          <w:sz w:val="24"/>
        </w:rPr>
      </w:pPr>
    </w:p>
    <w:p w14:paraId="24A1E783" w14:textId="4682B70C" w:rsidR="00903A2F" w:rsidRDefault="00903A2F" w:rsidP="00B63326">
      <w:pPr>
        <w:rPr>
          <w:color w:val="000000"/>
          <w:sz w:val="24"/>
        </w:rPr>
      </w:pPr>
      <w:r>
        <w:rPr>
          <w:color w:val="000000"/>
          <w:sz w:val="24"/>
        </w:rPr>
        <w:t>These new functions provide powers to Welsh Ministers</w:t>
      </w:r>
      <w:r w:rsidR="00336E4E">
        <w:rPr>
          <w:color w:val="000000"/>
          <w:sz w:val="24"/>
        </w:rPr>
        <w:t xml:space="preserve"> to monitor and audit compliance of duties within devolved agencies.</w:t>
      </w:r>
      <w:r w:rsidR="008D3A02">
        <w:rPr>
          <w:color w:val="000000"/>
          <w:sz w:val="24"/>
        </w:rPr>
        <w:t xml:space="preserve"> </w:t>
      </w:r>
      <w:r w:rsidR="0076190B">
        <w:rPr>
          <w:color w:val="000000"/>
          <w:sz w:val="24"/>
        </w:rPr>
        <w:t>I</w:t>
      </w:r>
      <w:r w:rsidR="00B63326" w:rsidRPr="00B63326">
        <w:rPr>
          <w:color w:val="000000"/>
          <w:sz w:val="24"/>
        </w:rPr>
        <w:t>n 2012, the Civil Contingencies Act Enhancement Programme assessed whether the C</w:t>
      </w:r>
      <w:r w:rsidR="00B63326">
        <w:rPr>
          <w:color w:val="000000"/>
          <w:sz w:val="24"/>
        </w:rPr>
        <w:t xml:space="preserve">ivil </w:t>
      </w:r>
      <w:r w:rsidR="00B63326" w:rsidRPr="00B63326">
        <w:rPr>
          <w:color w:val="000000"/>
          <w:sz w:val="24"/>
        </w:rPr>
        <w:t>C</w:t>
      </w:r>
      <w:r w:rsidR="00B63326">
        <w:rPr>
          <w:color w:val="000000"/>
          <w:sz w:val="24"/>
        </w:rPr>
        <w:t xml:space="preserve">ontingencies </w:t>
      </w:r>
      <w:r w:rsidR="00B63326" w:rsidRPr="00B63326">
        <w:rPr>
          <w:color w:val="000000"/>
          <w:sz w:val="24"/>
        </w:rPr>
        <w:t>A</w:t>
      </w:r>
      <w:r w:rsidR="00B63326">
        <w:rPr>
          <w:color w:val="000000"/>
          <w:sz w:val="24"/>
        </w:rPr>
        <w:t>ct</w:t>
      </w:r>
      <w:r w:rsidR="00B63326" w:rsidRPr="00B63326">
        <w:rPr>
          <w:color w:val="000000"/>
          <w:sz w:val="24"/>
        </w:rPr>
        <w:t xml:space="preserve"> was working as intended. It found that emergency planning might not have been</w:t>
      </w:r>
      <w:r w:rsidR="00B63326">
        <w:rPr>
          <w:color w:val="000000"/>
          <w:sz w:val="24"/>
        </w:rPr>
        <w:t xml:space="preserve"> </w:t>
      </w:r>
      <w:r w:rsidR="00B63326" w:rsidRPr="00B63326">
        <w:rPr>
          <w:color w:val="000000"/>
          <w:sz w:val="24"/>
        </w:rPr>
        <w:t>carried out as effectively as possible and subsequent changes were made to the Regulations to clarify expectations of responders’ duty to cooperate. As a part of these changes and in accordance with standard practice at the time*, a clause was also inserted (Regulation 59) requiring a review of the operation and effectiveness of the Regulations, with a report to be laid before parliament within five years (April 2017)</w:t>
      </w:r>
      <w:r w:rsidR="00B63326">
        <w:rPr>
          <w:color w:val="000000"/>
          <w:sz w:val="24"/>
        </w:rPr>
        <w:t xml:space="preserve">. </w:t>
      </w:r>
      <w:sdt>
        <w:sdtPr>
          <w:rPr>
            <w:color w:val="000000"/>
            <w:sz w:val="24"/>
          </w:rPr>
          <w:id w:val="287480789"/>
          <w:citation/>
        </w:sdtPr>
        <w:sdtEndPr/>
        <w:sdtContent>
          <w:r w:rsidR="0002244D">
            <w:rPr>
              <w:color w:val="000000"/>
              <w:sz w:val="24"/>
            </w:rPr>
            <w:fldChar w:fldCharType="begin"/>
          </w:r>
          <w:r w:rsidR="0002244D">
            <w:rPr>
              <w:color w:val="000000"/>
              <w:sz w:val="24"/>
            </w:rPr>
            <w:instrText xml:space="preserve"> CITATION Rep17 \l 2057 </w:instrText>
          </w:r>
          <w:r w:rsidR="0002244D">
            <w:rPr>
              <w:color w:val="000000"/>
              <w:sz w:val="24"/>
            </w:rPr>
            <w:fldChar w:fldCharType="separate"/>
          </w:r>
          <w:r w:rsidR="00876347" w:rsidRPr="00876347">
            <w:rPr>
              <w:noProof/>
              <w:color w:val="000000"/>
              <w:sz w:val="24"/>
            </w:rPr>
            <w:t>(Report of the Post Implementation Review of the CCA 2004 Regulations 2005, 2017)</w:t>
          </w:r>
          <w:r w:rsidR="0002244D">
            <w:rPr>
              <w:color w:val="000000"/>
              <w:sz w:val="24"/>
            </w:rPr>
            <w:fldChar w:fldCharType="end"/>
          </w:r>
        </w:sdtContent>
      </w:sdt>
    </w:p>
    <w:p w14:paraId="5E5ACD2F" w14:textId="77777777" w:rsidR="00724933" w:rsidRDefault="00724933" w:rsidP="00282AC2">
      <w:pPr>
        <w:rPr>
          <w:color w:val="000000"/>
          <w:sz w:val="24"/>
        </w:rPr>
      </w:pPr>
    </w:p>
    <w:p w14:paraId="452A36E9" w14:textId="357E7E1B" w:rsidR="008E0665" w:rsidRPr="008E0665" w:rsidRDefault="008E0665" w:rsidP="008E0665">
      <w:pPr>
        <w:rPr>
          <w:color w:val="000000"/>
          <w:sz w:val="24"/>
        </w:rPr>
      </w:pPr>
      <w:r>
        <w:rPr>
          <w:color w:val="000000"/>
          <w:sz w:val="24"/>
        </w:rPr>
        <w:t xml:space="preserve">The </w:t>
      </w:r>
      <w:r w:rsidRPr="008E0665">
        <w:rPr>
          <w:color w:val="000000"/>
          <w:sz w:val="24"/>
        </w:rPr>
        <w:t>understanding of the risk landscape has evolved substantially since the last</w:t>
      </w:r>
    </w:p>
    <w:p w14:paraId="7F895897" w14:textId="77777777" w:rsidR="008E0665" w:rsidRPr="008E0665" w:rsidRDefault="008E0665" w:rsidP="008E0665">
      <w:pPr>
        <w:rPr>
          <w:color w:val="000000"/>
          <w:sz w:val="24"/>
        </w:rPr>
      </w:pPr>
      <w:r w:rsidRPr="008E0665">
        <w:rPr>
          <w:color w:val="000000"/>
          <w:sz w:val="24"/>
        </w:rPr>
        <w:t>Post-Implementation review (PIR) in 2017. The events of recent years, such as</w:t>
      </w:r>
    </w:p>
    <w:p w14:paraId="531891CA" w14:textId="77777777" w:rsidR="008E0665" w:rsidRPr="008E0665" w:rsidRDefault="008E0665" w:rsidP="008E0665">
      <w:pPr>
        <w:rPr>
          <w:color w:val="000000"/>
          <w:sz w:val="24"/>
        </w:rPr>
      </w:pPr>
      <w:r w:rsidRPr="008E0665">
        <w:rPr>
          <w:color w:val="000000"/>
          <w:sz w:val="24"/>
        </w:rPr>
        <w:t>planning the UK’s exit from the European Union and responses to the Salisbury</w:t>
      </w:r>
    </w:p>
    <w:p w14:paraId="709DD2D0" w14:textId="77777777" w:rsidR="008E0665" w:rsidRPr="008E0665" w:rsidRDefault="008E0665" w:rsidP="008E0665">
      <w:pPr>
        <w:rPr>
          <w:color w:val="000000"/>
          <w:sz w:val="24"/>
        </w:rPr>
      </w:pPr>
      <w:proofErr w:type="spellStart"/>
      <w:r w:rsidRPr="008E0665">
        <w:rPr>
          <w:color w:val="000000"/>
          <w:sz w:val="24"/>
        </w:rPr>
        <w:t>Novichok</w:t>
      </w:r>
      <w:proofErr w:type="spellEnd"/>
      <w:r w:rsidRPr="008E0665">
        <w:rPr>
          <w:color w:val="000000"/>
          <w:sz w:val="24"/>
        </w:rPr>
        <w:t xml:space="preserve"> attack, the Manchester Arena attack, the Grenfell Tower fire and the</w:t>
      </w:r>
    </w:p>
    <w:p w14:paraId="71AD6CFF" w14:textId="77777777" w:rsidR="008E0665" w:rsidRPr="008E0665" w:rsidRDefault="008E0665" w:rsidP="008E0665">
      <w:pPr>
        <w:rPr>
          <w:color w:val="000000"/>
          <w:sz w:val="24"/>
        </w:rPr>
      </w:pPr>
      <w:r w:rsidRPr="008E0665">
        <w:rPr>
          <w:color w:val="000000"/>
          <w:sz w:val="24"/>
        </w:rPr>
        <w:t>Coronavirus pandemic, have created a need to review the national approach to</w:t>
      </w:r>
    </w:p>
    <w:p w14:paraId="70A3F714" w14:textId="4C0AAAFB" w:rsidR="008E0665" w:rsidRPr="008E0665" w:rsidRDefault="008E0665" w:rsidP="008E0665">
      <w:pPr>
        <w:rPr>
          <w:color w:val="000000"/>
          <w:sz w:val="24"/>
        </w:rPr>
      </w:pPr>
      <w:r w:rsidRPr="008E0665">
        <w:rPr>
          <w:color w:val="000000"/>
          <w:sz w:val="24"/>
        </w:rPr>
        <w:t>resilience.</w:t>
      </w:r>
      <w:r>
        <w:rPr>
          <w:color w:val="000000"/>
          <w:sz w:val="24"/>
        </w:rPr>
        <w:t xml:space="preserve"> </w:t>
      </w:r>
      <w:r w:rsidRPr="008E0665">
        <w:rPr>
          <w:color w:val="000000"/>
          <w:sz w:val="24"/>
        </w:rPr>
        <w:t>The 2022 PIR recognises that there are a range of ongoing inquiries and reviews, at</w:t>
      </w:r>
      <w:r>
        <w:rPr>
          <w:color w:val="000000"/>
          <w:sz w:val="24"/>
        </w:rPr>
        <w:t xml:space="preserve"> </w:t>
      </w:r>
      <w:r w:rsidRPr="008E0665">
        <w:rPr>
          <w:color w:val="000000"/>
          <w:sz w:val="24"/>
        </w:rPr>
        <w:t>various stages of completion, which are considering the events of recent years.</w:t>
      </w:r>
      <w:r>
        <w:rPr>
          <w:color w:val="000000"/>
          <w:sz w:val="24"/>
        </w:rPr>
        <w:t xml:space="preserve"> </w:t>
      </w:r>
      <w:r w:rsidRPr="008E0665">
        <w:rPr>
          <w:color w:val="000000"/>
          <w:sz w:val="24"/>
        </w:rPr>
        <w:t>Where findings and recommendations are available the 2022 PIR has considered the</w:t>
      </w:r>
      <w:r>
        <w:rPr>
          <w:color w:val="000000"/>
          <w:sz w:val="24"/>
        </w:rPr>
        <w:t xml:space="preserve"> </w:t>
      </w:r>
      <w:r w:rsidRPr="008E0665">
        <w:rPr>
          <w:color w:val="000000"/>
          <w:sz w:val="24"/>
        </w:rPr>
        <w:t>lessons of these reports and, where relevant, assessed the case for amendments to</w:t>
      </w:r>
      <w:r>
        <w:rPr>
          <w:color w:val="000000"/>
          <w:sz w:val="24"/>
        </w:rPr>
        <w:t xml:space="preserve"> </w:t>
      </w:r>
      <w:r w:rsidRPr="008E0665">
        <w:rPr>
          <w:color w:val="000000"/>
          <w:sz w:val="24"/>
        </w:rPr>
        <w:t>the legislation. The timing of the 2022 review is in keeping with the statutory</w:t>
      </w:r>
      <w:r>
        <w:rPr>
          <w:color w:val="000000"/>
          <w:sz w:val="24"/>
        </w:rPr>
        <w:t xml:space="preserve"> </w:t>
      </w:r>
      <w:r w:rsidRPr="008E0665">
        <w:rPr>
          <w:color w:val="000000"/>
          <w:sz w:val="24"/>
        </w:rPr>
        <w:t>requirement to review the legislation but it has also provided the opportunity to</w:t>
      </w:r>
      <w:r>
        <w:rPr>
          <w:color w:val="000000"/>
          <w:sz w:val="24"/>
        </w:rPr>
        <w:t xml:space="preserve"> </w:t>
      </w:r>
      <w:r w:rsidRPr="008E0665">
        <w:rPr>
          <w:color w:val="000000"/>
          <w:sz w:val="24"/>
        </w:rPr>
        <w:t>identify amendments where strong evidence is already available and supports the</w:t>
      </w:r>
    </w:p>
    <w:p w14:paraId="5D4AC029" w14:textId="77777777" w:rsidR="008E0665" w:rsidRPr="008E0665" w:rsidRDefault="008E0665" w:rsidP="008E0665">
      <w:pPr>
        <w:rPr>
          <w:color w:val="000000"/>
          <w:sz w:val="24"/>
        </w:rPr>
      </w:pPr>
      <w:r w:rsidRPr="008E0665">
        <w:rPr>
          <w:color w:val="000000"/>
          <w:sz w:val="24"/>
        </w:rPr>
        <w:t>case for change. As with any legislative review, the findings of this report do not</w:t>
      </w:r>
    </w:p>
    <w:p w14:paraId="5934ADF7" w14:textId="74284D56" w:rsidR="00101504" w:rsidRDefault="008E0665" w:rsidP="00101504">
      <w:pPr>
        <w:rPr>
          <w:color w:val="000000"/>
          <w:sz w:val="24"/>
        </w:rPr>
      </w:pPr>
      <w:r w:rsidRPr="008E0665">
        <w:rPr>
          <w:color w:val="000000"/>
          <w:sz w:val="24"/>
        </w:rPr>
        <w:t>preclude future changes to the legislation.</w:t>
      </w:r>
      <w:r w:rsidR="00282843">
        <w:rPr>
          <w:color w:val="000000"/>
          <w:sz w:val="24"/>
        </w:rPr>
        <w:t xml:space="preserve"> </w:t>
      </w:r>
      <w:sdt>
        <w:sdtPr>
          <w:rPr>
            <w:color w:val="000000"/>
            <w:sz w:val="24"/>
          </w:rPr>
          <w:id w:val="632678611"/>
          <w:citation/>
        </w:sdtPr>
        <w:sdtEndPr/>
        <w:sdtContent>
          <w:r w:rsidR="00282843">
            <w:rPr>
              <w:color w:val="000000"/>
              <w:sz w:val="24"/>
            </w:rPr>
            <w:fldChar w:fldCharType="begin"/>
          </w:r>
          <w:r w:rsidR="00282843">
            <w:rPr>
              <w:color w:val="000000"/>
              <w:sz w:val="24"/>
            </w:rPr>
            <w:instrText xml:space="preserve"> CITATION Cab22 \l 2057 </w:instrText>
          </w:r>
          <w:r w:rsidR="00282843">
            <w:rPr>
              <w:color w:val="000000"/>
              <w:sz w:val="24"/>
            </w:rPr>
            <w:fldChar w:fldCharType="separate"/>
          </w:r>
          <w:r w:rsidR="00876347" w:rsidRPr="00876347">
            <w:rPr>
              <w:noProof/>
              <w:color w:val="000000"/>
              <w:sz w:val="24"/>
            </w:rPr>
            <w:t>(Office, Civil Contingencies Act Post Implementation Review 2022, 2022)</w:t>
          </w:r>
          <w:r w:rsidR="00282843">
            <w:rPr>
              <w:color w:val="000000"/>
              <w:sz w:val="24"/>
            </w:rPr>
            <w:fldChar w:fldCharType="end"/>
          </w:r>
        </w:sdtContent>
      </w:sdt>
    </w:p>
    <w:p w14:paraId="343105C9" w14:textId="77777777" w:rsidR="005D1B80" w:rsidRDefault="005D1B80" w:rsidP="00101504">
      <w:pPr>
        <w:rPr>
          <w:color w:val="000000"/>
          <w:sz w:val="24"/>
        </w:rPr>
      </w:pPr>
    </w:p>
    <w:p w14:paraId="3D9EF381" w14:textId="7F0D8279" w:rsidR="005D1B80" w:rsidRPr="005D1B80" w:rsidRDefault="005D1B80" w:rsidP="005D1B80">
      <w:pPr>
        <w:rPr>
          <w:color w:val="000000"/>
          <w:sz w:val="24"/>
        </w:rPr>
      </w:pPr>
      <w:r w:rsidRPr="005D1B80">
        <w:rPr>
          <w:color w:val="000000"/>
          <w:sz w:val="24"/>
        </w:rPr>
        <w:t>The Resilience Strategy publication will follow this PIR, as will continued work on the</w:t>
      </w:r>
    </w:p>
    <w:p w14:paraId="15F07E52" w14:textId="77777777" w:rsidR="005D1B80" w:rsidRPr="005D1B80" w:rsidRDefault="005D1B80" w:rsidP="005D1B80">
      <w:pPr>
        <w:rPr>
          <w:color w:val="000000"/>
          <w:sz w:val="24"/>
        </w:rPr>
      </w:pPr>
      <w:r w:rsidRPr="005D1B80">
        <w:rPr>
          <w:color w:val="000000"/>
          <w:sz w:val="24"/>
        </w:rPr>
        <w:t>Integrated Review commitment to consider strengthening roles and responsibilities of</w:t>
      </w:r>
    </w:p>
    <w:p w14:paraId="462ADD31" w14:textId="669314E8" w:rsidR="005D1B80" w:rsidRPr="005D1B80" w:rsidRDefault="005D1B80" w:rsidP="005D1B80">
      <w:pPr>
        <w:rPr>
          <w:color w:val="000000"/>
          <w:sz w:val="24"/>
        </w:rPr>
      </w:pPr>
      <w:r w:rsidRPr="005D1B80">
        <w:rPr>
          <w:color w:val="000000"/>
          <w:sz w:val="24"/>
        </w:rPr>
        <w:t>LRFs. These will collectively set out a long-term vision for the UK’s national and local</w:t>
      </w:r>
    </w:p>
    <w:p w14:paraId="75746CA0" w14:textId="77777777" w:rsidR="005D1B80" w:rsidRPr="005D1B80" w:rsidRDefault="005D1B80" w:rsidP="005D1B80">
      <w:pPr>
        <w:rPr>
          <w:color w:val="000000"/>
          <w:sz w:val="24"/>
        </w:rPr>
      </w:pPr>
      <w:r w:rsidRPr="005D1B80">
        <w:rPr>
          <w:color w:val="000000"/>
          <w:sz w:val="24"/>
        </w:rPr>
        <w:t>resilience. Should further legislative change to the CCA be required to deliver on</w:t>
      </w:r>
    </w:p>
    <w:p w14:paraId="0E782F70" w14:textId="77777777" w:rsidR="005D1B80" w:rsidRPr="005D1B80" w:rsidRDefault="005D1B80" w:rsidP="005D1B80">
      <w:pPr>
        <w:rPr>
          <w:color w:val="000000"/>
          <w:sz w:val="24"/>
        </w:rPr>
      </w:pPr>
      <w:r w:rsidRPr="005D1B80">
        <w:rPr>
          <w:color w:val="000000"/>
          <w:sz w:val="24"/>
        </w:rPr>
        <w:t>these ambitions, this will be carefully considered and could take place outside of the</w:t>
      </w:r>
    </w:p>
    <w:p w14:paraId="3688E38D" w14:textId="6EEE6DD0" w:rsidR="005D1B80" w:rsidRDefault="005D1B80" w:rsidP="005D1B80">
      <w:pPr>
        <w:rPr>
          <w:color w:val="000000"/>
          <w:sz w:val="24"/>
        </w:rPr>
      </w:pPr>
      <w:r w:rsidRPr="005D1B80">
        <w:rPr>
          <w:color w:val="000000"/>
          <w:sz w:val="24"/>
        </w:rPr>
        <w:t>five-yearly statutory review cycle.</w:t>
      </w:r>
      <w:sdt>
        <w:sdtPr>
          <w:rPr>
            <w:color w:val="000000"/>
            <w:sz w:val="24"/>
          </w:rPr>
          <w:id w:val="210540345"/>
          <w:citation/>
        </w:sdtPr>
        <w:sdtEndPr/>
        <w:sdtContent>
          <w:r>
            <w:rPr>
              <w:color w:val="000000"/>
              <w:sz w:val="24"/>
            </w:rPr>
            <w:fldChar w:fldCharType="begin"/>
          </w:r>
          <w:r>
            <w:rPr>
              <w:color w:val="000000"/>
              <w:sz w:val="24"/>
            </w:rPr>
            <w:instrText xml:space="preserve"> CITATION Cab22 \l 2057 </w:instrText>
          </w:r>
          <w:r>
            <w:rPr>
              <w:color w:val="000000"/>
              <w:sz w:val="24"/>
            </w:rPr>
            <w:fldChar w:fldCharType="separate"/>
          </w:r>
          <w:r w:rsidR="00876347">
            <w:rPr>
              <w:noProof/>
              <w:color w:val="000000"/>
              <w:sz w:val="24"/>
            </w:rPr>
            <w:t xml:space="preserve"> </w:t>
          </w:r>
          <w:r w:rsidR="00876347" w:rsidRPr="00876347">
            <w:rPr>
              <w:noProof/>
              <w:color w:val="000000"/>
              <w:sz w:val="24"/>
            </w:rPr>
            <w:t>(Office, Civil Contingencies Act Post Implementation Review 2022, 2022)</w:t>
          </w:r>
          <w:r>
            <w:rPr>
              <w:color w:val="000000"/>
              <w:sz w:val="24"/>
            </w:rPr>
            <w:fldChar w:fldCharType="end"/>
          </w:r>
        </w:sdtContent>
      </w:sdt>
    </w:p>
    <w:p w14:paraId="317C79EF" w14:textId="77777777" w:rsidR="00282843" w:rsidRPr="00101504" w:rsidRDefault="00282843" w:rsidP="00101504">
      <w:pPr>
        <w:rPr>
          <w:color w:val="000000"/>
          <w:sz w:val="24"/>
        </w:rPr>
      </w:pPr>
    </w:p>
    <w:p w14:paraId="2F8C4229" w14:textId="4630BD01" w:rsidR="004F36DF" w:rsidRDefault="00101504" w:rsidP="00282AC2">
      <w:pPr>
        <w:rPr>
          <w:color w:val="000000"/>
          <w:sz w:val="24"/>
        </w:rPr>
      </w:pPr>
      <w:r w:rsidRPr="00101504">
        <w:rPr>
          <w:color w:val="000000"/>
          <w:sz w:val="24"/>
        </w:rPr>
        <w:t>The author will now describe what emergency powers exist under the Act, and how those powers can be exercised.</w:t>
      </w:r>
      <w:r>
        <w:rPr>
          <w:color w:val="000000"/>
          <w:sz w:val="24"/>
        </w:rPr>
        <w:t xml:space="preserve"> </w:t>
      </w:r>
      <w:r w:rsidR="00E16902" w:rsidRPr="00E16902">
        <w:rPr>
          <w:color w:val="000000"/>
          <w:sz w:val="24"/>
        </w:rPr>
        <w:t xml:space="preserve">In the UK emergency powers allow </w:t>
      </w:r>
      <w:r w:rsidR="00C647C0">
        <w:rPr>
          <w:color w:val="000000"/>
          <w:sz w:val="24"/>
        </w:rPr>
        <w:t xml:space="preserve">the </w:t>
      </w:r>
      <w:r w:rsidR="00E16902" w:rsidRPr="00E16902">
        <w:rPr>
          <w:color w:val="000000"/>
          <w:sz w:val="24"/>
        </w:rPr>
        <w:t xml:space="preserve">making of </w:t>
      </w:r>
      <w:r w:rsidR="004F36DF">
        <w:rPr>
          <w:color w:val="000000"/>
          <w:sz w:val="24"/>
        </w:rPr>
        <w:t>what is deemed as “</w:t>
      </w:r>
      <w:r w:rsidR="00CF1CF2">
        <w:rPr>
          <w:color w:val="000000"/>
          <w:sz w:val="24"/>
        </w:rPr>
        <w:t xml:space="preserve">special” </w:t>
      </w:r>
      <w:r w:rsidR="00CF1CF2" w:rsidRPr="00E16902">
        <w:rPr>
          <w:color w:val="000000"/>
          <w:sz w:val="24"/>
        </w:rPr>
        <w:t>temporary</w:t>
      </w:r>
      <w:r w:rsidR="00E16902" w:rsidRPr="00E16902">
        <w:rPr>
          <w:color w:val="000000"/>
          <w:sz w:val="24"/>
        </w:rPr>
        <w:t xml:space="preserve"> legislation to </w:t>
      </w:r>
      <w:r w:rsidR="00CF1CF2">
        <w:rPr>
          <w:color w:val="000000"/>
          <w:sz w:val="24"/>
        </w:rPr>
        <w:t xml:space="preserve">be used only in </w:t>
      </w:r>
      <w:r w:rsidR="00E16902" w:rsidRPr="00E16902">
        <w:rPr>
          <w:color w:val="000000"/>
          <w:sz w:val="24"/>
        </w:rPr>
        <w:t xml:space="preserve">the most </w:t>
      </w:r>
      <w:r w:rsidR="00CF1CF2">
        <w:rPr>
          <w:color w:val="000000"/>
          <w:sz w:val="24"/>
        </w:rPr>
        <w:t>extreme</w:t>
      </w:r>
      <w:r w:rsidR="00E16902" w:rsidRPr="00E16902">
        <w:rPr>
          <w:color w:val="000000"/>
          <w:sz w:val="24"/>
        </w:rPr>
        <w:t xml:space="preserve"> of emergencies. </w:t>
      </w:r>
      <w:r w:rsidR="00CF1CF2">
        <w:rPr>
          <w:color w:val="000000"/>
          <w:sz w:val="24"/>
        </w:rPr>
        <w:t>The powers are</w:t>
      </w:r>
      <w:r w:rsidR="00E16902" w:rsidRPr="00E16902">
        <w:rPr>
          <w:color w:val="000000"/>
          <w:sz w:val="24"/>
        </w:rPr>
        <w:t xml:space="preserve"> not a means for instigating martial law, for undermining Parliament</w:t>
      </w:r>
      <w:r w:rsidR="00CF1CF2">
        <w:rPr>
          <w:color w:val="000000"/>
          <w:sz w:val="24"/>
        </w:rPr>
        <w:t xml:space="preserve"> or </w:t>
      </w:r>
      <w:r w:rsidR="00E16902" w:rsidRPr="00E16902">
        <w:rPr>
          <w:color w:val="000000"/>
          <w:sz w:val="24"/>
        </w:rPr>
        <w:t>banning political partie</w:t>
      </w:r>
      <w:r w:rsidR="00CF1CF2">
        <w:rPr>
          <w:color w:val="000000"/>
          <w:sz w:val="24"/>
        </w:rPr>
        <w:t>s.</w:t>
      </w:r>
      <w:r w:rsidR="00E16902" w:rsidRPr="00E16902">
        <w:rPr>
          <w:color w:val="000000"/>
          <w:sz w:val="24"/>
        </w:rPr>
        <w:t xml:space="preserve"> A</w:t>
      </w:r>
      <w:r w:rsidR="00CF1CF2">
        <w:rPr>
          <w:color w:val="000000"/>
          <w:sz w:val="24"/>
        </w:rPr>
        <w:t xml:space="preserve"> crucial</w:t>
      </w:r>
      <w:r w:rsidR="00E16902" w:rsidRPr="00E16902">
        <w:rPr>
          <w:color w:val="000000"/>
          <w:sz w:val="24"/>
        </w:rPr>
        <w:t xml:space="preserve"> point to note is that Emergency Powers legislation is a mechanism for dealing with only the most serious of emergencies that require an urgent response, </w:t>
      </w:r>
      <w:r w:rsidR="004F37C8">
        <w:rPr>
          <w:color w:val="000000"/>
          <w:sz w:val="24"/>
        </w:rPr>
        <w:t xml:space="preserve">as a tool </w:t>
      </w:r>
      <w:r w:rsidR="00E16902" w:rsidRPr="00E16902">
        <w:rPr>
          <w:color w:val="000000"/>
          <w:sz w:val="24"/>
        </w:rPr>
        <w:t xml:space="preserve">of </w:t>
      </w:r>
      <w:r w:rsidR="004F37C8">
        <w:rPr>
          <w:color w:val="000000"/>
          <w:sz w:val="24"/>
        </w:rPr>
        <w:t xml:space="preserve">very </w:t>
      </w:r>
      <w:r w:rsidR="00E16902" w:rsidRPr="00E16902">
        <w:rPr>
          <w:color w:val="000000"/>
          <w:sz w:val="24"/>
        </w:rPr>
        <w:t>last resort. T</w:t>
      </w:r>
      <w:r w:rsidR="004F36DF">
        <w:rPr>
          <w:color w:val="000000"/>
          <w:sz w:val="24"/>
        </w:rPr>
        <w:t xml:space="preserve">o provide </w:t>
      </w:r>
      <w:r w:rsidR="004F36DF">
        <w:rPr>
          <w:color w:val="000000"/>
          <w:sz w:val="24"/>
        </w:rPr>
        <w:lastRenderedPageBreak/>
        <w:t>some context</w:t>
      </w:r>
      <w:r w:rsidR="004F37C8">
        <w:rPr>
          <w:color w:val="000000"/>
          <w:sz w:val="24"/>
        </w:rPr>
        <w:t xml:space="preserve"> in</w:t>
      </w:r>
      <w:r w:rsidR="00342725">
        <w:rPr>
          <w:color w:val="000000"/>
          <w:sz w:val="24"/>
        </w:rPr>
        <w:t>to</w:t>
      </w:r>
      <w:r w:rsidR="004F37C8">
        <w:rPr>
          <w:color w:val="000000"/>
          <w:sz w:val="24"/>
        </w:rPr>
        <w:t xml:space="preserve"> how often</w:t>
      </w:r>
      <w:r w:rsidR="00342725">
        <w:rPr>
          <w:color w:val="000000"/>
          <w:sz w:val="24"/>
        </w:rPr>
        <w:t xml:space="preserve"> something of this seriousness has been invoked </w:t>
      </w:r>
      <w:r w:rsidR="003A37E0">
        <w:rPr>
          <w:color w:val="000000"/>
          <w:sz w:val="24"/>
        </w:rPr>
        <w:t xml:space="preserve">previously, </w:t>
      </w:r>
      <w:r w:rsidR="00E16902" w:rsidRPr="00E16902">
        <w:rPr>
          <w:color w:val="000000"/>
          <w:sz w:val="24"/>
        </w:rPr>
        <w:t>the Emergency Powers Act 192</w:t>
      </w:r>
      <w:r w:rsidR="004F37C8">
        <w:rPr>
          <w:color w:val="000000"/>
          <w:sz w:val="24"/>
        </w:rPr>
        <w:t>0</w:t>
      </w:r>
      <w:r w:rsidR="00E16902" w:rsidRPr="00E16902">
        <w:rPr>
          <w:color w:val="000000"/>
          <w:sz w:val="24"/>
        </w:rPr>
        <w:t xml:space="preserve"> was </w:t>
      </w:r>
      <w:r w:rsidR="004F36DF">
        <w:rPr>
          <w:color w:val="000000"/>
          <w:sz w:val="24"/>
        </w:rPr>
        <w:t xml:space="preserve">only </w:t>
      </w:r>
      <w:r w:rsidR="004F37C8">
        <w:rPr>
          <w:color w:val="000000"/>
          <w:sz w:val="24"/>
        </w:rPr>
        <w:t xml:space="preserve">ever </w:t>
      </w:r>
      <w:r w:rsidR="00E16902" w:rsidRPr="00E16902">
        <w:rPr>
          <w:color w:val="000000"/>
          <w:sz w:val="24"/>
        </w:rPr>
        <w:t xml:space="preserve">used twelve times in its </w:t>
      </w:r>
      <w:r w:rsidR="004F36DF" w:rsidRPr="00E16902">
        <w:rPr>
          <w:color w:val="000000"/>
          <w:sz w:val="24"/>
        </w:rPr>
        <w:t>eighty-four-year</w:t>
      </w:r>
      <w:r w:rsidR="00E16902" w:rsidRPr="00E16902">
        <w:rPr>
          <w:color w:val="000000"/>
          <w:sz w:val="24"/>
        </w:rPr>
        <w:t xml:space="preserve"> </w:t>
      </w:r>
      <w:r w:rsidR="004F37C8">
        <w:rPr>
          <w:color w:val="000000"/>
          <w:sz w:val="24"/>
        </w:rPr>
        <w:t>existence</w:t>
      </w:r>
      <w:r w:rsidR="00E16902" w:rsidRPr="00E16902">
        <w:rPr>
          <w:color w:val="000000"/>
          <w:sz w:val="24"/>
        </w:rPr>
        <w:t xml:space="preserve">, the last time being in 1974. </w:t>
      </w:r>
    </w:p>
    <w:p w14:paraId="60D9CA45" w14:textId="77777777" w:rsidR="004F36DF" w:rsidRDefault="004F36DF" w:rsidP="00282AC2">
      <w:pPr>
        <w:rPr>
          <w:color w:val="000000"/>
          <w:sz w:val="24"/>
        </w:rPr>
      </w:pPr>
    </w:p>
    <w:p w14:paraId="6CEF134B" w14:textId="671E5E2C" w:rsidR="00276C50" w:rsidRDefault="00E16902" w:rsidP="00282AC2">
      <w:pPr>
        <w:rPr>
          <w:color w:val="000000"/>
          <w:sz w:val="24"/>
        </w:rPr>
      </w:pPr>
      <w:r w:rsidRPr="00E16902">
        <w:rPr>
          <w:color w:val="000000"/>
          <w:sz w:val="24"/>
        </w:rPr>
        <w:t xml:space="preserve">In the years since, a considerable amount of sector specific emergency legislation has been introduced which reduced the need to resort to emergency powers, in part because of a recognition that Emergency Powers legislation was </w:t>
      </w:r>
      <w:r w:rsidR="003231F0" w:rsidRPr="00E16902">
        <w:rPr>
          <w:color w:val="000000"/>
          <w:sz w:val="24"/>
        </w:rPr>
        <w:t>inadequate. The</w:t>
      </w:r>
      <w:r w:rsidRPr="00E16902">
        <w:rPr>
          <w:color w:val="000000"/>
          <w:sz w:val="24"/>
        </w:rPr>
        <w:t xml:space="preserve"> Government needs a tool that can be deployed to address all forms of disruptive challenge where existing legislation is insufficient. </w:t>
      </w:r>
    </w:p>
    <w:p w14:paraId="3D41F4F1" w14:textId="77777777" w:rsidR="00276C50" w:rsidRDefault="00276C50" w:rsidP="00282AC2">
      <w:pPr>
        <w:rPr>
          <w:color w:val="000000"/>
          <w:sz w:val="24"/>
        </w:rPr>
      </w:pPr>
    </w:p>
    <w:p w14:paraId="473AF000" w14:textId="1C27F90F" w:rsidR="00E05B6C" w:rsidRDefault="00EF0C89" w:rsidP="00EF0C89">
      <w:pPr>
        <w:rPr>
          <w:color w:val="000000"/>
          <w:sz w:val="24"/>
        </w:rPr>
      </w:pPr>
      <w:r w:rsidRPr="00EF0C89">
        <w:rPr>
          <w:color w:val="000000"/>
          <w:sz w:val="24"/>
        </w:rPr>
        <w:t>The Emergency Powers Act 1920 (and, in Northern Ireland, the Emergency Powers Act (Northern Ireland) 1926) enabled Her Majesty to proclaim that a state of emergency existed and to make regulations to deal with the emergency. Before these emergency powers could be exercised, there had to be (or be about to be) an interference with the supply or distribution of food, water, fuel, light or the means of locomotion which deprives the community or part of it of the “essentials of life”. The powers had not been amended to reflect the enactment of the devolution settlements or the Human Rights Act 1998.</w:t>
      </w:r>
      <w:r>
        <w:rPr>
          <w:color w:val="000000"/>
          <w:sz w:val="24"/>
        </w:rPr>
        <w:t xml:space="preserve"> </w:t>
      </w:r>
      <w:r w:rsidRPr="00EF0C89">
        <w:rPr>
          <w:color w:val="000000"/>
          <w:sz w:val="24"/>
        </w:rPr>
        <w:t>The Act repeals the Emergency Powers Act 1920 and the Emergency Powers Act (Northern Ireland) 1926. It confers a power on Her Majesty (or in certain very limited circumstances, a senior Minister of the Crown) to make regulations if an “emergency” has occurred or is about to occur. “Emergency” is defined broadly to include events and situations which threaten serious damage to human welfare in the United Kingdom, a Part or a region, the environment of the United Kingdom, a Part or a region or war or terrorism which threaten serious damage to the security of the United Kingdom. The Act gives further detail as to what provision may (and may not) be included in emergency regulations, including specific safeguards designed to prevent misuse. The Act expressly allows for emergency powers to have effect in a Part or region of the United Kingdom only. The Act also makes provision for consultation with, and the conferral of functions on, the devolved administrations.</w:t>
      </w:r>
      <w:sdt>
        <w:sdtPr>
          <w:rPr>
            <w:color w:val="000000"/>
            <w:sz w:val="24"/>
          </w:rPr>
          <w:id w:val="-1243953693"/>
          <w:citation/>
        </w:sdtPr>
        <w:sdtEndPr/>
        <w:sdtContent>
          <w:r w:rsidR="007D4C69">
            <w:rPr>
              <w:color w:val="000000"/>
              <w:sz w:val="24"/>
            </w:rPr>
            <w:fldChar w:fldCharType="begin"/>
          </w:r>
          <w:r w:rsidR="007D4C69">
            <w:rPr>
              <w:color w:val="000000"/>
              <w:sz w:val="24"/>
            </w:rPr>
            <w:instrText xml:space="preserve"> CITATION Civ \l 2057 </w:instrText>
          </w:r>
          <w:r w:rsidR="007D4C69">
            <w:rPr>
              <w:color w:val="000000"/>
              <w:sz w:val="24"/>
            </w:rPr>
            <w:fldChar w:fldCharType="separate"/>
          </w:r>
          <w:r w:rsidR="007D4C69">
            <w:rPr>
              <w:noProof/>
              <w:color w:val="000000"/>
              <w:sz w:val="24"/>
            </w:rPr>
            <w:t xml:space="preserve"> </w:t>
          </w:r>
          <w:r w:rsidR="007D4C69" w:rsidRPr="007D4C69">
            <w:rPr>
              <w:noProof/>
              <w:color w:val="000000"/>
              <w:sz w:val="24"/>
            </w:rPr>
            <w:t>(Civil Contingencies Act 2004)</w:t>
          </w:r>
          <w:r w:rsidR="007D4C69">
            <w:rPr>
              <w:color w:val="000000"/>
              <w:sz w:val="24"/>
            </w:rPr>
            <w:fldChar w:fldCharType="end"/>
          </w:r>
        </w:sdtContent>
      </w:sdt>
    </w:p>
    <w:p w14:paraId="268BDD5D" w14:textId="77777777" w:rsidR="00EF0C89" w:rsidRDefault="00EF0C89" w:rsidP="00EF0C89">
      <w:pPr>
        <w:rPr>
          <w:color w:val="000000"/>
          <w:sz w:val="24"/>
        </w:rPr>
      </w:pPr>
    </w:p>
    <w:p w14:paraId="5764B033" w14:textId="77777777" w:rsidR="00E05B6C" w:rsidRDefault="00E16902" w:rsidP="00282AC2">
      <w:pPr>
        <w:rPr>
          <w:color w:val="000000"/>
          <w:sz w:val="24"/>
        </w:rPr>
      </w:pPr>
      <w:r w:rsidRPr="00E16902">
        <w:rPr>
          <w:color w:val="000000"/>
          <w:sz w:val="24"/>
        </w:rPr>
        <w:t xml:space="preserve">As with the 1920 Act, the Act allows the making of temporary special legislation aimed at dealing with a serious emergency that fits within the definition. The Queen, as Head of State, will formally indicate that emergency powers are necessary as part of the Order in Council that makes the regulations themselves. For the first time a fallback option has been included to cover the possibility that emergency powers will be needed, where the Queen is, for whatever reason, unable to act. The Act therefore allows for a senior Minister or the Prime Minister to make the regulations in the unlikely event that Her Majesty is not able to do so. </w:t>
      </w:r>
    </w:p>
    <w:p w14:paraId="4138F292" w14:textId="77777777" w:rsidR="00E05B6C" w:rsidRDefault="00E05B6C" w:rsidP="00282AC2">
      <w:pPr>
        <w:rPr>
          <w:color w:val="000000"/>
          <w:sz w:val="24"/>
        </w:rPr>
      </w:pPr>
    </w:p>
    <w:p w14:paraId="209BE6E4" w14:textId="77777777" w:rsidR="00E05B6C" w:rsidRDefault="00E16902" w:rsidP="00282AC2">
      <w:pPr>
        <w:rPr>
          <w:color w:val="000000"/>
          <w:sz w:val="24"/>
        </w:rPr>
      </w:pPr>
      <w:r w:rsidRPr="00E16902">
        <w:rPr>
          <w:color w:val="000000"/>
          <w:sz w:val="24"/>
        </w:rPr>
        <w:t xml:space="preserve">The Act introduces a range of other new features, mostly designed to ensure emergency powers cannot be misused and can be used in a more targeted and proportionate manner. The centre piece of these is the “triple lock”, which ensures emergency powers will only be available if: </w:t>
      </w:r>
    </w:p>
    <w:p w14:paraId="45C37C93" w14:textId="77777777" w:rsidR="00E05B6C" w:rsidRDefault="00E05B6C" w:rsidP="00282AC2">
      <w:pPr>
        <w:rPr>
          <w:color w:val="000000"/>
          <w:sz w:val="24"/>
        </w:rPr>
      </w:pPr>
    </w:p>
    <w:p w14:paraId="2C33F0B8" w14:textId="77777777" w:rsidR="00E05B6C" w:rsidRDefault="00E16902" w:rsidP="00282AC2">
      <w:pPr>
        <w:pStyle w:val="ListParagraph"/>
        <w:numPr>
          <w:ilvl w:val="0"/>
          <w:numId w:val="25"/>
        </w:numPr>
        <w:rPr>
          <w:color w:val="000000"/>
          <w:sz w:val="24"/>
        </w:rPr>
      </w:pPr>
      <w:r w:rsidRPr="00E05B6C">
        <w:rPr>
          <w:color w:val="000000"/>
          <w:sz w:val="24"/>
        </w:rPr>
        <w:t>an emergency that threatens serious damage to human welfare, the environment or security has occurred, is occurring or is about to occur;</w:t>
      </w:r>
    </w:p>
    <w:p w14:paraId="428FD4C5" w14:textId="77777777" w:rsidR="00E05B6C" w:rsidRDefault="00E16902" w:rsidP="00282AC2">
      <w:pPr>
        <w:pStyle w:val="ListParagraph"/>
        <w:numPr>
          <w:ilvl w:val="0"/>
          <w:numId w:val="25"/>
        </w:numPr>
        <w:rPr>
          <w:color w:val="000000"/>
          <w:sz w:val="24"/>
        </w:rPr>
      </w:pPr>
      <w:r w:rsidRPr="00E05B6C">
        <w:rPr>
          <w:color w:val="000000"/>
          <w:sz w:val="24"/>
        </w:rPr>
        <w:t>it is necessary to make provision urgently in order to resolve the emergency as existing powers are insufficient and it is not possible to bring forward a Bill in the usual way because of the need to act urgently; and</w:t>
      </w:r>
    </w:p>
    <w:p w14:paraId="145E413F" w14:textId="77777777" w:rsidR="00E05B6C" w:rsidRDefault="00E16902" w:rsidP="00282AC2">
      <w:pPr>
        <w:pStyle w:val="ListParagraph"/>
        <w:numPr>
          <w:ilvl w:val="0"/>
          <w:numId w:val="25"/>
        </w:numPr>
        <w:rPr>
          <w:color w:val="000000"/>
          <w:sz w:val="24"/>
        </w:rPr>
      </w:pPr>
      <w:r w:rsidRPr="00E05B6C">
        <w:rPr>
          <w:color w:val="000000"/>
          <w:sz w:val="24"/>
        </w:rPr>
        <w:lastRenderedPageBreak/>
        <w:t xml:space="preserve">emergency regulations must be proportionate to the aspect or effect of the emergency they are directed at. </w:t>
      </w:r>
    </w:p>
    <w:p w14:paraId="6AFF1316" w14:textId="77777777" w:rsidR="00E05B6C" w:rsidRDefault="00E05B6C" w:rsidP="00282AC2">
      <w:pPr>
        <w:pStyle w:val="ListParagraph"/>
        <w:rPr>
          <w:color w:val="000000"/>
          <w:sz w:val="24"/>
        </w:rPr>
      </w:pPr>
    </w:p>
    <w:p w14:paraId="04AF882E" w14:textId="4EDDB097" w:rsidR="00E05B6C" w:rsidRDefault="00E16902" w:rsidP="00282AC2">
      <w:pPr>
        <w:rPr>
          <w:color w:val="000000"/>
          <w:sz w:val="24"/>
        </w:rPr>
      </w:pPr>
      <w:r w:rsidRPr="00E05B6C">
        <w:rPr>
          <w:color w:val="000000"/>
          <w:sz w:val="24"/>
        </w:rPr>
        <w:t xml:space="preserve">In </w:t>
      </w:r>
      <w:r w:rsidR="00E05B6C" w:rsidRPr="00E05B6C">
        <w:rPr>
          <w:color w:val="000000"/>
          <w:sz w:val="24"/>
        </w:rPr>
        <w:t>addition,</w:t>
      </w:r>
      <w:r w:rsidRPr="00E05B6C">
        <w:rPr>
          <w:color w:val="000000"/>
          <w:sz w:val="24"/>
        </w:rPr>
        <w:t xml:space="preserve"> emergency regulations:</w:t>
      </w:r>
    </w:p>
    <w:p w14:paraId="25565B9C" w14:textId="77777777" w:rsidR="00E05B6C" w:rsidRPr="00E05B6C" w:rsidRDefault="00E05B6C" w:rsidP="00282AC2">
      <w:pPr>
        <w:rPr>
          <w:color w:val="000000"/>
          <w:sz w:val="24"/>
        </w:rPr>
      </w:pPr>
    </w:p>
    <w:p w14:paraId="3663AD39" w14:textId="77777777" w:rsidR="00E05B6C" w:rsidRDefault="00E16902" w:rsidP="00282AC2">
      <w:pPr>
        <w:pStyle w:val="ListParagraph"/>
        <w:numPr>
          <w:ilvl w:val="0"/>
          <w:numId w:val="25"/>
        </w:numPr>
        <w:rPr>
          <w:color w:val="000000"/>
          <w:sz w:val="24"/>
        </w:rPr>
      </w:pPr>
      <w:r w:rsidRPr="00E05B6C">
        <w:rPr>
          <w:color w:val="000000"/>
          <w:sz w:val="24"/>
        </w:rPr>
        <w:t>cannot prohibit or enable the prohibition of participation in, or any activity in connection with, a strike or other industrial action;</w:t>
      </w:r>
    </w:p>
    <w:p w14:paraId="7F1DF538" w14:textId="77777777" w:rsidR="00E05B6C" w:rsidRDefault="00E16902" w:rsidP="00282AC2">
      <w:pPr>
        <w:pStyle w:val="ListParagraph"/>
        <w:numPr>
          <w:ilvl w:val="0"/>
          <w:numId w:val="25"/>
        </w:numPr>
        <w:rPr>
          <w:color w:val="000000"/>
          <w:sz w:val="24"/>
        </w:rPr>
      </w:pPr>
      <w:r w:rsidRPr="00E05B6C">
        <w:rPr>
          <w:color w:val="000000"/>
          <w:sz w:val="24"/>
        </w:rPr>
        <w:t>cannot instigate any form of military conscription;</w:t>
      </w:r>
    </w:p>
    <w:p w14:paraId="2F968912" w14:textId="77777777" w:rsidR="00E05B6C" w:rsidRDefault="00E16902" w:rsidP="00282AC2">
      <w:pPr>
        <w:pStyle w:val="ListParagraph"/>
        <w:numPr>
          <w:ilvl w:val="0"/>
          <w:numId w:val="25"/>
        </w:numPr>
        <w:rPr>
          <w:color w:val="000000"/>
          <w:sz w:val="24"/>
        </w:rPr>
      </w:pPr>
      <w:r w:rsidRPr="00E05B6C">
        <w:rPr>
          <w:color w:val="000000"/>
          <w:sz w:val="24"/>
        </w:rPr>
        <w:t xml:space="preserve">cannot alter any aspect of criminal procedures; </w:t>
      </w:r>
    </w:p>
    <w:p w14:paraId="2BF2F721" w14:textId="77777777" w:rsidR="00E05B6C" w:rsidRDefault="00E16902" w:rsidP="00282AC2">
      <w:pPr>
        <w:pStyle w:val="ListParagraph"/>
        <w:numPr>
          <w:ilvl w:val="0"/>
          <w:numId w:val="25"/>
        </w:numPr>
        <w:rPr>
          <w:color w:val="000000"/>
          <w:sz w:val="24"/>
        </w:rPr>
      </w:pPr>
      <w:r w:rsidRPr="00E05B6C">
        <w:rPr>
          <w:color w:val="000000"/>
          <w:sz w:val="24"/>
        </w:rPr>
        <w:t>cannot create any new offence other than breach of the regulations themselves;</w:t>
      </w:r>
    </w:p>
    <w:p w14:paraId="4D3D7802" w14:textId="77777777" w:rsidR="00E05B6C" w:rsidRDefault="00E16902" w:rsidP="00282AC2">
      <w:pPr>
        <w:pStyle w:val="ListParagraph"/>
        <w:numPr>
          <w:ilvl w:val="0"/>
          <w:numId w:val="25"/>
        </w:numPr>
        <w:rPr>
          <w:color w:val="000000"/>
          <w:sz w:val="24"/>
        </w:rPr>
      </w:pPr>
      <w:r w:rsidRPr="00E05B6C">
        <w:rPr>
          <w:color w:val="000000"/>
          <w:sz w:val="24"/>
        </w:rPr>
        <w:t xml:space="preserve">must be compatible with the Human Rights Act and EU law; and </w:t>
      </w:r>
    </w:p>
    <w:p w14:paraId="21DC73A0" w14:textId="77777777" w:rsidR="00C870D9" w:rsidRDefault="00E16902" w:rsidP="00282AC2">
      <w:pPr>
        <w:pStyle w:val="ListParagraph"/>
        <w:numPr>
          <w:ilvl w:val="0"/>
          <w:numId w:val="25"/>
        </w:numPr>
        <w:rPr>
          <w:color w:val="000000"/>
          <w:sz w:val="24"/>
        </w:rPr>
      </w:pPr>
      <w:r w:rsidRPr="00E05B6C">
        <w:rPr>
          <w:color w:val="000000"/>
          <w:sz w:val="24"/>
        </w:rPr>
        <w:t xml:space="preserve">are open to challenge in the courts </w:t>
      </w:r>
    </w:p>
    <w:p w14:paraId="32F5B7B0" w14:textId="77777777" w:rsidR="00C870D9" w:rsidRDefault="00C870D9" w:rsidP="00282AC2">
      <w:pPr>
        <w:rPr>
          <w:color w:val="000000"/>
          <w:sz w:val="24"/>
        </w:rPr>
      </w:pPr>
    </w:p>
    <w:p w14:paraId="3FF35BF0" w14:textId="77777777" w:rsidR="00C870D9" w:rsidRDefault="00E16902" w:rsidP="00282AC2">
      <w:pPr>
        <w:rPr>
          <w:color w:val="000000"/>
          <w:sz w:val="24"/>
        </w:rPr>
      </w:pPr>
      <w:r w:rsidRPr="00C870D9">
        <w:rPr>
          <w:color w:val="000000"/>
          <w:sz w:val="24"/>
        </w:rPr>
        <w:t>For the first time it is possible to use emergency powers on a regional and/or devolved administration basis. This ensures any special temporary legislation will apply only in the part of the UK affected by the emergency, leaving those elsewhere unaffected.</w:t>
      </w:r>
    </w:p>
    <w:p w14:paraId="4246338E" w14:textId="77777777" w:rsidR="00C870D9" w:rsidRDefault="00C870D9" w:rsidP="00282AC2">
      <w:pPr>
        <w:rPr>
          <w:color w:val="000000"/>
          <w:sz w:val="24"/>
        </w:rPr>
      </w:pPr>
    </w:p>
    <w:p w14:paraId="706DA592" w14:textId="77777777" w:rsidR="00C870D9" w:rsidRDefault="00E16902" w:rsidP="00282AC2">
      <w:pPr>
        <w:rPr>
          <w:color w:val="000000"/>
          <w:sz w:val="24"/>
        </w:rPr>
      </w:pPr>
      <w:r w:rsidRPr="00C870D9">
        <w:rPr>
          <w:color w:val="000000"/>
          <w:sz w:val="24"/>
        </w:rPr>
        <w:t>The Act also requires the appointment of a ‘Regional Nominated Co-ordinator’ (“Emergency Co-ordinator” in the devolved administrations). If emergency powers are used, he/she will act as the focal point for co-ordination of response efforts at the regional or devolved administration level.</w:t>
      </w:r>
    </w:p>
    <w:p w14:paraId="73B6F83E" w14:textId="77777777" w:rsidR="00C870D9" w:rsidRDefault="00C870D9" w:rsidP="00282AC2">
      <w:pPr>
        <w:rPr>
          <w:color w:val="000000"/>
          <w:sz w:val="24"/>
        </w:rPr>
      </w:pPr>
    </w:p>
    <w:p w14:paraId="22BC1142" w14:textId="77777777" w:rsidR="00C870D9" w:rsidRDefault="00E16902" w:rsidP="00282AC2">
      <w:pPr>
        <w:rPr>
          <w:color w:val="000000"/>
          <w:sz w:val="24"/>
        </w:rPr>
      </w:pPr>
      <w:r w:rsidRPr="00C870D9">
        <w:rPr>
          <w:color w:val="000000"/>
          <w:sz w:val="24"/>
        </w:rPr>
        <w:t xml:space="preserve">As with the existing legislation, emergency regulations must be presented to Parliament for its approval as soon as practicable after being made. Parliament may amend the regulations and must approve them within seven days of laying. If Parliamentary approval is not forthcoming, the regulations cease to have effect. The maker of emergency regulations would be subject to an obligation to protect and restore the ability of Parliament to scrutinise emergency regulations, and the ability of the Courts to entertain challenges. </w:t>
      </w:r>
    </w:p>
    <w:p w14:paraId="1B9714EF" w14:textId="77777777" w:rsidR="00C870D9" w:rsidRDefault="00C870D9" w:rsidP="00282AC2">
      <w:pPr>
        <w:rPr>
          <w:color w:val="000000"/>
          <w:sz w:val="24"/>
        </w:rPr>
      </w:pPr>
    </w:p>
    <w:p w14:paraId="5957BA83" w14:textId="23EECF65" w:rsidR="00855678" w:rsidRPr="00C870D9" w:rsidRDefault="00E16902" w:rsidP="00282AC2">
      <w:pPr>
        <w:rPr>
          <w:color w:val="000000"/>
          <w:sz w:val="24"/>
        </w:rPr>
      </w:pPr>
      <w:r w:rsidRPr="00C870D9">
        <w:rPr>
          <w:color w:val="000000"/>
          <w:sz w:val="24"/>
        </w:rPr>
        <w:t>The Government has given a commitment to ask a senior Privy Councillor to conduct an inquiry within one year of any use of emergency powers. The report would be published and debated in both Houses of Parliament. Part 2 of the Act was brought into force on 10 December 2004.</w:t>
      </w:r>
    </w:p>
    <w:p w14:paraId="06C8F292" w14:textId="77777777" w:rsidR="00E5161D" w:rsidRDefault="00E5161D" w:rsidP="00282AC2">
      <w:pPr>
        <w:rPr>
          <w:color w:val="000000"/>
          <w:sz w:val="24"/>
        </w:rPr>
      </w:pPr>
    </w:p>
    <w:p w14:paraId="52F07874" w14:textId="77187B2E" w:rsidR="00E5161D" w:rsidRDefault="003C616B" w:rsidP="00282AC2">
      <w:pPr>
        <w:rPr>
          <w:color w:val="000000"/>
          <w:sz w:val="24"/>
        </w:rPr>
      </w:pPr>
      <w:r w:rsidRPr="003C616B">
        <w:rPr>
          <w:color w:val="000000"/>
          <w:sz w:val="24"/>
        </w:rPr>
        <w:t>Emergency powers are a reserved matter. However, Part 2 ensures the devolved administrations will be consulted, if emergency powers are to be used in their territory, wherever possible. It allows emergency powers to be used in Scotland, Wales or Northern Ireland alone for the first time, though the use of emergency powers remains with Westminster.</w:t>
      </w:r>
      <w:r w:rsidR="00D55EED">
        <w:rPr>
          <w:color w:val="000000"/>
          <w:sz w:val="24"/>
        </w:rPr>
        <w:t xml:space="preserve"> </w:t>
      </w:r>
    </w:p>
    <w:p w14:paraId="225687C8" w14:textId="77777777" w:rsidR="00E5161D" w:rsidRDefault="00E5161D" w:rsidP="00282AC2">
      <w:pPr>
        <w:rPr>
          <w:color w:val="000000"/>
          <w:sz w:val="24"/>
        </w:rPr>
      </w:pPr>
    </w:p>
    <w:p w14:paraId="31C71A8D" w14:textId="1C4DB45C" w:rsidR="00E5161D" w:rsidRDefault="00203404" w:rsidP="00282AC2">
      <w:pPr>
        <w:rPr>
          <w:color w:val="000000"/>
          <w:sz w:val="24"/>
        </w:rPr>
      </w:pPr>
      <w:r w:rsidRPr="00203404">
        <w:rPr>
          <w:color w:val="000000"/>
          <w:sz w:val="24"/>
        </w:rPr>
        <w:t>The author will now describe how the Act ensures responder agencies comply with their duties and how such compliance is monitored in their own organisations.</w:t>
      </w:r>
    </w:p>
    <w:p w14:paraId="7B6CE374" w14:textId="4ED0E423" w:rsidR="00855678" w:rsidRDefault="00B86246" w:rsidP="00282AC2">
      <w:pPr>
        <w:rPr>
          <w:color w:val="000000"/>
          <w:sz w:val="24"/>
        </w:rPr>
      </w:pPr>
      <w:r w:rsidRPr="00B86246">
        <w:rPr>
          <w:color w:val="000000"/>
          <w:sz w:val="24"/>
        </w:rPr>
        <w:t>The Act divides local responder</w:t>
      </w:r>
      <w:r>
        <w:rPr>
          <w:color w:val="000000"/>
          <w:sz w:val="24"/>
        </w:rPr>
        <w:t xml:space="preserve"> </w:t>
      </w:r>
      <w:r w:rsidR="00A32921">
        <w:rPr>
          <w:color w:val="000000"/>
          <w:sz w:val="24"/>
        </w:rPr>
        <w:t>agencies</w:t>
      </w:r>
      <w:r w:rsidRPr="00B86246">
        <w:rPr>
          <w:color w:val="000000"/>
          <w:sz w:val="24"/>
        </w:rPr>
        <w:t xml:space="preserve"> in two categories, Category 1 and Category 2 responders. The Act enables the Minister to later membership of both categories to ensure flexibility of approach and to take into account a future development. It is intended that Category 1 and 2 responders will form part of “Local Resilience Forums” (based on police areas) which aids coordination and cooperation between responders at a local level.</w:t>
      </w:r>
    </w:p>
    <w:p w14:paraId="18DBCB39" w14:textId="77777777" w:rsidR="00B86246" w:rsidRDefault="00B86246" w:rsidP="00282AC2">
      <w:pPr>
        <w:rPr>
          <w:color w:val="000000"/>
          <w:sz w:val="24"/>
        </w:rPr>
      </w:pPr>
    </w:p>
    <w:p w14:paraId="55B67357" w14:textId="77777777" w:rsidR="004903E9" w:rsidRPr="004903E9" w:rsidRDefault="004903E9" w:rsidP="00282AC2">
      <w:pPr>
        <w:rPr>
          <w:color w:val="000000"/>
          <w:sz w:val="24"/>
        </w:rPr>
      </w:pPr>
      <w:r w:rsidRPr="004903E9">
        <w:rPr>
          <w:color w:val="000000"/>
          <w:sz w:val="24"/>
        </w:rPr>
        <w:t xml:space="preserve">Category 1 responders must assess the risk of an emergency occurring and </w:t>
      </w:r>
    </w:p>
    <w:p w14:paraId="5373A14D" w14:textId="77777777" w:rsidR="004903E9" w:rsidRPr="004903E9" w:rsidRDefault="004903E9" w:rsidP="00282AC2">
      <w:pPr>
        <w:rPr>
          <w:color w:val="000000"/>
          <w:sz w:val="24"/>
        </w:rPr>
      </w:pPr>
      <w:r w:rsidRPr="004903E9">
        <w:rPr>
          <w:color w:val="000000"/>
          <w:sz w:val="24"/>
        </w:rPr>
        <w:t xml:space="preserve">maintain plans for dealing with that emergency. They include local authorities, </w:t>
      </w:r>
    </w:p>
    <w:p w14:paraId="15FFF8DE" w14:textId="77777777" w:rsidR="004903E9" w:rsidRPr="004903E9" w:rsidRDefault="004903E9" w:rsidP="00282AC2">
      <w:pPr>
        <w:rPr>
          <w:color w:val="000000"/>
          <w:sz w:val="24"/>
        </w:rPr>
      </w:pPr>
      <w:r w:rsidRPr="004903E9">
        <w:rPr>
          <w:color w:val="000000"/>
          <w:sz w:val="24"/>
        </w:rPr>
        <w:t xml:space="preserve">emergency services, health bodies, the Secretary of State in relation to maritime and </w:t>
      </w:r>
    </w:p>
    <w:p w14:paraId="17FB13B9" w14:textId="77777777" w:rsidR="004903E9" w:rsidRPr="004903E9" w:rsidRDefault="004903E9" w:rsidP="00282AC2">
      <w:pPr>
        <w:rPr>
          <w:color w:val="000000"/>
          <w:sz w:val="24"/>
        </w:rPr>
      </w:pPr>
      <w:r w:rsidRPr="004903E9">
        <w:rPr>
          <w:color w:val="000000"/>
          <w:sz w:val="24"/>
        </w:rPr>
        <w:t xml:space="preserve">coastal emergencies, and the environmental protection agency for each </w:t>
      </w:r>
    </w:p>
    <w:p w14:paraId="16306718" w14:textId="1114E860" w:rsidR="004903E9" w:rsidRPr="004903E9" w:rsidRDefault="004903E9" w:rsidP="00282AC2">
      <w:pPr>
        <w:rPr>
          <w:color w:val="000000"/>
          <w:sz w:val="24"/>
        </w:rPr>
      </w:pPr>
      <w:r w:rsidRPr="004903E9">
        <w:rPr>
          <w:color w:val="000000"/>
          <w:sz w:val="24"/>
        </w:rPr>
        <w:t xml:space="preserve">jurisdiction. The 2004 Act also empowers Ministers to require Category 1 responders </w:t>
      </w:r>
    </w:p>
    <w:p w14:paraId="7B56AC17" w14:textId="59EFB0C0" w:rsidR="004903E9" w:rsidRDefault="004903E9" w:rsidP="00282AC2">
      <w:pPr>
        <w:rPr>
          <w:color w:val="000000"/>
          <w:sz w:val="24"/>
        </w:rPr>
      </w:pPr>
      <w:r w:rsidRPr="004903E9">
        <w:rPr>
          <w:color w:val="000000"/>
          <w:sz w:val="24"/>
        </w:rPr>
        <w:t>to take certain actions.</w:t>
      </w:r>
    </w:p>
    <w:p w14:paraId="0AD12186" w14:textId="77777777" w:rsidR="004903E9" w:rsidRDefault="004903E9" w:rsidP="00282AC2">
      <w:pPr>
        <w:rPr>
          <w:color w:val="000000"/>
          <w:sz w:val="24"/>
        </w:rPr>
      </w:pPr>
    </w:p>
    <w:p w14:paraId="28A361FC" w14:textId="220324CD" w:rsidR="003D368B" w:rsidRDefault="003D368B" w:rsidP="00282AC2">
      <w:pPr>
        <w:rPr>
          <w:color w:val="000000"/>
          <w:sz w:val="24"/>
        </w:rPr>
      </w:pPr>
      <w:r w:rsidRPr="009E151B">
        <w:rPr>
          <w:color w:val="000000"/>
          <w:sz w:val="24"/>
        </w:rPr>
        <w:t xml:space="preserve">Those in Category 1 will have duties </w:t>
      </w:r>
      <w:r w:rsidR="004903E9">
        <w:rPr>
          <w:color w:val="000000"/>
          <w:sz w:val="24"/>
        </w:rPr>
        <w:t xml:space="preserve">that include: </w:t>
      </w:r>
    </w:p>
    <w:p w14:paraId="1EF2CEB3" w14:textId="77777777" w:rsidR="003D368B" w:rsidRPr="009E151B" w:rsidRDefault="003D368B" w:rsidP="00282AC2">
      <w:pPr>
        <w:rPr>
          <w:color w:val="000000"/>
          <w:sz w:val="24"/>
        </w:rPr>
      </w:pPr>
    </w:p>
    <w:p w14:paraId="63F06DCF" w14:textId="77777777" w:rsidR="003D368B" w:rsidRPr="009E151B" w:rsidRDefault="003D368B" w:rsidP="00282AC2">
      <w:pPr>
        <w:pStyle w:val="ListParagraph"/>
        <w:numPr>
          <w:ilvl w:val="0"/>
          <w:numId w:val="7"/>
        </w:numPr>
        <w:rPr>
          <w:color w:val="000000"/>
          <w:sz w:val="24"/>
        </w:rPr>
      </w:pPr>
      <w:r w:rsidRPr="009E151B">
        <w:rPr>
          <w:color w:val="000000"/>
          <w:sz w:val="24"/>
        </w:rPr>
        <w:t xml:space="preserve">Assess local risks and use this to inform emergency planning; </w:t>
      </w:r>
    </w:p>
    <w:p w14:paraId="19B194AA" w14:textId="77777777" w:rsidR="003D368B" w:rsidRPr="009E151B" w:rsidRDefault="003D368B" w:rsidP="00282AC2">
      <w:pPr>
        <w:pStyle w:val="ListParagraph"/>
        <w:numPr>
          <w:ilvl w:val="0"/>
          <w:numId w:val="7"/>
        </w:numPr>
        <w:rPr>
          <w:color w:val="000000"/>
          <w:sz w:val="24"/>
        </w:rPr>
      </w:pPr>
      <w:r w:rsidRPr="009E151B">
        <w:rPr>
          <w:color w:val="000000"/>
          <w:sz w:val="24"/>
        </w:rPr>
        <w:t xml:space="preserve">Put in place emergency plans; </w:t>
      </w:r>
    </w:p>
    <w:p w14:paraId="4CA0F7E7" w14:textId="77777777" w:rsidR="003D368B" w:rsidRDefault="003D368B" w:rsidP="00282AC2">
      <w:pPr>
        <w:pStyle w:val="ListParagraph"/>
        <w:numPr>
          <w:ilvl w:val="0"/>
          <w:numId w:val="7"/>
        </w:numPr>
        <w:rPr>
          <w:color w:val="000000"/>
          <w:sz w:val="24"/>
        </w:rPr>
      </w:pPr>
      <w:r w:rsidRPr="009E151B">
        <w:rPr>
          <w:color w:val="000000"/>
          <w:sz w:val="24"/>
        </w:rPr>
        <w:t xml:space="preserve">Put in place Business Continuity Management arrangements; </w:t>
      </w:r>
    </w:p>
    <w:p w14:paraId="565330F5" w14:textId="77777777" w:rsidR="003D368B" w:rsidRPr="009E151B" w:rsidRDefault="003D368B" w:rsidP="00282AC2">
      <w:pPr>
        <w:pStyle w:val="ListParagraph"/>
        <w:numPr>
          <w:ilvl w:val="0"/>
          <w:numId w:val="7"/>
        </w:numPr>
        <w:rPr>
          <w:color w:val="000000"/>
          <w:sz w:val="24"/>
        </w:rPr>
      </w:pPr>
      <w:r w:rsidRPr="009E151B">
        <w:rPr>
          <w:color w:val="000000"/>
          <w:sz w:val="24"/>
        </w:rPr>
        <w:t>Put in place arrangements to make information available to the public about civil</w:t>
      </w:r>
      <w:r>
        <w:rPr>
          <w:color w:val="000000"/>
          <w:sz w:val="24"/>
        </w:rPr>
        <w:t xml:space="preserve"> </w:t>
      </w:r>
      <w:r w:rsidRPr="009E151B">
        <w:rPr>
          <w:color w:val="000000"/>
          <w:sz w:val="24"/>
        </w:rPr>
        <w:t xml:space="preserve">protection matters and maintain arrangements to warn, inform and advise the public in the event of an emergency; </w:t>
      </w:r>
    </w:p>
    <w:p w14:paraId="508A1140" w14:textId="77777777" w:rsidR="003D368B" w:rsidRPr="009E151B" w:rsidRDefault="003D368B" w:rsidP="00282AC2">
      <w:pPr>
        <w:pStyle w:val="ListParagraph"/>
        <w:numPr>
          <w:ilvl w:val="0"/>
          <w:numId w:val="7"/>
        </w:numPr>
        <w:rPr>
          <w:color w:val="000000"/>
          <w:sz w:val="24"/>
        </w:rPr>
      </w:pPr>
      <w:r w:rsidRPr="009E151B">
        <w:rPr>
          <w:color w:val="000000"/>
          <w:sz w:val="24"/>
        </w:rPr>
        <w:t>Share information with other local responders to enhance co-ordination;</w:t>
      </w:r>
    </w:p>
    <w:p w14:paraId="5BC4B3D1" w14:textId="77777777" w:rsidR="003D368B" w:rsidRDefault="003D368B" w:rsidP="00282AC2">
      <w:pPr>
        <w:pStyle w:val="ListParagraph"/>
        <w:numPr>
          <w:ilvl w:val="0"/>
          <w:numId w:val="7"/>
        </w:numPr>
        <w:rPr>
          <w:color w:val="000000"/>
          <w:sz w:val="24"/>
        </w:rPr>
      </w:pPr>
      <w:r w:rsidRPr="009E151B">
        <w:rPr>
          <w:color w:val="000000"/>
          <w:sz w:val="24"/>
        </w:rPr>
        <w:t>Co-operate with other local responders to enhance c</w:t>
      </w:r>
      <w:r>
        <w:rPr>
          <w:color w:val="000000"/>
          <w:sz w:val="24"/>
        </w:rPr>
        <w:t>o-ordination and efficiency;</w:t>
      </w:r>
    </w:p>
    <w:p w14:paraId="0C4E39AF" w14:textId="2DF8F596" w:rsidR="00813082" w:rsidRPr="00970B00" w:rsidRDefault="003D368B" w:rsidP="00282AC2">
      <w:pPr>
        <w:pStyle w:val="ListParagraph"/>
        <w:numPr>
          <w:ilvl w:val="0"/>
          <w:numId w:val="7"/>
        </w:numPr>
        <w:rPr>
          <w:color w:val="000000"/>
          <w:sz w:val="24"/>
        </w:rPr>
      </w:pPr>
      <w:r>
        <w:rPr>
          <w:color w:val="000000"/>
          <w:sz w:val="24"/>
        </w:rPr>
        <w:t>P</w:t>
      </w:r>
      <w:r w:rsidRPr="009E151B">
        <w:rPr>
          <w:color w:val="000000"/>
          <w:sz w:val="24"/>
        </w:rPr>
        <w:t>rovide advice and assistance to businesses and voluntary organisations about</w:t>
      </w:r>
      <w:r>
        <w:rPr>
          <w:color w:val="000000"/>
          <w:sz w:val="24"/>
        </w:rPr>
        <w:t xml:space="preserve"> </w:t>
      </w:r>
      <w:r w:rsidRPr="009E151B">
        <w:rPr>
          <w:color w:val="000000"/>
          <w:sz w:val="24"/>
        </w:rPr>
        <w:t>business continuity management. (Local Authorities only).</w:t>
      </w:r>
    </w:p>
    <w:p w14:paraId="2E53F03E" w14:textId="77777777" w:rsidR="00813082" w:rsidRDefault="00813082" w:rsidP="00282AC2">
      <w:pPr>
        <w:rPr>
          <w:color w:val="000000"/>
          <w:sz w:val="24"/>
        </w:rPr>
      </w:pPr>
    </w:p>
    <w:p w14:paraId="59EE24DA" w14:textId="54450FF1" w:rsidR="003D368B" w:rsidRPr="009E151B" w:rsidRDefault="003D368B" w:rsidP="00282AC2">
      <w:pPr>
        <w:rPr>
          <w:color w:val="000000"/>
          <w:sz w:val="24"/>
        </w:rPr>
      </w:pPr>
      <w:r w:rsidRPr="009E151B">
        <w:rPr>
          <w:color w:val="000000"/>
          <w:sz w:val="24"/>
        </w:rPr>
        <w:t xml:space="preserve">Those </w:t>
      </w:r>
      <w:r w:rsidR="003172C6">
        <w:rPr>
          <w:color w:val="000000"/>
          <w:sz w:val="24"/>
        </w:rPr>
        <w:t xml:space="preserve">to be included </w:t>
      </w:r>
      <w:r w:rsidR="00203404">
        <w:rPr>
          <w:color w:val="000000"/>
          <w:sz w:val="24"/>
        </w:rPr>
        <w:t>are:</w:t>
      </w:r>
    </w:p>
    <w:p w14:paraId="2008997C" w14:textId="77777777" w:rsidR="003D368B" w:rsidRDefault="003D368B" w:rsidP="00282AC2">
      <w:pPr>
        <w:rPr>
          <w:color w:val="000000"/>
          <w:sz w:val="24"/>
        </w:rPr>
      </w:pPr>
    </w:p>
    <w:tbl>
      <w:tblPr>
        <w:tblStyle w:val="TableGrid"/>
        <w:tblW w:w="0" w:type="auto"/>
        <w:tblLook w:val="04A0" w:firstRow="1" w:lastRow="0" w:firstColumn="1" w:lastColumn="0" w:noHBand="0" w:noVBand="1"/>
      </w:tblPr>
      <w:tblGrid>
        <w:gridCol w:w="3005"/>
        <w:gridCol w:w="3005"/>
        <w:gridCol w:w="3006"/>
      </w:tblGrid>
      <w:tr w:rsidR="003D368B" w14:paraId="6250EA42" w14:textId="77777777" w:rsidTr="002C4D0A">
        <w:tc>
          <w:tcPr>
            <w:tcW w:w="3005" w:type="dxa"/>
            <w:shd w:val="clear" w:color="auto" w:fill="00B0F0"/>
          </w:tcPr>
          <w:p w14:paraId="04F4FF2B" w14:textId="77777777" w:rsidR="003D368B" w:rsidRDefault="003D368B" w:rsidP="00282AC2">
            <w:pPr>
              <w:rPr>
                <w:color w:val="000000"/>
                <w:sz w:val="24"/>
              </w:rPr>
            </w:pPr>
            <w:r>
              <w:rPr>
                <w:color w:val="000000"/>
                <w:sz w:val="24"/>
              </w:rPr>
              <w:t>Local Authorities</w:t>
            </w:r>
          </w:p>
        </w:tc>
        <w:tc>
          <w:tcPr>
            <w:tcW w:w="3005" w:type="dxa"/>
            <w:shd w:val="clear" w:color="auto" w:fill="00B0F0"/>
          </w:tcPr>
          <w:p w14:paraId="45EDD549" w14:textId="77777777" w:rsidR="003D368B" w:rsidRDefault="003D368B" w:rsidP="00282AC2">
            <w:pPr>
              <w:rPr>
                <w:color w:val="000000"/>
                <w:sz w:val="24"/>
              </w:rPr>
            </w:pPr>
            <w:r>
              <w:rPr>
                <w:color w:val="000000"/>
                <w:sz w:val="24"/>
              </w:rPr>
              <w:t>Emergency Services</w:t>
            </w:r>
          </w:p>
        </w:tc>
        <w:tc>
          <w:tcPr>
            <w:tcW w:w="3006" w:type="dxa"/>
            <w:shd w:val="clear" w:color="auto" w:fill="00B0F0"/>
          </w:tcPr>
          <w:p w14:paraId="501C21FE" w14:textId="77777777" w:rsidR="003D368B" w:rsidRDefault="003D368B" w:rsidP="00282AC2">
            <w:pPr>
              <w:rPr>
                <w:color w:val="000000"/>
                <w:sz w:val="24"/>
              </w:rPr>
            </w:pPr>
            <w:r>
              <w:rPr>
                <w:color w:val="000000"/>
                <w:sz w:val="24"/>
              </w:rPr>
              <w:t>NHS Bodies</w:t>
            </w:r>
          </w:p>
        </w:tc>
      </w:tr>
      <w:tr w:rsidR="003D368B" w14:paraId="2F1D4881" w14:textId="77777777" w:rsidTr="002C4D0A">
        <w:tc>
          <w:tcPr>
            <w:tcW w:w="3005" w:type="dxa"/>
          </w:tcPr>
          <w:p w14:paraId="5537CFC6" w14:textId="77777777" w:rsidR="003D368B" w:rsidRPr="00FB3B15" w:rsidRDefault="003D368B" w:rsidP="00282AC2">
            <w:pPr>
              <w:pStyle w:val="ListParagraph"/>
              <w:numPr>
                <w:ilvl w:val="0"/>
                <w:numId w:val="9"/>
              </w:numPr>
              <w:jc w:val="left"/>
              <w:rPr>
                <w:color w:val="000000"/>
                <w:sz w:val="24"/>
              </w:rPr>
            </w:pPr>
            <w:r w:rsidRPr="00FB3B15">
              <w:rPr>
                <w:color w:val="000000"/>
                <w:sz w:val="24"/>
              </w:rPr>
              <w:t>All principal local authorities</w:t>
            </w:r>
          </w:p>
        </w:tc>
        <w:tc>
          <w:tcPr>
            <w:tcW w:w="3005" w:type="dxa"/>
            <w:vMerge w:val="restart"/>
          </w:tcPr>
          <w:p w14:paraId="592ACB0D" w14:textId="77777777" w:rsidR="003D368B" w:rsidRPr="00FB3B15" w:rsidRDefault="003D368B" w:rsidP="00282AC2">
            <w:pPr>
              <w:pStyle w:val="ListParagraph"/>
              <w:numPr>
                <w:ilvl w:val="0"/>
                <w:numId w:val="9"/>
              </w:numPr>
              <w:jc w:val="left"/>
              <w:rPr>
                <w:color w:val="000000"/>
                <w:sz w:val="24"/>
              </w:rPr>
            </w:pPr>
            <w:r w:rsidRPr="00FB3B15">
              <w:rPr>
                <w:color w:val="000000"/>
                <w:sz w:val="24"/>
              </w:rPr>
              <w:t>Police Forces</w:t>
            </w:r>
          </w:p>
          <w:p w14:paraId="59BC8FAE" w14:textId="77777777" w:rsidR="003D368B" w:rsidRPr="00FB3B15" w:rsidRDefault="003D368B" w:rsidP="00282AC2">
            <w:pPr>
              <w:pStyle w:val="ListParagraph"/>
              <w:numPr>
                <w:ilvl w:val="0"/>
                <w:numId w:val="9"/>
              </w:numPr>
              <w:jc w:val="left"/>
              <w:rPr>
                <w:color w:val="000000"/>
                <w:sz w:val="24"/>
              </w:rPr>
            </w:pPr>
            <w:r w:rsidRPr="00FB3B15">
              <w:rPr>
                <w:color w:val="000000"/>
                <w:sz w:val="24"/>
              </w:rPr>
              <w:t>British Transport Police</w:t>
            </w:r>
          </w:p>
          <w:p w14:paraId="31E0FDDF" w14:textId="77777777" w:rsidR="003D368B" w:rsidRPr="00FB3B15" w:rsidRDefault="003D368B" w:rsidP="00282AC2">
            <w:pPr>
              <w:pStyle w:val="ListParagraph"/>
              <w:numPr>
                <w:ilvl w:val="0"/>
                <w:numId w:val="9"/>
              </w:numPr>
              <w:jc w:val="left"/>
              <w:rPr>
                <w:color w:val="000000"/>
                <w:sz w:val="24"/>
              </w:rPr>
            </w:pPr>
            <w:r w:rsidRPr="00FB3B15">
              <w:rPr>
                <w:color w:val="000000"/>
                <w:sz w:val="24"/>
              </w:rPr>
              <w:t>Police Service of Northern Ireland</w:t>
            </w:r>
          </w:p>
          <w:p w14:paraId="1F7830ED" w14:textId="77777777" w:rsidR="003D368B" w:rsidRPr="00FB3B15" w:rsidRDefault="003D368B" w:rsidP="00282AC2">
            <w:pPr>
              <w:pStyle w:val="ListParagraph"/>
              <w:numPr>
                <w:ilvl w:val="0"/>
                <w:numId w:val="9"/>
              </w:numPr>
              <w:jc w:val="left"/>
              <w:rPr>
                <w:color w:val="000000"/>
                <w:sz w:val="24"/>
              </w:rPr>
            </w:pPr>
            <w:r w:rsidRPr="00FB3B15">
              <w:rPr>
                <w:color w:val="000000"/>
                <w:sz w:val="24"/>
              </w:rPr>
              <w:t>Fire Authorities</w:t>
            </w:r>
          </w:p>
          <w:p w14:paraId="60F9B090" w14:textId="77777777" w:rsidR="003D368B" w:rsidRPr="00FB3B15" w:rsidRDefault="003D368B" w:rsidP="00282AC2">
            <w:pPr>
              <w:pStyle w:val="ListParagraph"/>
              <w:numPr>
                <w:ilvl w:val="0"/>
                <w:numId w:val="9"/>
              </w:numPr>
              <w:jc w:val="left"/>
              <w:rPr>
                <w:color w:val="000000"/>
                <w:sz w:val="24"/>
              </w:rPr>
            </w:pPr>
            <w:r w:rsidRPr="00FB3B15">
              <w:rPr>
                <w:color w:val="000000"/>
                <w:sz w:val="24"/>
              </w:rPr>
              <w:t>Ambulance Services</w:t>
            </w:r>
          </w:p>
        </w:tc>
        <w:tc>
          <w:tcPr>
            <w:tcW w:w="3006" w:type="dxa"/>
            <w:vMerge w:val="restart"/>
          </w:tcPr>
          <w:p w14:paraId="65F7748E" w14:textId="77777777" w:rsidR="003D368B" w:rsidRPr="00FB3B15" w:rsidRDefault="003D368B" w:rsidP="00282AC2">
            <w:pPr>
              <w:pStyle w:val="ListParagraph"/>
              <w:numPr>
                <w:ilvl w:val="0"/>
                <w:numId w:val="9"/>
              </w:numPr>
              <w:jc w:val="left"/>
              <w:rPr>
                <w:color w:val="000000"/>
                <w:sz w:val="24"/>
              </w:rPr>
            </w:pPr>
            <w:r w:rsidRPr="00FB3B15">
              <w:rPr>
                <w:color w:val="000000"/>
                <w:sz w:val="24"/>
              </w:rPr>
              <w:t>Primary Care Trusts</w:t>
            </w:r>
          </w:p>
          <w:p w14:paraId="613F492B" w14:textId="77777777" w:rsidR="003D368B" w:rsidRPr="00FB3B15" w:rsidRDefault="003D368B" w:rsidP="00282AC2">
            <w:pPr>
              <w:pStyle w:val="ListParagraph"/>
              <w:numPr>
                <w:ilvl w:val="0"/>
                <w:numId w:val="9"/>
              </w:numPr>
              <w:jc w:val="left"/>
              <w:rPr>
                <w:color w:val="000000"/>
                <w:sz w:val="24"/>
              </w:rPr>
            </w:pPr>
            <w:r w:rsidRPr="00FB3B15">
              <w:rPr>
                <w:color w:val="000000"/>
                <w:sz w:val="24"/>
              </w:rPr>
              <w:t>Health Protection Agency</w:t>
            </w:r>
          </w:p>
          <w:p w14:paraId="53E6F1CD" w14:textId="77777777" w:rsidR="003D368B" w:rsidRPr="00FB3B15" w:rsidRDefault="003D368B" w:rsidP="00282AC2">
            <w:pPr>
              <w:pStyle w:val="ListParagraph"/>
              <w:numPr>
                <w:ilvl w:val="0"/>
                <w:numId w:val="9"/>
              </w:numPr>
              <w:jc w:val="left"/>
              <w:rPr>
                <w:color w:val="000000"/>
                <w:sz w:val="24"/>
              </w:rPr>
            </w:pPr>
            <w:r w:rsidRPr="00FB3B15">
              <w:rPr>
                <w:color w:val="000000"/>
                <w:sz w:val="24"/>
              </w:rPr>
              <w:t>NHS Acute Trusts (Hospitals)</w:t>
            </w:r>
          </w:p>
          <w:p w14:paraId="5DD736FD" w14:textId="77777777" w:rsidR="003D368B" w:rsidRPr="00FB3B15" w:rsidRDefault="003D368B" w:rsidP="00282AC2">
            <w:pPr>
              <w:pStyle w:val="ListParagraph"/>
              <w:numPr>
                <w:ilvl w:val="0"/>
                <w:numId w:val="9"/>
              </w:numPr>
              <w:jc w:val="left"/>
              <w:rPr>
                <w:color w:val="000000"/>
                <w:sz w:val="24"/>
              </w:rPr>
            </w:pPr>
            <w:r w:rsidRPr="00FB3B15">
              <w:rPr>
                <w:color w:val="000000"/>
                <w:sz w:val="24"/>
              </w:rPr>
              <w:t>Foundation Trusts</w:t>
            </w:r>
          </w:p>
          <w:p w14:paraId="246568DF" w14:textId="77777777" w:rsidR="003D368B" w:rsidRPr="00FB3B15" w:rsidRDefault="003D368B" w:rsidP="00282AC2">
            <w:pPr>
              <w:pStyle w:val="ListParagraph"/>
              <w:numPr>
                <w:ilvl w:val="0"/>
                <w:numId w:val="9"/>
              </w:numPr>
              <w:jc w:val="left"/>
              <w:rPr>
                <w:color w:val="000000"/>
                <w:sz w:val="24"/>
              </w:rPr>
            </w:pPr>
            <w:r w:rsidRPr="00FB3B15">
              <w:rPr>
                <w:color w:val="000000"/>
                <w:sz w:val="24"/>
              </w:rPr>
              <w:t>Local Health Boards (in Wales)</w:t>
            </w:r>
          </w:p>
          <w:p w14:paraId="6174E822" w14:textId="77777777" w:rsidR="003D368B" w:rsidRDefault="003D368B" w:rsidP="00282AC2">
            <w:pPr>
              <w:pStyle w:val="ListParagraph"/>
              <w:numPr>
                <w:ilvl w:val="0"/>
                <w:numId w:val="9"/>
              </w:numPr>
              <w:jc w:val="left"/>
              <w:rPr>
                <w:color w:val="000000"/>
                <w:sz w:val="24"/>
              </w:rPr>
            </w:pPr>
            <w:r w:rsidRPr="00FB3B15">
              <w:rPr>
                <w:color w:val="000000"/>
                <w:sz w:val="24"/>
              </w:rPr>
              <w:t>Any Welsh NHS Trust which provides public health services</w:t>
            </w:r>
          </w:p>
          <w:p w14:paraId="5CFA583C" w14:textId="77777777" w:rsidR="003D368B" w:rsidRPr="00FB3B15" w:rsidRDefault="003D368B" w:rsidP="00282AC2">
            <w:pPr>
              <w:pStyle w:val="ListParagraph"/>
              <w:numPr>
                <w:ilvl w:val="0"/>
                <w:numId w:val="9"/>
              </w:numPr>
              <w:jc w:val="left"/>
              <w:rPr>
                <w:color w:val="000000"/>
                <w:sz w:val="24"/>
              </w:rPr>
            </w:pPr>
            <w:r w:rsidRPr="00FB3B15">
              <w:rPr>
                <w:color w:val="000000"/>
                <w:sz w:val="24"/>
              </w:rPr>
              <w:t>Health Boards (in Scotland)</w:t>
            </w:r>
          </w:p>
          <w:p w14:paraId="0B17E79E" w14:textId="77777777" w:rsidR="003D368B" w:rsidRPr="00FB3B15" w:rsidRDefault="003D368B" w:rsidP="00282AC2">
            <w:pPr>
              <w:pStyle w:val="ListParagraph"/>
              <w:numPr>
                <w:ilvl w:val="0"/>
                <w:numId w:val="9"/>
              </w:numPr>
              <w:jc w:val="left"/>
              <w:rPr>
                <w:color w:val="000000"/>
                <w:sz w:val="24"/>
              </w:rPr>
            </w:pPr>
            <w:r w:rsidRPr="00FB3B15">
              <w:rPr>
                <w:color w:val="000000"/>
                <w:sz w:val="24"/>
              </w:rPr>
              <w:t>Port Health Authorities</w:t>
            </w:r>
          </w:p>
        </w:tc>
      </w:tr>
      <w:tr w:rsidR="003D368B" w14:paraId="228084F8" w14:textId="77777777" w:rsidTr="002C4D0A">
        <w:tc>
          <w:tcPr>
            <w:tcW w:w="3005" w:type="dxa"/>
            <w:shd w:val="clear" w:color="auto" w:fill="00B0F0"/>
          </w:tcPr>
          <w:p w14:paraId="117347DF" w14:textId="77777777" w:rsidR="003D368B" w:rsidRDefault="003D368B" w:rsidP="00282AC2">
            <w:pPr>
              <w:rPr>
                <w:color w:val="000000"/>
                <w:sz w:val="24"/>
              </w:rPr>
            </w:pPr>
            <w:r>
              <w:rPr>
                <w:color w:val="000000"/>
                <w:sz w:val="24"/>
              </w:rPr>
              <w:t xml:space="preserve">Government Agencies </w:t>
            </w:r>
          </w:p>
        </w:tc>
        <w:tc>
          <w:tcPr>
            <w:tcW w:w="3005" w:type="dxa"/>
            <w:vMerge/>
          </w:tcPr>
          <w:p w14:paraId="0E98E2AC" w14:textId="77777777" w:rsidR="003D368B" w:rsidRDefault="003D368B" w:rsidP="00282AC2">
            <w:pPr>
              <w:rPr>
                <w:color w:val="000000"/>
                <w:sz w:val="24"/>
              </w:rPr>
            </w:pPr>
          </w:p>
        </w:tc>
        <w:tc>
          <w:tcPr>
            <w:tcW w:w="3006" w:type="dxa"/>
            <w:vMerge/>
          </w:tcPr>
          <w:p w14:paraId="1A3C9DDA" w14:textId="77777777" w:rsidR="003D368B" w:rsidRDefault="003D368B" w:rsidP="00282AC2">
            <w:pPr>
              <w:rPr>
                <w:color w:val="000000"/>
                <w:sz w:val="24"/>
              </w:rPr>
            </w:pPr>
          </w:p>
        </w:tc>
      </w:tr>
      <w:tr w:rsidR="003D368B" w14:paraId="47A66470" w14:textId="77777777" w:rsidTr="002C4D0A">
        <w:tc>
          <w:tcPr>
            <w:tcW w:w="3005" w:type="dxa"/>
          </w:tcPr>
          <w:p w14:paraId="3779F097" w14:textId="77777777" w:rsidR="003D368B" w:rsidRPr="00FB3B15" w:rsidRDefault="003D368B" w:rsidP="00282AC2">
            <w:pPr>
              <w:pStyle w:val="ListParagraph"/>
              <w:numPr>
                <w:ilvl w:val="0"/>
                <w:numId w:val="8"/>
              </w:numPr>
              <w:jc w:val="left"/>
              <w:rPr>
                <w:color w:val="000000"/>
                <w:sz w:val="24"/>
              </w:rPr>
            </w:pPr>
            <w:r w:rsidRPr="00FB3B15">
              <w:rPr>
                <w:color w:val="000000"/>
                <w:sz w:val="24"/>
              </w:rPr>
              <w:t>Environment Agency</w:t>
            </w:r>
          </w:p>
          <w:p w14:paraId="5C0FAA2B" w14:textId="77777777" w:rsidR="003D368B" w:rsidRDefault="003D368B" w:rsidP="00282AC2">
            <w:pPr>
              <w:pStyle w:val="ListParagraph"/>
              <w:numPr>
                <w:ilvl w:val="0"/>
                <w:numId w:val="8"/>
              </w:numPr>
              <w:jc w:val="left"/>
              <w:rPr>
                <w:color w:val="000000"/>
                <w:sz w:val="24"/>
              </w:rPr>
            </w:pPr>
            <w:r w:rsidRPr="00FB3B15">
              <w:rPr>
                <w:color w:val="000000"/>
                <w:sz w:val="24"/>
              </w:rPr>
              <w:t>Scottish Environment Protection Agency</w:t>
            </w:r>
          </w:p>
          <w:p w14:paraId="6000213D" w14:textId="77777777" w:rsidR="003D368B" w:rsidRPr="00FB3B15" w:rsidRDefault="003D368B" w:rsidP="00282AC2">
            <w:pPr>
              <w:pStyle w:val="ListParagraph"/>
              <w:numPr>
                <w:ilvl w:val="0"/>
                <w:numId w:val="8"/>
              </w:numPr>
              <w:jc w:val="left"/>
              <w:rPr>
                <w:color w:val="000000"/>
                <w:sz w:val="24"/>
              </w:rPr>
            </w:pPr>
            <w:r>
              <w:rPr>
                <w:color w:val="000000"/>
                <w:sz w:val="24"/>
              </w:rPr>
              <w:t>Maritime and Coastguard Agency</w:t>
            </w:r>
          </w:p>
        </w:tc>
        <w:tc>
          <w:tcPr>
            <w:tcW w:w="3005" w:type="dxa"/>
            <w:vMerge/>
          </w:tcPr>
          <w:p w14:paraId="00081767" w14:textId="77777777" w:rsidR="003D368B" w:rsidRDefault="003D368B" w:rsidP="00282AC2">
            <w:pPr>
              <w:rPr>
                <w:color w:val="000000"/>
                <w:sz w:val="24"/>
              </w:rPr>
            </w:pPr>
          </w:p>
        </w:tc>
        <w:tc>
          <w:tcPr>
            <w:tcW w:w="3006" w:type="dxa"/>
            <w:vMerge/>
          </w:tcPr>
          <w:p w14:paraId="51766FA8" w14:textId="77777777" w:rsidR="003D368B" w:rsidRDefault="003D368B" w:rsidP="00282AC2">
            <w:pPr>
              <w:rPr>
                <w:color w:val="000000"/>
                <w:sz w:val="24"/>
              </w:rPr>
            </w:pPr>
          </w:p>
        </w:tc>
      </w:tr>
    </w:tbl>
    <w:p w14:paraId="0959392F" w14:textId="316410E9" w:rsidR="00F37CC0" w:rsidRDefault="00F37CC0" w:rsidP="00282AC2">
      <w:pPr>
        <w:rPr>
          <w:sz w:val="24"/>
        </w:rPr>
      </w:pPr>
    </w:p>
    <w:p w14:paraId="1B0F6C22" w14:textId="77777777" w:rsidR="00F37CC0" w:rsidRDefault="00F37CC0" w:rsidP="00282AC2">
      <w:pPr>
        <w:rPr>
          <w:sz w:val="24"/>
        </w:rPr>
      </w:pPr>
    </w:p>
    <w:p w14:paraId="7087A9A5" w14:textId="5449A44D" w:rsidR="003D368B" w:rsidRPr="00F37CC0" w:rsidRDefault="00F37CC0" w:rsidP="00282AC2">
      <w:pPr>
        <w:rPr>
          <w:sz w:val="24"/>
        </w:rPr>
      </w:pPr>
      <w:r w:rsidRPr="00F37CC0">
        <w:rPr>
          <w:sz w:val="24"/>
        </w:rPr>
        <w:t>Category 2 responders must cooperate with category 1 responders</w:t>
      </w:r>
      <w:r w:rsidR="005819E9">
        <w:rPr>
          <w:sz w:val="24"/>
        </w:rPr>
        <w:t xml:space="preserve">. </w:t>
      </w:r>
      <w:r w:rsidR="003D368B" w:rsidRPr="00FB3B15">
        <w:rPr>
          <w:sz w:val="24"/>
        </w:rPr>
        <w:t xml:space="preserve">Those to be included </w:t>
      </w:r>
      <w:r w:rsidR="00203404">
        <w:rPr>
          <w:sz w:val="24"/>
        </w:rPr>
        <w:t>are:</w:t>
      </w:r>
    </w:p>
    <w:p w14:paraId="1F840AB1" w14:textId="77777777" w:rsidR="003D368B" w:rsidRDefault="003D368B" w:rsidP="00282AC2">
      <w:pPr>
        <w:rPr>
          <w:color w:val="000000"/>
          <w:sz w:val="24"/>
        </w:rPr>
      </w:pPr>
    </w:p>
    <w:tbl>
      <w:tblPr>
        <w:tblStyle w:val="TableGrid"/>
        <w:tblW w:w="0" w:type="auto"/>
        <w:tblLook w:val="04A0" w:firstRow="1" w:lastRow="0" w:firstColumn="1" w:lastColumn="0" w:noHBand="0" w:noVBand="1"/>
      </w:tblPr>
      <w:tblGrid>
        <w:gridCol w:w="3005"/>
        <w:gridCol w:w="3005"/>
        <w:gridCol w:w="3006"/>
      </w:tblGrid>
      <w:tr w:rsidR="003D368B" w14:paraId="67EC93A6" w14:textId="77777777" w:rsidTr="002C4D0A">
        <w:tc>
          <w:tcPr>
            <w:tcW w:w="3005" w:type="dxa"/>
            <w:shd w:val="clear" w:color="auto" w:fill="00B0F0"/>
          </w:tcPr>
          <w:p w14:paraId="279AE392" w14:textId="77777777" w:rsidR="003D368B" w:rsidRDefault="003D368B" w:rsidP="00282AC2">
            <w:pPr>
              <w:rPr>
                <w:color w:val="000000"/>
                <w:sz w:val="24"/>
              </w:rPr>
            </w:pPr>
            <w:r>
              <w:rPr>
                <w:color w:val="000000"/>
                <w:sz w:val="24"/>
              </w:rPr>
              <w:t>Utilities</w:t>
            </w:r>
          </w:p>
        </w:tc>
        <w:tc>
          <w:tcPr>
            <w:tcW w:w="3005" w:type="dxa"/>
            <w:shd w:val="clear" w:color="auto" w:fill="00B0F0"/>
          </w:tcPr>
          <w:p w14:paraId="7C192583" w14:textId="77777777" w:rsidR="003D368B" w:rsidRDefault="003D368B" w:rsidP="00282AC2">
            <w:pPr>
              <w:rPr>
                <w:color w:val="000000"/>
                <w:sz w:val="24"/>
              </w:rPr>
            </w:pPr>
            <w:r>
              <w:rPr>
                <w:color w:val="000000"/>
                <w:sz w:val="24"/>
              </w:rPr>
              <w:t>Transport</w:t>
            </w:r>
          </w:p>
        </w:tc>
        <w:tc>
          <w:tcPr>
            <w:tcW w:w="3006" w:type="dxa"/>
            <w:shd w:val="clear" w:color="auto" w:fill="00B0F0"/>
          </w:tcPr>
          <w:p w14:paraId="6BC10BBF" w14:textId="77777777" w:rsidR="003D368B" w:rsidRDefault="003D368B" w:rsidP="00282AC2">
            <w:pPr>
              <w:rPr>
                <w:color w:val="000000"/>
                <w:sz w:val="24"/>
              </w:rPr>
            </w:pPr>
            <w:r>
              <w:rPr>
                <w:color w:val="000000"/>
                <w:sz w:val="24"/>
              </w:rPr>
              <w:t>Government</w:t>
            </w:r>
          </w:p>
        </w:tc>
      </w:tr>
      <w:tr w:rsidR="003D368B" w14:paraId="10372459" w14:textId="77777777" w:rsidTr="002C4D0A">
        <w:tc>
          <w:tcPr>
            <w:tcW w:w="3005" w:type="dxa"/>
            <w:vMerge w:val="restart"/>
          </w:tcPr>
          <w:p w14:paraId="79E92B7B" w14:textId="77777777" w:rsidR="003D368B" w:rsidRPr="00354E7A" w:rsidRDefault="003D368B" w:rsidP="00282AC2">
            <w:pPr>
              <w:pStyle w:val="ListParagraph"/>
              <w:numPr>
                <w:ilvl w:val="0"/>
                <w:numId w:val="10"/>
              </w:numPr>
              <w:jc w:val="left"/>
              <w:rPr>
                <w:color w:val="000000"/>
                <w:sz w:val="24"/>
              </w:rPr>
            </w:pPr>
            <w:r w:rsidRPr="00354E7A">
              <w:rPr>
                <w:color w:val="000000"/>
                <w:sz w:val="24"/>
              </w:rPr>
              <w:t xml:space="preserve">Electricity </w:t>
            </w:r>
          </w:p>
          <w:p w14:paraId="01360845" w14:textId="77777777" w:rsidR="003D368B" w:rsidRPr="00354E7A" w:rsidRDefault="003D368B" w:rsidP="00282AC2">
            <w:pPr>
              <w:pStyle w:val="ListParagraph"/>
              <w:numPr>
                <w:ilvl w:val="0"/>
                <w:numId w:val="10"/>
              </w:numPr>
              <w:jc w:val="left"/>
              <w:rPr>
                <w:color w:val="000000"/>
                <w:sz w:val="24"/>
              </w:rPr>
            </w:pPr>
            <w:r w:rsidRPr="00354E7A">
              <w:rPr>
                <w:color w:val="000000"/>
                <w:sz w:val="24"/>
              </w:rPr>
              <w:lastRenderedPageBreak/>
              <w:t xml:space="preserve">Gas </w:t>
            </w:r>
          </w:p>
          <w:p w14:paraId="10E7F8D7" w14:textId="77777777" w:rsidR="003D368B" w:rsidRPr="00354E7A" w:rsidRDefault="003D368B" w:rsidP="00282AC2">
            <w:pPr>
              <w:pStyle w:val="ListParagraph"/>
              <w:numPr>
                <w:ilvl w:val="0"/>
                <w:numId w:val="10"/>
              </w:numPr>
              <w:jc w:val="left"/>
              <w:rPr>
                <w:color w:val="000000"/>
                <w:sz w:val="24"/>
              </w:rPr>
            </w:pPr>
            <w:r w:rsidRPr="00354E7A">
              <w:rPr>
                <w:color w:val="000000"/>
                <w:sz w:val="24"/>
              </w:rPr>
              <w:t xml:space="preserve">Water and Sewerage </w:t>
            </w:r>
          </w:p>
          <w:p w14:paraId="2E42054F" w14:textId="77777777" w:rsidR="003D368B" w:rsidRPr="00354E7A" w:rsidRDefault="003D368B" w:rsidP="00282AC2">
            <w:pPr>
              <w:pStyle w:val="ListParagraph"/>
              <w:numPr>
                <w:ilvl w:val="0"/>
                <w:numId w:val="10"/>
              </w:numPr>
              <w:jc w:val="left"/>
              <w:rPr>
                <w:color w:val="000000"/>
                <w:sz w:val="24"/>
              </w:rPr>
            </w:pPr>
            <w:r w:rsidRPr="00354E7A">
              <w:rPr>
                <w:color w:val="000000"/>
                <w:sz w:val="24"/>
              </w:rPr>
              <w:t>Public communications providers (landlines and</w:t>
            </w:r>
          </w:p>
          <w:p w14:paraId="35D26554" w14:textId="77777777" w:rsidR="003D368B" w:rsidRPr="00354E7A" w:rsidRDefault="003D368B" w:rsidP="00282AC2">
            <w:pPr>
              <w:pStyle w:val="ListParagraph"/>
              <w:numPr>
                <w:ilvl w:val="0"/>
                <w:numId w:val="10"/>
              </w:numPr>
              <w:jc w:val="left"/>
              <w:rPr>
                <w:color w:val="000000"/>
                <w:sz w:val="24"/>
              </w:rPr>
            </w:pPr>
            <w:r w:rsidRPr="00354E7A">
              <w:rPr>
                <w:color w:val="000000"/>
                <w:sz w:val="24"/>
              </w:rPr>
              <w:t>mobiles)</w:t>
            </w:r>
          </w:p>
        </w:tc>
        <w:tc>
          <w:tcPr>
            <w:tcW w:w="3005" w:type="dxa"/>
            <w:vMerge w:val="restart"/>
          </w:tcPr>
          <w:p w14:paraId="63861D7E" w14:textId="77777777" w:rsidR="003D368B" w:rsidRPr="00354E7A" w:rsidRDefault="003D368B" w:rsidP="00282AC2">
            <w:pPr>
              <w:pStyle w:val="ListParagraph"/>
              <w:numPr>
                <w:ilvl w:val="0"/>
                <w:numId w:val="10"/>
              </w:numPr>
              <w:jc w:val="left"/>
              <w:rPr>
                <w:color w:val="000000"/>
                <w:sz w:val="24"/>
              </w:rPr>
            </w:pPr>
            <w:r w:rsidRPr="00354E7A">
              <w:rPr>
                <w:color w:val="000000"/>
                <w:sz w:val="24"/>
              </w:rPr>
              <w:lastRenderedPageBreak/>
              <w:t>Network Rail</w:t>
            </w:r>
          </w:p>
          <w:p w14:paraId="2B26685B" w14:textId="77777777" w:rsidR="003D368B" w:rsidRPr="00354E7A" w:rsidRDefault="003D368B" w:rsidP="00282AC2">
            <w:pPr>
              <w:pStyle w:val="ListParagraph"/>
              <w:numPr>
                <w:ilvl w:val="0"/>
                <w:numId w:val="10"/>
              </w:numPr>
              <w:jc w:val="left"/>
              <w:rPr>
                <w:color w:val="000000"/>
                <w:sz w:val="24"/>
              </w:rPr>
            </w:pPr>
            <w:r w:rsidRPr="00354E7A">
              <w:rPr>
                <w:color w:val="000000"/>
                <w:sz w:val="24"/>
              </w:rPr>
              <w:lastRenderedPageBreak/>
              <w:t xml:space="preserve">Train Operating Companies (Passenger and Freight) </w:t>
            </w:r>
          </w:p>
          <w:p w14:paraId="7B7E2F04" w14:textId="77777777" w:rsidR="003D368B" w:rsidRPr="00354E7A" w:rsidRDefault="003D368B" w:rsidP="00282AC2">
            <w:pPr>
              <w:pStyle w:val="ListParagraph"/>
              <w:numPr>
                <w:ilvl w:val="0"/>
                <w:numId w:val="10"/>
              </w:numPr>
              <w:jc w:val="left"/>
              <w:rPr>
                <w:color w:val="000000"/>
                <w:sz w:val="24"/>
              </w:rPr>
            </w:pPr>
            <w:r w:rsidRPr="00354E7A">
              <w:rPr>
                <w:color w:val="000000"/>
                <w:sz w:val="24"/>
              </w:rPr>
              <w:t>Transport for London</w:t>
            </w:r>
          </w:p>
          <w:p w14:paraId="32DEA2FE" w14:textId="77777777" w:rsidR="003D368B" w:rsidRPr="00354E7A" w:rsidRDefault="003D368B" w:rsidP="00282AC2">
            <w:pPr>
              <w:pStyle w:val="ListParagraph"/>
              <w:numPr>
                <w:ilvl w:val="0"/>
                <w:numId w:val="10"/>
              </w:numPr>
              <w:jc w:val="left"/>
              <w:rPr>
                <w:color w:val="000000"/>
                <w:sz w:val="24"/>
              </w:rPr>
            </w:pPr>
            <w:r w:rsidRPr="00354E7A">
              <w:rPr>
                <w:color w:val="000000"/>
                <w:sz w:val="24"/>
              </w:rPr>
              <w:t>London Underground</w:t>
            </w:r>
          </w:p>
          <w:p w14:paraId="221FAB8A" w14:textId="77777777" w:rsidR="003D368B" w:rsidRPr="00354E7A" w:rsidRDefault="003D368B" w:rsidP="00282AC2">
            <w:pPr>
              <w:pStyle w:val="ListParagraph"/>
              <w:numPr>
                <w:ilvl w:val="0"/>
                <w:numId w:val="10"/>
              </w:numPr>
              <w:jc w:val="left"/>
              <w:rPr>
                <w:color w:val="000000"/>
                <w:sz w:val="24"/>
              </w:rPr>
            </w:pPr>
            <w:r w:rsidRPr="00354E7A">
              <w:rPr>
                <w:color w:val="000000"/>
                <w:sz w:val="24"/>
              </w:rPr>
              <w:t xml:space="preserve">Airports </w:t>
            </w:r>
          </w:p>
          <w:p w14:paraId="340488A0" w14:textId="77777777" w:rsidR="003D368B" w:rsidRPr="00354E7A" w:rsidRDefault="003D368B" w:rsidP="00282AC2">
            <w:pPr>
              <w:pStyle w:val="ListParagraph"/>
              <w:numPr>
                <w:ilvl w:val="0"/>
                <w:numId w:val="10"/>
              </w:numPr>
              <w:jc w:val="left"/>
              <w:rPr>
                <w:color w:val="000000"/>
                <w:sz w:val="24"/>
              </w:rPr>
            </w:pPr>
            <w:r w:rsidRPr="00354E7A">
              <w:rPr>
                <w:color w:val="000000"/>
                <w:sz w:val="24"/>
              </w:rPr>
              <w:t xml:space="preserve">Harbours and Ports </w:t>
            </w:r>
          </w:p>
          <w:p w14:paraId="2CFA4482" w14:textId="77777777" w:rsidR="003D368B" w:rsidRPr="00354E7A" w:rsidRDefault="003D368B" w:rsidP="00282AC2">
            <w:pPr>
              <w:pStyle w:val="ListParagraph"/>
              <w:numPr>
                <w:ilvl w:val="0"/>
                <w:numId w:val="10"/>
              </w:numPr>
              <w:jc w:val="left"/>
              <w:rPr>
                <w:color w:val="000000"/>
                <w:sz w:val="24"/>
              </w:rPr>
            </w:pPr>
            <w:r w:rsidRPr="00354E7A">
              <w:rPr>
                <w:color w:val="000000"/>
                <w:sz w:val="24"/>
              </w:rPr>
              <w:t>Highways Agency</w:t>
            </w:r>
          </w:p>
        </w:tc>
        <w:tc>
          <w:tcPr>
            <w:tcW w:w="3006" w:type="dxa"/>
          </w:tcPr>
          <w:p w14:paraId="1822F5A9" w14:textId="77777777" w:rsidR="003D368B" w:rsidRPr="00354E7A" w:rsidRDefault="003D368B" w:rsidP="00282AC2">
            <w:pPr>
              <w:pStyle w:val="ListParagraph"/>
              <w:numPr>
                <w:ilvl w:val="0"/>
                <w:numId w:val="10"/>
              </w:numPr>
              <w:jc w:val="left"/>
              <w:rPr>
                <w:color w:val="000000"/>
                <w:sz w:val="24"/>
              </w:rPr>
            </w:pPr>
            <w:r w:rsidRPr="00354E7A">
              <w:rPr>
                <w:color w:val="000000"/>
                <w:sz w:val="24"/>
              </w:rPr>
              <w:lastRenderedPageBreak/>
              <w:t>Health and Safety</w:t>
            </w:r>
            <w:r>
              <w:rPr>
                <w:color w:val="000000"/>
                <w:sz w:val="24"/>
              </w:rPr>
              <w:t xml:space="preserve"> </w:t>
            </w:r>
            <w:r w:rsidRPr="00354E7A">
              <w:rPr>
                <w:color w:val="000000"/>
                <w:sz w:val="24"/>
              </w:rPr>
              <w:t>Executive</w:t>
            </w:r>
          </w:p>
        </w:tc>
      </w:tr>
      <w:tr w:rsidR="003D368B" w14:paraId="2B8C24FA" w14:textId="77777777" w:rsidTr="002C4D0A">
        <w:tc>
          <w:tcPr>
            <w:tcW w:w="3005" w:type="dxa"/>
            <w:vMerge/>
          </w:tcPr>
          <w:p w14:paraId="2E7A168B" w14:textId="77777777" w:rsidR="003D368B" w:rsidRDefault="003D368B" w:rsidP="00282AC2">
            <w:pPr>
              <w:rPr>
                <w:color w:val="000000"/>
                <w:sz w:val="24"/>
              </w:rPr>
            </w:pPr>
          </w:p>
        </w:tc>
        <w:tc>
          <w:tcPr>
            <w:tcW w:w="3005" w:type="dxa"/>
            <w:vMerge/>
          </w:tcPr>
          <w:p w14:paraId="1CBF8C6B" w14:textId="77777777" w:rsidR="003D368B" w:rsidRDefault="003D368B" w:rsidP="00282AC2">
            <w:pPr>
              <w:rPr>
                <w:color w:val="000000"/>
                <w:sz w:val="24"/>
              </w:rPr>
            </w:pPr>
          </w:p>
        </w:tc>
        <w:tc>
          <w:tcPr>
            <w:tcW w:w="3006" w:type="dxa"/>
            <w:shd w:val="clear" w:color="auto" w:fill="00B0F0"/>
          </w:tcPr>
          <w:p w14:paraId="7B7AA801" w14:textId="77777777" w:rsidR="003D368B" w:rsidRDefault="003D368B" w:rsidP="00282AC2">
            <w:pPr>
              <w:rPr>
                <w:color w:val="000000"/>
                <w:sz w:val="24"/>
              </w:rPr>
            </w:pPr>
            <w:r>
              <w:rPr>
                <w:color w:val="000000"/>
                <w:sz w:val="24"/>
              </w:rPr>
              <w:t xml:space="preserve">Health </w:t>
            </w:r>
          </w:p>
        </w:tc>
      </w:tr>
      <w:tr w:rsidR="003D368B" w14:paraId="7A034B1F" w14:textId="77777777" w:rsidTr="002C4D0A">
        <w:tc>
          <w:tcPr>
            <w:tcW w:w="3005" w:type="dxa"/>
            <w:vMerge/>
          </w:tcPr>
          <w:p w14:paraId="3A7352FA" w14:textId="77777777" w:rsidR="003D368B" w:rsidRDefault="003D368B" w:rsidP="00282AC2">
            <w:pPr>
              <w:rPr>
                <w:color w:val="000000"/>
                <w:sz w:val="24"/>
              </w:rPr>
            </w:pPr>
          </w:p>
        </w:tc>
        <w:tc>
          <w:tcPr>
            <w:tcW w:w="3005" w:type="dxa"/>
            <w:vMerge/>
          </w:tcPr>
          <w:p w14:paraId="75431796" w14:textId="77777777" w:rsidR="003D368B" w:rsidRDefault="003D368B" w:rsidP="00282AC2">
            <w:pPr>
              <w:rPr>
                <w:color w:val="000000"/>
                <w:sz w:val="24"/>
              </w:rPr>
            </w:pPr>
          </w:p>
        </w:tc>
        <w:tc>
          <w:tcPr>
            <w:tcW w:w="3006" w:type="dxa"/>
          </w:tcPr>
          <w:p w14:paraId="29ECBC5F" w14:textId="77777777" w:rsidR="003D368B" w:rsidRPr="00354E7A" w:rsidRDefault="003D368B" w:rsidP="00282AC2">
            <w:pPr>
              <w:pStyle w:val="ListParagraph"/>
              <w:numPr>
                <w:ilvl w:val="0"/>
                <w:numId w:val="11"/>
              </w:numPr>
              <w:jc w:val="left"/>
              <w:rPr>
                <w:color w:val="000000"/>
                <w:sz w:val="24"/>
              </w:rPr>
            </w:pPr>
            <w:r w:rsidRPr="00354E7A">
              <w:rPr>
                <w:color w:val="000000"/>
                <w:sz w:val="24"/>
              </w:rPr>
              <w:t>The Common Services</w:t>
            </w:r>
            <w:r>
              <w:rPr>
                <w:color w:val="000000"/>
                <w:sz w:val="24"/>
              </w:rPr>
              <w:t xml:space="preserve"> </w:t>
            </w:r>
            <w:r w:rsidRPr="00354E7A">
              <w:rPr>
                <w:color w:val="000000"/>
                <w:sz w:val="24"/>
              </w:rPr>
              <w:t>Agency (in Scotland)</w:t>
            </w:r>
          </w:p>
        </w:tc>
      </w:tr>
    </w:tbl>
    <w:p w14:paraId="6B65D075" w14:textId="77777777" w:rsidR="003D368B" w:rsidRDefault="003D368B" w:rsidP="00282AC2">
      <w:pPr>
        <w:rPr>
          <w:color w:val="000000"/>
          <w:sz w:val="24"/>
        </w:rPr>
      </w:pPr>
    </w:p>
    <w:p w14:paraId="2429DC2C" w14:textId="77777777" w:rsidR="006A4979" w:rsidRDefault="006A4979" w:rsidP="00282AC2">
      <w:pPr>
        <w:tabs>
          <w:tab w:val="left" w:pos="360"/>
        </w:tabs>
        <w:jc w:val="left"/>
        <w:rPr>
          <w:sz w:val="24"/>
          <w:szCs w:val="24"/>
        </w:rPr>
      </w:pPr>
    </w:p>
    <w:p w14:paraId="288A13E6" w14:textId="67DEC504" w:rsidR="00303A81" w:rsidRPr="0070691A" w:rsidRDefault="00303A81" w:rsidP="00282AC2">
      <w:pPr>
        <w:tabs>
          <w:tab w:val="left" w:pos="360"/>
        </w:tabs>
        <w:jc w:val="left"/>
        <w:rPr>
          <w:sz w:val="24"/>
          <w:szCs w:val="24"/>
        </w:rPr>
      </w:pPr>
      <w:bookmarkStart w:id="3" w:name="_Hlk153199523"/>
      <w:r w:rsidRPr="0070691A">
        <w:rPr>
          <w:sz w:val="24"/>
          <w:szCs w:val="24"/>
        </w:rPr>
        <w:t xml:space="preserve">For the NHS, </w:t>
      </w:r>
      <w:r w:rsidR="00705C60">
        <w:rPr>
          <w:sz w:val="24"/>
          <w:szCs w:val="24"/>
        </w:rPr>
        <w:t>a Major Incident is defined as</w:t>
      </w:r>
      <w:r w:rsidRPr="0070691A">
        <w:rPr>
          <w:sz w:val="24"/>
          <w:szCs w:val="24"/>
        </w:rPr>
        <w:t xml:space="preserve"> </w:t>
      </w:r>
      <w:r w:rsidR="00705C60">
        <w:rPr>
          <w:sz w:val="24"/>
          <w:szCs w:val="24"/>
        </w:rPr>
        <w:t>“</w:t>
      </w:r>
      <w:r w:rsidRPr="0070691A">
        <w:rPr>
          <w:sz w:val="24"/>
          <w:szCs w:val="24"/>
        </w:rPr>
        <w:t>any occurrence that presents a serious threat to the health of the community, disruption to the service or causes, or is likely to cause, such numbers or types of casualties as to require special arrangements to be implemented by hospitals</w:t>
      </w:r>
      <w:r w:rsidR="00705C60">
        <w:rPr>
          <w:sz w:val="24"/>
          <w:szCs w:val="24"/>
        </w:rPr>
        <w:t>”</w:t>
      </w:r>
      <w:r w:rsidRPr="0070691A">
        <w:rPr>
          <w:sz w:val="24"/>
          <w:szCs w:val="24"/>
        </w:rPr>
        <w:t>.</w:t>
      </w:r>
      <w:bookmarkEnd w:id="3"/>
      <w:r w:rsidR="001D34FF">
        <w:rPr>
          <w:sz w:val="24"/>
          <w:szCs w:val="24"/>
        </w:rPr>
        <w:t xml:space="preserve"> </w:t>
      </w:r>
      <w:sdt>
        <w:sdtPr>
          <w:rPr>
            <w:sz w:val="24"/>
            <w:szCs w:val="24"/>
          </w:rPr>
          <w:id w:val="830568544"/>
          <w:citation/>
        </w:sdtPr>
        <w:sdtEndPr/>
        <w:sdtContent>
          <w:r w:rsidR="000F7F5A">
            <w:rPr>
              <w:sz w:val="24"/>
              <w:szCs w:val="24"/>
            </w:rPr>
            <w:fldChar w:fldCharType="begin"/>
          </w:r>
          <w:r w:rsidR="000F7F5A">
            <w:rPr>
              <w:sz w:val="24"/>
              <w:szCs w:val="24"/>
            </w:rPr>
            <w:instrText xml:space="preserve"> CITATION Kar23 \l 2057 </w:instrText>
          </w:r>
          <w:r w:rsidR="000F7F5A">
            <w:rPr>
              <w:sz w:val="24"/>
              <w:szCs w:val="24"/>
            </w:rPr>
            <w:fldChar w:fldCharType="separate"/>
          </w:r>
          <w:r w:rsidR="00876347" w:rsidRPr="00876347">
            <w:rPr>
              <w:noProof/>
              <w:sz w:val="24"/>
              <w:szCs w:val="24"/>
            </w:rPr>
            <w:t>(Karen Jones, 2023)</w:t>
          </w:r>
          <w:r w:rsidR="000F7F5A">
            <w:rPr>
              <w:sz w:val="24"/>
              <w:szCs w:val="24"/>
            </w:rPr>
            <w:fldChar w:fldCharType="end"/>
          </w:r>
        </w:sdtContent>
      </w:sdt>
    </w:p>
    <w:p w14:paraId="23EB1E41" w14:textId="77777777" w:rsidR="00303A81" w:rsidRPr="0070691A" w:rsidRDefault="00303A81" w:rsidP="00282AC2">
      <w:pPr>
        <w:tabs>
          <w:tab w:val="left" w:pos="360"/>
        </w:tabs>
        <w:jc w:val="left"/>
        <w:rPr>
          <w:sz w:val="24"/>
          <w:szCs w:val="24"/>
        </w:rPr>
      </w:pPr>
    </w:p>
    <w:p w14:paraId="542A24E9" w14:textId="77777777" w:rsidR="00303A81" w:rsidRDefault="00303A81" w:rsidP="00282AC2">
      <w:pPr>
        <w:tabs>
          <w:tab w:val="left" w:pos="360"/>
        </w:tabs>
        <w:jc w:val="left"/>
        <w:rPr>
          <w:b/>
          <w:bCs/>
          <w:sz w:val="24"/>
          <w:szCs w:val="24"/>
        </w:rPr>
      </w:pPr>
      <w:r w:rsidRPr="0070691A">
        <w:rPr>
          <w:b/>
          <w:bCs/>
          <w:sz w:val="24"/>
          <w:szCs w:val="24"/>
        </w:rPr>
        <w:t>Type of major incidents that could occur include:</w:t>
      </w:r>
    </w:p>
    <w:p w14:paraId="234C3DC0" w14:textId="77777777" w:rsidR="002774AF" w:rsidRPr="0070691A" w:rsidRDefault="002774AF" w:rsidP="00282AC2">
      <w:pPr>
        <w:tabs>
          <w:tab w:val="left" w:pos="360"/>
        </w:tabs>
        <w:jc w:val="left"/>
        <w:rPr>
          <w:sz w:val="24"/>
          <w:szCs w:val="24"/>
        </w:rPr>
      </w:pPr>
    </w:p>
    <w:p w14:paraId="6FD6EDFC" w14:textId="77777777" w:rsidR="00303A81" w:rsidRPr="0070691A" w:rsidRDefault="00303A81" w:rsidP="00282AC2">
      <w:pPr>
        <w:numPr>
          <w:ilvl w:val="0"/>
          <w:numId w:val="13"/>
        </w:numPr>
        <w:tabs>
          <w:tab w:val="left" w:pos="360"/>
        </w:tabs>
        <w:jc w:val="left"/>
        <w:rPr>
          <w:sz w:val="24"/>
          <w:szCs w:val="24"/>
        </w:rPr>
      </w:pPr>
      <w:r w:rsidRPr="0070691A">
        <w:rPr>
          <w:sz w:val="24"/>
          <w:szCs w:val="24"/>
        </w:rPr>
        <w:t>Big bang</w:t>
      </w:r>
    </w:p>
    <w:p w14:paraId="2374D99B" w14:textId="77777777" w:rsidR="00303A81" w:rsidRPr="0070691A" w:rsidRDefault="00303A81" w:rsidP="00282AC2">
      <w:pPr>
        <w:numPr>
          <w:ilvl w:val="0"/>
          <w:numId w:val="13"/>
        </w:numPr>
        <w:tabs>
          <w:tab w:val="left" w:pos="360"/>
        </w:tabs>
        <w:jc w:val="left"/>
        <w:rPr>
          <w:sz w:val="24"/>
          <w:szCs w:val="24"/>
        </w:rPr>
      </w:pPr>
      <w:r w:rsidRPr="0070691A">
        <w:rPr>
          <w:sz w:val="24"/>
          <w:szCs w:val="24"/>
        </w:rPr>
        <w:t>Rising tide</w:t>
      </w:r>
    </w:p>
    <w:p w14:paraId="54CCC8ED" w14:textId="77777777" w:rsidR="00303A81" w:rsidRPr="0070691A" w:rsidRDefault="00303A81" w:rsidP="00282AC2">
      <w:pPr>
        <w:numPr>
          <w:ilvl w:val="0"/>
          <w:numId w:val="13"/>
        </w:numPr>
        <w:tabs>
          <w:tab w:val="left" w:pos="360"/>
        </w:tabs>
        <w:jc w:val="left"/>
        <w:rPr>
          <w:sz w:val="24"/>
          <w:szCs w:val="24"/>
        </w:rPr>
      </w:pPr>
      <w:r w:rsidRPr="0070691A">
        <w:rPr>
          <w:sz w:val="24"/>
          <w:szCs w:val="24"/>
        </w:rPr>
        <w:t>Cloud on the horizon</w:t>
      </w:r>
    </w:p>
    <w:p w14:paraId="4F452016" w14:textId="77777777" w:rsidR="00303A81" w:rsidRPr="0070691A" w:rsidRDefault="00303A81" w:rsidP="00282AC2">
      <w:pPr>
        <w:numPr>
          <w:ilvl w:val="0"/>
          <w:numId w:val="13"/>
        </w:numPr>
        <w:tabs>
          <w:tab w:val="left" w:pos="360"/>
        </w:tabs>
        <w:jc w:val="left"/>
        <w:rPr>
          <w:sz w:val="24"/>
          <w:szCs w:val="24"/>
        </w:rPr>
      </w:pPr>
      <w:r w:rsidRPr="0070691A">
        <w:rPr>
          <w:sz w:val="24"/>
          <w:szCs w:val="24"/>
        </w:rPr>
        <w:t>Headline news</w:t>
      </w:r>
    </w:p>
    <w:p w14:paraId="29ECCCBA" w14:textId="77777777" w:rsidR="00303A81" w:rsidRPr="0070691A" w:rsidRDefault="00303A81" w:rsidP="00282AC2">
      <w:pPr>
        <w:numPr>
          <w:ilvl w:val="0"/>
          <w:numId w:val="13"/>
        </w:numPr>
        <w:tabs>
          <w:tab w:val="left" w:pos="360"/>
        </w:tabs>
        <w:jc w:val="left"/>
        <w:rPr>
          <w:sz w:val="24"/>
          <w:szCs w:val="24"/>
        </w:rPr>
      </w:pPr>
      <w:r w:rsidRPr="0070691A">
        <w:rPr>
          <w:sz w:val="24"/>
          <w:szCs w:val="24"/>
        </w:rPr>
        <w:t>Internal emergency incident</w:t>
      </w:r>
    </w:p>
    <w:p w14:paraId="7C76C226" w14:textId="77777777" w:rsidR="00303A81" w:rsidRPr="0070691A" w:rsidRDefault="00303A81" w:rsidP="00282AC2">
      <w:pPr>
        <w:numPr>
          <w:ilvl w:val="0"/>
          <w:numId w:val="13"/>
        </w:numPr>
        <w:tabs>
          <w:tab w:val="left" w:pos="360"/>
        </w:tabs>
        <w:jc w:val="left"/>
        <w:rPr>
          <w:sz w:val="24"/>
          <w:szCs w:val="24"/>
        </w:rPr>
      </w:pPr>
      <w:r w:rsidRPr="0070691A">
        <w:rPr>
          <w:sz w:val="24"/>
          <w:szCs w:val="24"/>
        </w:rPr>
        <w:t>Deliberate release</w:t>
      </w:r>
    </w:p>
    <w:p w14:paraId="7303300D" w14:textId="77777777" w:rsidR="00303A81" w:rsidRPr="0070691A" w:rsidRDefault="00303A81" w:rsidP="00282AC2">
      <w:pPr>
        <w:numPr>
          <w:ilvl w:val="0"/>
          <w:numId w:val="13"/>
        </w:numPr>
        <w:tabs>
          <w:tab w:val="left" w:pos="360"/>
        </w:tabs>
        <w:jc w:val="left"/>
        <w:rPr>
          <w:sz w:val="24"/>
          <w:szCs w:val="24"/>
        </w:rPr>
      </w:pPr>
      <w:r w:rsidRPr="0070691A">
        <w:rPr>
          <w:sz w:val="24"/>
          <w:szCs w:val="24"/>
        </w:rPr>
        <w:t>Mass Casualties</w:t>
      </w:r>
    </w:p>
    <w:p w14:paraId="5C57537D" w14:textId="77777777" w:rsidR="00303A81" w:rsidRDefault="00303A81" w:rsidP="00282AC2">
      <w:pPr>
        <w:numPr>
          <w:ilvl w:val="0"/>
          <w:numId w:val="13"/>
        </w:numPr>
        <w:tabs>
          <w:tab w:val="left" w:pos="360"/>
        </w:tabs>
        <w:jc w:val="left"/>
        <w:rPr>
          <w:sz w:val="24"/>
          <w:szCs w:val="24"/>
        </w:rPr>
      </w:pPr>
      <w:r w:rsidRPr="0070691A">
        <w:rPr>
          <w:sz w:val="24"/>
          <w:szCs w:val="24"/>
        </w:rPr>
        <w:t>Mass gatherings</w:t>
      </w:r>
    </w:p>
    <w:p w14:paraId="221A9C59" w14:textId="77777777" w:rsidR="002774AF" w:rsidRPr="0070691A" w:rsidRDefault="002774AF" w:rsidP="0073227C">
      <w:pPr>
        <w:tabs>
          <w:tab w:val="left" w:pos="360"/>
        </w:tabs>
        <w:jc w:val="left"/>
        <w:rPr>
          <w:sz w:val="24"/>
          <w:szCs w:val="24"/>
        </w:rPr>
      </w:pPr>
    </w:p>
    <w:p w14:paraId="7DC4DCC4" w14:textId="7E8EA44A" w:rsidR="00910C37" w:rsidRDefault="00303A81" w:rsidP="00282AC2">
      <w:pPr>
        <w:tabs>
          <w:tab w:val="left" w:pos="360"/>
        </w:tabs>
        <w:jc w:val="left"/>
        <w:rPr>
          <w:sz w:val="24"/>
          <w:szCs w:val="24"/>
        </w:rPr>
      </w:pPr>
      <w:r w:rsidRPr="0070691A">
        <w:rPr>
          <w:sz w:val="24"/>
          <w:szCs w:val="24"/>
        </w:rPr>
        <w:t>The Civil Contingencies Act (CCA) 2004 places a proportionate set of legislative duties on the Health Board to comply with the responsibilities as a ‘Category One’ responder, to deal with emergencies while maintaining services to patients.   This is referred to as emergency preparedness, resilience and response, (EPRR).</w:t>
      </w:r>
    </w:p>
    <w:p w14:paraId="3F2F1FF0" w14:textId="77777777" w:rsidR="00723D57" w:rsidRPr="0070691A" w:rsidRDefault="00723D57" w:rsidP="00282AC2">
      <w:pPr>
        <w:tabs>
          <w:tab w:val="left" w:pos="360"/>
        </w:tabs>
        <w:jc w:val="left"/>
        <w:rPr>
          <w:sz w:val="24"/>
          <w:szCs w:val="24"/>
        </w:rPr>
      </w:pPr>
    </w:p>
    <w:p w14:paraId="0DA6DC5A" w14:textId="77777777" w:rsidR="00303A81" w:rsidRDefault="00303A81" w:rsidP="00282AC2">
      <w:pPr>
        <w:tabs>
          <w:tab w:val="left" w:pos="360"/>
        </w:tabs>
        <w:jc w:val="left"/>
        <w:rPr>
          <w:sz w:val="24"/>
          <w:szCs w:val="24"/>
        </w:rPr>
      </w:pPr>
      <w:r w:rsidRPr="0070691A">
        <w:rPr>
          <w:sz w:val="24"/>
          <w:szCs w:val="24"/>
        </w:rPr>
        <w:t>These duties include an integrated emergency planning process that is built on the principles of:</w:t>
      </w:r>
    </w:p>
    <w:p w14:paraId="5550E464" w14:textId="77777777" w:rsidR="00FC1911" w:rsidRPr="0070691A" w:rsidRDefault="00FC1911" w:rsidP="00282AC2">
      <w:pPr>
        <w:tabs>
          <w:tab w:val="left" w:pos="360"/>
        </w:tabs>
        <w:jc w:val="left"/>
        <w:rPr>
          <w:sz w:val="24"/>
          <w:szCs w:val="24"/>
        </w:rPr>
      </w:pPr>
    </w:p>
    <w:p w14:paraId="55603259" w14:textId="77777777" w:rsidR="00303A81" w:rsidRPr="0070691A" w:rsidRDefault="00303A81" w:rsidP="00282AC2">
      <w:pPr>
        <w:numPr>
          <w:ilvl w:val="0"/>
          <w:numId w:val="14"/>
        </w:numPr>
        <w:tabs>
          <w:tab w:val="left" w:pos="360"/>
        </w:tabs>
        <w:jc w:val="left"/>
        <w:rPr>
          <w:sz w:val="24"/>
          <w:szCs w:val="24"/>
        </w:rPr>
      </w:pPr>
      <w:r w:rsidRPr="0070691A">
        <w:rPr>
          <w:sz w:val="24"/>
          <w:szCs w:val="24"/>
        </w:rPr>
        <w:t>Risk Assessment</w:t>
      </w:r>
    </w:p>
    <w:p w14:paraId="66786F60" w14:textId="77777777" w:rsidR="00303A81" w:rsidRPr="0070691A" w:rsidRDefault="00303A81" w:rsidP="00282AC2">
      <w:pPr>
        <w:numPr>
          <w:ilvl w:val="0"/>
          <w:numId w:val="14"/>
        </w:numPr>
        <w:tabs>
          <w:tab w:val="left" w:pos="360"/>
        </w:tabs>
        <w:jc w:val="left"/>
        <w:rPr>
          <w:sz w:val="24"/>
          <w:szCs w:val="24"/>
        </w:rPr>
      </w:pPr>
      <w:r w:rsidRPr="0070691A">
        <w:rPr>
          <w:sz w:val="24"/>
          <w:szCs w:val="24"/>
        </w:rPr>
        <w:t>Emergency Planning</w:t>
      </w:r>
    </w:p>
    <w:p w14:paraId="3555970F" w14:textId="77777777" w:rsidR="00303A81" w:rsidRPr="0070691A" w:rsidRDefault="00303A81" w:rsidP="00282AC2">
      <w:pPr>
        <w:numPr>
          <w:ilvl w:val="0"/>
          <w:numId w:val="14"/>
        </w:numPr>
        <w:tabs>
          <w:tab w:val="left" w:pos="360"/>
        </w:tabs>
        <w:jc w:val="left"/>
        <w:rPr>
          <w:sz w:val="24"/>
          <w:szCs w:val="24"/>
        </w:rPr>
      </w:pPr>
      <w:r w:rsidRPr="0070691A">
        <w:rPr>
          <w:sz w:val="24"/>
          <w:szCs w:val="24"/>
        </w:rPr>
        <w:t>Business Continuity management</w:t>
      </w:r>
    </w:p>
    <w:p w14:paraId="2F90E47B" w14:textId="77777777" w:rsidR="00303A81" w:rsidRPr="0070691A" w:rsidRDefault="00303A81" w:rsidP="00282AC2">
      <w:pPr>
        <w:numPr>
          <w:ilvl w:val="0"/>
          <w:numId w:val="14"/>
        </w:numPr>
        <w:tabs>
          <w:tab w:val="left" w:pos="360"/>
        </w:tabs>
        <w:jc w:val="left"/>
        <w:rPr>
          <w:sz w:val="24"/>
          <w:szCs w:val="24"/>
        </w:rPr>
      </w:pPr>
      <w:r w:rsidRPr="0070691A">
        <w:rPr>
          <w:sz w:val="24"/>
          <w:szCs w:val="24"/>
        </w:rPr>
        <w:t>Warning and Informing mechanisms</w:t>
      </w:r>
    </w:p>
    <w:p w14:paraId="649A07D7" w14:textId="77777777" w:rsidR="00303A81" w:rsidRPr="0070691A" w:rsidRDefault="00303A81" w:rsidP="00282AC2">
      <w:pPr>
        <w:numPr>
          <w:ilvl w:val="0"/>
          <w:numId w:val="14"/>
        </w:numPr>
        <w:tabs>
          <w:tab w:val="left" w:pos="360"/>
        </w:tabs>
        <w:jc w:val="left"/>
        <w:rPr>
          <w:sz w:val="24"/>
          <w:szCs w:val="24"/>
        </w:rPr>
      </w:pPr>
      <w:r w:rsidRPr="0070691A">
        <w:rPr>
          <w:sz w:val="24"/>
          <w:szCs w:val="24"/>
        </w:rPr>
        <w:t>Sharing Information</w:t>
      </w:r>
    </w:p>
    <w:p w14:paraId="042BB60D" w14:textId="77777777" w:rsidR="00303A81" w:rsidRPr="0070691A" w:rsidRDefault="00303A81" w:rsidP="00282AC2">
      <w:pPr>
        <w:numPr>
          <w:ilvl w:val="0"/>
          <w:numId w:val="14"/>
        </w:numPr>
        <w:tabs>
          <w:tab w:val="left" w:pos="360"/>
        </w:tabs>
        <w:jc w:val="left"/>
        <w:rPr>
          <w:sz w:val="24"/>
          <w:szCs w:val="24"/>
        </w:rPr>
      </w:pPr>
      <w:r w:rsidRPr="0070691A">
        <w:rPr>
          <w:sz w:val="24"/>
          <w:szCs w:val="24"/>
        </w:rPr>
        <w:t>Cooperation with Local Responders</w:t>
      </w:r>
    </w:p>
    <w:p w14:paraId="2B5B0C28" w14:textId="77777777" w:rsidR="00793B51" w:rsidRPr="00793B51" w:rsidRDefault="00793B51" w:rsidP="00793B51">
      <w:pPr>
        <w:tabs>
          <w:tab w:val="left" w:pos="360"/>
        </w:tabs>
        <w:jc w:val="left"/>
        <w:rPr>
          <w:sz w:val="24"/>
          <w:szCs w:val="24"/>
        </w:rPr>
      </w:pPr>
    </w:p>
    <w:p w14:paraId="7C3DBDB7" w14:textId="57B6A999" w:rsidR="00793B51" w:rsidRPr="00793B51" w:rsidRDefault="00793B51" w:rsidP="00793B51">
      <w:pPr>
        <w:tabs>
          <w:tab w:val="left" w:pos="360"/>
        </w:tabs>
        <w:rPr>
          <w:sz w:val="24"/>
          <w:szCs w:val="24"/>
        </w:rPr>
      </w:pPr>
      <w:r w:rsidRPr="00793B51">
        <w:rPr>
          <w:sz w:val="24"/>
          <w:szCs w:val="24"/>
        </w:rPr>
        <w:t xml:space="preserve">The Executive Board and Executive Strategy Group receive regular Emergency Preparedness Resilience and Response, (EPRR) updates. </w:t>
      </w:r>
      <w:r>
        <w:rPr>
          <w:sz w:val="24"/>
          <w:szCs w:val="24"/>
        </w:rPr>
        <w:t>SB</w:t>
      </w:r>
      <w:r w:rsidRPr="00793B51">
        <w:rPr>
          <w:sz w:val="24"/>
          <w:szCs w:val="24"/>
        </w:rPr>
        <w:t xml:space="preserve">UHB has an EPRR Strategy in place, approved by the Board; August 2016.  </w:t>
      </w:r>
      <w:r>
        <w:rPr>
          <w:sz w:val="24"/>
          <w:szCs w:val="24"/>
        </w:rPr>
        <w:t xml:space="preserve">SBUHB </w:t>
      </w:r>
      <w:r w:rsidRPr="00793B51">
        <w:rPr>
          <w:sz w:val="24"/>
          <w:szCs w:val="24"/>
        </w:rPr>
        <w:t xml:space="preserve">EPRR Risk Register which is reference linked to the SWLRF Risk Register and National Risk Register. </w:t>
      </w:r>
      <w:r w:rsidRPr="00793B51">
        <w:rPr>
          <w:sz w:val="24"/>
          <w:szCs w:val="24"/>
        </w:rPr>
        <w:lastRenderedPageBreak/>
        <w:t>Consequently, a work programme is in place to provide Health Board assurance in terms of meeting the 6 key principles for Civil Contingencies, mapped and prioritised against the EPRR Risk Register. This programme of work is a continual process.</w:t>
      </w:r>
    </w:p>
    <w:p w14:paraId="67A42258" w14:textId="77777777" w:rsidR="00793B51" w:rsidRPr="00793B51" w:rsidRDefault="00793B51" w:rsidP="00793B51">
      <w:pPr>
        <w:tabs>
          <w:tab w:val="left" w:pos="360"/>
        </w:tabs>
        <w:rPr>
          <w:sz w:val="24"/>
          <w:szCs w:val="24"/>
        </w:rPr>
      </w:pPr>
    </w:p>
    <w:p w14:paraId="1EC67664" w14:textId="6A9CF5BD" w:rsidR="00793B51" w:rsidRDefault="00793B51" w:rsidP="00793B51">
      <w:pPr>
        <w:tabs>
          <w:tab w:val="left" w:pos="360"/>
        </w:tabs>
        <w:rPr>
          <w:sz w:val="24"/>
          <w:szCs w:val="24"/>
        </w:rPr>
      </w:pPr>
      <w:r>
        <w:rPr>
          <w:sz w:val="24"/>
          <w:szCs w:val="24"/>
        </w:rPr>
        <w:t xml:space="preserve">In </w:t>
      </w:r>
      <w:r w:rsidR="00601946">
        <w:rPr>
          <w:sz w:val="24"/>
          <w:szCs w:val="24"/>
        </w:rPr>
        <w:t>addition,</w:t>
      </w:r>
      <w:r w:rsidR="00601946" w:rsidRPr="00793B51">
        <w:rPr>
          <w:sz w:val="24"/>
          <w:szCs w:val="24"/>
        </w:rPr>
        <w:t xml:space="preserve"> </w:t>
      </w:r>
      <w:r w:rsidR="009D2A66">
        <w:rPr>
          <w:sz w:val="24"/>
          <w:szCs w:val="24"/>
        </w:rPr>
        <w:t xml:space="preserve">there is an SBUHB </w:t>
      </w:r>
      <w:r w:rsidR="00601946" w:rsidRPr="00793B51">
        <w:rPr>
          <w:sz w:val="24"/>
          <w:szCs w:val="24"/>
        </w:rPr>
        <w:t>Business</w:t>
      </w:r>
      <w:r w:rsidRPr="00793B51">
        <w:rPr>
          <w:sz w:val="24"/>
          <w:szCs w:val="24"/>
        </w:rPr>
        <w:t xml:space="preserve"> Continuity Management Framework for business continuity development across the Health Board. There has been a concentration of business continuity development over the past year following Health Board re-organisation and the following is now in place or almost at completion stage;</w:t>
      </w:r>
    </w:p>
    <w:p w14:paraId="2687E75D" w14:textId="77777777" w:rsidR="00FE122D" w:rsidRPr="00793B51" w:rsidRDefault="00FE122D" w:rsidP="00793B51">
      <w:pPr>
        <w:tabs>
          <w:tab w:val="left" w:pos="360"/>
        </w:tabs>
        <w:rPr>
          <w:sz w:val="24"/>
          <w:szCs w:val="24"/>
        </w:rPr>
      </w:pPr>
    </w:p>
    <w:p w14:paraId="3EB8ADCC" w14:textId="346D59CE" w:rsidR="00793B51" w:rsidRPr="00793B51" w:rsidRDefault="00601946" w:rsidP="00793B51">
      <w:pPr>
        <w:numPr>
          <w:ilvl w:val="0"/>
          <w:numId w:val="4"/>
        </w:numPr>
        <w:tabs>
          <w:tab w:val="left" w:pos="360"/>
        </w:tabs>
        <w:jc w:val="left"/>
        <w:rPr>
          <w:sz w:val="24"/>
          <w:szCs w:val="24"/>
        </w:rPr>
      </w:pPr>
      <w:r>
        <w:rPr>
          <w:sz w:val="24"/>
          <w:szCs w:val="24"/>
        </w:rPr>
        <w:t>SB</w:t>
      </w:r>
      <w:r w:rsidR="00793B51" w:rsidRPr="00793B51">
        <w:rPr>
          <w:sz w:val="24"/>
          <w:szCs w:val="24"/>
        </w:rPr>
        <w:t>UHB Overarching Business Continuity/Significant Incident Procedure, (Strategic response)</w:t>
      </w:r>
    </w:p>
    <w:p w14:paraId="4DF05249" w14:textId="77777777" w:rsidR="00793B51" w:rsidRPr="00793B51" w:rsidRDefault="00793B51" w:rsidP="00793B51">
      <w:pPr>
        <w:numPr>
          <w:ilvl w:val="0"/>
          <w:numId w:val="4"/>
        </w:numPr>
        <w:tabs>
          <w:tab w:val="left" w:pos="360"/>
        </w:tabs>
        <w:jc w:val="left"/>
        <w:rPr>
          <w:sz w:val="24"/>
          <w:szCs w:val="24"/>
        </w:rPr>
      </w:pPr>
      <w:r w:rsidRPr="00793B51">
        <w:rPr>
          <w:sz w:val="24"/>
          <w:szCs w:val="24"/>
        </w:rPr>
        <w:t>Each Service Delivery Unit has an Overarching Business Continuity Procedure in place, (Tactical response) with a suite of service business continuity procedures in place</w:t>
      </w:r>
    </w:p>
    <w:p w14:paraId="179198EF" w14:textId="77777777" w:rsidR="00793B51" w:rsidRPr="00793B51" w:rsidRDefault="00793B51" w:rsidP="00793B51">
      <w:pPr>
        <w:numPr>
          <w:ilvl w:val="0"/>
          <w:numId w:val="4"/>
        </w:numPr>
        <w:tabs>
          <w:tab w:val="left" w:pos="360"/>
        </w:tabs>
        <w:jc w:val="left"/>
        <w:rPr>
          <w:sz w:val="24"/>
          <w:szCs w:val="24"/>
        </w:rPr>
      </w:pPr>
      <w:r w:rsidRPr="00793B51">
        <w:rPr>
          <w:sz w:val="24"/>
          <w:szCs w:val="24"/>
        </w:rPr>
        <w:t xml:space="preserve">There are a number of cross cutting service business continuity procedures also in place to support the Service Delivery Unit business continuity process, </w:t>
      </w:r>
      <w:proofErr w:type="gramStart"/>
      <w:r w:rsidRPr="00793B51">
        <w:rPr>
          <w:sz w:val="24"/>
          <w:szCs w:val="24"/>
        </w:rPr>
        <w:t>e.g.</w:t>
      </w:r>
      <w:proofErr w:type="gramEnd"/>
      <w:r w:rsidRPr="00793B51">
        <w:rPr>
          <w:sz w:val="24"/>
          <w:szCs w:val="24"/>
        </w:rPr>
        <w:t xml:space="preserve"> Pharmacy, Pathology, IM&amp;T, Corporate Services, (as these services are embedded across the Health Board)</w:t>
      </w:r>
    </w:p>
    <w:p w14:paraId="63C1F081" w14:textId="77777777" w:rsidR="00303A81" w:rsidRPr="0070691A" w:rsidRDefault="00303A81" w:rsidP="00282AC2">
      <w:pPr>
        <w:tabs>
          <w:tab w:val="left" w:pos="360"/>
        </w:tabs>
        <w:jc w:val="left"/>
        <w:rPr>
          <w:sz w:val="24"/>
          <w:szCs w:val="24"/>
        </w:rPr>
      </w:pPr>
    </w:p>
    <w:p w14:paraId="50E0C167" w14:textId="1CDADED7" w:rsidR="00303A81" w:rsidRPr="0070691A" w:rsidRDefault="00303A81" w:rsidP="00282AC2">
      <w:pPr>
        <w:tabs>
          <w:tab w:val="left" w:pos="360"/>
        </w:tabs>
        <w:jc w:val="left"/>
        <w:rPr>
          <w:sz w:val="24"/>
          <w:szCs w:val="24"/>
        </w:rPr>
      </w:pPr>
      <w:r w:rsidRPr="0070691A">
        <w:rPr>
          <w:sz w:val="24"/>
          <w:szCs w:val="24"/>
        </w:rPr>
        <w:t>EPRR is coordinated within the Health Board</w:t>
      </w:r>
      <w:r w:rsidR="00D9590F">
        <w:rPr>
          <w:sz w:val="24"/>
          <w:szCs w:val="24"/>
        </w:rPr>
        <w:t xml:space="preserve"> </w:t>
      </w:r>
      <w:r w:rsidRPr="0070691A">
        <w:rPr>
          <w:sz w:val="24"/>
          <w:szCs w:val="24"/>
        </w:rPr>
        <w:t>to ensure there is collaboration within an EPRR network. Embedded within this network are key principles to ensure there is co-operation between all agencies and the collaboration to share information.  This is underpinned by the identification of key risks that inform emergency planning arrangements. </w:t>
      </w:r>
    </w:p>
    <w:p w14:paraId="6712BB04" w14:textId="77777777" w:rsidR="00303A81" w:rsidRPr="0070691A" w:rsidRDefault="00303A81" w:rsidP="00282AC2">
      <w:pPr>
        <w:tabs>
          <w:tab w:val="left" w:pos="360"/>
        </w:tabs>
        <w:jc w:val="left"/>
        <w:rPr>
          <w:sz w:val="24"/>
          <w:szCs w:val="24"/>
        </w:rPr>
      </w:pPr>
    </w:p>
    <w:p w14:paraId="59687E88" w14:textId="3F4D7FE9" w:rsidR="00303A81" w:rsidRPr="0070691A" w:rsidRDefault="00303A81" w:rsidP="00282AC2">
      <w:pPr>
        <w:tabs>
          <w:tab w:val="left" w:pos="360"/>
        </w:tabs>
        <w:jc w:val="left"/>
        <w:rPr>
          <w:sz w:val="24"/>
          <w:szCs w:val="24"/>
        </w:rPr>
      </w:pPr>
      <w:r w:rsidRPr="0070691A">
        <w:rPr>
          <w:sz w:val="24"/>
          <w:szCs w:val="24"/>
        </w:rPr>
        <w:t>There is a Health Board Emergency Preparedness Resilience and Response Strategy Group who meet monthly. The Executive Lead for Civil Contingencies is the Director of Strategy. There is Health Board wide representation with attendance from nominated service EPRR leads and all aspects related to EPRR is discussed within this Group.</w:t>
      </w:r>
      <w:sdt>
        <w:sdtPr>
          <w:rPr>
            <w:sz w:val="24"/>
            <w:szCs w:val="24"/>
          </w:rPr>
          <w:id w:val="-1395890433"/>
          <w:citation/>
        </w:sdtPr>
        <w:sdtEndPr/>
        <w:sdtContent>
          <w:r w:rsidR="00B464E1">
            <w:rPr>
              <w:sz w:val="24"/>
              <w:szCs w:val="24"/>
            </w:rPr>
            <w:fldChar w:fldCharType="begin"/>
          </w:r>
          <w:r w:rsidR="00B464E1">
            <w:rPr>
              <w:sz w:val="24"/>
              <w:szCs w:val="24"/>
            </w:rPr>
            <w:instrText xml:space="preserve"> CITATION Swa17 \l 2057 </w:instrText>
          </w:r>
          <w:r w:rsidR="00B464E1">
            <w:rPr>
              <w:sz w:val="24"/>
              <w:szCs w:val="24"/>
            </w:rPr>
            <w:fldChar w:fldCharType="separate"/>
          </w:r>
          <w:r w:rsidR="00876347">
            <w:rPr>
              <w:noProof/>
              <w:sz w:val="24"/>
              <w:szCs w:val="24"/>
            </w:rPr>
            <w:t xml:space="preserve"> </w:t>
          </w:r>
          <w:r w:rsidR="00876347" w:rsidRPr="00876347">
            <w:rPr>
              <w:noProof/>
              <w:sz w:val="24"/>
              <w:szCs w:val="24"/>
            </w:rPr>
            <w:t>(Board, 2017)</w:t>
          </w:r>
          <w:r w:rsidR="00B464E1">
            <w:rPr>
              <w:sz w:val="24"/>
              <w:szCs w:val="24"/>
            </w:rPr>
            <w:fldChar w:fldCharType="end"/>
          </w:r>
        </w:sdtContent>
      </w:sdt>
    </w:p>
    <w:p w14:paraId="35E524AD" w14:textId="77777777" w:rsidR="00303A81" w:rsidRPr="0070691A" w:rsidRDefault="00303A81" w:rsidP="00282AC2">
      <w:pPr>
        <w:tabs>
          <w:tab w:val="left" w:pos="360"/>
        </w:tabs>
        <w:jc w:val="left"/>
        <w:rPr>
          <w:sz w:val="24"/>
          <w:szCs w:val="24"/>
        </w:rPr>
      </w:pPr>
    </w:p>
    <w:p w14:paraId="513286F2" w14:textId="77777777" w:rsidR="002F5E8E" w:rsidRDefault="00303A81" w:rsidP="00282AC2">
      <w:pPr>
        <w:tabs>
          <w:tab w:val="left" w:pos="360"/>
        </w:tabs>
        <w:jc w:val="left"/>
        <w:rPr>
          <w:sz w:val="24"/>
          <w:szCs w:val="24"/>
        </w:rPr>
      </w:pPr>
      <w:r w:rsidRPr="0070691A">
        <w:rPr>
          <w:sz w:val="24"/>
          <w:szCs w:val="24"/>
        </w:rPr>
        <w:t xml:space="preserve">In order to develop robust plans and to oversee emergency preparedness, resilience and response, an integrated emergency management, (IEM), cyclical approach is required. </w:t>
      </w:r>
    </w:p>
    <w:p w14:paraId="217CF5E9" w14:textId="77777777" w:rsidR="00B464E1" w:rsidRDefault="00B464E1" w:rsidP="00282AC2">
      <w:pPr>
        <w:tabs>
          <w:tab w:val="left" w:pos="360"/>
        </w:tabs>
        <w:jc w:val="left"/>
        <w:rPr>
          <w:sz w:val="24"/>
          <w:szCs w:val="24"/>
        </w:rPr>
      </w:pPr>
    </w:p>
    <w:p w14:paraId="4D86C12F" w14:textId="77777777" w:rsidR="002F5E8E" w:rsidRDefault="002F5E8E" w:rsidP="00282AC2">
      <w:pPr>
        <w:tabs>
          <w:tab w:val="left" w:pos="360"/>
        </w:tabs>
        <w:jc w:val="left"/>
        <w:rPr>
          <w:sz w:val="24"/>
          <w:szCs w:val="24"/>
        </w:rPr>
      </w:pPr>
    </w:p>
    <w:p w14:paraId="34AC85EB" w14:textId="77777777" w:rsidR="00B464E1" w:rsidRDefault="00B464E1" w:rsidP="00282AC2">
      <w:pPr>
        <w:tabs>
          <w:tab w:val="left" w:pos="360"/>
        </w:tabs>
        <w:jc w:val="left"/>
        <w:rPr>
          <w:sz w:val="24"/>
          <w:szCs w:val="24"/>
        </w:rPr>
      </w:pPr>
    </w:p>
    <w:p w14:paraId="0F132D32" w14:textId="77777777" w:rsidR="00B464E1" w:rsidRDefault="00B464E1" w:rsidP="00282AC2">
      <w:pPr>
        <w:tabs>
          <w:tab w:val="left" w:pos="360"/>
        </w:tabs>
        <w:jc w:val="left"/>
        <w:rPr>
          <w:sz w:val="24"/>
          <w:szCs w:val="24"/>
        </w:rPr>
      </w:pPr>
    </w:p>
    <w:p w14:paraId="00D7D4F6" w14:textId="77777777" w:rsidR="00B464E1" w:rsidRDefault="00B464E1" w:rsidP="00282AC2">
      <w:pPr>
        <w:tabs>
          <w:tab w:val="left" w:pos="360"/>
        </w:tabs>
        <w:jc w:val="left"/>
        <w:rPr>
          <w:sz w:val="24"/>
          <w:szCs w:val="24"/>
        </w:rPr>
      </w:pPr>
    </w:p>
    <w:p w14:paraId="18CB19C0" w14:textId="64CE38D7" w:rsidR="00303A81" w:rsidRPr="0070691A" w:rsidRDefault="00303A81" w:rsidP="00282AC2">
      <w:pPr>
        <w:tabs>
          <w:tab w:val="left" w:pos="360"/>
        </w:tabs>
        <w:jc w:val="left"/>
        <w:rPr>
          <w:sz w:val="24"/>
          <w:szCs w:val="24"/>
        </w:rPr>
      </w:pPr>
      <w:r w:rsidRPr="0070691A">
        <w:rPr>
          <w:sz w:val="24"/>
          <w:szCs w:val="24"/>
        </w:rPr>
        <w:t>The IEM cycle is founded in six activities:</w:t>
      </w:r>
    </w:p>
    <w:p w14:paraId="42A79545" w14:textId="0E8D9811" w:rsidR="00303A81" w:rsidRPr="0070691A" w:rsidRDefault="00303A81" w:rsidP="00282AC2">
      <w:pPr>
        <w:tabs>
          <w:tab w:val="left" w:pos="360"/>
        </w:tabs>
        <w:jc w:val="left"/>
        <w:rPr>
          <w:sz w:val="24"/>
          <w:szCs w:val="24"/>
        </w:rPr>
      </w:pPr>
      <w:r w:rsidRPr="0070691A">
        <w:rPr>
          <w:noProof/>
          <w:sz w:val="24"/>
          <w:szCs w:val="24"/>
          <w:lang w:eastAsia="en-GB"/>
        </w:rPr>
        <w:drawing>
          <wp:anchor distT="0" distB="0" distL="114300" distR="114300" simplePos="0" relativeHeight="251658240" behindDoc="1" locked="0" layoutInCell="1" allowOverlap="1" wp14:anchorId="02391984" wp14:editId="2A11783D">
            <wp:simplePos x="0" y="0"/>
            <wp:positionH relativeFrom="margin">
              <wp:align>left</wp:align>
            </wp:positionH>
            <wp:positionV relativeFrom="paragraph">
              <wp:posOffset>86995</wp:posOffset>
            </wp:positionV>
            <wp:extent cx="5215255" cy="2286000"/>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5255" cy="2286000"/>
                    </a:xfrm>
                    <a:prstGeom prst="rect">
                      <a:avLst/>
                    </a:prstGeom>
                    <a:noFill/>
                  </pic:spPr>
                </pic:pic>
              </a:graphicData>
            </a:graphic>
            <wp14:sizeRelH relativeFrom="page">
              <wp14:pctWidth>0</wp14:pctWidth>
            </wp14:sizeRelH>
            <wp14:sizeRelV relativeFrom="page">
              <wp14:pctHeight>0</wp14:pctHeight>
            </wp14:sizeRelV>
          </wp:anchor>
        </w:drawing>
      </w:r>
      <w:r w:rsidRPr="0070691A">
        <w:rPr>
          <w:noProof/>
          <w:sz w:val="24"/>
          <w:szCs w:val="24"/>
          <w:lang w:eastAsia="en-GB"/>
        </w:rPr>
        <mc:AlternateContent>
          <mc:Choice Requires="wps">
            <w:drawing>
              <wp:inline distT="0" distB="0" distL="0" distR="0" wp14:anchorId="7AC468CE" wp14:editId="4188785C">
                <wp:extent cx="304800" cy="304800"/>
                <wp:effectExtent l="0" t="0" r="0" b="0"/>
                <wp:docPr id="3" name="Rectangle 3" descr="blob:https://nhswales365.sharepoint.com/a01cf984-dca7-451e-88ce-736f1681a3f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E50602" id="Rectangle 3" o:spid="_x0000_s1026" alt="blob:https://nhswales365.sharepoint.com/a01cf984-dca7-451e-88ce-736f1681a3f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CDnBZNJQIAABkEAAAOAAAAAAAAAAAAAAAAAC4CAABkcnMvZTJvRG9jLnhtbFBL&#10;AQItABQABgAIAAAAIQBMoOks2AAAAAMBAAAPAAAAAAAAAAAAAAAAAH8EAABkcnMvZG93bnJldi54&#10;bWxQSwUGAAAAAAQABADzAAAAhAUAAAAA&#10;" filled="f" stroked="f">
                <o:lock v:ext="edit" aspectratio="t"/>
                <w10:anchorlock/>
              </v:rect>
            </w:pict>
          </mc:Fallback>
        </mc:AlternateContent>
      </w:r>
    </w:p>
    <w:p w14:paraId="32164C96" w14:textId="77777777" w:rsidR="00303A81" w:rsidRPr="0070691A" w:rsidRDefault="00303A81" w:rsidP="00282AC2">
      <w:pPr>
        <w:tabs>
          <w:tab w:val="left" w:pos="360"/>
        </w:tabs>
        <w:jc w:val="left"/>
        <w:rPr>
          <w:sz w:val="24"/>
          <w:szCs w:val="24"/>
        </w:rPr>
      </w:pPr>
    </w:p>
    <w:p w14:paraId="574E4B8B" w14:textId="77777777" w:rsidR="00303A81" w:rsidRPr="0070691A" w:rsidRDefault="00303A81" w:rsidP="00282AC2">
      <w:pPr>
        <w:tabs>
          <w:tab w:val="left" w:pos="360"/>
        </w:tabs>
        <w:jc w:val="left"/>
        <w:rPr>
          <w:sz w:val="24"/>
          <w:szCs w:val="24"/>
        </w:rPr>
      </w:pPr>
      <w:r w:rsidRPr="0070691A">
        <w:rPr>
          <w:sz w:val="24"/>
          <w:szCs w:val="24"/>
        </w:rPr>
        <w:t>​​​​​​​​​​​​​​</w:t>
      </w:r>
    </w:p>
    <w:p w14:paraId="111E2E86" w14:textId="77777777" w:rsidR="00303A81" w:rsidRPr="0070691A" w:rsidRDefault="00303A81" w:rsidP="00282AC2">
      <w:pPr>
        <w:tabs>
          <w:tab w:val="left" w:pos="360"/>
        </w:tabs>
        <w:jc w:val="left"/>
        <w:rPr>
          <w:sz w:val="24"/>
          <w:szCs w:val="24"/>
        </w:rPr>
      </w:pPr>
    </w:p>
    <w:p w14:paraId="4B6C7BFC" w14:textId="77777777" w:rsidR="00303A81" w:rsidRPr="0070691A" w:rsidRDefault="00303A81" w:rsidP="00282AC2">
      <w:pPr>
        <w:tabs>
          <w:tab w:val="left" w:pos="360"/>
        </w:tabs>
        <w:jc w:val="left"/>
        <w:rPr>
          <w:sz w:val="24"/>
          <w:szCs w:val="24"/>
        </w:rPr>
      </w:pPr>
    </w:p>
    <w:p w14:paraId="5C75612A" w14:textId="77777777" w:rsidR="00303A81" w:rsidRPr="0070691A" w:rsidRDefault="00303A81" w:rsidP="00282AC2">
      <w:pPr>
        <w:tabs>
          <w:tab w:val="left" w:pos="360"/>
        </w:tabs>
        <w:jc w:val="left"/>
        <w:rPr>
          <w:sz w:val="24"/>
          <w:szCs w:val="24"/>
        </w:rPr>
      </w:pPr>
    </w:p>
    <w:p w14:paraId="6642FE8D" w14:textId="77777777" w:rsidR="00303A81" w:rsidRPr="0070691A" w:rsidRDefault="00303A81" w:rsidP="00282AC2">
      <w:pPr>
        <w:tabs>
          <w:tab w:val="left" w:pos="360"/>
        </w:tabs>
        <w:jc w:val="left"/>
        <w:rPr>
          <w:sz w:val="24"/>
          <w:szCs w:val="24"/>
        </w:rPr>
      </w:pPr>
    </w:p>
    <w:p w14:paraId="56C6873C" w14:textId="77777777" w:rsidR="00303A81" w:rsidRPr="0070691A" w:rsidRDefault="00303A81" w:rsidP="00282AC2">
      <w:pPr>
        <w:tabs>
          <w:tab w:val="left" w:pos="360"/>
        </w:tabs>
        <w:jc w:val="left"/>
        <w:rPr>
          <w:sz w:val="24"/>
          <w:szCs w:val="24"/>
        </w:rPr>
      </w:pPr>
    </w:p>
    <w:p w14:paraId="3F8941C0" w14:textId="77777777" w:rsidR="002F5E8E" w:rsidRDefault="002F5E8E" w:rsidP="00282AC2">
      <w:pPr>
        <w:tabs>
          <w:tab w:val="left" w:pos="360"/>
        </w:tabs>
        <w:jc w:val="left"/>
        <w:rPr>
          <w:sz w:val="24"/>
          <w:szCs w:val="24"/>
        </w:rPr>
      </w:pPr>
    </w:p>
    <w:p w14:paraId="5DCB3C75" w14:textId="77777777" w:rsidR="002F5E8E" w:rsidRDefault="002F5E8E" w:rsidP="00282AC2">
      <w:pPr>
        <w:tabs>
          <w:tab w:val="left" w:pos="360"/>
        </w:tabs>
        <w:jc w:val="left"/>
        <w:rPr>
          <w:sz w:val="24"/>
          <w:szCs w:val="24"/>
        </w:rPr>
      </w:pPr>
    </w:p>
    <w:p w14:paraId="6D1A65CB" w14:textId="77777777" w:rsidR="002F5E8E" w:rsidRDefault="002F5E8E" w:rsidP="00282AC2">
      <w:pPr>
        <w:tabs>
          <w:tab w:val="left" w:pos="360"/>
        </w:tabs>
        <w:jc w:val="left"/>
        <w:rPr>
          <w:sz w:val="24"/>
          <w:szCs w:val="24"/>
        </w:rPr>
      </w:pPr>
    </w:p>
    <w:p w14:paraId="68551F60" w14:textId="77777777" w:rsidR="002F5E8E" w:rsidRDefault="002F5E8E" w:rsidP="00282AC2">
      <w:pPr>
        <w:tabs>
          <w:tab w:val="left" w:pos="360"/>
        </w:tabs>
        <w:jc w:val="left"/>
        <w:rPr>
          <w:sz w:val="24"/>
          <w:szCs w:val="24"/>
        </w:rPr>
      </w:pPr>
    </w:p>
    <w:p w14:paraId="6384F773" w14:textId="77777777" w:rsidR="002F5E8E" w:rsidRDefault="002F5E8E" w:rsidP="00282AC2">
      <w:pPr>
        <w:tabs>
          <w:tab w:val="left" w:pos="360"/>
        </w:tabs>
        <w:jc w:val="left"/>
        <w:rPr>
          <w:sz w:val="24"/>
          <w:szCs w:val="24"/>
        </w:rPr>
      </w:pPr>
    </w:p>
    <w:p w14:paraId="084C3163" w14:textId="165D0CDA" w:rsidR="002F5E8E" w:rsidRDefault="00D450FD" w:rsidP="00282AC2">
      <w:pPr>
        <w:tabs>
          <w:tab w:val="left" w:pos="360"/>
        </w:tabs>
        <w:jc w:val="left"/>
        <w:rPr>
          <w:sz w:val="24"/>
          <w:szCs w:val="24"/>
        </w:rPr>
      </w:pPr>
      <w:sdt>
        <w:sdtPr>
          <w:rPr>
            <w:sz w:val="24"/>
            <w:szCs w:val="24"/>
          </w:rPr>
          <w:id w:val="1190802841"/>
          <w:citation/>
        </w:sdtPr>
        <w:sdtEndPr/>
        <w:sdtContent>
          <w:r w:rsidR="00B464E1">
            <w:rPr>
              <w:sz w:val="24"/>
              <w:szCs w:val="24"/>
            </w:rPr>
            <w:fldChar w:fldCharType="begin"/>
          </w:r>
          <w:r w:rsidR="00B464E1">
            <w:rPr>
              <w:sz w:val="24"/>
              <w:szCs w:val="24"/>
            </w:rPr>
            <w:instrText xml:space="preserve"> CITATION Swa17 \l 2057 </w:instrText>
          </w:r>
          <w:r w:rsidR="00B464E1">
            <w:rPr>
              <w:sz w:val="24"/>
              <w:szCs w:val="24"/>
            </w:rPr>
            <w:fldChar w:fldCharType="separate"/>
          </w:r>
          <w:r w:rsidR="00876347" w:rsidRPr="00876347">
            <w:rPr>
              <w:noProof/>
              <w:sz w:val="24"/>
              <w:szCs w:val="24"/>
            </w:rPr>
            <w:t>(Board, 2017)</w:t>
          </w:r>
          <w:r w:rsidR="00B464E1">
            <w:rPr>
              <w:sz w:val="24"/>
              <w:szCs w:val="24"/>
            </w:rPr>
            <w:fldChar w:fldCharType="end"/>
          </w:r>
        </w:sdtContent>
      </w:sdt>
    </w:p>
    <w:p w14:paraId="4DA59EAB" w14:textId="77777777" w:rsidR="00B464E1" w:rsidRDefault="00B464E1" w:rsidP="00282AC2">
      <w:pPr>
        <w:tabs>
          <w:tab w:val="left" w:pos="360"/>
        </w:tabs>
        <w:jc w:val="left"/>
        <w:rPr>
          <w:sz w:val="24"/>
          <w:szCs w:val="24"/>
        </w:rPr>
      </w:pPr>
    </w:p>
    <w:p w14:paraId="1C84EC23" w14:textId="4E5F77C3" w:rsidR="00303A81" w:rsidRPr="0070691A" w:rsidRDefault="00303A81" w:rsidP="00282AC2">
      <w:pPr>
        <w:tabs>
          <w:tab w:val="left" w:pos="360"/>
        </w:tabs>
        <w:jc w:val="left"/>
        <w:rPr>
          <w:sz w:val="24"/>
          <w:szCs w:val="24"/>
        </w:rPr>
      </w:pPr>
      <w:r w:rsidRPr="0070691A">
        <w:rPr>
          <w:sz w:val="24"/>
          <w:szCs w:val="24"/>
        </w:rPr>
        <w:t xml:space="preserve">The essentials of emergency planning include having comprehensive emergency procedures in place, ensuring they are fit for purpose, validated by exercising and testing and reviewed annually. The procedures are required to comply with the Civil Contingencies Act 2004. </w:t>
      </w:r>
    </w:p>
    <w:p w14:paraId="1EC707D9" w14:textId="77777777" w:rsidR="00303A81" w:rsidRPr="0070691A" w:rsidRDefault="00303A81" w:rsidP="00282AC2">
      <w:pPr>
        <w:tabs>
          <w:tab w:val="left" w:pos="360"/>
        </w:tabs>
        <w:jc w:val="left"/>
        <w:rPr>
          <w:sz w:val="24"/>
          <w:szCs w:val="24"/>
        </w:rPr>
      </w:pPr>
    </w:p>
    <w:p w14:paraId="3A52F56F" w14:textId="66CBD08E" w:rsidR="0070691A" w:rsidRDefault="00303A81" w:rsidP="00282AC2">
      <w:pPr>
        <w:tabs>
          <w:tab w:val="left" w:pos="360"/>
        </w:tabs>
        <w:jc w:val="left"/>
        <w:rPr>
          <w:sz w:val="24"/>
          <w:szCs w:val="24"/>
        </w:rPr>
      </w:pPr>
      <w:r w:rsidRPr="0070691A">
        <w:rPr>
          <w:sz w:val="24"/>
          <w:szCs w:val="24"/>
        </w:rPr>
        <w:t>The SBUHB Command and Control arrangements are based upon this system. These arrangements help to ensure collaboration between responders. The level of command required will be determined by the nature and seriousness of the incident.</w:t>
      </w:r>
    </w:p>
    <w:p w14:paraId="0A06F457" w14:textId="77777777" w:rsidR="006C3E54" w:rsidRDefault="006C3E54" w:rsidP="00282AC2">
      <w:pPr>
        <w:tabs>
          <w:tab w:val="left" w:pos="360"/>
        </w:tabs>
        <w:jc w:val="left"/>
        <w:rPr>
          <w:sz w:val="24"/>
          <w:szCs w:val="24"/>
        </w:rPr>
      </w:pPr>
    </w:p>
    <w:p w14:paraId="0CAB3D14" w14:textId="2CCE8667" w:rsidR="00303A81" w:rsidRPr="0070691A" w:rsidRDefault="00303A81" w:rsidP="00282AC2">
      <w:pPr>
        <w:tabs>
          <w:tab w:val="left" w:pos="360"/>
        </w:tabs>
        <w:jc w:val="left"/>
        <w:rPr>
          <w:sz w:val="24"/>
          <w:szCs w:val="24"/>
        </w:rPr>
      </w:pPr>
      <w:r w:rsidRPr="0070691A">
        <w:rPr>
          <w:sz w:val="24"/>
          <w:szCs w:val="24"/>
        </w:rPr>
        <w:t>The activation of the three levels will be concurrent as follows:</w:t>
      </w:r>
    </w:p>
    <w:p w14:paraId="3EE9E953" w14:textId="6AE702CA" w:rsidR="00303A81" w:rsidRPr="0070691A" w:rsidRDefault="00303A81" w:rsidP="00282AC2">
      <w:pPr>
        <w:tabs>
          <w:tab w:val="left" w:pos="360"/>
        </w:tabs>
        <w:jc w:val="left"/>
        <w:rPr>
          <w:sz w:val="24"/>
          <w:szCs w:val="24"/>
        </w:rPr>
      </w:pPr>
    </w:p>
    <w:p w14:paraId="05EE6493" w14:textId="62836FED" w:rsidR="00303A81" w:rsidRPr="0070691A" w:rsidRDefault="0070691A" w:rsidP="00282AC2">
      <w:pPr>
        <w:tabs>
          <w:tab w:val="left" w:pos="360"/>
        </w:tabs>
        <w:jc w:val="left"/>
        <w:rPr>
          <w:sz w:val="24"/>
          <w:szCs w:val="24"/>
        </w:rPr>
      </w:pPr>
      <w:r w:rsidRPr="0070691A">
        <w:rPr>
          <w:noProof/>
          <w:sz w:val="24"/>
          <w:szCs w:val="24"/>
          <w:lang w:eastAsia="en-GB"/>
        </w:rPr>
        <w:drawing>
          <wp:anchor distT="0" distB="0" distL="114300" distR="114300" simplePos="0" relativeHeight="251659264" behindDoc="0" locked="0" layoutInCell="1" allowOverlap="1" wp14:anchorId="34F8F0F8" wp14:editId="4E801669">
            <wp:simplePos x="0" y="0"/>
            <wp:positionH relativeFrom="margin">
              <wp:align>left</wp:align>
            </wp:positionH>
            <wp:positionV relativeFrom="paragraph">
              <wp:posOffset>10795</wp:posOffset>
            </wp:positionV>
            <wp:extent cx="2905125" cy="3293110"/>
            <wp:effectExtent l="0" t="0" r="9525"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5125" cy="3293110"/>
                    </a:xfrm>
                    <a:prstGeom prst="rect">
                      <a:avLst/>
                    </a:prstGeom>
                    <a:noFill/>
                  </pic:spPr>
                </pic:pic>
              </a:graphicData>
            </a:graphic>
            <wp14:sizeRelH relativeFrom="margin">
              <wp14:pctWidth>0</wp14:pctWidth>
            </wp14:sizeRelH>
            <wp14:sizeRelV relativeFrom="margin">
              <wp14:pctHeight>0</wp14:pctHeight>
            </wp14:sizeRelV>
          </wp:anchor>
        </w:drawing>
      </w:r>
      <w:r w:rsidR="00303A81" w:rsidRPr="0070691A">
        <w:rPr>
          <w:noProof/>
          <w:sz w:val="24"/>
          <w:szCs w:val="24"/>
          <w:lang w:eastAsia="en-GB"/>
        </w:rPr>
        <mc:AlternateContent>
          <mc:Choice Requires="wps">
            <w:drawing>
              <wp:inline distT="0" distB="0" distL="0" distR="0" wp14:anchorId="53F16BE4" wp14:editId="0E61F5A5">
                <wp:extent cx="304800" cy="304800"/>
                <wp:effectExtent l="0" t="0" r="0" b="0"/>
                <wp:docPr id="6" name="AutoShape 3" descr="blob:https://nhswales365.sharepoint.com/701c7cdb-de68-4da9-bddb-33e4c5cebda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297A6F" id="AutoShape 3" o:spid="_x0000_s1026" alt="blob:https://nhswales365.sharepoint.com/701c7cdb-de68-4da9-bddb-33e4c5cebda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im8fMIgIAABkEAAAOAAAAAAAAAAAAAAAAAC4CAABkcnMvZTJvRG9jLnhtbFBLAQIt&#10;ABQABgAIAAAAIQBMoOks2AAAAAMBAAAPAAAAAAAAAAAAAAAAAHwEAABkcnMvZG93bnJldi54bWxQ&#10;SwUGAAAAAAQABADzAAAAgQUAAAAA&#10;" filled="f" stroked="f">
                <o:lock v:ext="edit" aspectratio="t"/>
                <w10:anchorlock/>
              </v:rect>
            </w:pict>
          </mc:Fallback>
        </mc:AlternateContent>
      </w:r>
    </w:p>
    <w:p w14:paraId="2052D573" w14:textId="7F67CEAB" w:rsidR="00303A81" w:rsidRPr="0070691A" w:rsidRDefault="00303A81" w:rsidP="00282AC2">
      <w:pPr>
        <w:tabs>
          <w:tab w:val="left" w:pos="360"/>
        </w:tabs>
        <w:jc w:val="left"/>
        <w:rPr>
          <w:sz w:val="24"/>
          <w:szCs w:val="24"/>
        </w:rPr>
      </w:pPr>
      <w:r w:rsidRPr="0070691A">
        <w:rPr>
          <w:noProof/>
          <w:sz w:val="24"/>
          <w:szCs w:val="24"/>
          <w:lang w:eastAsia="en-GB"/>
        </w:rPr>
        <mc:AlternateContent>
          <mc:Choice Requires="wps">
            <w:drawing>
              <wp:inline distT="0" distB="0" distL="0" distR="0" wp14:anchorId="5BF59401" wp14:editId="219D06D6">
                <wp:extent cx="304800" cy="304800"/>
                <wp:effectExtent l="0" t="0" r="0" b="0"/>
                <wp:docPr id="2" name="Rectangle 2" descr="blob:https://nhswales365.sharepoint.com/a4fb1b0f-31a4-4c24-ae2f-b00924bc9d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691443" id="Rectangle 2" o:spid="_x0000_s1026" alt="blob:https://nhswales365.sharepoint.com/a4fb1b0f-31a4-4c24-ae2f-b00924bc9d5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KlKWnJQIAABkEAAAOAAAAAAAAAAAAAAAAAC4CAABkcnMvZTJvRG9jLnhtbFBL&#10;AQItABQABgAIAAAAIQBMoOks2AAAAAMBAAAPAAAAAAAAAAAAAAAAAH8EAABkcnMvZG93bnJldi54&#10;bWxQSwUGAAAAAAQABADzAAAAhAUAAAAA&#10;" filled="f" stroked="f">
                <o:lock v:ext="edit" aspectratio="t"/>
                <w10:anchorlock/>
              </v:rect>
            </w:pict>
          </mc:Fallback>
        </mc:AlternateContent>
      </w:r>
    </w:p>
    <w:p w14:paraId="7689AC4E" w14:textId="2C057C33" w:rsidR="00303A81" w:rsidRPr="0070691A" w:rsidRDefault="00303A81" w:rsidP="00282AC2">
      <w:pPr>
        <w:tabs>
          <w:tab w:val="left" w:pos="360"/>
        </w:tabs>
        <w:jc w:val="left"/>
        <w:rPr>
          <w:b/>
          <w:bCs/>
          <w:sz w:val="24"/>
          <w:szCs w:val="24"/>
          <w:u w:val="single"/>
        </w:rPr>
      </w:pPr>
    </w:p>
    <w:p w14:paraId="5CD798AC" w14:textId="6A5AB21C" w:rsidR="00303A81" w:rsidRPr="0070691A" w:rsidRDefault="00303A81" w:rsidP="00282AC2">
      <w:pPr>
        <w:tabs>
          <w:tab w:val="left" w:pos="360"/>
        </w:tabs>
        <w:jc w:val="left"/>
        <w:rPr>
          <w:b/>
          <w:bCs/>
          <w:sz w:val="24"/>
          <w:szCs w:val="24"/>
          <w:u w:val="single"/>
        </w:rPr>
      </w:pPr>
    </w:p>
    <w:p w14:paraId="624D0F0B" w14:textId="298107B9" w:rsidR="00303A81" w:rsidRPr="0070691A" w:rsidRDefault="00303A81" w:rsidP="00282AC2">
      <w:pPr>
        <w:tabs>
          <w:tab w:val="left" w:pos="360"/>
        </w:tabs>
        <w:jc w:val="left"/>
        <w:rPr>
          <w:b/>
          <w:bCs/>
          <w:sz w:val="24"/>
          <w:szCs w:val="24"/>
          <w:u w:val="single"/>
        </w:rPr>
      </w:pPr>
    </w:p>
    <w:p w14:paraId="0AF30442" w14:textId="1F890902" w:rsidR="00303A81" w:rsidRPr="0070691A" w:rsidRDefault="00303A81" w:rsidP="00282AC2">
      <w:pPr>
        <w:tabs>
          <w:tab w:val="left" w:pos="360"/>
        </w:tabs>
        <w:jc w:val="left"/>
        <w:rPr>
          <w:b/>
          <w:bCs/>
          <w:sz w:val="24"/>
          <w:szCs w:val="24"/>
          <w:u w:val="single"/>
        </w:rPr>
      </w:pPr>
    </w:p>
    <w:p w14:paraId="0B12E8B3" w14:textId="1216E1CE" w:rsidR="00303A81" w:rsidRPr="0070691A" w:rsidRDefault="00303A81" w:rsidP="00282AC2">
      <w:pPr>
        <w:tabs>
          <w:tab w:val="left" w:pos="360"/>
        </w:tabs>
        <w:jc w:val="left"/>
        <w:rPr>
          <w:b/>
          <w:bCs/>
          <w:sz w:val="24"/>
          <w:szCs w:val="24"/>
          <w:u w:val="single"/>
        </w:rPr>
      </w:pPr>
    </w:p>
    <w:p w14:paraId="71FB4C99" w14:textId="4B24907A" w:rsidR="00303A81" w:rsidRPr="0070691A" w:rsidRDefault="00303A81" w:rsidP="00282AC2">
      <w:pPr>
        <w:tabs>
          <w:tab w:val="left" w:pos="360"/>
        </w:tabs>
        <w:jc w:val="left"/>
        <w:rPr>
          <w:b/>
          <w:bCs/>
          <w:sz w:val="24"/>
          <w:szCs w:val="24"/>
          <w:u w:val="single"/>
        </w:rPr>
      </w:pPr>
    </w:p>
    <w:p w14:paraId="1C31A1E5" w14:textId="6F35156A" w:rsidR="00303A81" w:rsidRPr="0070691A" w:rsidRDefault="00303A81" w:rsidP="00282AC2">
      <w:pPr>
        <w:tabs>
          <w:tab w:val="left" w:pos="360"/>
        </w:tabs>
        <w:jc w:val="left"/>
        <w:rPr>
          <w:b/>
          <w:bCs/>
          <w:sz w:val="24"/>
          <w:szCs w:val="24"/>
          <w:u w:val="single"/>
        </w:rPr>
      </w:pPr>
    </w:p>
    <w:p w14:paraId="06DF9021" w14:textId="77777777" w:rsidR="00303A81" w:rsidRPr="0070691A" w:rsidRDefault="00303A81" w:rsidP="00282AC2">
      <w:pPr>
        <w:tabs>
          <w:tab w:val="left" w:pos="360"/>
        </w:tabs>
        <w:jc w:val="left"/>
        <w:rPr>
          <w:b/>
          <w:bCs/>
          <w:sz w:val="24"/>
          <w:szCs w:val="24"/>
          <w:u w:val="single"/>
        </w:rPr>
      </w:pPr>
    </w:p>
    <w:p w14:paraId="0BD56802" w14:textId="77777777" w:rsidR="00303A81" w:rsidRPr="0070691A" w:rsidRDefault="00303A81" w:rsidP="00282AC2">
      <w:pPr>
        <w:tabs>
          <w:tab w:val="left" w:pos="360"/>
        </w:tabs>
        <w:jc w:val="left"/>
        <w:rPr>
          <w:b/>
          <w:bCs/>
          <w:sz w:val="24"/>
          <w:szCs w:val="24"/>
          <w:u w:val="single"/>
        </w:rPr>
      </w:pPr>
    </w:p>
    <w:p w14:paraId="13C74AEC" w14:textId="77777777" w:rsidR="00303A81" w:rsidRPr="0070691A" w:rsidRDefault="00303A81" w:rsidP="00282AC2">
      <w:pPr>
        <w:tabs>
          <w:tab w:val="left" w:pos="360"/>
        </w:tabs>
        <w:jc w:val="left"/>
        <w:rPr>
          <w:b/>
          <w:bCs/>
          <w:sz w:val="24"/>
          <w:szCs w:val="24"/>
          <w:u w:val="single"/>
        </w:rPr>
      </w:pPr>
    </w:p>
    <w:p w14:paraId="09A03C21" w14:textId="7406F5ED" w:rsidR="00303A81" w:rsidRPr="0070691A" w:rsidRDefault="00303A81" w:rsidP="00282AC2">
      <w:pPr>
        <w:tabs>
          <w:tab w:val="left" w:pos="360"/>
        </w:tabs>
        <w:jc w:val="left"/>
        <w:rPr>
          <w:b/>
          <w:bCs/>
          <w:sz w:val="24"/>
          <w:szCs w:val="24"/>
          <w:u w:val="single"/>
        </w:rPr>
      </w:pPr>
    </w:p>
    <w:p w14:paraId="64ADBB78" w14:textId="232FC121" w:rsidR="00303A81" w:rsidRDefault="00303A81" w:rsidP="00282AC2">
      <w:pPr>
        <w:tabs>
          <w:tab w:val="left" w:pos="360"/>
        </w:tabs>
        <w:jc w:val="left"/>
        <w:rPr>
          <w:b/>
          <w:bCs/>
          <w:sz w:val="24"/>
          <w:szCs w:val="24"/>
          <w:u w:val="single"/>
        </w:rPr>
      </w:pPr>
    </w:p>
    <w:p w14:paraId="5A309FAD" w14:textId="77777777" w:rsidR="00FE122D" w:rsidRDefault="00FE122D" w:rsidP="00282AC2">
      <w:pPr>
        <w:tabs>
          <w:tab w:val="left" w:pos="360"/>
        </w:tabs>
        <w:jc w:val="left"/>
        <w:rPr>
          <w:b/>
          <w:bCs/>
          <w:sz w:val="24"/>
          <w:szCs w:val="24"/>
          <w:u w:val="single"/>
        </w:rPr>
      </w:pPr>
    </w:p>
    <w:p w14:paraId="100018D0" w14:textId="77777777" w:rsidR="00FE122D" w:rsidRDefault="00FE122D" w:rsidP="00282AC2">
      <w:pPr>
        <w:tabs>
          <w:tab w:val="left" w:pos="360"/>
        </w:tabs>
        <w:jc w:val="left"/>
        <w:rPr>
          <w:b/>
          <w:bCs/>
          <w:sz w:val="24"/>
          <w:szCs w:val="24"/>
          <w:u w:val="single"/>
        </w:rPr>
      </w:pPr>
    </w:p>
    <w:p w14:paraId="206C9D5B" w14:textId="77777777" w:rsidR="00FE122D" w:rsidRDefault="00FE122D" w:rsidP="00282AC2">
      <w:pPr>
        <w:tabs>
          <w:tab w:val="left" w:pos="360"/>
        </w:tabs>
        <w:jc w:val="left"/>
        <w:rPr>
          <w:b/>
          <w:bCs/>
          <w:sz w:val="24"/>
          <w:szCs w:val="24"/>
          <w:u w:val="single"/>
        </w:rPr>
      </w:pPr>
    </w:p>
    <w:p w14:paraId="28E37B3C" w14:textId="77777777" w:rsidR="00D70671" w:rsidRDefault="00D70671" w:rsidP="00282AC2">
      <w:pPr>
        <w:tabs>
          <w:tab w:val="left" w:pos="360"/>
        </w:tabs>
        <w:jc w:val="left"/>
        <w:rPr>
          <w:b/>
          <w:bCs/>
          <w:sz w:val="24"/>
          <w:szCs w:val="24"/>
          <w:u w:val="single"/>
        </w:rPr>
      </w:pPr>
    </w:p>
    <w:p w14:paraId="7B06F7C2" w14:textId="0C78AB8E" w:rsidR="00303A81" w:rsidRPr="0070691A" w:rsidRDefault="00303A81" w:rsidP="00282AC2">
      <w:pPr>
        <w:tabs>
          <w:tab w:val="left" w:pos="360"/>
        </w:tabs>
        <w:jc w:val="left"/>
        <w:rPr>
          <w:sz w:val="24"/>
          <w:szCs w:val="24"/>
          <w:u w:val="single"/>
        </w:rPr>
      </w:pPr>
      <w:r w:rsidRPr="0070691A">
        <w:rPr>
          <w:sz w:val="24"/>
          <w:szCs w:val="24"/>
        </w:rPr>
        <w:t>​​​​​​​</w:t>
      </w:r>
      <w:r w:rsidRPr="0070691A">
        <w:rPr>
          <w:sz w:val="24"/>
          <w:szCs w:val="24"/>
          <w:u w:val="single"/>
        </w:rPr>
        <w:t>There are 5 Hospital / Incident Co-ordination Centre's within SBUHB, and Gold Command will be held in SBUHB HQ. The Silvers are held at:</w:t>
      </w:r>
    </w:p>
    <w:p w14:paraId="10E210A9" w14:textId="77777777" w:rsidR="00303A81" w:rsidRPr="0070691A" w:rsidRDefault="00303A81" w:rsidP="00282AC2">
      <w:pPr>
        <w:tabs>
          <w:tab w:val="left" w:pos="360"/>
        </w:tabs>
        <w:jc w:val="left"/>
        <w:rPr>
          <w:sz w:val="24"/>
          <w:szCs w:val="24"/>
        </w:rPr>
      </w:pPr>
    </w:p>
    <w:p w14:paraId="555BD0D3" w14:textId="77777777" w:rsidR="00303A81" w:rsidRPr="0070691A" w:rsidRDefault="00303A81" w:rsidP="00282AC2">
      <w:pPr>
        <w:tabs>
          <w:tab w:val="left" w:pos="360"/>
        </w:tabs>
        <w:jc w:val="left"/>
        <w:rPr>
          <w:sz w:val="24"/>
          <w:szCs w:val="24"/>
        </w:rPr>
      </w:pPr>
      <w:r w:rsidRPr="0070691A">
        <w:rPr>
          <w:sz w:val="24"/>
          <w:szCs w:val="24"/>
        </w:rPr>
        <w:t>Morriston Hospital </w:t>
      </w:r>
      <w:r w:rsidRPr="0070691A">
        <w:rPr>
          <w:b/>
          <w:bCs/>
          <w:sz w:val="24"/>
          <w:szCs w:val="24"/>
        </w:rPr>
        <w:t>(Lead HCC)</w:t>
      </w:r>
    </w:p>
    <w:p w14:paraId="3E671887" w14:textId="77777777" w:rsidR="00303A81" w:rsidRPr="0070691A" w:rsidRDefault="00303A81" w:rsidP="00282AC2">
      <w:pPr>
        <w:tabs>
          <w:tab w:val="left" w:pos="360"/>
        </w:tabs>
        <w:jc w:val="left"/>
        <w:rPr>
          <w:sz w:val="24"/>
          <w:szCs w:val="24"/>
        </w:rPr>
      </w:pPr>
      <w:r w:rsidRPr="0070691A">
        <w:rPr>
          <w:sz w:val="24"/>
          <w:szCs w:val="24"/>
        </w:rPr>
        <w:t>Singleton Hospital</w:t>
      </w:r>
    </w:p>
    <w:p w14:paraId="1424BFC6" w14:textId="77777777" w:rsidR="00303A81" w:rsidRPr="0070691A" w:rsidRDefault="00303A81" w:rsidP="00282AC2">
      <w:pPr>
        <w:tabs>
          <w:tab w:val="left" w:pos="360"/>
        </w:tabs>
        <w:jc w:val="left"/>
        <w:rPr>
          <w:sz w:val="24"/>
          <w:szCs w:val="24"/>
        </w:rPr>
      </w:pPr>
      <w:r w:rsidRPr="0070691A">
        <w:rPr>
          <w:sz w:val="24"/>
          <w:szCs w:val="24"/>
        </w:rPr>
        <w:t>Neath &amp; Port Talbot Hospital</w:t>
      </w:r>
    </w:p>
    <w:p w14:paraId="60DDC267" w14:textId="77777777" w:rsidR="00303A81" w:rsidRPr="0070691A" w:rsidRDefault="00303A81" w:rsidP="00282AC2">
      <w:pPr>
        <w:tabs>
          <w:tab w:val="left" w:pos="360"/>
        </w:tabs>
        <w:jc w:val="left"/>
        <w:rPr>
          <w:sz w:val="24"/>
          <w:szCs w:val="24"/>
        </w:rPr>
      </w:pPr>
      <w:r w:rsidRPr="0070691A">
        <w:rPr>
          <w:sz w:val="24"/>
          <w:szCs w:val="24"/>
        </w:rPr>
        <w:t>Primary Community Care (PCC) &amp; Therapies</w:t>
      </w:r>
    </w:p>
    <w:p w14:paraId="3677E174" w14:textId="77777777" w:rsidR="00303A81" w:rsidRPr="0070691A" w:rsidRDefault="00303A81" w:rsidP="00282AC2">
      <w:pPr>
        <w:tabs>
          <w:tab w:val="left" w:pos="360"/>
        </w:tabs>
        <w:jc w:val="left"/>
        <w:rPr>
          <w:sz w:val="24"/>
          <w:szCs w:val="24"/>
        </w:rPr>
      </w:pPr>
      <w:r w:rsidRPr="0070691A">
        <w:rPr>
          <w:sz w:val="24"/>
          <w:szCs w:val="24"/>
        </w:rPr>
        <w:t>Mental Health &amp; Learning Difficulties (HM/LD)</w:t>
      </w:r>
    </w:p>
    <w:p w14:paraId="3010F888" w14:textId="1E7DD512" w:rsidR="00303A81" w:rsidRPr="0070691A" w:rsidRDefault="00303A81" w:rsidP="00282AC2">
      <w:pPr>
        <w:tabs>
          <w:tab w:val="left" w:pos="360"/>
        </w:tabs>
        <w:jc w:val="left"/>
        <w:rPr>
          <w:b/>
          <w:bCs/>
          <w:sz w:val="24"/>
          <w:szCs w:val="24"/>
        </w:rPr>
      </w:pPr>
      <w:r w:rsidRPr="0070691A">
        <w:rPr>
          <w:b/>
          <w:bCs/>
          <w:sz w:val="24"/>
          <w:szCs w:val="24"/>
        </w:rPr>
        <w:t>South Wales Trauma Network (SWTN)</w:t>
      </w:r>
    </w:p>
    <w:p w14:paraId="543EEA30" w14:textId="77777777" w:rsidR="006C3E54" w:rsidRDefault="006C3E54" w:rsidP="00282AC2">
      <w:pPr>
        <w:tabs>
          <w:tab w:val="left" w:pos="360"/>
        </w:tabs>
        <w:jc w:val="left"/>
        <w:rPr>
          <w:b/>
          <w:bCs/>
          <w:sz w:val="24"/>
          <w:szCs w:val="24"/>
        </w:rPr>
      </w:pPr>
    </w:p>
    <w:p w14:paraId="3453BE8D" w14:textId="5C4167FB" w:rsidR="00303A81" w:rsidRPr="0070691A" w:rsidRDefault="00303A81" w:rsidP="00282AC2">
      <w:pPr>
        <w:tabs>
          <w:tab w:val="left" w:pos="360"/>
        </w:tabs>
        <w:jc w:val="left"/>
        <w:rPr>
          <w:sz w:val="24"/>
          <w:szCs w:val="24"/>
        </w:rPr>
      </w:pPr>
      <w:r w:rsidRPr="0070691A">
        <w:rPr>
          <w:b/>
          <w:bCs/>
          <w:sz w:val="24"/>
          <w:szCs w:val="24"/>
        </w:rPr>
        <w:t>Quality</w:t>
      </w:r>
    </w:p>
    <w:p w14:paraId="2D33CE89" w14:textId="77777777" w:rsidR="00303A81" w:rsidRPr="0070691A" w:rsidRDefault="00303A81" w:rsidP="00282AC2">
      <w:pPr>
        <w:tabs>
          <w:tab w:val="left" w:pos="360"/>
        </w:tabs>
        <w:jc w:val="left"/>
        <w:rPr>
          <w:sz w:val="24"/>
          <w:szCs w:val="24"/>
        </w:rPr>
      </w:pPr>
      <w:r w:rsidRPr="0070691A">
        <w:rPr>
          <w:sz w:val="24"/>
          <w:szCs w:val="24"/>
        </w:rPr>
        <w:t xml:space="preserve">The introduction of quality statements was signalled in A Healthier Wales and has been described in the National Clinical Framework as the next level of </w:t>
      </w:r>
      <w:r w:rsidRPr="0070691A">
        <w:rPr>
          <w:sz w:val="24"/>
          <w:szCs w:val="24"/>
        </w:rPr>
        <w:lastRenderedPageBreak/>
        <w:t>national planning for specific clinical services ensuring there is a long-term and consistent approach to improving outcomes. Quality statements form part of the enhanced focus on quality and will be integral to the future planning and accountability arrangements for the NHS in Wales.</w:t>
      </w:r>
    </w:p>
    <w:p w14:paraId="33343A30" w14:textId="3769EE8D" w:rsidR="00303A81" w:rsidRPr="0070691A" w:rsidRDefault="00303A81" w:rsidP="00282AC2">
      <w:pPr>
        <w:tabs>
          <w:tab w:val="left" w:pos="360"/>
        </w:tabs>
        <w:jc w:val="left"/>
        <w:rPr>
          <w:sz w:val="24"/>
          <w:szCs w:val="24"/>
        </w:rPr>
      </w:pPr>
    </w:p>
    <w:p w14:paraId="75A9175B" w14:textId="77777777" w:rsidR="00303A81" w:rsidRPr="0070691A" w:rsidRDefault="00303A81" w:rsidP="00282AC2">
      <w:pPr>
        <w:tabs>
          <w:tab w:val="left" w:pos="360"/>
        </w:tabs>
        <w:jc w:val="left"/>
        <w:rPr>
          <w:sz w:val="24"/>
          <w:szCs w:val="24"/>
        </w:rPr>
      </w:pPr>
      <w:r w:rsidRPr="0070691A">
        <w:rPr>
          <w:b/>
          <w:bCs/>
          <w:sz w:val="24"/>
          <w:szCs w:val="24"/>
        </w:rPr>
        <w:t>National and Regional Resilience</w:t>
      </w:r>
    </w:p>
    <w:p w14:paraId="037FFA51" w14:textId="117EF860" w:rsidR="00B02C20" w:rsidRDefault="00303A81" w:rsidP="00282AC2">
      <w:pPr>
        <w:tabs>
          <w:tab w:val="left" w:pos="360"/>
        </w:tabs>
        <w:jc w:val="left"/>
        <w:rPr>
          <w:sz w:val="24"/>
          <w:szCs w:val="24"/>
        </w:rPr>
      </w:pPr>
      <w:r w:rsidRPr="0070691A">
        <w:rPr>
          <w:sz w:val="24"/>
          <w:szCs w:val="24"/>
        </w:rPr>
        <w:t>The CCA 2004 requires Category 1 Responder Organisations to co-operate and plan with partners in Local Resilience Forums (LRF) and these are based on 4 Police Force areas. The Police Force in whose area an Incident occurs has responsibility for the overall strategic management and co-ordination of the responding Agencies. SBUHB is represented at the Dyfed Powys and South Wales LRF's.</w:t>
      </w:r>
    </w:p>
    <w:p w14:paraId="3C65E21C" w14:textId="64E98ACF" w:rsidR="005C7970" w:rsidRDefault="005C7970" w:rsidP="00282AC2">
      <w:pPr>
        <w:tabs>
          <w:tab w:val="left" w:pos="360"/>
        </w:tabs>
        <w:jc w:val="left"/>
        <w:rPr>
          <w:sz w:val="24"/>
          <w:szCs w:val="24"/>
        </w:rPr>
      </w:pPr>
      <w:r>
        <w:rPr>
          <w:sz w:val="24"/>
          <w:szCs w:val="24"/>
        </w:rPr>
        <w:t>The author has</w:t>
      </w:r>
      <w:r w:rsidR="00FE122D">
        <w:rPr>
          <w:sz w:val="24"/>
          <w:szCs w:val="24"/>
        </w:rPr>
        <w:t xml:space="preserve"> clearly outline</w:t>
      </w:r>
      <w:r>
        <w:rPr>
          <w:sz w:val="24"/>
          <w:szCs w:val="24"/>
        </w:rPr>
        <w:t>d</w:t>
      </w:r>
      <w:r w:rsidR="00FE122D">
        <w:rPr>
          <w:sz w:val="24"/>
          <w:szCs w:val="24"/>
        </w:rPr>
        <w:t xml:space="preserve"> the </w:t>
      </w:r>
      <w:r w:rsidR="00FE122D" w:rsidRPr="00FE122D">
        <w:rPr>
          <w:sz w:val="24"/>
          <w:szCs w:val="24"/>
        </w:rPr>
        <w:t>purpose of the C</w:t>
      </w:r>
      <w:r w:rsidR="00FE122D">
        <w:rPr>
          <w:sz w:val="24"/>
          <w:szCs w:val="24"/>
        </w:rPr>
        <w:t xml:space="preserve">ivil </w:t>
      </w:r>
      <w:r w:rsidR="00FE122D" w:rsidRPr="00FE122D">
        <w:rPr>
          <w:sz w:val="24"/>
          <w:szCs w:val="24"/>
        </w:rPr>
        <w:t>C</w:t>
      </w:r>
      <w:r w:rsidR="00FE122D">
        <w:rPr>
          <w:sz w:val="24"/>
          <w:szCs w:val="24"/>
        </w:rPr>
        <w:t xml:space="preserve">ontingencies </w:t>
      </w:r>
      <w:r w:rsidR="00FE122D" w:rsidRPr="00FE122D">
        <w:rPr>
          <w:sz w:val="24"/>
          <w:szCs w:val="24"/>
        </w:rPr>
        <w:t>A</w:t>
      </w:r>
      <w:r w:rsidR="00FE122D">
        <w:rPr>
          <w:sz w:val="24"/>
          <w:szCs w:val="24"/>
        </w:rPr>
        <w:t>ct</w:t>
      </w:r>
      <w:r w:rsidR="00FE122D" w:rsidRPr="00FE122D">
        <w:rPr>
          <w:sz w:val="24"/>
          <w:szCs w:val="24"/>
        </w:rPr>
        <w:t xml:space="preserve"> 2004, </w:t>
      </w:r>
      <w:r w:rsidR="006C30CE">
        <w:rPr>
          <w:sz w:val="24"/>
          <w:szCs w:val="24"/>
        </w:rPr>
        <w:t xml:space="preserve">with </w:t>
      </w:r>
      <w:r w:rsidR="00FE122D" w:rsidRPr="00FE122D">
        <w:rPr>
          <w:sz w:val="24"/>
          <w:szCs w:val="24"/>
        </w:rPr>
        <w:t>its supporting regulations and the accompanying statutory guidance</w:t>
      </w:r>
      <w:r w:rsidR="006C30CE">
        <w:rPr>
          <w:sz w:val="24"/>
          <w:szCs w:val="24"/>
        </w:rPr>
        <w:t>.</w:t>
      </w:r>
      <w:r>
        <w:rPr>
          <w:sz w:val="24"/>
          <w:szCs w:val="24"/>
        </w:rPr>
        <w:t xml:space="preserve"> The author has </w:t>
      </w:r>
      <w:r w:rsidR="00625F06">
        <w:rPr>
          <w:sz w:val="24"/>
          <w:szCs w:val="24"/>
        </w:rPr>
        <w:t xml:space="preserve">described </w:t>
      </w:r>
      <w:r w:rsidR="000603DA">
        <w:rPr>
          <w:sz w:val="24"/>
          <w:szCs w:val="24"/>
        </w:rPr>
        <w:t xml:space="preserve">how transfer of functions </w:t>
      </w:r>
      <w:r w:rsidR="004E79BF">
        <w:rPr>
          <w:sz w:val="24"/>
          <w:szCs w:val="24"/>
        </w:rPr>
        <w:t>to Welsh Ministers has the potential to change emergency preparedness and response in Wales.</w:t>
      </w:r>
      <w:r w:rsidR="00E30B35">
        <w:rPr>
          <w:sz w:val="24"/>
          <w:szCs w:val="24"/>
        </w:rPr>
        <w:t xml:space="preserve"> The author has described </w:t>
      </w:r>
      <w:r w:rsidR="005150FA">
        <w:rPr>
          <w:sz w:val="24"/>
          <w:szCs w:val="24"/>
        </w:rPr>
        <w:t>in detail what emergency powers exist under the Civil Contingencies Act and how those powers can be exercised.</w:t>
      </w:r>
      <w:r w:rsidR="000C1EA1">
        <w:rPr>
          <w:sz w:val="24"/>
          <w:szCs w:val="24"/>
        </w:rPr>
        <w:t xml:space="preserve"> The author has described in detail how the Act</w:t>
      </w:r>
      <w:r w:rsidR="000A38C7">
        <w:rPr>
          <w:sz w:val="24"/>
          <w:szCs w:val="24"/>
        </w:rPr>
        <w:t xml:space="preserve"> </w:t>
      </w:r>
      <w:r w:rsidR="00BC1353">
        <w:rPr>
          <w:sz w:val="24"/>
          <w:szCs w:val="24"/>
        </w:rPr>
        <w:t xml:space="preserve">ensures responder agencies </w:t>
      </w:r>
      <w:r w:rsidR="005A2655">
        <w:rPr>
          <w:sz w:val="24"/>
          <w:szCs w:val="24"/>
        </w:rPr>
        <w:t xml:space="preserve">compliance with </w:t>
      </w:r>
      <w:r w:rsidR="00BC1353">
        <w:rPr>
          <w:sz w:val="24"/>
          <w:szCs w:val="24"/>
        </w:rPr>
        <w:t xml:space="preserve">their </w:t>
      </w:r>
      <w:r w:rsidR="005A2655">
        <w:rPr>
          <w:sz w:val="24"/>
          <w:szCs w:val="24"/>
        </w:rPr>
        <w:t>statutory duties</w:t>
      </w:r>
      <w:r w:rsidR="00BC1353">
        <w:rPr>
          <w:sz w:val="24"/>
          <w:szCs w:val="24"/>
        </w:rPr>
        <w:t xml:space="preserve">. The author </w:t>
      </w:r>
      <w:r w:rsidR="00417D5E">
        <w:rPr>
          <w:sz w:val="24"/>
          <w:szCs w:val="24"/>
        </w:rPr>
        <w:t>explains how compliance of the Act’s duties are moni</w:t>
      </w:r>
      <w:r w:rsidR="009E3337">
        <w:rPr>
          <w:sz w:val="24"/>
          <w:szCs w:val="24"/>
        </w:rPr>
        <w:t>tored in their own organisation. The author has answered the</w:t>
      </w:r>
      <w:r w:rsidR="005D28AE">
        <w:rPr>
          <w:sz w:val="24"/>
          <w:szCs w:val="24"/>
        </w:rPr>
        <w:t xml:space="preserve"> question of the </w:t>
      </w:r>
      <w:r w:rsidR="009E3337">
        <w:rPr>
          <w:sz w:val="24"/>
          <w:szCs w:val="24"/>
        </w:rPr>
        <w:t>main body of the assignment</w:t>
      </w:r>
      <w:r w:rsidR="00F80773">
        <w:rPr>
          <w:sz w:val="24"/>
          <w:szCs w:val="24"/>
        </w:rPr>
        <w:t xml:space="preserve">, </w:t>
      </w:r>
      <w:r w:rsidR="00E20CF3">
        <w:rPr>
          <w:sz w:val="24"/>
          <w:szCs w:val="24"/>
        </w:rPr>
        <w:t>with a focus on the</w:t>
      </w:r>
      <w:r w:rsidR="00F80773">
        <w:rPr>
          <w:sz w:val="24"/>
          <w:szCs w:val="24"/>
        </w:rPr>
        <w:t xml:space="preserve"> accompanying components t</w:t>
      </w:r>
      <w:r w:rsidR="005D28AE">
        <w:rPr>
          <w:sz w:val="24"/>
          <w:szCs w:val="24"/>
        </w:rPr>
        <w:t xml:space="preserve">o ensure all aspects of </w:t>
      </w:r>
      <w:r w:rsidR="00E20CF3">
        <w:rPr>
          <w:sz w:val="24"/>
          <w:szCs w:val="24"/>
        </w:rPr>
        <w:t xml:space="preserve">the </w:t>
      </w:r>
      <w:r w:rsidR="005D28AE">
        <w:rPr>
          <w:sz w:val="24"/>
          <w:szCs w:val="24"/>
        </w:rPr>
        <w:t xml:space="preserve">Civil </w:t>
      </w:r>
      <w:r w:rsidR="00C717C8">
        <w:rPr>
          <w:sz w:val="24"/>
          <w:szCs w:val="24"/>
        </w:rPr>
        <w:t>Contingencies</w:t>
      </w:r>
      <w:r w:rsidR="005D28AE">
        <w:rPr>
          <w:sz w:val="24"/>
          <w:szCs w:val="24"/>
        </w:rPr>
        <w:t xml:space="preserve"> Act </w:t>
      </w:r>
      <w:r w:rsidR="00E20CF3">
        <w:rPr>
          <w:sz w:val="24"/>
          <w:szCs w:val="24"/>
        </w:rPr>
        <w:t xml:space="preserve">is described in its entirety. </w:t>
      </w:r>
    </w:p>
    <w:p w14:paraId="63FC93FF" w14:textId="77777777" w:rsidR="004E79BF" w:rsidRDefault="004E79BF" w:rsidP="00282AC2">
      <w:pPr>
        <w:tabs>
          <w:tab w:val="left" w:pos="360"/>
        </w:tabs>
        <w:jc w:val="left"/>
        <w:rPr>
          <w:sz w:val="24"/>
          <w:szCs w:val="24"/>
        </w:rPr>
      </w:pPr>
    </w:p>
    <w:p w14:paraId="3AD3731C" w14:textId="078774CB" w:rsidR="004E79BF" w:rsidRDefault="004E79BF" w:rsidP="00282AC2">
      <w:pPr>
        <w:tabs>
          <w:tab w:val="left" w:pos="360"/>
        </w:tabs>
        <w:jc w:val="left"/>
        <w:rPr>
          <w:sz w:val="24"/>
          <w:szCs w:val="24"/>
        </w:rPr>
      </w:pPr>
      <w:r>
        <w:rPr>
          <w:sz w:val="24"/>
          <w:szCs w:val="24"/>
        </w:rPr>
        <w:t xml:space="preserve">The author has used refutable sources </w:t>
      </w:r>
      <w:r w:rsidR="00E30B35">
        <w:rPr>
          <w:sz w:val="24"/>
          <w:szCs w:val="24"/>
        </w:rPr>
        <w:t xml:space="preserve">to cite and reference supporting statements and evidence throughout the main body of the assignment. </w:t>
      </w:r>
    </w:p>
    <w:p w14:paraId="17B44073" w14:textId="77777777" w:rsidR="00D450FD" w:rsidRDefault="00D450FD" w:rsidP="00282AC2">
      <w:pPr>
        <w:tabs>
          <w:tab w:val="left" w:pos="360"/>
        </w:tabs>
        <w:jc w:val="left"/>
        <w:rPr>
          <w:sz w:val="24"/>
          <w:szCs w:val="24"/>
        </w:rPr>
      </w:pPr>
    </w:p>
    <w:sdt>
      <w:sdtPr>
        <w:rPr>
          <w:lang w:val="en-GB"/>
        </w:rPr>
        <w:id w:val="901647100"/>
        <w:docPartObj>
          <w:docPartGallery w:val="Bibliographies"/>
          <w:docPartUnique/>
        </w:docPartObj>
      </w:sdtPr>
      <w:sdtEndPr>
        <w:rPr>
          <w:rFonts w:ascii="Arial" w:eastAsia="Times New Roman" w:hAnsi="Arial" w:cs="Arial"/>
          <w:color w:val="auto"/>
          <w:sz w:val="22"/>
          <w:szCs w:val="22"/>
        </w:rPr>
      </w:sdtEndPr>
      <w:sdtContent>
        <w:p w14:paraId="537AF3AB" w14:textId="1314AA8B" w:rsidR="00D450FD" w:rsidRDefault="00D450FD">
          <w:pPr>
            <w:pStyle w:val="Heading1"/>
          </w:pPr>
          <w:r>
            <w:rPr>
              <w:lang w:val="en-GB"/>
            </w:rPr>
            <w:t>References</w:t>
          </w:r>
        </w:p>
        <w:sdt>
          <w:sdtPr>
            <w:id w:val="-573587230"/>
            <w:bibliography/>
          </w:sdtPr>
          <w:sdtContent>
            <w:p w14:paraId="20E58245" w14:textId="77777777" w:rsidR="00D450FD" w:rsidRDefault="00D450FD" w:rsidP="00D450FD">
              <w:pPr>
                <w:pStyle w:val="Bibliography"/>
                <w:ind w:left="720" w:hanging="720"/>
                <w:rPr>
                  <w:noProof/>
                  <w:sz w:val="24"/>
                  <w:szCs w:val="24"/>
                </w:rPr>
              </w:pPr>
              <w:r>
                <w:fldChar w:fldCharType="begin"/>
              </w:r>
              <w:r>
                <w:instrText>BIBLIOGRAPHY</w:instrText>
              </w:r>
              <w:r>
                <w:fldChar w:fldCharType="separate"/>
              </w:r>
              <w:r>
                <w:rPr>
                  <w:noProof/>
                </w:rPr>
                <w:t xml:space="preserve">Board, S. B. (2017). </w:t>
              </w:r>
              <w:r>
                <w:rPr>
                  <w:i/>
                  <w:iCs/>
                  <w:noProof/>
                </w:rPr>
                <w:t>Health Emergency Planning Annual Report for 2017.</w:t>
              </w:r>
              <w:r>
                <w:rPr>
                  <w:noProof/>
                </w:rPr>
                <w:t xml:space="preserve"> Welsh Government .</w:t>
              </w:r>
            </w:p>
            <w:p w14:paraId="1FC35029" w14:textId="77777777" w:rsidR="00D450FD" w:rsidRDefault="00D450FD" w:rsidP="00D450FD">
              <w:pPr>
                <w:pStyle w:val="Bibliography"/>
                <w:ind w:left="720" w:hanging="720"/>
                <w:rPr>
                  <w:noProof/>
                </w:rPr>
              </w:pPr>
              <w:r>
                <w:rPr>
                  <w:noProof/>
                </w:rPr>
                <w:t xml:space="preserve">Carwyn Jones, F. M. (2018, June ). </w:t>
              </w:r>
              <w:r>
                <w:rPr>
                  <w:i/>
                  <w:iCs/>
                  <w:noProof/>
                </w:rPr>
                <w:t>Written Statement - The Transfer of Executive Functions under Part 1 of the Civil Contingencies Act 2004.</w:t>
              </w:r>
              <w:r>
                <w:rPr>
                  <w:noProof/>
                </w:rPr>
                <w:t xml:space="preserve"> Retrieved from Welsh Government : https://www.gov.wales/written-statement-transfer-executive-functions-under-part-1-civil-contingencies-act-2004</w:t>
              </w:r>
            </w:p>
            <w:p w14:paraId="22E6E620" w14:textId="77777777" w:rsidR="00D450FD" w:rsidRDefault="00D450FD" w:rsidP="00D450FD">
              <w:pPr>
                <w:pStyle w:val="Bibliography"/>
                <w:ind w:left="720" w:hanging="720"/>
                <w:rPr>
                  <w:noProof/>
                </w:rPr>
              </w:pPr>
              <w:r>
                <w:rPr>
                  <w:noProof/>
                </w:rPr>
                <w:t xml:space="preserve">Carwyn Jones, F. M. (2018, June 29). </w:t>
              </w:r>
              <w:r>
                <w:rPr>
                  <w:i/>
                  <w:iCs/>
                  <w:noProof/>
                </w:rPr>
                <w:t>Written Statement - The Transfer of Executive Functions under Part 1 of the Civil Contingencies Act 2004.</w:t>
              </w:r>
              <w:r>
                <w:rPr>
                  <w:noProof/>
                </w:rPr>
                <w:t xml:space="preserve"> Retrieved from Welsh Government : https://www.gov.wales/written-statement-transfer-executive-functions-under-part-1-civil-contingencies-act-2004</w:t>
              </w:r>
            </w:p>
            <w:p w14:paraId="0F171A11" w14:textId="77777777" w:rsidR="00D450FD" w:rsidRDefault="00D450FD" w:rsidP="00D450FD">
              <w:pPr>
                <w:pStyle w:val="Bibliography"/>
                <w:ind w:left="720" w:hanging="720"/>
                <w:rPr>
                  <w:noProof/>
                </w:rPr>
              </w:pPr>
              <w:r>
                <w:rPr>
                  <w:i/>
                  <w:iCs/>
                  <w:noProof/>
                </w:rPr>
                <w:t>Civil Contingencies Act 2004.</w:t>
              </w:r>
              <w:r>
                <w:rPr>
                  <w:noProof/>
                </w:rPr>
                <w:t xml:space="preserve"> (n.d.). Retrieved from https://www.legislation.gov.uk/ukpga/2004/36/notes</w:t>
              </w:r>
            </w:p>
            <w:p w14:paraId="044FB9BF" w14:textId="77777777" w:rsidR="00D450FD" w:rsidRDefault="00D450FD" w:rsidP="00D450FD">
              <w:pPr>
                <w:pStyle w:val="Bibliography"/>
                <w:ind w:left="720" w:hanging="720"/>
                <w:rPr>
                  <w:noProof/>
                </w:rPr>
              </w:pPr>
              <w:r>
                <w:rPr>
                  <w:noProof/>
                </w:rPr>
                <w:t xml:space="preserve">Government, H. (2023). </w:t>
              </w:r>
              <w:r>
                <w:rPr>
                  <w:i/>
                  <w:iCs/>
                  <w:noProof/>
                </w:rPr>
                <w:t>National Risk Register 2023 edition.</w:t>
              </w:r>
              <w:r>
                <w:rPr>
                  <w:noProof/>
                </w:rPr>
                <w:t xml:space="preserve"> Retrieved from National Risk Register 2023 edition: https://assets.publishing.service.gov.uk/media/64ca1dfe19f5622669f3c1b1/2023_NATIONAL_RISK_REGISTER_NRR.pdf</w:t>
              </w:r>
            </w:p>
            <w:p w14:paraId="01959760" w14:textId="77777777" w:rsidR="00D450FD" w:rsidRDefault="00D450FD" w:rsidP="00D450FD">
              <w:pPr>
                <w:pStyle w:val="Bibliography"/>
                <w:ind w:left="720" w:hanging="720"/>
                <w:rPr>
                  <w:noProof/>
                </w:rPr>
              </w:pPr>
              <w:r>
                <w:rPr>
                  <w:noProof/>
                </w:rPr>
                <w:t>Karen Jones, H. o. (2023). Emergency Preparedness Resilience and Response, (EPRR) Awareness Session.</w:t>
              </w:r>
            </w:p>
            <w:p w14:paraId="62DD002F" w14:textId="77777777" w:rsidR="00D450FD" w:rsidRDefault="00D450FD" w:rsidP="00D450FD">
              <w:pPr>
                <w:pStyle w:val="Bibliography"/>
                <w:ind w:left="720" w:hanging="720"/>
                <w:rPr>
                  <w:noProof/>
                </w:rPr>
              </w:pPr>
              <w:r>
                <w:rPr>
                  <w:noProof/>
                </w:rPr>
                <w:t xml:space="preserve">Office, C. (2010, April). </w:t>
              </w:r>
              <w:r>
                <w:rPr>
                  <w:i/>
                  <w:iCs/>
                  <w:noProof/>
                </w:rPr>
                <w:t>GOV.UK.</w:t>
              </w:r>
              <w:r>
                <w:rPr>
                  <w:noProof/>
                </w:rPr>
                <w:t xml:space="preserve"> Retrieved from https://www.gov.uk/government/publications/emergency-response-and-recovery</w:t>
              </w:r>
            </w:p>
            <w:p w14:paraId="535D01C3" w14:textId="77777777" w:rsidR="00D450FD" w:rsidRDefault="00D450FD" w:rsidP="00D450FD">
              <w:pPr>
                <w:pStyle w:val="Bibliography"/>
                <w:ind w:left="720" w:hanging="720"/>
                <w:rPr>
                  <w:noProof/>
                </w:rPr>
              </w:pPr>
              <w:r>
                <w:rPr>
                  <w:noProof/>
                </w:rPr>
                <w:t xml:space="preserve">Office, C. (2011, February 9). </w:t>
              </w:r>
              <w:r>
                <w:rPr>
                  <w:i/>
                  <w:iCs/>
                  <w:noProof/>
                </w:rPr>
                <w:t>Civil Contingencies Act 2004: concordat between the UK government and the Welsh government.</w:t>
              </w:r>
              <w:r>
                <w:rPr>
                  <w:noProof/>
                </w:rPr>
                <w:t xml:space="preserve"> Retrieved from GOV.UK: </w:t>
              </w:r>
              <w:r>
                <w:rPr>
                  <w:noProof/>
                </w:rPr>
                <w:lastRenderedPageBreak/>
                <w:t>https://www.gov.uk/government/publications/civil-contingencies-act-2004-concordat-between-the-uk-government-and-the-welsh-government</w:t>
              </w:r>
            </w:p>
            <w:p w14:paraId="3219705B" w14:textId="77777777" w:rsidR="00D450FD" w:rsidRDefault="00D450FD" w:rsidP="00D450FD">
              <w:pPr>
                <w:pStyle w:val="Bibliography"/>
                <w:ind w:left="720" w:hanging="720"/>
                <w:rPr>
                  <w:noProof/>
                </w:rPr>
              </w:pPr>
              <w:r>
                <w:rPr>
                  <w:noProof/>
                </w:rPr>
                <w:t xml:space="preserve">Office, C. (2011, February 9). </w:t>
              </w:r>
              <w:r>
                <w:rPr>
                  <w:i/>
                  <w:iCs/>
                  <w:noProof/>
                </w:rPr>
                <w:t>Civil Contingencies Act 2004: concordat between the UK government and the Welsh government.</w:t>
              </w:r>
              <w:r>
                <w:rPr>
                  <w:noProof/>
                </w:rPr>
                <w:t xml:space="preserve"> Retrieved from GOV.UK: https://www.gov.uk/government/publications/civil-contingencies-act-2004-concordat-between-the-uk-government-and-the-welsh-government</w:t>
              </w:r>
            </w:p>
            <w:p w14:paraId="14F816B9" w14:textId="77777777" w:rsidR="00D450FD" w:rsidRDefault="00D450FD" w:rsidP="00D450FD">
              <w:pPr>
                <w:pStyle w:val="Bibliography"/>
                <w:ind w:left="720" w:hanging="720"/>
                <w:rPr>
                  <w:noProof/>
                </w:rPr>
              </w:pPr>
              <w:r>
                <w:rPr>
                  <w:noProof/>
                </w:rPr>
                <w:t xml:space="preserve">Office, C. (2012, March ). </w:t>
              </w:r>
              <w:r>
                <w:rPr>
                  <w:i/>
                  <w:iCs/>
                  <w:noProof/>
                </w:rPr>
                <w:t>Civil Contingencies Act Enhancement Programme.</w:t>
              </w:r>
              <w:r>
                <w:rPr>
                  <w:noProof/>
                </w:rPr>
                <w:t xml:space="preserve"> Retrieved from https://covid19.public-inquiry.uk/wp-content/uploads/2023/07/24101656/INQ000055887.pdf</w:t>
              </w:r>
            </w:p>
            <w:p w14:paraId="0C8C6B83" w14:textId="77777777" w:rsidR="00D450FD" w:rsidRDefault="00D450FD" w:rsidP="00D450FD">
              <w:pPr>
                <w:pStyle w:val="Bibliography"/>
                <w:ind w:left="720" w:hanging="720"/>
                <w:rPr>
                  <w:noProof/>
                </w:rPr>
              </w:pPr>
              <w:r>
                <w:rPr>
                  <w:noProof/>
                </w:rPr>
                <w:t>Office, C. (2013, October 29). Retrieved from GOV.UK: https://www.gov.uk/government/publications/emergency-response-and-recovery</w:t>
              </w:r>
            </w:p>
            <w:p w14:paraId="02052BD4" w14:textId="77777777" w:rsidR="00D450FD" w:rsidRDefault="00D450FD" w:rsidP="00D450FD">
              <w:pPr>
                <w:pStyle w:val="Bibliography"/>
                <w:ind w:left="720" w:hanging="720"/>
                <w:rPr>
                  <w:noProof/>
                </w:rPr>
              </w:pPr>
              <w:r>
                <w:rPr>
                  <w:noProof/>
                </w:rPr>
                <w:t xml:space="preserve">Office, C. (2013, February 20). </w:t>
              </w:r>
              <w:r>
                <w:rPr>
                  <w:i/>
                  <w:iCs/>
                  <w:noProof/>
                </w:rPr>
                <w:t>Emergency Response and Recovery .</w:t>
              </w:r>
              <w:r>
                <w:rPr>
                  <w:noProof/>
                </w:rPr>
                <w:t xml:space="preserve"> Retrieved from https://www.gov.uk/guidance/emergency-response-and-recovery</w:t>
              </w:r>
            </w:p>
            <w:p w14:paraId="1B6F1013" w14:textId="77777777" w:rsidR="00D450FD" w:rsidRDefault="00D450FD" w:rsidP="00D450FD">
              <w:pPr>
                <w:pStyle w:val="Bibliography"/>
                <w:ind w:left="720" w:hanging="720"/>
                <w:rPr>
                  <w:noProof/>
                </w:rPr>
              </w:pPr>
              <w:r>
                <w:rPr>
                  <w:noProof/>
                </w:rPr>
                <w:t xml:space="preserve">Office, C. (2013, February 20). </w:t>
              </w:r>
              <w:r>
                <w:rPr>
                  <w:i/>
                  <w:iCs/>
                  <w:noProof/>
                </w:rPr>
                <w:t>Preparation and planning for emergencies: responsibilities of responder agencies and others.</w:t>
              </w:r>
              <w:r>
                <w:rPr>
                  <w:noProof/>
                </w:rPr>
                <w:t xml:space="preserve"> Retrieved from GOV.UK: https://www.gov.uk/guidance/preparation-and-planning-for-emergencies-responsibilities-of-responder-agencies-and-others</w:t>
              </w:r>
            </w:p>
            <w:p w14:paraId="0EC87B41" w14:textId="77777777" w:rsidR="00D450FD" w:rsidRDefault="00D450FD" w:rsidP="00D450FD">
              <w:pPr>
                <w:pStyle w:val="Bibliography"/>
                <w:ind w:left="720" w:hanging="720"/>
                <w:rPr>
                  <w:noProof/>
                </w:rPr>
              </w:pPr>
              <w:r>
                <w:rPr>
                  <w:noProof/>
                </w:rPr>
                <w:t xml:space="preserve">Office, C. (2022, March 29). </w:t>
              </w:r>
              <w:r>
                <w:rPr>
                  <w:i/>
                  <w:iCs/>
                  <w:noProof/>
                </w:rPr>
                <w:t>Civil Contingencies Act Post Implementation Review 2022.</w:t>
              </w:r>
              <w:r>
                <w:rPr>
                  <w:noProof/>
                </w:rPr>
                <w:t xml:space="preserve"> Retrieved from https://assets.publishing.service.gov.uk/media/6283a1a6d3bf7f1f3ef4838d/cca-pir-2022.pdf</w:t>
              </w:r>
            </w:p>
            <w:p w14:paraId="3C2D28A2" w14:textId="77777777" w:rsidR="00D450FD" w:rsidRDefault="00D450FD" w:rsidP="00D450FD">
              <w:pPr>
                <w:pStyle w:val="Bibliography"/>
                <w:ind w:left="720" w:hanging="720"/>
                <w:rPr>
                  <w:noProof/>
                </w:rPr>
              </w:pPr>
              <w:r>
                <w:rPr>
                  <w:i/>
                  <w:iCs/>
                  <w:noProof/>
                </w:rPr>
                <w:t>Report of the Post Implementation Review of the CCA 2004 Regulations 2005.</w:t>
              </w:r>
              <w:r>
                <w:rPr>
                  <w:noProof/>
                </w:rPr>
                <w:t xml:space="preserve"> (2017, March). Retrieved from https://assets.publishing.service.gov.uk/media/5a82c15340f0b6230269c879/post_implementation_review_civil_contingencies_act__print.pdf</w:t>
              </w:r>
            </w:p>
            <w:p w14:paraId="2EE2CD79" w14:textId="43118B2A" w:rsidR="00D450FD" w:rsidRDefault="00D450FD" w:rsidP="00D450FD">
              <w:r>
                <w:rPr>
                  <w:b/>
                  <w:bCs/>
                </w:rPr>
                <w:fldChar w:fldCharType="end"/>
              </w:r>
            </w:p>
          </w:sdtContent>
        </w:sdt>
      </w:sdtContent>
    </w:sdt>
    <w:p w14:paraId="1F163369" w14:textId="77777777" w:rsidR="00D450FD" w:rsidRDefault="00D450FD" w:rsidP="00282AC2">
      <w:pPr>
        <w:tabs>
          <w:tab w:val="left" w:pos="360"/>
        </w:tabs>
        <w:jc w:val="left"/>
        <w:rPr>
          <w:sz w:val="24"/>
          <w:szCs w:val="24"/>
        </w:rPr>
      </w:pPr>
    </w:p>
    <w:sectPr w:rsidR="00D450F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C88B4" w14:textId="77777777" w:rsidR="005B49C6" w:rsidRDefault="005B49C6" w:rsidP="00F24EF0">
      <w:r>
        <w:separator/>
      </w:r>
    </w:p>
  </w:endnote>
  <w:endnote w:type="continuationSeparator" w:id="0">
    <w:p w14:paraId="6C8479A8" w14:textId="77777777" w:rsidR="005B49C6" w:rsidRDefault="005B49C6" w:rsidP="00F24E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863008"/>
      <w:docPartObj>
        <w:docPartGallery w:val="Page Numbers (Bottom of Page)"/>
        <w:docPartUnique/>
      </w:docPartObj>
    </w:sdtPr>
    <w:sdtEndPr>
      <w:rPr>
        <w:noProof/>
      </w:rPr>
    </w:sdtEndPr>
    <w:sdtContent>
      <w:p w14:paraId="443F6183" w14:textId="41C7E0B2" w:rsidR="009C0F92" w:rsidRDefault="009C0F92">
        <w:pPr>
          <w:pStyle w:val="Footer"/>
          <w:jc w:val="center"/>
        </w:pPr>
        <w:r>
          <w:fldChar w:fldCharType="begin"/>
        </w:r>
        <w:r>
          <w:instrText xml:space="preserve"> PAGE   \* MERGEFORMAT </w:instrText>
        </w:r>
        <w:r>
          <w:fldChar w:fldCharType="separate"/>
        </w:r>
        <w:r w:rsidR="0070763D">
          <w:rPr>
            <w:noProof/>
          </w:rPr>
          <w:t>11</w:t>
        </w:r>
        <w:r>
          <w:rPr>
            <w:noProof/>
          </w:rPr>
          <w:fldChar w:fldCharType="end"/>
        </w:r>
      </w:p>
    </w:sdtContent>
  </w:sdt>
  <w:p w14:paraId="77748EAB" w14:textId="77777777" w:rsidR="009C0F92" w:rsidRDefault="009C0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5A573" w14:textId="77777777" w:rsidR="005B49C6" w:rsidRDefault="005B49C6" w:rsidP="00F24EF0">
      <w:r>
        <w:separator/>
      </w:r>
    </w:p>
  </w:footnote>
  <w:footnote w:type="continuationSeparator" w:id="0">
    <w:p w14:paraId="49F286CA" w14:textId="77777777" w:rsidR="005B49C6" w:rsidRDefault="005B49C6" w:rsidP="00F24E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7080B" w14:textId="05A02A85" w:rsidR="009C0F92" w:rsidRPr="00F75044" w:rsidRDefault="009C0F92">
    <w:pPr>
      <w:pStyle w:val="Header"/>
      <w:rPr>
        <w:sz w:val="24"/>
      </w:rPr>
    </w:pPr>
    <w:r w:rsidRPr="00F75044">
      <w:rPr>
        <w:noProof/>
        <w:sz w:val="24"/>
        <w:lang w:eastAsia="en-GB"/>
      </w:rPr>
      <w:drawing>
        <wp:anchor distT="0" distB="0" distL="114300" distR="114300" simplePos="0" relativeHeight="251730944" behindDoc="1" locked="0" layoutInCell="1" allowOverlap="1" wp14:anchorId="1976AF04" wp14:editId="221A65DC">
          <wp:simplePos x="0" y="0"/>
          <wp:positionH relativeFrom="margin">
            <wp:posOffset>3924300</wp:posOffset>
          </wp:positionH>
          <wp:positionV relativeFrom="paragraph">
            <wp:posOffset>-211455</wp:posOffset>
          </wp:positionV>
          <wp:extent cx="1447800" cy="600075"/>
          <wp:effectExtent l="0" t="0" r="0" b="952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47800" cy="600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75044">
      <w:rPr>
        <w:sz w:val="24"/>
      </w:rPr>
      <w:t xml:space="preserve">Civil Protection in the United Kingdom </w:t>
    </w:r>
  </w:p>
  <w:p w14:paraId="6CDC93AA" w14:textId="21A80E28" w:rsidR="009C0F92" w:rsidRPr="00F75044" w:rsidRDefault="009C0F92">
    <w:pPr>
      <w:pStyle w:val="Header"/>
      <w:rPr>
        <w:sz w:val="24"/>
      </w:rPr>
    </w:pPr>
    <w:r w:rsidRPr="00F75044">
      <w:rPr>
        <w:sz w:val="24"/>
      </w:rPr>
      <w:t xml:space="preserve">Rebecca Parcell </w:t>
    </w:r>
  </w:p>
  <w:p w14:paraId="6519E2C2" w14:textId="77777777" w:rsidR="009C0F92" w:rsidRDefault="009C0F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849C9"/>
    <w:multiLevelType w:val="hybridMultilevel"/>
    <w:tmpl w:val="1E4A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E6859"/>
    <w:multiLevelType w:val="hybridMultilevel"/>
    <w:tmpl w:val="A3185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C0810"/>
    <w:multiLevelType w:val="hybridMultilevel"/>
    <w:tmpl w:val="83B42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F4592"/>
    <w:multiLevelType w:val="hybridMultilevel"/>
    <w:tmpl w:val="6D54C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B0DFB"/>
    <w:multiLevelType w:val="hybridMultilevel"/>
    <w:tmpl w:val="12B05D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CCB1D45"/>
    <w:multiLevelType w:val="hybridMultilevel"/>
    <w:tmpl w:val="4ED25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C2D05"/>
    <w:multiLevelType w:val="hybridMultilevel"/>
    <w:tmpl w:val="C7D01C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65252"/>
    <w:multiLevelType w:val="hybridMultilevel"/>
    <w:tmpl w:val="B48E5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337A79"/>
    <w:multiLevelType w:val="hybridMultilevel"/>
    <w:tmpl w:val="A482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AD5CF0"/>
    <w:multiLevelType w:val="hybridMultilevel"/>
    <w:tmpl w:val="61BA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D7AA6"/>
    <w:multiLevelType w:val="hybridMultilevel"/>
    <w:tmpl w:val="8EC22B46"/>
    <w:lvl w:ilvl="0" w:tplc="0809000F">
      <w:start w:val="1"/>
      <w:numFmt w:val="decimal"/>
      <w:lvlText w:val="%1."/>
      <w:lvlJc w:val="left"/>
      <w:pPr>
        <w:ind w:left="1110" w:hanging="39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1" w15:restartNumberingAfterBreak="0">
    <w:nsid w:val="3AA91FFD"/>
    <w:multiLevelType w:val="hybridMultilevel"/>
    <w:tmpl w:val="05448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5F109B"/>
    <w:multiLevelType w:val="hybridMultilevel"/>
    <w:tmpl w:val="9788E0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1C318DA"/>
    <w:multiLevelType w:val="hybridMultilevel"/>
    <w:tmpl w:val="3B08E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6E104D"/>
    <w:multiLevelType w:val="hybridMultilevel"/>
    <w:tmpl w:val="2ABCE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1C1DE1"/>
    <w:multiLevelType w:val="multilevel"/>
    <w:tmpl w:val="142C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1556BE"/>
    <w:multiLevelType w:val="hybridMultilevel"/>
    <w:tmpl w:val="21E0D6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960273E"/>
    <w:multiLevelType w:val="hybridMultilevel"/>
    <w:tmpl w:val="41D87872"/>
    <w:lvl w:ilvl="0" w:tplc="08090001">
      <w:start w:val="1"/>
      <w:numFmt w:val="bullet"/>
      <w:lvlText w:val=""/>
      <w:lvlJc w:val="left"/>
      <w:pPr>
        <w:ind w:left="1830" w:hanging="360"/>
      </w:pPr>
      <w:rPr>
        <w:rFonts w:ascii="Symbol" w:hAnsi="Symbol"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18" w15:restartNumberingAfterBreak="0">
    <w:nsid w:val="531B085B"/>
    <w:multiLevelType w:val="hybridMultilevel"/>
    <w:tmpl w:val="20E69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3422E"/>
    <w:multiLevelType w:val="hybridMultilevel"/>
    <w:tmpl w:val="C4FEC6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4AD12C7"/>
    <w:multiLevelType w:val="multilevel"/>
    <w:tmpl w:val="14A07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41591B"/>
    <w:multiLevelType w:val="hybridMultilevel"/>
    <w:tmpl w:val="6CC4FD4A"/>
    <w:lvl w:ilvl="0" w:tplc="C6B47DAA">
      <w:start w:val="1"/>
      <w:numFmt w:val="decimal"/>
      <w:lvlText w:val="%1."/>
      <w:lvlJc w:val="left"/>
      <w:pPr>
        <w:tabs>
          <w:tab w:val="num" w:pos="720"/>
        </w:tabs>
        <w:ind w:left="720" w:hanging="360"/>
      </w:pPr>
    </w:lvl>
    <w:lvl w:ilvl="1" w:tplc="64964A2C" w:tentative="1">
      <w:start w:val="1"/>
      <w:numFmt w:val="decimal"/>
      <w:lvlText w:val="%2."/>
      <w:lvlJc w:val="left"/>
      <w:pPr>
        <w:tabs>
          <w:tab w:val="num" w:pos="1440"/>
        </w:tabs>
        <w:ind w:left="1440" w:hanging="360"/>
      </w:pPr>
    </w:lvl>
    <w:lvl w:ilvl="2" w:tplc="DE1C8A06" w:tentative="1">
      <w:start w:val="1"/>
      <w:numFmt w:val="decimal"/>
      <w:lvlText w:val="%3."/>
      <w:lvlJc w:val="left"/>
      <w:pPr>
        <w:tabs>
          <w:tab w:val="num" w:pos="2160"/>
        </w:tabs>
        <w:ind w:left="2160" w:hanging="360"/>
      </w:pPr>
    </w:lvl>
    <w:lvl w:ilvl="3" w:tplc="A70AACBC" w:tentative="1">
      <w:start w:val="1"/>
      <w:numFmt w:val="decimal"/>
      <w:lvlText w:val="%4."/>
      <w:lvlJc w:val="left"/>
      <w:pPr>
        <w:tabs>
          <w:tab w:val="num" w:pos="2880"/>
        </w:tabs>
        <w:ind w:left="2880" w:hanging="360"/>
      </w:pPr>
    </w:lvl>
    <w:lvl w:ilvl="4" w:tplc="2D906E2C" w:tentative="1">
      <w:start w:val="1"/>
      <w:numFmt w:val="decimal"/>
      <w:lvlText w:val="%5."/>
      <w:lvlJc w:val="left"/>
      <w:pPr>
        <w:tabs>
          <w:tab w:val="num" w:pos="3600"/>
        </w:tabs>
        <w:ind w:left="3600" w:hanging="360"/>
      </w:pPr>
    </w:lvl>
    <w:lvl w:ilvl="5" w:tplc="1DE2E3AC" w:tentative="1">
      <w:start w:val="1"/>
      <w:numFmt w:val="decimal"/>
      <w:lvlText w:val="%6."/>
      <w:lvlJc w:val="left"/>
      <w:pPr>
        <w:tabs>
          <w:tab w:val="num" w:pos="4320"/>
        </w:tabs>
        <w:ind w:left="4320" w:hanging="360"/>
      </w:pPr>
    </w:lvl>
    <w:lvl w:ilvl="6" w:tplc="BB7E84E0" w:tentative="1">
      <w:start w:val="1"/>
      <w:numFmt w:val="decimal"/>
      <w:lvlText w:val="%7."/>
      <w:lvlJc w:val="left"/>
      <w:pPr>
        <w:tabs>
          <w:tab w:val="num" w:pos="5040"/>
        </w:tabs>
        <w:ind w:left="5040" w:hanging="360"/>
      </w:pPr>
    </w:lvl>
    <w:lvl w:ilvl="7" w:tplc="05B8DA66" w:tentative="1">
      <w:start w:val="1"/>
      <w:numFmt w:val="decimal"/>
      <w:lvlText w:val="%8."/>
      <w:lvlJc w:val="left"/>
      <w:pPr>
        <w:tabs>
          <w:tab w:val="num" w:pos="5760"/>
        </w:tabs>
        <w:ind w:left="5760" w:hanging="360"/>
      </w:pPr>
    </w:lvl>
    <w:lvl w:ilvl="8" w:tplc="1CE6EB20" w:tentative="1">
      <w:start w:val="1"/>
      <w:numFmt w:val="decimal"/>
      <w:lvlText w:val="%9."/>
      <w:lvlJc w:val="left"/>
      <w:pPr>
        <w:tabs>
          <w:tab w:val="num" w:pos="6480"/>
        </w:tabs>
        <w:ind w:left="6480" w:hanging="360"/>
      </w:pPr>
    </w:lvl>
  </w:abstractNum>
  <w:abstractNum w:abstractNumId="22" w15:restartNumberingAfterBreak="0">
    <w:nsid w:val="68913DD1"/>
    <w:multiLevelType w:val="hybridMultilevel"/>
    <w:tmpl w:val="D51AF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D0C27"/>
    <w:multiLevelType w:val="hybridMultilevel"/>
    <w:tmpl w:val="F3C0B2C0"/>
    <w:lvl w:ilvl="0" w:tplc="F3B4EB64">
      <w:start w:val="1"/>
      <w:numFmt w:val="lowerLetter"/>
      <w:lvlText w:val="(%1)"/>
      <w:lvlJc w:val="left"/>
      <w:pPr>
        <w:ind w:left="1830" w:hanging="39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69C75268"/>
    <w:multiLevelType w:val="hybridMultilevel"/>
    <w:tmpl w:val="3462E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CF5BD8"/>
    <w:multiLevelType w:val="hybridMultilevel"/>
    <w:tmpl w:val="9B98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620559"/>
    <w:multiLevelType w:val="multilevel"/>
    <w:tmpl w:val="BECE8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1C3A64"/>
    <w:multiLevelType w:val="hybridMultilevel"/>
    <w:tmpl w:val="952C4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AC4C3F"/>
    <w:multiLevelType w:val="hybridMultilevel"/>
    <w:tmpl w:val="111488AC"/>
    <w:lvl w:ilvl="0" w:tplc="54CCA69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1"/>
  </w:num>
  <w:num w:numId="3">
    <w:abstractNumId w:val="11"/>
  </w:num>
  <w:num w:numId="4">
    <w:abstractNumId w:val="5"/>
  </w:num>
  <w:num w:numId="5">
    <w:abstractNumId w:val="3"/>
  </w:num>
  <w:num w:numId="6">
    <w:abstractNumId w:val="21"/>
  </w:num>
  <w:num w:numId="7">
    <w:abstractNumId w:val="27"/>
  </w:num>
  <w:num w:numId="8">
    <w:abstractNumId w:val="0"/>
  </w:num>
  <w:num w:numId="9">
    <w:abstractNumId w:val="18"/>
  </w:num>
  <w:num w:numId="10">
    <w:abstractNumId w:val="2"/>
  </w:num>
  <w:num w:numId="11">
    <w:abstractNumId w:val="19"/>
  </w:num>
  <w:num w:numId="12">
    <w:abstractNumId w:val="26"/>
  </w:num>
  <w:num w:numId="13">
    <w:abstractNumId w:val="15"/>
  </w:num>
  <w:num w:numId="14">
    <w:abstractNumId w:val="20"/>
  </w:num>
  <w:num w:numId="15">
    <w:abstractNumId w:val="12"/>
  </w:num>
  <w:num w:numId="16">
    <w:abstractNumId w:val="28"/>
  </w:num>
  <w:num w:numId="17">
    <w:abstractNumId w:val="23"/>
  </w:num>
  <w:num w:numId="18">
    <w:abstractNumId w:val="7"/>
  </w:num>
  <w:num w:numId="19">
    <w:abstractNumId w:val="24"/>
  </w:num>
  <w:num w:numId="20">
    <w:abstractNumId w:val="13"/>
  </w:num>
  <w:num w:numId="21">
    <w:abstractNumId w:val="10"/>
  </w:num>
  <w:num w:numId="22">
    <w:abstractNumId w:val="17"/>
  </w:num>
  <w:num w:numId="23">
    <w:abstractNumId w:val="6"/>
  </w:num>
  <w:num w:numId="24">
    <w:abstractNumId w:val="16"/>
  </w:num>
  <w:num w:numId="25">
    <w:abstractNumId w:val="22"/>
  </w:num>
  <w:num w:numId="26">
    <w:abstractNumId w:val="9"/>
  </w:num>
  <w:num w:numId="27">
    <w:abstractNumId w:val="4"/>
  </w:num>
  <w:num w:numId="28">
    <w:abstractNumId w:val="14"/>
  </w:num>
  <w:num w:numId="29">
    <w:abstractNumId w:val="2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4EF0"/>
    <w:rsid w:val="00006DE8"/>
    <w:rsid w:val="0001229C"/>
    <w:rsid w:val="00012451"/>
    <w:rsid w:val="00013613"/>
    <w:rsid w:val="00015A80"/>
    <w:rsid w:val="0002244D"/>
    <w:rsid w:val="000245B6"/>
    <w:rsid w:val="00026459"/>
    <w:rsid w:val="00027053"/>
    <w:rsid w:val="000342E7"/>
    <w:rsid w:val="00036860"/>
    <w:rsid w:val="00051D53"/>
    <w:rsid w:val="00052E80"/>
    <w:rsid w:val="00055EB6"/>
    <w:rsid w:val="00056E78"/>
    <w:rsid w:val="000603DA"/>
    <w:rsid w:val="000716F4"/>
    <w:rsid w:val="00072434"/>
    <w:rsid w:val="000853F5"/>
    <w:rsid w:val="00086B25"/>
    <w:rsid w:val="00086F83"/>
    <w:rsid w:val="000958EF"/>
    <w:rsid w:val="00095B74"/>
    <w:rsid w:val="000968C1"/>
    <w:rsid w:val="000A06AA"/>
    <w:rsid w:val="000A2859"/>
    <w:rsid w:val="000A31E5"/>
    <w:rsid w:val="000A38C7"/>
    <w:rsid w:val="000A7B56"/>
    <w:rsid w:val="000B097A"/>
    <w:rsid w:val="000B4276"/>
    <w:rsid w:val="000C0EE7"/>
    <w:rsid w:val="000C1EA1"/>
    <w:rsid w:val="000C2DBD"/>
    <w:rsid w:val="000C543F"/>
    <w:rsid w:val="000C5E32"/>
    <w:rsid w:val="000D02C4"/>
    <w:rsid w:val="000D5B85"/>
    <w:rsid w:val="000E7B97"/>
    <w:rsid w:val="000F0A93"/>
    <w:rsid w:val="000F1158"/>
    <w:rsid w:val="000F3340"/>
    <w:rsid w:val="000F7F5A"/>
    <w:rsid w:val="001006E7"/>
    <w:rsid w:val="00101504"/>
    <w:rsid w:val="00113E6B"/>
    <w:rsid w:val="00116CFE"/>
    <w:rsid w:val="00121CFD"/>
    <w:rsid w:val="00123301"/>
    <w:rsid w:val="0012528A"/>
    <w:rsid w:val="001265EE"/>
    <w:rsid w:val="00131AB2"/>
    <w:rsid w:val="00140664"/>
    <w:rsid w:val="0014305F"/>
    <w:rsid w:val="00151250"/>
    <w:rsid w:val="00151635"/>
    <w:rsid w:val="00154250"/>
    <w:rsid w:val="0015705A"/>
    <w:rsid w:val="00166012"/>
    <w:rsid w:val="00166723"/>
    <w:rsid w:val="00170DC6"/>
    <w:rsid w:val="00170E7A"/>
    <w:rsid w:val="00171855"/>
    <w:rsid w:val="00172DA6"/>
    <w:rsid w:val="00174238"/>
    <w:rsid w:val="001862CE"/>
    <w:rsid w:val="00191EA0"/>
    <w:rsid w:val="00194F97"/>
    <w:rsid w:val="00195F11"/>
    <w:rsid w:val="00196647"/>
    <w:rsid w:val="00196AC3"/>
    <w:rsid w:val="001A6E44"/>
    <w:rsid w:val="001A7ABE"/>
    <w:rsid w:val="001B0727"/>
    <w:rsid w:val="001B4C72"/>
    <w:rsid w:val="001C343D"/>
    <w:rsid w:val="001D1162"/>
    <w:rsid w:val="001D34FF"/>
    <w:rsid w:val="001D558B"/>
    <w:rsid w:val="001E16EA"/>
    <w:rsid w:val="001E44F2"/>
    <w:rsid w:val="00200453"/>
    <w:rsid w:val="00203404"/>
    <w:rsid w:val="00206380"/>
    <w:rsid w:val="00210BC7"/>
    <w:rsid w:val="00210F0F"/>
    <w:rsid w:val="00222686"/>
    <w:rsid w:val="00224856"/>
    <w:rsid w:val="00224C55"/>
    <w:rsid w:val="00230E80"/>
    <w:rsid w:val="00236E08"/>
    <w:rsid w:val="00240612"/>
    <w:rsid w:val="00242E08"/>
    <w:rsid w:val="00246ABE"/>
    <w:rsid w:val="00250307"/>
    <w:rsid w:val="0025411B"/>
    <w:rsid w:val="00254739"/>
    <w:rsid w:val="00254B02"/>
    <w:rsid w:val="00260435"/>
    <w:rsid w:val="00260EFC"/>
    <w:rsid w:val="002644E3"/>
    <w:rsid w:val="002750A3"/>
    <w:rsid w:val="00276C50"/>
    <w:rsid w:val="002774AF"/>
    <w:rsid w:val="0028067E"/>
    <w:rsid w:val="00282843"/>
    <w:rsid w:val="00282AC2"/>
    <w:rsid w:val="00286EC2"/>
    <w:rsid w:val="00287222"/>
    <w:rsid w:val="00292CAD"/>
    <w:rsid w:val="002A021E"/>
    <w:rsid w:val="002A4998"/>
    <w:rsid w:val="002B02E1"/>
    <w:rsid w:val="002B402E"/>
    <w:rsid w:val="002B422B"/>
    <w:rsid w:val="002C03FF"/>
    <w:rsid w:val="002C2B41"/>
    <w:rsid w:val="002C3084"/>
    <w:rsid w:val="002C71FC"/>
    <w:rsid w:val="002D26A8"/>
    <w:rsid w:val="002E0269"/>
    <w:rsid w:val="002E1D53"/>
    <w:rsid w:val="002F1A92"/>
    <w:rsid w:val="002F3785"/>
    <w:rsid w:val="002F5E8E"/>
    <w:rsid w:val="00302454"/>
    <w:rsid w:val="00303A81"/>
    <w:rsid w:val="00304752"/>
    <w:rsid w:val="003118D8"/>
    <w:rsid w:val="003172C6"/>
    <w:rsid w:val="003175EC"/>
    <w:rsid w:val="003231F0"/>
    <w:rsid w:val="00335B22"/>
    <w:rsid w:val="00336E4E"/>
    <w:rsid w:val="00340724"/>
    <w:rsid w:val="00342725"/>
    <w:rsid w:val="003450C1"/>
    <w:rsid w:val="00345451"/>
    <w:rsid w:val="003508D3"/>
    <w:rsid w:val="00354E7A"/>
    <w:rsid w:val="00354FAB"/>
    <w:rsid w:val="0035549C"/>
    <w:rsid w:val="00356A7C"/>
    <w:rsid w:val="00357160"/>
    <w:rsid w:val="00372B42"/>
    <w:rsid w:val="003748B1"/>
    <w:rsid w:val="0038456A"/>
    <w:rsid w:val="00386412"/>
    <w:rsid w:val="00390AE2"/>
    <w:rsid w:val="00395474"/>
    <w:rsid w:val="00397657"/>
    <w:rsid w:val="003A0C06"/>
    <w:rsid w:val="003A32EC"/>
    <w:rsid w:val="003A3788"/>
    <w:rsid w:val="003A37E0"/>
    <w:rsid w:val="003A76C3"/>
    <w:rsid w:val="003A78FF"/>
    <w:rsid w:val="003C0CEE"/>
    <w:rsid w:val="003C522A"/>
    <w:rsid w:val="003C616B"/>
    <w:rsid w:val="003C7497"/>
    <w:rsid w:val="003C7A0D"/>
    <w:rsid w:val="003D368B"/>
    <w:rsid w:val="003D4CB8"/>
    <w:rsid w:val="003D6E84"/>
    <w:rsid w:val="003E362B"/>
    <w:rsid w:val="003E4256"/>
    <w:rsid w:val="003F574B"/>
    <w:rsid w:val="00404A76"/>
    <w:rsid w:val="00411416"/>
    <w:rsid w:val="00417D5E"/>
    <w:rsid w:val="00420D5A"/>
    <w:rsid w:val="00421ACC"/>
    <w:rsid w:val="00423ED5"/>
    <w:rsid w:val="004245C0"/>
    <w:rsid w:val="00434B7A"/>
    <w:rsid w:val="00441A3D"/>
    <w:rsid w:val="00445460"/>
    <w:rsid w:val="004476FC"/>
    <w:rsid w:val="00450742"/>
    <w:rsid w:val="00451B3E"/>
    <w:rsid w:val="0045339B"/>
    <w:rsid w:val="00455784"/>
    <w:rsid w:val="004576C1"/>
    <w:rsid w:val="00463085"/>
    <w:rsid w:val="004635D2"/>
    <w:rsid w:val="004713FE"/>
    <w:rsid w:val="004822A1"/>
    <w:rsid w:val="00485BBF"/>
    <w:rsid w:val="00487FE7"/>
    <w:rsid w:val="004903E9"/>
    <w:rsid w:val="0049058A"/>
    <w:rsid w:val="00495BDC"/>
    <w:rsid w:val="00495FE7"/>
    <w:rsid w:val="004A45FA"/>
    <w:rsid w:val="004A4F90"/>
    <w:rsid w:val="004A5B42"/>
    <w:rsid w:val="004A6414"/>
    <w:rsid w:val="004B396F"/>
    <w:rsid w:val="004B434C"/>
    <w:rsid w:val="004B5AAC"/>
    <w:rsid w:val="004C134B"/>
    <w:rsid w:val="004C395E"/>
    <w:rsid w:val="004D1227"/>
    <w:rsid w:val="004D14B0"/>
    <w:rsid w:val="004D2671"/>
    <w:rsid w:val="004D3DA5"/>
    <w:rsid w:val="004D5103"/>
    <w:rsid w:val="004D6803"/>
    <w:rsid w:val="004E08F5"/>
    <w:rsid w:val="004E2966"/>
    <w:rsid w:val="004E517A"/>
    <w:rsid w:val="004E5E50"/>
    <w:rsid w:val="004E79BF"/>
    <w:rsid w:val="004F1DC6"/>
    <w:rsid w:val="004F2D9C"/>
    <w:rsid w:val="004F36DF"/>
    <w:rsid w:val="004F37C8"/>
    <w:rsid w:val="004F478F"/>
    <w:rsid w:val="004F6A28"/>
    <w:rsid w:val="00500716"/>
    <w:rsid w:val="005017FF"/>
    <w:rsid w:val="00502303"/>
    <w:rsid w:val="005027F8"/>
    <w:rsid w:val="005072F9"/>
    <w:rsid w:val="00507E30"/>
    <w:rsid w:val="005104D0"/>
    <w:rsid w:val="00511C7D"/>
    <w:rsid w:val="00512241"/>
    <w:rsid w:val="005150FA"/>
    <w:rsid w:val="00520DAE"/>
    <w:rsid w:val="005211C5"/>
    <w:rsid w:val="005243D2"/>
    <w:rsid w:val="00524BB5"/>
    <w:rsid w:val="0052528B"/>
    <w:rsid w:val="00530410"/>
    <w:rsid w:val="00533347"/>
    <w:rsid w:val="00550BA5"/>
    <w:rsid w:val="00554628"/>
    <w:rsid w:val="00556A06"/>
    <w:rsid w:val="00561889"/>
    <w:rsid w:val="00562BE6"/>
    <w:rsid w:val="005635FE"/>
    <w:rsid w:val="0056790F"/>
    <w:rsid w:val="005712A0"/>
    <w:rsid w:val="005744E8"/>
    <w:rsid w:val="00574719"/>
    <w:rsid w:val="005819E9"/>
    <w:rsid w:val="005832ED"/>
    <w:rsid w:val="00584C7C"/>
    <w:rsid w:val="005907AA"/>
    <w:rsid w:val="00593FF8"/>
    <w:rsid w:val="005A2655"/>
    <w:rsid w:val="005A2B17"/>
    <w:rsid w:val="005A6B1B"/>
    <w:rsid w:val="005B49C6"/>
    <w:rsid w:val="005C2B29"/>
    <w:rsid w:val="005C513B"/>
    <w:rsid w:val="005C7970"/>
    <w:rsid w:val="005D11CA"/>
    <w:rsid w:val="005D1B80"/>
    <w:rsid w:val="005D28AE"/>
    <w:rsid w:val="005D2F8C"/>
    <w:rsid w:val="005D3E6A"/>
    <w:rsid w:val="005E10E2"/>
    <w:rsid w:val="005E1ACC"/>
    <w:rsid w:val="005F1B1F"/>
    <w:rsid w:val="005F5BA4"/>
    <w:rsid w:val="00601946"/>
    <w:rsid w:val="00604ED8"/>
    <w:rsid w:val="00605F9D"/>
    <w:rsid w:val="00611AA9"/>
    <w:rsid w:val="0061756D"/>
    <w:rsid w:val="00624D8D"/>
    <w:rsid w:val="00625F06"/>
    <w:rsid w:val="006310F0"/>
    <w:rsid w:val="00634009"/>
    <w:rsid w:val="00634CD4"/>
    <w:rsid w:val="00640336"/>
    <w:rsid w:val="00640A6F"/>
    <w:rsid w:val="00645BEE"/>
    <w:rsid w:val="00646B66"/>
    <w:rsid w:val="00655487"/>
    <w:rsid w:val="0066280F"/>
    <w:rsid w:val="006675AC"/>
    <w:rsid w:val="00671B71"/>
    <w:rsid w:val="00671CCA"/>
    <w:rsid w:val="006727D1"/>
    <w:rsid w:val="00681EE0"/>
    <w:rsid w:val="0068437F"/>
    <w:rsid w:val="006879E9"/>
    <w:rsid w:val="00690070"/>
    <w:rsid w:val="00695424"/>
    <w:rsid w:val="006A3CAB"/>
    <w:rsid w:val="006A3F9E"/>
    <w:rsid w:val="006A4979"/>
    <w:rsid w:val="006A690C"/>
    <w:rsid w:val="006A79CA"/>
    <w:rsid w:val="006B1363"/>
    <w:rsid w:val="006B6CAC"/>
    <w:rsid w:val="006C038E"/>
    <w:rsid w:val="006C2540"/>
    <w:rsid w:val="006C30CE"/>
    <w:rsid w:val="006C39C9"/>
    <w:rsid w:val="006C3E54"/>
    <w:rsid w:val="006C5AD6"/>
    <w:rsid w:val="006C6D74"/>
    <w:rsid w:val="006C77F1"/>
    <w:rsid w:val="006E5C3C"/>
    <w:rsid w:val="006F22C8"/>
    <w:rsid w:val="0070230C"/>
    <w:rsid w:val="007042AF"/>
    <w:rsid w:val="007056B2"/>
    <w:rsid w:val="00705C60"/>
    <w:rsid w:val="0070691A"/>
    <w:rsid w:val="00706F46"/>
    <w:rsid w:val="0070763D"/>
    <w:rsid w:val="007101D8"/>
    <w:rsid w:val="00723D57"/>
    <w:rsid w:val="00723EEB"/>
    <w:rsid w:val="00724933"/>
    <w:rsid w:val="007256D1"/>
    <w:rsid w:val="00725D21"/>
    <w:rsid w:val="0073227C"/>
    <w:rsid w:val="007332F2"/>
    <w:rsid w:val="007427F6"/>
    <w:rsid w:val="00744081"/>
    <w:rsid w:val="0074562D"/>
    <w:rsid w:val="007533CC"/>
    <w:rsid w:val="00756F44"/>
    <w:rsid w:val="00760C50"/>
    <w:rsid w:val="0076190B"/>
    <w:rsid w:val="00764993"/>
    <w:rsid w:val="007713C9"/>
    <w:rsid w:val="00775E57"/>
    <w:rsid w:val="007778C4"/>
    <w:rsid w:val="00781771"/>
    <w:rsid w:val="007830E2"/>
    <w:rsid w:val="00783A9C"/>
    <w:rsid w:val="00786DDA"/>
    <w:rsid w:val="00792162"/>
    <w:rsid w:val="00793B51"/>
    <w:rsid w:val="00793BF4"/>
    <w:rsid w:val="007970FB"/>
    <w:rsid w:val="007A0D60"/>
    <w:rsid w:val="007A28B4"/>
    <w:rsid w:val="007A47B4"/>
    <w:rsid w:val="007A6864"/>
    <w:rsid w:val="007B06D4"/>
    <w:rsid w:val="007B0900"/>
    <w:rsid w:val="007C0087"/>
    <w:rsid w:val="007C13D5"/>
    <w:rsid w:val="007C48EE"/>
    <w:rsid w:val="007D09D7"/>
    <w:rsid w:val="007D2573"/>
    <w:rsid w:val="007D43BF"/>
    <w:rsid w:val="007D47A4"/>
    <w:rsid w:val="007D4C69"/>
    <w:rsid w:val="007D56DB"/>
    <w:rsid w:val="007E0731"/>
    <w:rsid w:val="007E2D7F"/>
    <w:rsid w:val="007E3D3B"/>
    <w:rsid w:val="007E61A6"/>
    <w:rsid w:val="007F313B"/>
    <w:rsid w:val="0080564B"/>
    <w:rsid w:val="00805E80"/>
    <w:rsid w:val="008103C6"/>
    <w:rsid w:val="00813082"/>
    <w:rsid w:val="0081613A"/>
    <w:rsid w:val="0082263F"/>
    <w:rsid w:val="00823648"/>
    <w:rsid w:val="0082560F"/>
    <w:rsid w:val="008260EC"/>
    <w:rsid w:val="00827B33"/>
    <w:rsid w:val="00832CE4"/>
    <w:rsid w:val="00832F14"/>
    <w:rsid w:val="0084348B"/>
    <w:rsid w:val="00845B4F"/>
    <w:rsid w:val="00846327"/>
    <w:rsid w:val="008478FD"/>
    <w:rsid w:val="00854772"/>
    <w:rsid w:val="00855678"/>
    <w:rsid w:val="00855A2B"/>
    <w:rsid w:val="00856A8F"/>
    <w:rsid w:val="008605A5"/>
    <w:rsid w:val="00864506"/>
    <w:rsid w:val="00865AD1"/>
    <w:rsid w:val="0086613A"/>
    <w:rsid w:val="00866AAA"/>
    <w:rsid w:val="00876347"/>
    <w:rsid w:val="00876E3C"/>
    <w:rsid w:val="00880475"/>
    <w:rsid w:val="0088107D"/>
    <w:rsid w:val="008876C1"/>
    <w:rsid w:val="00887DB3"/>
    <w:rsid w:val="008903F4"/>
    <w:rsid w:val="00891249"/>
    <w:rsid w:val="0089285B"/>
    <w:rsid w:val="008938E5"/>
    <w:rsid w:val="00896A64"/>
    <w:rsid w:val="00896AB8"/>
    <w:rsid w:val="008A2415"/>
    <w:rsid w:val="008B3504"/>
    <w:rsid w:val="008B6E39"/>
    <w:rsid w:val="008C0DD0"/>
    <w:rsid w:val="008C404B"/>
    <w:rsid w:val="008C4B42"/>
    <w:rsid w:val="008D2BFA"/>
    <w:rsid w:val="008D3A02"/>
    <w:rsid w:val="008D4D55"/>
    <w:rsid w:val="008E0665"/>
    <w:rsid w:val="008E2A0C"/>
    <w:rsid w:val="008E465B"/>
    <w:rsid w:val="008E6F39"/>
    <w:rsid w:val="008F2A9C"/>
    <w:rsid w:val="008F6484"/>
    <w:rsid w:val="00901FC1"/>
    <w:rsid w:val="00903A2F"/>
    <w:rsid w:val="00904390"/>
    <w:rsid w:val="00904717"/>
    <w:rsid w:val="00906012"/>
    <w:rsid w:val="009066E3"/>
    <w:rsid w:val="0090775F"/>
    <w:rsid w:val="00910C37"/>
    <w:rsid w:val="00913F35"/>
    <w:rsid w:val="009206B3"/>
    <w:rsid w:val="00921336"/>
    <w:rsid w:val="009221C2"/>
    <w:rsid w:val="00925DAB"/>
    <w:rsid w:val="00927D1E"/>
    <w:rsid w:val="00930587"/>
    <w:rsid w:val="00931C26"/>
    <w:rsid w:val="00933E75"/>
    <w:rsid w:val="0093593D"/>
    <w:rsid w:val="009431EA"/>
    <w:rsid w:val="00950421"/>
    <w:rsid w:val="0096120C"/>
    <w:rsid w:val="00963AED"/>
    <w:rsid w:val="00970B00"/>
    <w:rsid w:val="00981685"/>
    <w:rsid w:val="00983AD5"/>
    <w:rsid w:val="00990242"/>
    <w:rsid w:val="00993C9C"/>
    <w:rsid w:val="009A03AD"/>
    <w:rsid w:val="009A7251"/>
    <w:rsid w:val="009B139C"/>
    <w:rsid w:val="009B2B21"/>
    <w:rsid w:val="009B56C6"/>
    <w:rsid w:val="009B7301"/>
    <w:rsid w:val="009C0BBE"/>
    <w:rsid w:val="009C0F92"/>
    <w:rsid w:val="009C762A"/>
    <w:rsid w:val="009D2A66"/>
    <w:rsid w:val="009D3A33"/>
    <w:rsid w:val="009D5E15"/>
    <w:rsid w:val="009E151B"/>
    <w:rsid w:val="009E3337"/>
    <w:rsid w:val="009E4AAA"/>
    <w:rsid w:val="009E7B8A"/>
    <w:rsid w:val="009F083A"/>
    <w:rsid w:val="00A0515E"/>
    <w:rsid w:val="00A25484"/>
    <w:rsid w:val="00A32921"/>
    <w:rsid w:val="00A40C7B"/>
    <w:rsid w:val="00A41927"/>
    <w:rsid w:val="00A42280"/>
    <w:rsid w:val="00A457DA"/>
    <w:rsid w:val="00A62B4A"/>
    <w:rsid w:val="00A63E44"/>
    <w:rsid w:val="00A65896"/>
    <w:rsid w:val="00A67277"/>
    <w:rsid w:val="00A7011B"/>
    <w:rsid w:val="00A8039F"/>
    <w:rsid w:val="00A8115E"/>
    <w:rsid w:val="00A835EE"/>
    <w:rsid w:val="00A84745"/>
    <w:rsid w:val="00A87BCB"/>
    <w:rsid w:val="00A91D79"/>
    <w:rsid w:val="00A935CD"/>
    <w:rsid w:val="00A94646"/>
    <w:rsid w:val="00AA08BD"/>
    <w:rsid w:val="00AA456F"/>
    <w:rsid w:val="00AA68A7"/>
    <w:rsid w:val="00AB23F2"/>
    <w:rsid w:val="00AC0AFA"/>
    <w:rsid w:val="00AC4467"/>
    <w:rsid w:val="00AD1271"/>
    <w:rsid w:val="00AD24C4"/>
    <w:rsid w:val="00AD34C3"/>
    <w:rsid w:val="00AD529C"/>
    <w:rsid w:val="00AD5749"/>
    <w:rsid w:val="00AD7906"/>
    <w:rsid w:val="00AE4E08"/>
    <w:rsid w:val="00AE59C1"/>
    <w:rsid w:val="00B00249"/>
    <w:rsid w:val="00B02C20"/>
    <w:rsid w:val="00B04C6E"/>
    <w:rsid w:val="00B10B38"/>
    <w:rsid w:val="00B11DD4"/>
    <w:rsid w:val="00B12017"/>
    <w:rsid w:val="00B15127"/>
    <w:rsid w:val="00B25BB3"/>
    <w:rsid w:val="00B264A1"/>
    <w:rsid w:val="00B30BEB"/>
    <w:rsid w:val="00B34B63"/>
    <w:rsid w:val="00B37024"/>
    <w:rsid w:val="00B37C3D"/>
    <w:rsid w:val="00B4043D"/>
    <w:rsid w:val="00B45227"/>
    <w:rsid w:val="00B464E1"/>
    <w:rsid w:val="00B47350"/>
    <w:rsid w:val="00B51F19"/>
    <w:rsid w:val="00B53DC0"/>
    <w:rsid w:val="00B61032"/>
    <w:rsid w:val="00B618E7"/>
    <w:rsid w:val="00B6326E"/>
    <w:rsid w:val="00B63326"/>
    <w:rsid w:val="00B65997"/>
    <w:rsid w:val="00B66798"/>
    <w:rsid w:val="00B66A70"/>
    <w:rsid w:val="00B741C5"/>
    <w:rsid w:val="00B86246"/>
    <w:rsid w:val="00B905BA"/>
    <w:rsid w:val="00B910E1"/>
    <w:rsid w:val="00B9234B"/>
    <w:rsid w:val="00BA6F39"/>
    <w:rsid w:val="00BC1353"/>
    <w:rsid w:val="00BD17BC"/>
    <w:rsid w:val="00BD1D19"/>
    <w:rsid w:val="00BE2464"/>
    <w:rsid w:val="00BE2CA6"/>
    <w:rsid w:val="00BE6F49"/>
    <w:rsid w:val="00BF216B"/>
    <w:rsid w:val="00BF285B"/>
    <w:rsid w:val="00BF2A8E"/>
    <w:rsid w:val="00C03A92"/>
    <w:rsid w:val="00C07368"/>
    <w:rsid w:val="00C119E9"/>
    <w:rsid w:val="00C176D6"/>
    <w:rsid w:val="00C20530"/>
    <w:rsid w:val="00C2160C"/>
    <w:rsid w:val="00C27A3A"/>
    <w:rsid w:val="00C30F48"/>
    <w:rsid w:val="00C458FE"/>
    <w:rsid w:val="00C479A2"/>
    <w:rsid w:val="00C57A5B"/>
    <w:rsid w:val="00C62FCA"/>
    <w:rsid w:val="00C647C0"/>
    <w:rsid w:val="00C66B02"/>
    <w:rsid w:val="00C717C8"/>
    <w:rsid w:val="00C717EA"/>
    <w:rsid w:val="00C81A49"/>
    <w:rsid w:val="00C870D9"/>
    <w:rsid w:val="00C87EF1"/>
    <w:rsid w:val="00C928E8"/>
    <w:rsid w:val="00C94B11"/>
    <w:rsid w:val="00CA00EA"/>
    <w:rsid w:val="00CA309B"/>
    <w:rsid w:val="00CA477D"/>
    <w:rsid w:val="00CB04A7"/>
    <w:rsid w:val="00CB1189"/>
    <w:rsid w:val="00CB2A98"/>
    <w:rsid w:val="00CC55E8"/>
    <w:rsid w:val="00CD24C1"/>
    <w:rsid w:val="00CD6C6B"/>
    <w:rsid w:val="00CD7869"/>
    <w:rsid w:val="00CE1A4C"/>
    <w:rsid w:val="00CF07D7"/>
    <w:rsid w:val="00CF1CF2"/>
    <w:rsid w:val="00CF6CEA"/>
    <w:rsid w:val="00D00A46"/>
    <w:rsid w:val="00D0626C"/>
    <w:rsid w:val="00D0721B"/>
    <w:rsid w:val="00D11E9B"/>
    <w:rsid w:val="00D12926"/>
    <w:rsid w:val="00D23E78"/>
    <w:rsid w:val="00D24261"/>
    <w:rsid w:val="00D31352"/>
    <w:rsid w:val="00D31A56"/>
    <w:rsid w:val="00D33110"/>
    <w:rsid w:val="00D40076"/>
    <w:rsid w:val="00D41340"/>
    <w:rsid w:val="00D450FD"/>
    <w:rsid w:val="00D46A86"/>
    <w:rsid w:val="00D55EED"/>
    <w:rsid w:val="00D70671"/>
    <w:rsid w:val="00D7497B"/>
    <w:rsid w:val="00D77158"/>
    <w:rsid w:val="00D77E84"/>
    <w:rsid w:val="00D83AE0"/>
    <w:rsid w:val="00D85996"/>
    <w:rsid w:val="00D92F6A"/>
    <w:rsid w:val="00D9590F"/>
    <w:rsid w:val="00DB15B1"/>
    <w:rsid w:val="00DB25A0"/>
    <w:rsid w:val="00DB2F21"/>
    <w:rsid w:val="00DB5609"/>
    <w:rsid w:val="00DC06A7"/>
    <w:rsid w:val="00DC7283"/>
    <w:rsid w:val="00DD0F63"/>
    <w:rsid w:val="00DD27CC"/>
    <w:rsid w:val="00DE34F8"/>
    <w:rsid w:val="00DE728E"/>
    <w:rsid w:val="00E024F3"/>
    <w:rsid w:val="00E02CB6"/>
    <w:rsid w:val="00E04B3D"/>
    <w:rsid w:val="00E05B6C"/>
    <w:rsid w:val="00E1130E"/>
    <w:rsid w:val="00E124C0"/>
    <w:rsid w:val="00E1496B"/>
    <w:rsid w:val="00E16902"/>
    <w:rsid w:val="00E2061F"/>
    <w:rsid w:val="00E20CF3"/>
    <w:rsid w:val="00E21539"/>
    <w:rsid w:val="00E25901"/>
    <w:rsid w:val="00E26FF7"/>
    <w:rsid w:val="00E277A3"/>
    <w:rsid w:val="00E30B35"/>
    <w:rsid w:val="00E31438"/>
    <w:rsid w:val="00E3509B"/>
    <w:rsid w:val="00E37137"/>
    <w:rsid w:val="00E42FA0"/>
    <w:rsid w:val="00E43366"/>
    <w:rsid w:val="00E44064"/>
    <w:rsid w:val="00E50FA8"/>
    <w:rsid w:val="00E5161D"/>
    <w:rsid w:val="00E615F5"/>
    <w:rsid w:val="00E628C6"/>
    <w:rsid w:val="00E728D9"/>
    <w:rsid w:val="00E7300B"/>
    <w:rsid w:val="00E75694"/>
    <w:rsid w:val="00E77737"/>
    <w:rsid w:val="00E77E94"/>
    <w:rsid w:val="00E847EF"/>
    <w:rsid w:val="00E8677D"/>
    <w:rsid w:val="00E8755D"/>
    <w:rsid w:val="00E93749"/>
    <w:rsid w:val="00E9768C"/>
    <w:rsid w:val="00EA4BB6"/>
    <w:rsid w:val="00EA4CC6"/>
    <w:rsid w:val="00EA5DC1"/>
    <w:rsid w:val="00EB43CB"/>
    <w:rsid w:val="00EB48A5"/>
    <w:rsid w:val="00EB6290"/>
    <w:rsid w:val="00EB6B7D"/>
    <w:rsid w:val="00EC362D"/>
    <w:rsid w:val="00EC5BD2"/>
    <w:rsid w:val="00EC795F"/>
    <w:rsid w:val="00EE1DBD"/>
    <w:rsid w:val="00EE53FC"/>
    <w:rsid w:val="00EE6931"/>
    <w:rsid w:val="00EE7561"/>
    <w:rsid w:val="00EE7C20"/>
    <w:rsid w:val="00EF05DF"/>
    <w:rsid w:val="00EF0C89"/>
    <w:rsid w:val="00EF3045"/>
    <w:rsid w:val="00EF4CAE"/>
    <w:rsid w:val="00F038C0"/>
    <w:rsid w:val="00F04C47"/>
    <w:rsid w:val="00F07B93"/>
    <w:rsid w:val="00F12962"/>
    <w:rsid w:val="00F14028"/>
    <w:rsid w:val="00F17BE8"/>
    <w:rsid w:val="00F220EC"/>
    <w:rsid w:val="00F2419C"/>
    <w:rsid w:val="00F248E9"/>
    <w:rsid w:val="00F24EF0"/>
    <w:rsid w:val="00F25AF3"/>
    <w:rsid w:val="00F33E0E"/>
    <w:rsid w:val="00F37CC0"/>
    <w:rsid w:val="00F41116"/>
    <w:rsid w:val="00F42825"/>
    <w:rsid w:val="00F441D2"/>
    <w:rsid w:val="00F4493B"/>
    <w:rsid w:val="00F535EF"/>
    <w:rsid w:val="00F64DD5"/>
    <w:rsid w:val="00F6532D"/>
    <w:rsid w:val="00F738F4"/>
    <w:rsid w:val="00F73EF5"/>
    <w:rsid w:val="00F75044"/>
    <w:rsid w:val="00F80773"/>
    <w:rsid w:val="00F81CA1"/>
    <w:rsid w:val="00F83A9D"/>
    <w:rsid w:val="00F845AD"/>
    <w:rsid w:val="00F8629E"/>
    <w:rsid w:val="00F91BFA"/>
    <w:rsid w:val="00F921F4"/>
    <w:rsid w:val="00F9510F"/>
    <w:rsid w:val="00F95253"/>
    <w:rsid w:val="00FA1772"/>
    <w:rsid w:val="00FA2272"/>
    <w:rsid w:val="00FA5ACB"/>
    <w:rsid w:val="00FB11AB"/>
    <w:rsid w:val="00FB3B15"/>
    <w:rsid w:val="00FB3E38"/>
    <w:rsid w:val="00FC1911"/>
    <w:rsid w:val="00FC3500"/>
    <w:rsid w:val="00FC4393"/>
    <w:rsid w:val="00FC5907"/>
    <w:rsid w:val="00FC5D32"/>
    <w:rsid w:val="00FC7FD2"/>
    <w:rsid w:val="00FD2427"/>
    <w:rsid w:val="00FE122D"/>
    <w:rsid w:val="00FF5D2B"/>
    <w:rsid w:val="00FF7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BB99E"/>
  <w15:chartTrackingRefBased/>
  <w15:docId w15:val="{CF0707E8-AB25-4190-BE04-E7B84FDB3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61D"/>
    <w:pPr>
      <w:spacing w:after="0" w:line="240" w:lineRule="auto"/>
      <w:jc w:val="both"/>
    </w:pPr>
    <w:rPr>
      <w:rFonts w:ascii="Arial" w:eastAsia="Times New Roman" w:hAnsi="Arial" w:cs="Arial"/>
    </w:rPr>
  </w:style>
  <w:style w:type="paragraph" w:styleId="Heading1">
    <w:name w:val="heading 1"/>
    <w:basedOn w:val="Normal"/>
    <w:next w:val="Normal"/>
    <w:link w:val="Heading1Char"/>
    <w:uiPriority w:val="9"/>
    <w:qFormat/>
    <w:rsid w:val="007101D8"/>
    <w:pPr>
      <w:keepNext/>
      <w:keepLines/>
      <w:spacing w:before="240" w:line="259" w:lineRule="auto"/>
      <w:jc w:val="left"/>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link w:val="Heading2Char"/>
    <w:uiPriority w:val="9"/>
    <w:qFormat/>
    <w:rsid w:val="000F1158"/>
    <w:pPr>
      <w:spacing w:after="100" w:afterAutospacing="1"/>
      <w:jc w:val="left"/>
      <w:outlineLvl w:val="1"/>
    </w:pPr>
    <w:rPr>
      <w:rFonts w:ascii="inherit" w:eastAsiaTheme="minorEastAsia" w:hAnsi="inherit" w:cs="Times New Roman"/>
      <w:sz w:val="36"/>
      <w:szCs w:val="36"/>
      <w:lang w:eastAsia="en-GB"/>
    </w:rPr>
  </w:style>
  <w:style w:type="paragraph" w:styleId="Heading3">
    <w:name w:val="heading 3"/>
    <w:basedOn w:val="Normal"/>
    <w:link w:val="Heading3Char"/>
    <w:uiPriority w:val="9"/>
    <w:qFormat/>
    <w:rsid w:val="000F1158"/>
    <w:pPr>
      <w:spacing w:after="100" w:afterAutospacing="1"/>
      <w:jc w:val="left"/>
      <w:outlineLvl w:val="2"/>
    </w:pPr>
    <w:rPr>
      <w:rFonts w:ascii="inherit" w:eastAsiaTheme="minorEastAsia" w:hAnsi="inherit"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F24EF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EF0"/>
    <w:pPr>
      <w:tabs>
        <w:tab w:val="center" w:pos="4513"/>
        <w:tab w:val="right" w:pos="9026"/>
      </w:tabs>
    </w:pPr>
  </w:style>
  <w:style w:type="character" w:customStyle="1" w:styleId="HeaderChar">
    <w:name w:val="Header Char"/>
    <w:basedOn w:val="DefaultParagraphFont"/>
    <w:link w:val="Header"/>
    <w:uiPriority w:val="99"/>
    <w:rsid w:val="00F24EF0"/>
    <w:rPr>
      <w:rFonts w:ascii="Arial" w:eastAsia="Times New Roman" w:hAnsi="Arial" w:cs="Arial"/>
    </w:rPr>
  </w:style>
  <w:style w:type="paragraph" w:styleId="Footer">
    <w:name w:val="footer"/>
    <w:basedOn w:val="Normal"/>
    <w:link w:val="FooterChar"/>
    <w:uiPriority w:val="99"/>
    <w:unhideWhenUsed/>
    <w:rsid w:val="00F24EF0"/>
    <w:pPr>
      <w:tabs>
        <w:tab w:val="center" w:pos="4513"/>
        <w:tab w:val="right" w:pos="9026"/>
      </w:tabs>
    </w:pPr>
  </w:style>
  <w:style w:type="character" w:customStyle="1" w:styleId="FooterChar">
    <w:name w:val="Footer Char"/>
    <w:basedOn w:val="DefaultParagraphFont"/>
    <w:link w:val="Footer"/>
    <w:uiPriority w:val="99"/>
    <w:rsid w:val="00F24EF0"/>
    <w:rPr>
      <w:rFonts w:ascii="Arial" w:eastAsia="Times New Roman" w:hAnsi="Arial" w:cs="Arial"/>
    </w:rPr>
  </w:style>
  <w:style w:type="paragraph" w:styleId="ListParagraph">
    <w:name w:val="List Paragraph"/>
    <w:basedOn w:val="Normal"/>
    <w:link w:val="ListParagraphChar"/>
    <w:uiPriority w:val="34"/>
    <w:qFormat/>
    <w:rsid w:val="00EB6290"/>
    <w:pPr>
      <w:ind w:left="720"/>
      <w:contextualSpacing/>
    </w:pPr>
  </w:style>
  <w:style w:type="paragraph" w:styleId="NormalWeb">
    <w:name w:val="Normal (Web)"/>
    <w:basedOn w:val="Normal"/>
    <w:uiPriority w:val="99"/>
    <w:semiHidden/>
    <w:unhideWhenUsed/>
    <w:rsid w:val="0025411B"/>
    <w:pPr>
      <w:spacing w:after="100" w:afterAutospacing="1"/>
      <w:jc w:val="left"/>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0F1158"/>
    <w:rPr>
      <w:rFonts w:ascii="inherit" w:eastAsiaTheme="minorEastAsia" w:hAnsi="inherit" w:cs="Times New Roman"/>
      <w:sz w:val="36"/>
      <w:szCs w:val="36"/>
      <w:lang w:eastAsia="en-GB"/>
    </w:rPr>
  </w:style>
  <w:style w:type="character" w:customStyle="1" w:styleId="Heading3Char">
    <w:name w:val="Heading 3 Char"/>
    <w:basedOn w:val="DefaultParagraphFont"/>
    <w:link w:val="Heading3"/>
    <w:uiPriority w:val="9"/>
    <w:rsid w:val="000F1158"/>
    <w:rPr>
      <w:rFonts w:ascii="inherit" w:eastAsiaTheme="minorEastAsia" w:hAnsi="inherit" w:cs="Times New Roman"/>
      <w:sz w:val="27"/>
      <w:szCs w:val="27"/>
      <w:lang w:eastAsia="en-GB"/>
    </w:rPr>
  </w:style>
  <w:style w:type="table" w:customStyle="1" w:styleId="TableGrid1">
    <w:name w:val="Table Grid1"/>
    <w:basedOn w:val="TableNormal"/>
    <w:next w:val="TableGrid"/>
    <w:uiPriority w:val="59"/>
    <w:rsid w:val="00CD6C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24kjd">
    <w:name w:val="e24kjd"/>
    <w:basedOn w:val="DefaultParagraphFont"/>
    <w:rsid w:val="005E1ACC"/>
  </w:style>
  <w:style w:type="character" w:customStyle="1" w:styleId="Heading1Char">
    <w:name w:val="Heading 1 Char"/>
    <w:basedOn w:val="DefaultParagraphFont"/>
    <w:link w:val="Heading1"/>
    <w:uiPriority w:val="9"/>
    <w:rsid w:val="007101D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101D8"/>
  </w:style>
  <w:style w:type="table" w:customStyle="1" w:styleId="TableGrid2">
    <w:name w:val="Table Grid2"/>
    <w:basedOn w:val="TableNormal"/>
    <w:next w:val="TableGrid"/>
    <w:uiPriority w:val="39"/>
    <w:rsid w:val="005211C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4C72"/>
    <w:rPr>
      <w:b/>
      <w:bCs/>
    </w:rPr>
  </w:style>
  <w:style w:type="table" w:styleId="GridTable4-Accent3">
    <w:name w:val="Grid Table 4 Accent 3"/>
    <w:basedOn w:val="TableNormal"/>
    <w:uiPriority w:val="49"/>
    <w:rsid w:val="00345451"/>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Hyperlink">
    <w:name w:val="Hyperlink"/>
    <w:basedOn w:val="DefaultParagraphFont"/>
    <w:uiPriority w:val="99"/>
    <w:unhideWhenUsed/>
    <w:rsid w:val="008A2415"/>
    <w:rPr>
      <w:color w:val="0000FF"/>
      <w:u w:val="single"/>
    </w:rPr>
  </w:style>
  <w:style w:type="character" w:styleId="FollowedHyperlink">
    <w:name w:val="FollowedHyperlink"/>
    <w:basedOn w:val="DefaultParagraphFont"/>
    <w:uiPriority w:val="99"/>
    <w:semiHidden/>
    <w:unhideWhenUsed/>
    <w:rsid w:val="00D0626C"/>
    <w:rPr>
      <w:color w:val="800080" w:themeColor="followedHyperlink"/>
      <w:u w:val="single"/>
    </w:rPr>
  </w:style>
  <w:style w:type="character" w:customStyle="1" w:styleId="ListParagraphChar">
    <w:name w:val="List Paragraph Char"/>
    <w:basedOn w:val="DefaultParagraphFont"/>
    <w:link w:val="ListParagraph"/>
    <w:uiPriority w:val="34"/>
    <w:locked/>
    <w:rsid w:val="00B910E1"/>
    <w:rPr>
      <w:rFonts w:ascii="Arial" w:eastAsia="Times New Roman" w:hAnsi="Arial" w:cs="Arial"/>
    </w:rPr>
  </w:style>
  <w:style w:type="paragraph" w:styleId="FootnoteText">
    <w:name w:val="footnote text"/>
    <w:basedOn w:val="Normal"/>
    <w:link w:val="FootnoteTextChar"/>
    <w:uiPriority w:val="99"/>
    <w:semiHidden/>
    <w:unhideWhenUsed/>
    <w:rsid w:val="00533347"/>
    <w:rPr>
      <w:sz w:val="20"/>
      <w:szCs w:val="20"/>
    </w:rPr>
  </w:style>
  <w:style w:type="character" w:customStyle="1" w:styleId="FootnoteTextChar">
    <w:name w:val="Footnote Text Char"/>
    <w:basedOn w:val="DefaultParagraphFont"/>
    <w:link w:val="FootnoteText"/>
    <w:uiPriority w:val="99"/>
    <w:semiHidden/>
    <w:rsid w:val="00533347"/>
    <w:rPr>
      <w:rFonts w:ascii="Arial" w:eastAsia="Times New Roman" w:hAnsi="Arial" w:cs="Arial"/>
      <w:sz w:val="20"/>
      <w:szCs w:val="20"/>
    </w:rPr>
  </w:style>
  <w:style w:type="character" w:styleId="FootnoteReference">
    <w:name w:val="footnote reference"/>
    <w:basedOn w:val="DefaultParagraphFont"/>
    <w:uiPriority w:val="99"/>
    <w:semiHidden/>
    <w:unhideWhenUsed/>
    <w:rsid w:val="005333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7322">
      <w:bodyDiv w:val="1"/>
      <w:marLeft w:val="0"/>
      <w:marRight w:val="0"/>
      <w:marTop w:val="0"/>
      <w:marBottom w:val="0"/>
      <w:divBdr>
        <w:top w:val="none" w:sz="0" w:space="0" w:color="auto"/>
        <w:left w:val="none" w:sz="0" w:space="0" w:color="auto"/>
        <w:bottom w:val="none" w:sz="0" w:space="0" w:color="auto"/>
        <w:right w:val="none" w:sz="0" w:space="0" w:color="auto"/>
      </w:divBdr>
    </w:div>
    <w:div w:id="16976297">
      <w:bodyDiv w:val="1"/>
      <w:marLeft w:val="0"/>
      <w:marRight w:val="0"/>
      <w:marTop w:val="0"/>
      <w:marBottom w:val="0"/>
      <w:divBdr>
        <w:top w:val="none" w:sz="0" w:space="0" w:color="auto"/>
        <w:left w:val="none" w:sz="0" w:space="0" w:color="auto"/>
        <w:bottom w:val="none" w:sz="0" w:space="0" w:color="auto"/>
        <w:right w:val="none" w:sz="0" w:space="0" w:color="auto"/>
      </w:divBdr>
    </w:div>
    <w:div w:id="18094288">
      <w:bodyDiv w:val="1"/>
      <w:marLeft w:val="0"/>
      <w:marRight w:val="0"/>
      <w:marTop w:val="0"/>
      <w:marBottom w:val="0"/>
      <w:divBdr>
        <w:top w:val="none" w:sz="0" w:space="0" w:color="auto"/>
        <w:left w:val="none" w:sz="0" w:space="0" w:color="auto"/>
        <w:bottom w:val="none" w:sz="0" w:space="0" w:color="auto"/>
        <w:right w:val="none" w:sz="0" w:space="0" w:color="auto"/>
      </w:divBdr>
    </w:div>
    <w:div w:id="40634656">
      <w:bodyDiv w:val="1"/>
      <w:marLeft w:val="0"/>
      <w:marRight w:val="0"/>
      <w:marTop w:val="0"/>
      <w:marBottom w:val="0"/>
      <w:divBdr>
        <w:top w:val="none" w:sz="0" w:space="0" w:color="auto"/>
        <w:left w:val="none" w:sz="0" w:space="0" w:color="auto"/>
        <w:bottom w:val="none" w:sz="0" w:space="0" w:color="auto"/>
        <w:right w:val="none" w:sz="0" w:space="0" w:color="auto"/>
      </w:divBdr>
    </w:div>
    <w:div w:id="73941502">
      <w:bodyDiv w:val="1"/>
      <w:marLeft w:val="0"/>
      <w:marRight w:val="0"/>
      <w:marTop w:val="0"/>
      <w:marBottom w:val="0"/>
      <w:divBdr>
        <w:top w:val="none" w:sz="0" w:space="0" w:color="auto"/>
        <w:left w:val="none" w:sz="0" w:space="0" w:color="auto"/>
        <w:bottom w:val="none" w:sz="0" w:space="0" w:color="auto"/>
        <w:right w:val="none" w:sz="0" w:space="0" w:color="auto"/>
      </w:divBdr>
    </w:div>
    <w:div w:id="78449074">
      <w:bodyDiv w:val="1"/>
      <w:marLeft w:val="0"/>
      <w:marRight w:val="0"/>
      <w:marTop w:val="0"/>
      <w:marBottom w:val="0"/>
      <w:divBdr>
        <w:top w:val="none" w:sz="0" w:space="0" w:color="auto"/>
        <w:left w:val="none" w:sz="0" w:space="0" w:color="auto"/>
        <w:bottom w:val="none" w:sz="0" w:space="0" w:color="auto"/>
        <w:right w:val="none" w:sz="0" w:space="0" w:color="auto"/>
      </w:divBdr>
    </w:div>
    <w:div w:id="81265613">
      <w:bodyDiv w:val="1"/>
      <w:marLeft w:val="0"/>
      <w:marRight w:val="0"/>
      <w:marTop w:val="0"/>
      <w:marBottom w:val="0"/>
      <w:divBdr>
        <w:top w:val="none" w:sz="0" w:space="0" w:color="auto"/>
        <w:left w:val="none" w:sz="0" w:space="0" w:color="auto"/>
        <w:bottom w:val="none" w:sz="0" w:space="0" w:color="auto"/>
        <w:right w:val="none" w:sz="0" w:space="0" w:color="auto"/>
      </w:divBdr>
    </w:div>
    <w:div w:id="85004666">
      <w:bodyDiv w:val="1"/>
      <w:marLeft w:val="0"/>
      <w:marRight w:val="0"/>
      <w:marTop w:val="0"/>
      <w:marBottom w:val="0"/>
      <w:divBdr>
        <w:top w:val="none" w:sz="0" w:space="0" w:color="auto"/>
        <w:left w:val="none" w:sz="0" w:space="0" w:color="auto"/>
        <w:bottom w:val="none" w:sz="0" w:space="0" w:color="auto"/>
        <w:right w:val="none" w:sz="0" w:space="0" w:color="auto"/>
      </w:divBdr>
    </w:div>
    <w:div w:id="97992231">
      <w:bodyDiv w:val="1"/>
      <w:marLeft w:val="0"/>
      <w:marRight w:val="0"/>
      <w:marTop w:val="0"/>
      <w:marBottom w:val="0"/>
      <w:divBdr>
        <w:top w:val="none" w:sz="0" w:space="0" w:color="auto"/>
        <w:left w:val="none" w:sz="0" w:space="0" w:color="auto"/>
        <w:bottom w:val="none" w:sz="0" w:space="0" w:color="auto"/>
        <w:right w:val="none" w:sz="0" w:space="0" w:color="auto"/>
      </w:divBdr>
    </w:div>
    <w:div w:id="163517409">
      <w:bodyDiv w:val="1"/>
      <w:marLeft w:val="0"/>
      <w:marRight w:val="0"/>
      <w:marTop w:val="0"/>
      <w:marBottom w:val="0"/>
      <w:divBdr>
        <w:top w:val="none" w:sz="0" w:space="0" w:color="auto"/>
        <w:left w:val="none" w:sz="0" w:space="0" w:color="auto"/>
        <w:bottom w:val="none" w:sz="0" w:space="0" w:color="auto"/>
        <w:right w:val="none" w:sz="0" w:space="0" w:color="auto"/>
      </w:divBdr>
    </w:div>
    <w:div w:id="194538730">
      <w:bodyDiv w:val="1"/>
      <w:marLeft w:val="0"/>
      <w:marRight w:val="0"/>
      <w:marTop w:val="0"/>
      <w:marBottom w:val="0"/>
      <w:divBdr>
        <w:top w:val="none" w:sz="0" w:space="0" w:color="auto"/>
        <w:left w:val="none" w:sz="0" w:space="0" w:color="auto"/>
        <w:bottom w:val="none" w:sz="0" w:space="0" w:color="auto"/>
        <w:right w:val="none" w:sz="0" w:space="0" w:color="auto"/>
      </w:divBdr>
    </w:div>
    <w:div w:id="236674486">
      <w:bodyDiv w:val="1"/>
      <w:marLeft w:val="0"/>
      <w:marRight w:val="0"/>
      <w:marTop w:val="0"/>
      <w:marBottom w:val="0"/>
      <w:divBdr>
        <w:top w:val="none" w:sz="0" w:space="0" w:color="auto"/>
        <w:left w:val="none" w:sz="0" w:space="0" w:color="auto"/>
        <w:bottom w:val="none" w:sz="0" w:space="0" w:color="auto"/>
        <w:right w:val="none" w:sz="0" w:space="0" w:color="auto"/>
      </w:divBdr>
    </w:div>
    <w:div w:id="243225258">
      <w:bodyDiv w:val="1"/>
      <w:marLeft w:val="0"/>
      <w:marRight w:val="0"/>
      <w:marTop w:val="0"/>
      <w:marBottom w:val="0"/>
      <w:divBdr>
        <w:top w:val="none" w:sz="0" w:space="0" w:color="auto"/>
        <w:left w:val="none" w:sz="0" w:space="0" w:color="auto"/>
        <w:bottom w:val="none" w:sz="0" w:space="0" w:color="auto"/>
        <w:right w:val="none" w:sz="0" w:space="0" w:color="auto"/>
      </w:divBdr>
    </w:div>
    <w:div w:id="247540543">
      <w:bodyDiv w:val="1"/>
      <w:marLeft w:val="0"/>
      <w:marRight w:val="0"/>
      <w:marTop w:val="0"/>
      <w:marBottom w:val="0"/>
      <w:divBdr>
        <w:top w:val="none" w:sz="0" w:space="0" w:color="auto"/>
        <w:left w:val="none" w:sz="0" w:space="0" w:color="auto"/>
        <w:bottom w:val="none" w:sz="0" w:space="0" w:color="auto"/>
        <w:right w:val="none" w:sz="0" w:space="0" w:color="auto"/>
      </w:divBdr>
    </w:div>
    <w:div w:id="276523884">
      <w:bodyDiv w:val="1"/>
      <w:marLeft w:val="0"/>
      <w:marRight w:val="0"/>
      <w:marTop w:val="0"/>
      <w:marBottom w:val="0"/>
      <w:divBdr>
        <w:top w:val="none" w:sz="0" w:space="0" w:color="auto"/>
        <w:left w:val="none" w:sz="0" w:space="0" w:color="auto"/>
        <w:bottom w:val="none" w:sz="0" w:space="0" w:color="auto"/>
        <w:right w:val="none" w:sz="0" w:space="0" w:color="auto"/>
      </w:divBdr>
    </w:div>
    <w:div w:id="323093238">
      <w:bodyDiv w:val="1"/>
      <w:marLeft w:val="0"/>
      <w:marRight w:val="0"/>
      <w:marTop w:val="0"/>
      <w:marBottom w:val="0"/>
      <w:divBdr>
        <w:top w:val="none" w:sz="0" w:space="0" w:color="auto"/>
        <w:left w:val="none" w:sz="0" w:space="0" w:color="auto"/>
        <w:bottom w:val="none" w:sz="0" w:space="0" w:color="auto"/>
        <w:right w:val="none" w:sz="0" w:space="0" w:color="auto"/>
      </w:divBdr>
    </w:div>
    <w:div w:id="323630954">
      <w:bodyDiv w:val="1"/>
      <w:marLeft w:val="0"/>
      <w:marRight w:val="0"/>
      <w:marTop w:val="0"/>
      <w:marBottom w:val="0"/>
      <w:divBdr>
        <w:top w:val="none" w:sz="0" w:space="0" w:color="auto"/>
        <w:left w:val="none" w:sz="0" w:space="0" w:color="auto"/>
        <w:bottom w:val="none" w:sz="0" w:space="0" w:color="auto"/>
        <w:right w:val="none" w:sz="0" w:space="0" w:color="auto"/>
      </w:divBdr>
    </w:div>
    <w:div w:id="336229546">
      <w:bodyDiv w:val="1"/>
      <w:marLeft w:val="0"/>
      <w:marRight w:val="0"/>
      <w:marTop w:val="0"/>
      <w:marBottom w:val="0"/>
      <w:divBdr>
        <w:top w:val="none" w:sz="0" w:space="0" w:color="auto"/>
        <w:left w:val="none" w:sz="0" w:space="0" w:color="auto"/>
        <w:bottom w:val="none" w:sz="0" w:space="0" w:color="auto"/>
        <w:right w:val="none" w:sz="0" w:space="0" w:color="auto"/>
      </w:divBdr>
    </w:div>
    <w:div w:id="354770836">
      <w:bodyDiv w:val="1"/>
      <w:marLeft w:val="0"/>
      <w:marRight w:val="0"/>
      <w:marTop w:val="0"/>
      <w:marBottom w:val="0"/>
      <w:divBdr>
        <w:top w:val="none" w:sz="0" w:space="0" w:color="auto"/>
        <w:left w:val="none" w:sz="0" w:space="0" w:color="auto"/>
        <w:bottom w:val="none" w:sz="0" w:space="0" w:color="auto"/>
        <w:right w:val="none" w:sz="0" w:space="0" w:color="auto"/>
      </w:divBdr>
    </w:div>
    <w:div w:id="373970069">
      <w:bodyDiv w:val="1"/>
      <w:marLeft w:val="0"/>
      <w:marRight w:val="0"/>
      <w:marTop w:val="0"/>
      <w:marBottom w:val="0"/>
      <w:divBdr>
        <w:top w:val="none" w:sz="0" w:space="0" w:color="auto"/>
        <w:left w:val="none" w:sz="0" w:space="0" w:color="auto"/>
        <w:bottom w:val="none" w:sz="0" w:space="0" w:color="auto"/>
        <w:right w:val="none" w:sz="0" w:space="0" w:color="auto"/>
      </w:divBdr>
    </w:div>
    <w:div w:id="404886079">
      <w:bodyDiv w:val="1"/>
      <w:marLeft w:val="0"/>
      <w:marRight w:val="0"/>
      <w:marTop w:val="0"/>
      <w:marBottom w:val="0"/>
      <w:divBdr>
        <w:top w:val="none" w:sz="0" w:space="0" w:color="auto"/>
        <w:left w:val="none" w:sz="0" w:space="0" w:color="auto"/>
        <w:bottom w:val="none" w:sz="0" w:space="0" w:color="auto"/>
        <w:right w:val="none" w:sz="0" w:space="0" w:color="auto"/>
      </w:divBdr>
    </w:div>
    <w:div w:id="411396883">
      <w:bodyDiv w:val="1"/>
      <w:marLeft w:val="0"/>
      <w:marRight w:val="0"/>
      <w:marTop w:val="0"/>
      <w:marBottom w:val="0"/>
      <w:divBdr>
        <w:top w:val="none" w:sz="0" w:space="0" w:color="auto"/>
        <w:left w:val="none" w:sz="0" w:space="0" w:color="auto"/>
        <w:bottom w:val="none" w:sz="0" w:space="0" w:color="auto"/>
        <w:right w:val="none" w:sz="0" w:space="0" w:color="auto"/>
      </w:divBdr>
    </w:div>
    <w:div w:id="465781197">
      <w:bodyDiv w:val="1"/>
      <w:marLeft w:val="0"/>
      <w:marRight w:val="0"/>
      <w:marTop w:val="0"/>
      <w:marBottom w:val="0"/>
      <w:divBdr>
        <w:top w:val="none" w:sz="0" w:space="0" w:color="auto"/>
        <w:left w:val="none" w:sz="0" w:space="0" w:color="auto"/>
        <w:bottom w:val="none" w:sz="0" w:space="0" w:color="auto"/>
        <w:right w:val="none" w:sz="0" w:space="0" w:color="auto"/>
      </w:divBdr>
    </w:div>
    <w:div w:id="501554710">
      <w:bodyDiv w:val="1"/>
      <w:marLeft w:val="0"/>
      <w:marRight w:val="0"/>
      <w:marTop w:val="0"/>
      <w:marBottom w:val="0"/>
      <w:divBdr>
        <w:top w:val="none" w:sz="0" w:space="0" w:color="auto"/>
        <w:left w:val="none" w:sz="0" w:space="0" w:color="auto"/>
        <w:bottom w:val="none" w:sz="0" w:space="0" w:color="auto"/>
        <w:right w:val="none" w:sz="0" w:space="0" w:color="auto"/>
      </w:divBdr>
    </w:div>
    <w:div w:id="504902168">
      <w:bodyDiv w:val="1"/>
      <w:marLeft w:val="0"/>
      <w:marRight w:val="0"/>
      <w:marTop w:val="0"/>
      <w:marBottom w:val="0"/>
      <w:divBdr>
        <w:top w:val="none" w:sz="0" w:space="0" w:color="auto"/>
        <w:left w:val="none" w:sz="0" w:space="0" w:color="auto"/>
        <w:bottom w:val="none" w:sz="0" w:space="0" w:color="auto"/>
        <w:right w:val="none" w:sz="0" w:space="0" w:color="auto"/>
      </w:divBdr>
    </w:div>
    <w:div w:id="524028588">
      <w:bodyDiv w:val="1"/>
      <w:marLeft w:val="0"/>
      <w:marRight w:val="0"/>
      <w:marTop w:val="0"/>
      <w:marBottom w:val="0"/>
      <w:divBdr>
        <w:top w:val="none" w:sz="0" w:space="0" w:color="auto"/>
        <w:left w:val="none" w:sz="0" w:space="0" w:color="auto"/>
        <w:bottom w:val="none" w:sz="0" w:space="0" w:color="auto"/>
        <w:right w:val="none" w:sz="0" w:space="0" w:color="auto"/>
      </w:divBdr>
    </w:div>
    <w:div w:id="529338241">
      <w:bodyDiv w:val="1"/>
      <w:marLeft w:val="0"/>
      <w:marRight w:val="0"/>
      <w:marTop w:val="0"/>
      <w:marBottom w:val="0"/>
      <w:divBdr>
        <w:top w:val="none" w:sz="0" w:space="0" w:color="auto"/>
        <w:left w:val="none" w:sz="0" w:space="0" w:color="auto"/>
        <w:bottom w:val="none" w:sz="0" w:space="0" w:color="auto"/>
        <w:right w:val="none" w:sz="0" w:space="0" w:color="auto"/>
      </w:divBdr>
    </w:div>
    <w:div w:id="540240624">
      <w:bodyDiv w:val="1"/>
      <w:marLeft w:val="0"/>
      <w:marRight w:val="0"/>
      <w:marTop w:val="0"/>
      <w:marBottom w:val="0"/>
      <w:divBdr>
        <w:top w:val="none" w:sz="0" w:space="0" w:color="auto"/>
        <w:left w:val="none" w:sz="0" w:space="0" w:color="auto"/>
        <w:bottom w:val="none" w:sz="0" w:space="0" w:color="auto"/>
        <w:right w:val="none" w:sz="0" w:space="0" w:color="auto"/>
      </w:divBdr>
    </w:div>
    <w:div w:id="560797879">
      <w:bodyDiv w:val="1"/>
      <w:marLeft w:val="0"/>
      <w:marRight w:val="0"/>
      <w:marTop w:val="0"/>
      <w:marBottom w:val="0"/>
      <w:divBdr>
        <w:top w:val="none" w:sz="0" w:space="0" w:color="auto"/>
        <w:left w:val="none" w:sz="0" w:space="0" w:color="auto"/>
        <w:bottom w:val="none" w:sz="0" w:space="0" w:color="auto"/>
        <w:right w:val="none" w:sz="0" w:space="0" w:color="auto"/>
      </w:divBdr>
    </w:div>
    <w:div w:id="658120208">
      <w:bodyDiv w:val="1"/>
      <w:marLeft w:val="0"/>
      <w:marRight w:val="0"/>
      <w:marTop w:val="0"/>
      <w:marBottom w:val="0"/>
      <w:divBdr>
        <w:top w:val="none" w:sz="0" w:space="0" w:color="auto"/>
        <w:left w:val="none" w:sz="0" w:space="0" w:color="auto"/>
        <w:bottom w:val="none" w:sz="0" w:space="0" w:color="auto"/>
        <w:right w:val="none" w:sz="0" w:space="0" w:color="auto"/>
      </w:divBdr>
    </w:div>
    <w:div w:id="689646892">
      <w:bodyDiv w:val="1"/>
      <w:marLeft w:val="0"/>
      <w:marRight w:val="0"/>
      <w:marTop w:val="0"/>
      <w:marBottom w:val="0"/>
      <w:divBdr>
        <w:top w:val="none" w:sz="0" w:space="0" w:color="auto"/>
        <w:left w:val="none" w:sz="0" w:space="0" w:color="auto"/>
        <w:bottom w:val="none" w:sz="0" w:space="0" w:color="auto"/>
        <w:right w:val="none" w:sz="0" w:space="0" w:color="auto"/>
      </w:divBdr>
    </w:div>
    <w:div w:id="713892444">
      <w:bodyDiv w:val="1"/>
      <w:marLeft w:val="0"/>
      <w:marRight w:val="0"/>
      <w:marTop w:val="0"/>
      <w:marBottom w:val="0"/>
      <w:divBdr>
        <w:top w:val="none" w:sz="0" w:space="0" w:color="auto"/>
        <w:left w:val="none" w:sz="0" w:space="0" w:color="auto"/>
        <w:bottom w:val="none" w:sz="0" w:space="0" w:color="auto"/>
        <w:right w:val="none" w:sz="0" w:space="0" w:color="auto"/>
      </w:divBdr>
    </w:div>
    <w:div w:id="721515066">
      <w:bodyDiv w:val="1"/>
      <w:marLeft w:val="0"/>
      <w:marRight w:val="0"/>
      <w:marTop w:val="0"/>
      <w:marBottom w:val="0"/>
      <w:divBdr>
        <w:top w:val="none" w:sz="0" w:space="0" w:color="auto"/>
        <w:left w:val="none" w:sz="0" w:space="0" w:color="auto"/>
        <w:bottom w:val="none" w:sz="0" w:space="0" w:color="auto"/>
        <w:right w:val="none" w:sz="0" w:space="0" w:color="auto"/>
      </w:divBdr>
    </w:div>
    <w:div w:id="902253575">
      <w:bodyDiv w:val="1"/>
      <w:marLeft w:val="0"/>
      <w:marRight w:val="0"/>
      <w:marTop w:val="0"/>
      <w:marBottom w:val="0"/>
      <w:divBdr>
        <w:top w:val="none" w:sz="0" w:space="0" w:color="auto"/>
        <w:left w:val="none" w:sz="0" w:space="0" w:color="auto"/>
        <w:bottom w:val="none" w:sz="0" w:space="0" w:color="auto"/>
        <w:right w:val="none" w:sz="0" w:space="0" w:color="auto"/>
      </w:divBdr>
    </w:div>
    <w:div w:id="902520717">
      <w:bodyDiv w:val="1"/>
      <w:marLeft w:val="0"/>
      <w:marRight w:val="0"/>
      <w:marTop w:val="0"/>
      <w:marBottom w:val="0"/>
      <w:divBdr>
        <w:top w:val="none" w:sz="0" w:space="0" w:color="auto"/>
        <w:left w:val="none" w:sz="0" w:space="0" w:color="auto"/>
        <w:bottom w:val="none" w:sz="0" w:space="0" w:color="auto"/>
        <w:right w:val="none" w:sz="0" w:space="0" w:color="auto"/>
      </w:divBdr>
    </w:div>
    <w:div w:id="960114756">
      <w:bodyDiv w:val="1"/>
      <w:marLeft w:val="0"/>
      <w:marRight w:val="0"/>
      <w:marTop w:val="0"/>
      <w:marBottom w:val="0"/>
      <w:divBdr>
        <w:top w:val="none" w:sz="0" w:space="0" w:color="auto"/>
        <w:left w:val="none" w:sz="0" w:space="0" w:color="auto"/>
        <w:bottom w:val="none" w:sz="0" w:space="0" w:color="auto"/>
        <w:right w:val="none" w:sz="0" w:space="0" w:color="auto"/>
      </w:divBdr>
    </w:div>
    <w:div w:id="982926515">
      <w:bodyDiv w:val="1"/>
      <w:marLeft w:val="0"/>
      <w:marRight w:val="0"/>
      <w:marTop w:val="0"/>
      <w:marBottom w:val="0"/>
      <w:divBdr>
        <w:top w:val="none" w:sz="0" w:space="0" w:color="auto"/>
        <w:left w:val="none" w:sz="0" w:space="0" w:color="auto"/>
        <w:bottom w:val="none" w:sz="0" w:space="0" w:color="auto"/>
        <w:right w:val="none" w:sz="0" w:space="0" w:color="auto"/>
      </w:divBdr>
    </w:div>
    <w:div w:id="995691278">
      <w:bodyDiv w:val="1"/>
      <w:marLeft w:val="0"/>
      <w:marRight w:val="0"/>
      <w:marTop w:val="0"/>
      <w:marBottom w:val="0"/>
      <w:divBdr>
        <w:top w:val="none" w:sz="0" w:space="0" w:color="auto"/>
        <w:left w:val="none" w:sz="0" w:space="0" w:color="auto"/>
        <w:bottom w:val="none" w:sz="0" w:space="0" w:color="auto"/>
        <w:right w:val="none" w:sz="0" w:space="0" w:color="auto"/>
      </w:divBdr>
    </w:div>
    <w:div w:id="1031419812">
      <w:bodyDiv w:val="1"/>
      <w:marLeft w:val="0"/>
      <w:marRight w:val="0"/>
      <w:marTop w:val="0"/>
      <w:marBottom w:val="0"/>
      <w:divBdr>
        <w:top w:val="none" w:sz="0" w:space="0" w:color="auto"/>
        <w:left w:val="none" w:sz="0" w:space="0" w:color="auto"/>
        <w:bottom w:val="none" w:sz="0" w:space="0" w:color="auto"/>
        <w:right w:val="none" w:sz="0" w:space="0" w:color="auto"/>
      </w:divBdr>
    </w:div>
    <w:div w:id="1071273145">
      <w:bodyDiv w:val="1"/>
      <w:marLeft w:val="0"/>
      <w:marRight w:val="0"/>
      <w:marTop w:val="0"/>
      <w:marBottom w:val="0"/>
      <w:divBdr>
        <w:top w:val="none" w:sz="0" w:space="0" w:color="auto"/>
        <w:left w:val="none" w:sz="0" w:space="0" w:color="auto"/>
        <w:bottom w:val="none" w:sz="0" w:space="0" w:color="auto"/>
        <w:right w:val="none" w:sz="0" w:space="0" w:color="auto"/>
      </w:divBdr>
    </w:div>
    <w:div w:id="1117213063">
      <w:bodyDiv w:val="1"/>
      <w:marLeft w:val="0"/>
      <w:marRight w:val="0"/>
      <w:marTop w:val="0"/>
      <w:marBottom w:val="0"/>
      <w:divBdr>
        <w:top w:val="none" w:sz="0" w:space="0" w:color="auto"/>
        <w:left w:val="none" w:sz="0" w:space="0" w:color="auto"/>
        <w:bottom w:val="none" w:sz="0" w:space="0" w:color="auto"/>
        <w:right w:val="none" w:sz="0" w:space="0" w:color="auto"/>
      </w:divBdr>
    </w:div>
    <w:div w:id="1121145633">
      <w:bodyDiv w:val="1"/>
      <w:marLeft w:val="0"/>
      <w:marRight w:val="0"/>
      <w:marTop w:val="0"/>
      <w:marBottom w:val="0"/>
      <w:divBdr>
        <w:top w:val="none" w:sz="0" w:space="0" w:color="auto"/>
        <w:left w:val="none" w:sz="0" w:space="0" w:color="auto"/>
        <w:bottom w:val="none" w:sz="0" w:space="0" w:color="auto"/>
        <w:right w:val="none" w:sz="0" w:space="0" w:color="auto"/>
      </w:divBdr>
    </w:div>
    <w:div w:id="1145782380">
      <w:bodyDiv w:val="1"/>
      <w:marLeft w:val="0"/>
      <w:marRight w:val="0"/>
      <w:marTop w:val="0"/>
      <w:marBottom w:val="0"/>
      <w:divBdr>
        <w:top w:val="none" w:sz="0" w:space="0" w:color="auto"/>
        <w:left w:val="none" w:sz="0" w:space="0" w:color="auto"/>
        <w:bottom w:val="none" w:sz="0" w:space="0" w:color="auto"/>
        <w:right w:val="none" w:sz="0" w:space="0" w:color="auto"/>
      </w:divBdr>
    </w:div>
    <w:div w:id="1229877383">
      <w:bodyDiv w:val="1"/>
      <w:marLeft w:val="0"/>
      <w:marRight w:val="0"/>
      <w:marTop w:val="0"/>
      <w:marBottom w:val="0"/>
      <w:divBdr>
        <w:top w:val="none" w:sz="0" w:space="0" w:color="auto"/>
        <w:left w:val="none" w:sz="0" w:space="0" w:color="auto"/>
        <w:bottom w:val="none" w:sz="0" w:space="0" w:color="auto"/>
        <w:right w:val="none" w:sz="0" w:space="0" w:color="auto"/>
      </w:divBdr>
    </w:div>
    <w:div w:id="1245458102">
      <w:bodyDiv w:val="1"/>
      <w:marLeft w:val="0"/>
      <w:marRight w:val="0"/>
      <w:marTop w:val="0"/>
      <w:marBottom w:val="0"/>
      <w:divBdr>
        <w:top w:val="none" w:sz="0" w:space="0" w:color="auto"/>
        <w:left w:val="none" w:sz="0" w:space="0" w:color="auto"/>
        <w:bottom w:val="none" w:sz="0" w:space="0" w:color="auto"/>
        <w:right w:val="none" w:sz="0" w:space="0" w:color="auto"/>
      </w:divBdr>
    </w:div>
    <w:div w:id="1254510283">
      <w:bodyDiv w:val="1"/>
      <w:marLeft w:val="0"/>
      <w:marRight w:val="0"/>
      <w:marTop w:val="0"/>
      <w:marBottom w:val="0"/>
      <w:divBdr>
        <w:top w:val="none" w:sz="0" w:space="0" w:color="auto"/>
        <w:left w:val="none" w:sz="0" w:space="0" w:color="auto"/>
        <w:bottom w:val="none" w:sz="0" w:space="0" w:color="auto"/>
        <w:right w:val="none" w:sz="0" w:space="0" w:color="auto"/>
      </w:divBdr>
    </w:div>
    <w:div w:id="1273629734">
      <w:bodyDiv w:val="1"/>
      <w:marLeft w:val="0"/>
      <w:marRight w:val="0"/>
      <w:marTop w:val="0"/>
      <w:marBottom w:val="0"/>
      <w:divBdr>
        <w:top w:val="none" w:sz="0" w:space="0" w:color="auto"/>
        <w:left w:val="none" w:sz="0" w:space="0" w:color="auto"/>
        <w:bottom w:val="none" w:sz="0" w:space="0" w:color="auto"/>
        <w:right w:val="none" w:sz="0" w:space="0" w:color="auto"/>
      </w:divBdr>
    </w:div>
    <w:div w:id="1289773637">
      <w:bodyDiv w:val="1"/>
      <w:marLeft w:val="0"/>
      <w:marRight w:val="0"/>
      <w:marTop w:val="0"/>
      <w:marBottom w:val="0"/>
      <w:divBdr>
        <w:top w:val="none" w:sz="0" w:space="0" w:color="auto"/>
        <w:left w:val="none" w:sz="0" w:space="0" w:color="auto"/>
        <w:bottom w:val="none" w:sz="0" w:space="0" w:color="auto"/>
        <w:right w:val="none" w:sz="0" w:space="0" w:color="auto"/>
      </w:divBdr>
    </w:div>
    <w:div w:id="1307591629">
      <w:bodyDiv w:val="1"/>
      <w:marLeft w:val="0"/>
      <w:marRight w:val="0"/>
      <w:marTop w:val="0"/>
      <w:marBottom w:val="0"/>
      <w:divBdr>
        <w:top w:val="none" w:sz="0" w:space="0" w:color="auto"/>
        <w:left w:val="none" w:sz="0" w:space="0" w:color="auto"/>
        <w:bottom w:val="none" w:sz="0" w:space="0" w:color="auto"/>
        <w:right w:val="none" w:sz="0" w:space="0" w:color="auto"/>
      </w:divBdr>
    </w:div>
    <w:div w:id="1325357045">
      <w:bodyDiv w:val="1"/>
      <w:marLeft w:val="0"/>
      <w:marRight w:val="0"/>
      <w:marTop w:val="0"/>
      <w:marBottom w:val="0"/>
      <w:divBdr>
        <w:top w:val="none" w:sz="0" w:space="0" w:color="auto"/>
        <w:left w:val="none" w:sz="0" w:space="0" w:color="auto"/>
        <w:bottom w:val="none" w:sz="0" w:space="0" w:color="auto"/>
        <w:right w:val="none" w:sz="0" w:space="0" w:color="auto"/>
      </w:divBdr>
    </w:div>
    <w:div w:id="1329551846">
      <w:bodyDiv w:val="1"/>
      <w:marLeft w:val="0"/>
      <w:marRight w:val="0"/>
      <w:marTop w:val="0"/>
      <w:marBottom w:val="0"/>
      <w:divBdr>
        <w:top w:val="none" w:sz="0" w:space="0" w:color="auto"/>
        <w:left w:val="none" w:sz="0" w:space="0" w:color="auto"/>
        <w:bottom w:val="none" w:sz="0" w:space="0" w:color="auto"/>
        <w:right w:val="none" w:sz="0" w:space="0" w:color="auto"/>
      </w:divBdr>
    </w:div>
    <w:div w:id="1376739327">
      <w:bodyDiv w:val="1"/>
      <w:marLeft w:val="0"/>
      <w:marRight w:val="0"/>
      <w:marTop w:val="0"/>
      <w:marBottom w:val="0"/>
      <w:divBdr>
        <w:top w:val="none" w:sz="0" w:space="0" w:color="auto"/>
        <w:left w:val="none" w:sz="0" w:space="0" w:color="auto"/>
        <w:bottom w:val="none" w:sz="0" w:space="0" w:color="auto"/>
        <w:right w:val="none" w:sz="0" w:space="0" w:color="auto"/>
      </w:divBdr>
    </w:div>
    <w:div w:id="1378965866">
      <w:bodyDiv w:val="1"/>
      <w:marLeft w:val="0"/>
      <w:marRight w:val="0"/>
      <w:marTop w:val="0"/>
      <w:marBottom w:val="0"/>
      <w:divBdr>
        <w:top w:val="none" w:sz="0" w:space="0" w:color="auto"/>
        <w:left w:val="none" w:sz="0" w:space="0" w:color="auto"/>
        <w:bottom w:val="none" w:sz="0" w:space="0" w:color="auto"/>
        <w:right w:val="none" w:sz="0" w:space="0" w:color="auto"/>
      </w:divBdr>
    </w:div>
    <w:div w:id="1379935677">
      <w:bodyDiv w:val="1"/>
      <w:marLeft w:val="0"/>
      <w:marRight w:val="0"/>
      <w:marTop w:val="0"/>
      <w:marBottom w:val="0"/>
      <w:divBdr>
        <w:top w:val="none" w:sz="0" w:space="0" w:color="auto"/>
        <w:left w:val="none" w:sz="0" w:space="0" w:color="auto"/>
        <w:bottom w:val="none" w:sz="0" w:space="0" w:color="auto"/>
        <w:right w:val="none" w:sz="0" w:space="0" w:color="auto"/>
      </w:divBdr>
    </w:div>
    <w:div w:id="1384215378">
      <w:bodyDiv w:val="1"/>
      <w:marLeft w:val="0"/>
      <w:marRight w:val="0"/>
      <w:marTop w:val="0"/>
      <w:marBottom w:val="0"/>
      <w:divBdr>
        <w:top w:val="none" w:sz="0" w:space="0" w:color="auto"/>
        <w:left w:val="none" w:sz="0" w:space="0" w:color="auto"/>
        <w:bottom w:val="none" w:sz="0" w:space="0" w:color="auto"/>
        <w:right w:val="none" w:sz="0" w:space="0" w:color="auto"/>
      </w:divBdr>
    </w:div>
    <w:div w:id="1389958707">
      <w:bodyDiv w:val="1"/>
      <w:marLeft w:val="0"/>
      <w:marRight w:val="0"/>
      <w:marTop w:val="0"/>
      <w:marBottom w:val="0"/>
      <w:divBdr>
        <w:top w:val="none" w:sz="0" w:space="0" w:color="auto"/>
        <w:left w:val="none" w:sz="0" w:space="0" w:color="auto"/>
        <w:bottom w:val="none" w:sz="0" w:space="0" w:color="auto"/>
        <w:right w:val="none" w:sz="0" w:space="0" w:color="auto"/>
      </w:divBdr>
    </w:div>
    <w:div w:id="1394620839">
      <w:bodyDiv w:val="1"/>
      <w:marLeft w:val="0"/>
      <w:marRight w:val="0"/>
      <w:marTop w:val="0"/>
      <w:marBottom w:val="0"/>
      <w:divBdr>
        <w:top w:val="none" w:sz="0" w:space="0" w:color="auto"/>
        <w:left w:val="none" w:sz="0" w:space="0" w:color="auto"/>
        <w:bottom w:val="none" w:sz="0" w:space="0" w:color="auto"/>
        <w:right w:val="none" w:sz="0" w:space="0" w:color="auto"/>
      </w:divBdr>
    </w:div>
    <w:div w:id="1417361522">
      <w:bodyDiv w:val="1"/>
      <w:marLeft w:val="0"/>
      <w:marRight w:val="0"/>
      <w:marTop w:val="0"/>
      <w:marBottom w:val="0"/>
      <w:divBdr>
        <w:top w:val="none" w:sz="0" w:space="0" w:color="auto"/>
        <w:left w:val="none" w:sz="0" w:space="0" w:color="auto"/>
        <w:bottom w:val="none" w:sz="0" w:space="0" w:color="auto"/>
        <w:right w:val="none" w:sz="0" w:space="0" w:color="auto"/>
      </w:divBdr>
    </w:div>
    <w:div w:id="1438989041">
      <w:bodyDiv w:val="1"/>
      <w:marLeft w:val="0"/>
      <w:marRight w:val="0"/>
      <w:marTop w:val="0"/>
      <w:marBottom w:val="0"/>
      <w:divBdr>
        <w:top w:val="none" w:sz="0" w:space="0" w:color="auto"/>
        <w:left w:val="none" w:sz="0" w:space="0" w:color="auto"/>
        <w:bottom w:val="none" w:sz="0" w:space="0" w:color="auto"/>
        <w:right w:val="none" w:sz="0" w:space="0" w:color="auto"/>
      </w:divBdr>
    </w:div>
    <w:div w:id="1447892795">
      <w:bodyDiv w:val="1"/>
      <w:marLeft w:val="0"/>
      <w:marRight w:val="0"/>
      <w:marTop w:val="0"/>
      <w:marBottom w:val="0"/>
      <w:divBdr>
        <w:top w:val="none" w:sz="0" w:space="0" w:color="auto"/>
        <w:left w:val="none" w:sz="0" w:space="0" w:color="auto"/>
        <w:bottom w:val="none" w:sz="0" w:space="0" w:color="auto"/>
        <w:right w:val="none" w:sz="0" w:space="0" w:color="auto"/>
      </w:divBdr>
    </w:div>
    <w:div w:id="1486362379">
      <w:bodyDiv w:val="1"/>
      <w:marLeft w:val="0"/>
      <w:marRight w:val="0"/>
      <w:marTop w:val="0"/>
      <w:marBottom w:val="0"/>
      <w:divBdr>
        <w:top w:val="none" w:sz="0" w:space="0" w:color="auto"/>
        <w:left w:val="none" w:sz="0" w:space="0" w:color="auto"/>
        <w:bottom w:val="none" w:sz="0" w:space="0" w:color="auto"/>
        <w:right w:val="none" w:sz="0" w:space="0" w:color="auto"/>
      </w:divBdr>
    </w:div>
    <w:div w:id="1524633659">
      <w:bodyDiv w:val="1"/>
      <w:marLeft w:val="0"/>
      <w:marRight w:val="0"/>
      <w:marTop w:val="0"/>
      <w:marBottom w:val="0"/>
      <w:divBdr>
        <w:top w:val="none" w:sz="0" w:space="0" w:color="auto"/>
        <w:left w:val="none" w:sz="0" w:space="0" w:color="auto"/>
        <w:bottom w:val="none" w:sz="0" w:space="0" w:color="auto"/>
        <w:right w:val="none" w:sz="0" w:space="0" w:color="auto"/>
      </w:divBdr>
    </w:div>
    <w:div w:id="1531920126">
      <w:bodyDiv w:val="1"/>
      <w:marLeft w:val="0"/>
      <w:marRight w:val="0"/>
      <w:marTop w:val="0"/>
      <w:marBottom w:val="0"/>
      <w:divBdr>
        <w:top w:val="none" w:sz="0" w:space="0" w:color="auto"/>
        <w:left w:val="none" w:sz="0" w:space="0" w:color="auto"/>
        <w:bottom w:val="none" w:sz="0" w:space="0" w:color="auto"/>
        <w:right w:val="none" w:sz="0" w:space="0" w:color="auto"/>
      </w:divBdr>
    </w:div>
    <w:div w:id="1544901422">
      <w:bodyDiv w:val="1"/>
      <w:marLeft w:val="0"/>
      <w:marRight w:val="0"/>
      <w:marTop w:val="0"/>
      <w:marBottom w:val="0"/>
      <w:divBdr>
        <w:top w:val="none" w:sz="0" w:space="0" w:color="auto"/>
        <w:left w:val="none" w:sz="0" w:space="0" w:color="auto"/>
        <w:bottom w:val="none" w:sz="0" w:space="0" w:color="auto"/>
        <w:right w:val="none" w:sz="0" w:space="0" w:color="auto"/>
      </w:divBdr>
    </w:div>
    <w:div w:id="1550145440">
      <w:bodyDiv w:val="1"/>
      <w:marLeft w:val="0"/>
      <w:marRight w:val="0"/>
      <w:marTop w:val="0"/>
      <w:marBottom w:val="0"/>
      <w:divBdr>
        <w:top w:val="none" w:sz="0" w:space="0" w:color="auto"/>
        <w:left w:val="none" w:sz="0" w:space="0" w:color="auto"/>
        <w:bottom w:val="none" w:sz="0" w:space="0" w:color="auto"/>
        <w:right w:val="none" w:sz="0" w:space="0" w:color="auto"/>
      </w:divBdr>
    </w:div>
    <w:div w:id="1552035189">
      <w:bodyDiv w:val="1"/>
      <w:marLeft w:val="0"/>
      <w:marRight w:val="0"/>
      <w:marTop w:val="0"/>
      <w:marBottom w:val="0"/>
      <w:divBdr>
        <w:top w:val="none" w:sz="0" w:space="0" w:color="auto"/>
        <w:left w:val="none" w:sz="0" w:space="0" w:color="auto"/>
        <w:bottom w:val="none" w:sz="0" w:space="0" w:color="auto"/>
        <w:right w:val="none" w:sz="0" w:space="0" w:color="auto"/>
      </w:divBdr>
    </w:div>
    <w:div w:id="1567958646">
      <w:bodyDiv w:val="1"/>
      <w:marLeft w:val="0"/>
      <w:marRight w:val="0"/>
      <w:marTop w:val="0"/>
      <w:marBottom w:val="0"/>
      <w:divBdr>
        <w:top w:val="none" w:sz="0" w:space="0" w:color="auto"/>
        <w:left w:val="none" w:sz="0" w:space="0" w:color="auto"/>
        <w:bottom w:val="none" w:sz="0" w:space="0" w:color="auto"/>
        <w:right w:val="none" w:sz="0" w:space="0" w:color="auto"/>
      </w:divBdr>
    </w:div>
    <w:div w:id="1586109547">
      <w:bodyDiv w:val="1"/>
      <w:marLeft w:val="0"/>
      <w:marRight w:val="0"/>
      <w:marTop w:val="0"/>
      <w:marBottom w:val="0"/>
      <w:divBdr>
        <w:top w:val="none" w:sz="0" w:space="0" w:color="auto"/>
        <w:left w:val="none" w:sz="0" w:space="0" w:color="auto"/>
        <w:bottom w:val="none" w:sz="0" w:space="0" w:color="auto"/>
        <w:right w:val="none" w:sz="0" w:space="0" w:color="auto"/>
      </w:divBdr>
    </w:div>
    <w:div w:id="1597179008">
      <w:bodyDiv w:val="1"/>
      <w:marLeft w:val="0"/>
      <w:marRight w:val="0"/>
      <w:marTop w:val="0"/>
      <w:marBottom w:val="0"/>
      <w:divBdr>
        <w:top w:val="none" w:sz="0" w:space="0" w:color="auto"/>
        <w:left w:val="none" w:sz="0" w:space="0" w:color="auto"/>
        <w:bottom w:val="none" w:sz="0" w:space="0" w:color="auto"/>
        <w:right w:val="none" w:sz="0" w:space="0" w:color="auto"/>
      </w:divBdr>
    </w:div>
    <w:div w:id="1606184504">
      <w:bodyDiv w:val="1"/>
      <w:marLeft w:val="0"/>
      <w:marRight w:val="0"/>
      <w:marTop w:val="0"/>
      <w:marBottom w:val="0"/>
      <w:divBdr>
        <w:top w:val="none" w:sz="0" w:space="0" w:color="auto"/>
        <w:left w:val="none" w:sz="0" w:space="0" w:color="auto"/>
        <w:bottom w:val="none" w:sz="0" w:space="0" w:color="auto"/>
        <w:right w:val="none" w:sz="0" w:space="0" w:color="auto"/>
      </w:divBdr>
    </w:div>
    <w:div w:id="1629241247">
      <w:bodyDiv w:val="1"/>
      <w:marLeft w:val="0"/>
      <w:marRight w:val="0"/>
      <w:marTop w:val="0"/>
      <w:marBottom w:val="0"/>
      <w:divBdr>
        <w:top w:val="none" w:sz="0" w:space="0" w:color="auto"/>
        <w:left w:val="none" w:sz="0" w:space="0" w:color="auto"/>
        <w:bottom w:val="none" w:sz="0" w:space="0" w:color="auto"/>
        <w:right w:val="none" w:sz="0" w:space="0" w:color="auto"/>
      </w:divBdr>
    </w:div>
    <w:div w:id="1633516449">
      <w:bodyDiv w:val="1"/>
      <w:marLeft w:val="0"/>
      <w:marRight w:val="0"/>
      <w:marTop w:val="0"/>
      <w:marBottom w:val="0"/>
      <w:divBdr>
        <w:top w:val="none" w:sz="0" w:space="0" w:color="auto"/>
        <w:left w:val="none" w:sz="0" w:space="0" w:color="auto"/>
        <w:bottom w:val="none" w:sz="0" w:space="0" w:color="auto"/>
        <w:right w:val="none" w:sz="0" w:space="0" w:color="auto"/>
      </w:divBdr>
    </w:div>
    <w:div w:id="1634485565">
      <w:bodyDiv w:val="1"/>
      <w:marLeft w:val="0"/>
      <w:marRight w:val="0"/>
      <w:marTop w:val="0"/>
      <w:marBottom w:val="0"/>
      <w:divBdr>
        <w:top w:val="none" w:sz="0" w:space="0" w:color="auto"/>
        <w:left w:val="none" w:sz="0" w:space="0" w:color="auto"/>
        <w:bottom w:val="none" w:sz="0" w:space="0" w:color="auto"/>
        <w:right w:val="none" w:sz="0" w:space="0" w:color="auto"/>
      </w:divBdr>
    </w:div>
    <w:div w:id="1647277067">
      <w:bodyDiv w:val="1"/>
      <w:marLeft w:val="0"/>
      <w:marRight w:val="0"/>
      <w:marTop w:val="0"/>
      <w:marBottom w:val="0"/>
      <w:divBdr>
        <w:top w:val="none" w:sz="0" w:space="0" w:color="auto"/>
        <w:left w:val="none" w:sz="0" w:space="0" w:color="auto"/>
        <w:bottom w:val="none" w:sz="0" w:space="0" w:color="auto"/>
        <w:right w:val="none" w:sz="0" w:space="0" w:color="auto"/>
      </w:divBdr>
    </w:div>
    <w:div w:id="1698651143">
      <w:bodyDiv w:val="1"/>
      <w:marLeft w:val="0"/>
      <w:marRight w:val="0"/>
      <w:marTop w:val="0"/>
      <w:marBottom w:val="0"/>
      <w:divBdr>
        <w:top w:val="none" w:sz="0" w:space="0" w:color="auto"/>
        <w:left w:val="none" w:sz="0" w:space="0" w:color="auto"/>
        <w:bottom w:val="none" w:sz="0" w:space="0" w:color="auto"/>
        <w:right w:val="none" w:sz="0" w:space="0" w:color="auto"/>
      </w:divBdr>
    </w:div>
    <w:div w:id="1721243607">
      <w:bodyDiv w:val="1"/>
      <w:marLeft w:val="0"/>
      <w:marRight w:val="0"/>
      <w:marTop w:val="0"/>
      <w:marBottom w:val="0"/>
      <w:divBdr>
        <w:top w:val="none" w:sz="0" w:space="0" w:color="auto"/>
        <w:left w:val="none" w:sz="0" w:space="0" w:color="auto"/>
        <w:bottom w:val="none" w:sz="0" w:space="0" w:color="auto"/>
        <w:right w:val="none" w:sz="0" w:space="0" w:color="auto"/>
      </w:divBdr>
    </w:div>
    <w:div w:id="1722827434">
      <w:bodyDiv w:val="1"/>
      <w:marLeft w:val="0"/>
      <w:marRight w:val="0"/>
      <w:marTop w:val="0"/>
      <w:marBottom w:val="0"/>
      <w:divBdr>
        <w:top w:val="none" w:sz="0" w:space="0" w:color="auto"/>
        <w:left w:val="none" w:sz="0" w:space="0" w:color="auto"/>
        <w:bottom w:val="none" w:sz="0" w:space="0" w:color="auto"/>
        <w:right w:val="none" w:sz="0" w:space="0" w:color="auto"/>
      </w:divBdr>
    </w:div>
    <w:div w:id="1730221908">
      <w:bodyDiv w:val="1"/>
      <w:marLeft w:val="0"/>
      <w:marRight w:val="0"/>
      <w:marTop w:val="0"/>
      <w:marBottom w:val="0"/>
      <w:divBdr>
        <w:top w:val="none" w:sz="0" w:space="0" w:color="auto"/>
        <w:left w:val="none" w:sz="0" w:space="0" w:color="auto"/>
        <w:bottom w:val="none" w:sz="0" w:space="0" w:color="auto"/>
        <w:right w:val="none" w:sz="0" w:space="0" w:color="auto"/>
      </w:divBdr>
      <w:divsChild>
        <w:div w:id="1150901596">
          <w:marLeft w:val="547"/>
          <w:marRight w:val="0"/>
          <w:marTop w:val="200"/>
          <w:marBottom w:val="0"/>
          <w:divBdr>
            <w:top w:val="none" w:sz="0" w:space="0" w:color="auto"/>
            <w:left w:val="none" w:sz="0" w:space="0" w:color="auto"/>
            <w:bottom w:val="none" w:sz="0" w:space="0" w:color="auto"/>
            <w:right w:val="none" w:sz="0" w:space="0" w:color="auto"/>
          </w:divBdr>
        </w:div>
        <w:div w:id="703555623">
          <w:marLeft w:val="547"/>
          <w:marRight w:val="0"/>
          <w:marTop w:val="200"/>
          <w:marBottom w:val="0"/>
          <w:divBdr>
            <w:top w:val="none" w:sz="0" w:space="0" w:color="auto"/>
            <w:left w:val="none" w:sz="0" w:space="0" w:color="auto"/>
            <w:bottom w:val="none" w:sz="0" w:space="0" w:color="auto"/>
            <w:right w:val="none" w:sz="0" w:space="0" w:color="auto"/>
          </w:divBdr>
        </w:div>
        <w:div w:id="786313122">
          <w:marLeft w:val="547"/>
          <w:marRight w:val="0"/>
          <w:marTop w:val="200"/>
          <w:marBottom w:val="0"/>
          <w:divBdr>
            <w:top w:val="none" w:sz="0" w:space="0" w:color="auto"/>
            <w:left w:val="none" w:sz="0" w:space="0" w:color="auto"/>
            <w:bottom w:val="none" w:sz="0" w:space="0" w:color="auto"/>
            <w:right w:val="none" w:sz="0" w:space="0" w:color="auto"/>
          </w:divBdr>
        </w:div>
        <w:div w:id="219481987">
          <w:marLeft w:val="547"/>
          <w:marRight w:val="0"/>
          <w:marTop w:val="200"/>
          <w:marBottom w:val="0"/>
          <w:divBdr>
            <w:top w:val="none" w:sz="0" w:space="0" w:color="auto"/>
            <w:left w:val="none" w:sz="0" w:space="0" w:color="auto"/>
            <w:bottom w:val="none" w:sz="0" w:space="0" w:color="auto"/>
            <w:right w:val="none" w:sz="0" w:space="0" w:color="auto"/>
          </w:divBdr>
        </w:div>
        <w:div w:id="1027482287">
          <w:marLeft w:val="547"/>
          <w:marRight w:val="0"/>
          <w:marTop w:val="200"/>
          <w:marBottom w:val="0"/>
          <w:divBdr>
            <w:top w:val="none" w:sz="0" w:space="0" w:color="auto"/>
            <w:left w:val="none" w:sz="0" w:space="0" w:color="auto"/>
            <w:bottom w:val="none" w:sz="0" w:space="0" w:color="auto"/>
            <w:right w:val="none" w:sz="0" w:space="0" w:color="auto"/>
          </w:divBdr>
        </w:div>
        <w:div w:id="1086000829">
          <w:marLeft w:val="547"/>
          <w:marRight w:val="0"/>
          <w:marTop w:val="200"/>
          <w:marBottom w:val="0"/>
          <w:divBdr>
            <w:top w:val="none" w:sz="0" w:space="0" w:color="auto"/>
            <w:left w:val="none" w:sz="0" w:space="0" w:color="auto"/>
            <w:bottom w:val="none" w:sz="0" w:space="0" w:color="auto"/>
            <w:right w:val="none" w:sz="0" w:space="0" w:color="auto"/>
          </w:divBdr>
        </w:div>
      </w:divsChild>
    </w:div>
    <w:div w:id="1740206483">
      <w:bodyDiv w:val="1"/>
      <w:marLeft w:val="0"/>
      <w:marRight w:val="0"/>
      <w:marTop w:val="0"/>
      <w:marBottom w:val="0"/>
      <w:divBdr>
        <w:top w:val="none" w:sz="0" w:space="0" w:color="auto"/>
        <w:left w:val="none" w:sz="0" w:space="0" w:color="auto"/>
        <w:bottom w:val="none" w:sz="0" w:space="0" w:color="auto"/>
        <w:right w:val="none" w:sz="0" w:space="0" w:color="auto"/>
      </w:divBdr>
    </w:div>
    <w:div w:id="1755786227">
      <w:bodyDiv w:val="1"/>
      <w:marLeft w:val="0"/>
      <w:marRight w:val="0"/>
      <w:marTop w:val="0"/>
      <w:marBottom w:val="0"/>
      <w:divBdr>
        <w:top w:val="none" w:sz="0" w:space="0" w:color="auto"/>
        <w:left w:val="none" w:sz="0" w:space="0" w:color="auto"/>
        <w:bottom w:val="none" w:sz="0" w:space="0" w:color="auto"/>
        <w:right w:val="none" w:sz="0" w:space="0" w:color="auto"/>
      </w:divBdr>
    </w:div>
    <w:div w:id="1756973728">
      <w:bodyDiv w:val="1"/>
      <w:marLeft w:val="0"/>
      <w:marRight w:val="0"/>
      <w:marTop w:val="0"/>
      <w:marBottom w:val="0"/>
      <w:divBdr>
        <w:top w:val="none" w:sz="0" w:space="0" w:color="auto"/>
        <w:left w:val="none" w:sz="0" w:space="0" w:color="auto"/>
        <w:bottom w:val="none" w:sz="0" w:space="0" w:color="auto"/>
        <w:right w:val="none" w:sz="0" w:space="0" w:color="auto"/>
      </w:divBdr>
    </w:div>
    <w:div w:id="1768886711">
      <w:bodyDiv w:val="1"/>
      <w:marLeft w:val="0"/>
      <w:marRight w:val="0"/>
      <w:marTop w:val="0"/>
      <w:marBottom w:val="0"/>
      <w:divBdr>
        <w:top w:val="none" w:sz="0" w:space="0" w:color="auto"/>
        <w:left w:val="none" w:sz="0" w:space="0" w:color="auto"/>
        <w:bottom w:val="none" w:sz="0" w:space="0" w:color="auto"/>
        <w:right w:val="none" w:sz="0" w:space="0" w:color="auto"/>
      </w:divBdr>
    </w:div>
    <w:div w:id="1779525193">
      <w:bodyDiv w:val="1"/>
      <w:marLeft w:val="0"/>
      <w:marRight w:val="0"/>
      <w:marTop w:val="0"/>
      <w:marBottom w:val="0"/>
      <w:divBdr>
        <w:top w:val="none" w:sz="0" w:space="0" w:color="auto"/>
        <w:left w:val="none" w:sz="0" w:space="0" w:color="auto"/>
        <w:bottom w:val="none" w:sz="0" w:space="0" w:color="auto"/>
        <w:right w:val="none" w:sz="0" w:space="0" w:color="auto"/>
      </w:divBdr>
    </w:div>
    <w:div w:id="1789885827">
      <w:bodyDiv w:val="1"/>
      <w:marLeft w:val="0"/>
      <w:marRight w:val="0"/>
      <w:marTop w:val="0"/>
      <w:marBottom w:val="0"/>
      <w:divBdr>
        <w:top w:val="none" w:sz="0" w:space="0" w:color="auto"/>
        <w:left w:val="none" w:sz="0" w:space="0" w:color="auto"/>
        <w:bottom w:val="none" w:sz="0" w:space="0" w:color="auto"/>
        <w:right w:val="none" w:sz="0" w:space="0" w:color="auto"/>
      </w:divBdr>
    </w:div>
    <w:div w:id="1835952205">
      <w:bodyDiv w:val="1"/>
      <w:marLeft w:val="0"/>
      <w:marRight w:val="0"/>
      <w:marTop w:val="0"/>
      <w:marBottom w:val="0"/>
      <w:divBdr>
        <w:top w:val="none" w:sz="0" w:space="0" w:color="auto"/>
        <w:left w:val="none" w:sz="0" w:space="0" w:color="auto"/>
        <w:bottom w:val="none" w:sz="0" w:space="0" w:color="auto"/>
        <w:right w:val="none" w:sz="0" w:space="0" w:color="auto"/>
      </w:divBdr>
      <w:divsChild>
        <w:div w:id="1452627512">
          <w:marLeft w:val="0"/>
          <w:marRight w:val="0"/>
          <w:marTop w:val="0"/>
          <w:marBottom w:val="336"/>
          <w:divBdr>
            <w:top w:val="none" w:sz="0" w:space="0" w:color="auto"/>
            <w:left w:val="none" w:sz="0" w:space="0" w:color="auto"/>
            <w:bottom w:val="none" w:sz="0" w:space="0" w:color="auto"/>
            <w:right w:val="none" w:sz="0" w:space="0" w:color="auto"/>
          </w:divBdr>
        </w:div>
        <w:div w:id="240335298">
          <w:marLeft w:val="0"/>
          <w:marRight w:val="0"/>
          <w:marTop w:val="0"/>
          <w:marBottom w:val="336"/>
          <w:divBdr>
            <w:top w:val="none" w:sz="0" w:space="0" w:color="auto"/>
            <w:left w:val="none" w:sz="0" w:space="0" w:color="auto"/>
            <w:bottom w:val="none" w:sz="0" w:space="0" w:color="auto"/>
            <w:right w:val="none" w:sz="0" w:space="0" w:color="auto"/>
          </w:divBdr>
          <w:divsChild>
            <w:div w:id="2135782412">
              <w:marLeft w:val="0"/>
              <w:marRight w:val="0"/>
              <w:marTop w:val="0"/>
              <w:marBottom w:val="0"/>
              <w:divBdr>
                <w:top w:val="none" w:sz="0" w:space="0" w:color="auto"/>
                <w:left w:val="none" w:sz="0" w:space="0" w:color="auto"/>
                <w:bottom w:val="none" w:sz="0" w:space="0" w:color="auto"/>
                <w:right w:val="none" w:sz="0" w:space="0" w:color="auto"/>
              </w:divBdr>
              <w:divsChild>
                <w:div w:id="1174413237">
                  <w:marLeft w:val="0"/>
                  <w:marRight w:val="0"/>
                  <w:marTop w:val="0"/>
                  <w:marBottom w:val="0"/>
                  <w:divBdr>
                    <w:top w:val="none" w:sz="0" w:space="0" w:color="auto"/>
                    <w:left w:val="none" w:sz="0" w:space="0" w:color="auto"/>
                    <w:bottom w:val="none" w:sz="0" w:space="0" w:color="auto"/>
                    <w:right w:val="none" w:sz="0" w:space="0" w:color="auto"/>
                  </w:divBdr>
                  <w:divsChild>
                    <w:div w:id="272058868">
                      <w:marLeft w:val="0"/>
                      <w:marRight w:val="0"/>
                      <w:marTop w:val="0"/>
                      <w:marBottom w:val="336"/>
                      <w:divBdr>
                        <w:top w:val="none" w:sz="0" w:space="0" w:color="auto"/>
                        <w:left w:val="none" w:sz="0" w:space="0" w:color="auto"/>
                        <w:bottom w:val="none" w:sz="0" w:space="0" w:color="auto"/>
                        <w:right w:val="none" w:sz="0" w:space="0" w:color="auto"/>
                      </w:divBdr>
                      <w:divsChild>
                        <w:div w:id="598681353">
                          <w:marLeft w:val="0"/>
                          <w:marRight w:val="0"/>
                          <w:marTop w:val="0"/>
                          <w:marBottom w:val="0"/>
                          <w:divBdr>
                            <w:top w:val="none" w:sz="0" w:space="0" w:color="auto"/>
                            <w:left w:val="none" w:sz="0" w:space="0" w:color="auto"/>
                            <w:bottom w:val="none" w:sz="0" w:space="0" w:color="auto"/>
                            <w:right w:val="none" w:sz="0" w:space="0" w:color="auto"/>
                          </w:divBdr>
                          <w:divsChild>
                            <w:div w:id="116944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9153184">
          <w:marLeft w:val="0"/>
          <w:marRight w:val="0"/>
          <w:marTop w:val="0"/>
          <w:marBottom w:val="336"/>
          <w:divBdr>
            <w:top w:val="none" w:sz="0" w:space="0" w:color="auto"/>
            <w:left w:val="none" w:sz="0" w:space="0" w:color="auto"/>
            <w:bottom w:val="none" w:sz="0" w:space="0" w:color="auto"/>
            <w:right w:val="none" w:sz="0" w:space="0" w:color="auto"/>
          </w:divBdr>
          <w:divsChild>
            <w:div w:id="1574008649">
              <w:marLeft w:val="0"/>
              <w:marRight w:val="0"/>
              <w:marTop w:val="0"/>
              <w:marBottom w:val="0"/>
              <w:divBdr>
                <w:top w:val="none" w:sz="0" w:space="0" w:color="auto"/>
                <w:left w:val="none" w:sz="0" w:space="0" w:color="auto"/>
                <w:bottom w:val="none" w:sz="0" w:space="0" w:color="auto"/>
                <w:right w:val="none" w:sz="0" w:space="0" w:color="auto"/>
              </w:divBdr>
              <w:divsChild>
                <w:div w:id="525414055">
                  <w:marLeft w:val="0"/>
                  <w:marRight w:val="0"/>
                  <w:marTop w:val="0"/>
                  <w:marBottom w:val="0"/>
                  <w:divBdr>
                    <w:top w:val="none" w:sz="0" w:space="0" w:color="auto"/>
                    <w:left w:val="none" w:sz="0" w:space="0" w:color="auto"/>
                    <w:bottom w:val="none" w:sz="0" w:space="0" w:color="auto"/>
                    <w:right w:val="none" w:sz="0" w:space="0" w:color="auto"/>
                  </w:divBdr>
                  <w:divsChild>
                    <w:div w:id="177548148">
                      <w:marLeft w:val="0"/>
                      <w:marRight w:val="0"/>
                      <w:marTop w:val="0"/>
                      <w:marBottom w:val="336"/>
                      <w:divBdr>
                        <w:top w:val="none" w:sz="0" w:space="0" w:color="auto"/>
                        <w:left w:val="none" w:sz="0" w:space="0" w:color="auto"/>
                        <w:bottom w:val="none" w:sz="0" w:space="0" w:color="auto"/>
                        <w:right w:val="none" w:sz="0" w:space="0" w:color="auto"/>
                      </w:divBdr>
                      <w:divsChild>
                        <w:div w:id="907617616">
                          <w:marLeft w:val="0"/>
                          <w:marRight w:val="0"/>
                          <w:marTop w:val="0"/>
                          <w:marBottom w:val="0"/>
                          <w:divBdr>
                            <w:top w:val="none" w:sz="0" w:space="0" w:color="auto"/>
                            <w:left w:val="none" w:sz="0" w:space="0" w:color="auto"/>
                            <w:bottom w:val="none" w:sz="0" w:space="0" w:color="auto"/>
                            <w:right w:val="none" w:sz="0" w:space="0" w:color="auto"/>
                          </w:divBdr>
                          <w:divsChild>
                            <w:div w:id="159883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0859235">
          <w:marLeft w:val="0"/>
          <w:marRight w:val="0"/>
          <w:marTop w:val="0"/>
          <w:marBottom w:val="336"/>
          <w:divBdr>
            <w:top w:val="none" w:sz="0" w:space="0" w:color="auto"/>
            <w:left w:val="none" w:sz="0" w:space="0" w:color="auto"/>
            <w:bottom w:val="none" w:sz="0" w:space="0" w:color="auto"/>
            <w:right w:val="none" w:sz="0" w:space="0" w:color="auto"/>
          </w:divBdr>
        </w:div>
        <w:div w:id="2060978925">
          <w:marLeft w:val="0"/>
          <w:marRight w:val="0"/>
          <w:marTop w:val="0"/>
          <w:marBottom w:val="336"/>
          <w:divBdr>
            <w:top w:val="none" w:sz="0" w:space="0" w:color="auto"/>
            <w:left w:val="none" w:sz="0" w:space="0" w:color="auto"/>
            <w:bottom w:val="none" w:sz="0" w:space="0" w:color="auto"/>
            <w:right w:val="none" w:sz="0" w:space="0" w:color="auto"/>
          </w:divBdr>
        </w:div>
        <w:div w:id="598607159">
          <w:marLeft w:val="0"/>
          <w:marRight w:val="0"/>
          <w:marTop w:val="0"/>
          <w:marBottom w:val="336"/>
          <w:divBdr>
            <w:top w:val="none" w:sz="0" w:space="0" w:color="auto"/>
            <w:left w:val="none" w:sz="0" w:space="0" w:color="auto"/>
            <w:bottom w:val="none" w:sz="0" w:space="0" w:color="auto"/>
            <w:right w:val="none" w:sz="0" w:space="0" w:color="auto"/>
          </w:divBdr>
        </w:div>
        <w:div w:id="1046757723">
          <w:marLeft w:val="0"/>
          <w:marRight w:val="0"/>
          <w:marTop w:val="0"/>
          <w:marBottom w:val="336"/>
          <w:divBdr>
            <w:top w:val="none" w:sz="0" w:space="0" w:color="auto"/>
            <w:left w:val="none" w:sz="0" w:space="0" w:color="auto"/>
            <w:bottom w:val="none" w:sz="0" w:space="0" w:color="auto"/>
            <w:right w:val="none" w:sz="0" w:space="0" w:color="auto"/>
          </w:divBdr>
          <w:divsChild>
            <w:div w:id="598293944">
              <w:marLeft w:val="0"/>
              <w:marRight w:val="0"/>
              <w:marTop w:val="0"/>
              <w:marBottom w:val="336"/>
              <w:divBdr>
                <w:top w:val="none" w:sz="0" w:space="0" w:color="auto"/>
                <w:left w:val="none" w:sz="0" w:space="0" w:color="auto"/>
                <w:bottom w:val="none" w:sz="0" w:space="0" w:color="auto"/>
                <w:right w:val="none" w:sz="0" w:space="0" w:color="auto"/>
              </w:divBdr>
            </w:div>
            <w:div w:id="1534461659">
              <w:marLeft w:val="0"/>
              <w:marRight w:val="0"/>
              <w:marTop w:val="0"/>
              <w:marBottom w:val="336"/>
              <w:divBdr>
                <w:top w:val="none" w:sz="0" w:space="0" w:color="auto"/>
                <w:left w:val="none" w:sz="0" w:space="0" w:color="auto"/>
                <w:bottom w:val="none" w:sz="0" w:space="0" w:color="auto"/>
                <w:right w:val="none" w:sz="0" w:space="0" w:color="auto"/>
              </w:divBdr>
            </w:div>
            <w:div w:id="2019575982">
              <w:marLeft w:val="0"/>
              <w:marRight w:val="0"/>
              <w:marTop w:val="0"/>
              <w:marBottom w:val="336"/>
              <w:divBdr>
                <w:top w:val="none" w:sz="0" w:space="0" w:color="auto"/>
                <w:left w:val="none" w:sz="0" w:space="0" w:color="auto"/>
                <w:bottom w:val="none" w:sz="0" w:space="0" w:color="auto"/>
                <w:right w:val="none" w:sz="0" w:space="0" w:color="auto"/>
              </w:divBdr>
            </w:div>
            <w:div w:id="1416516392">
              <w:marLeft w:val="0"/>
              <w:marRight w:val="0"/>
              <w:marTop w:val="0"/>
              <w:marBottom w:val="336"/>
              <w:divBdr>
                <w:top w:val="none" w:sz="0" w:space="0" w:color="auto"/>
                <w:left w:val="none" w:sz="0" w:space="0" w:color="auto"/>
                <w:bottom w:val="none" w:sz="0" w:space="0" w:color="auto"/>
                <w:right w:val="none" w:sz="0" w:space="0" w:color="auto"/>
              </w:divBdr>
            </w:div>
            <w:div w:id="1134100752">
              <w:marLeft w:val="0"/>
              <w:marRight w:val="0"/>
              <w:marTop w:val="0"/>
              <w:marBottom w:val="336"/>
              <w:divBdr>
                <w:top w:val="none" w:sz="0" w:space="0" w:color="auto"/>
                <w:left w:val="none" w:sz="0" w:space="0" w:color="auto"/>
                <w:bottom w:val="none" w:sz="0" w:space="0" w:color="auto"/>
                <w:right w:val="none" w:sz="0" w:space="0" w:color="auto"/>
              </w:divBdr>
            </w:div>
            <w:div w:id="1504205519">
              <w:marLeft w:val="0"/>
              <w:marRight w:val="0"/>
              <w:marTop w:val="0"/>
              <w:marBottom w:val="336"/>
              <w:divBdr>
                <w:top w:val="none" w:sz="0" w:space="0" w:color="auto"/>
                <w:left w:val="none" w:sz="0" w:space="0" w:color="auto"/>
                <w:bottom w:val="none" w:sz="0" w:space="0" w:color="auto"/>
                <w:right w:val="none" w:sz="0" w:space="0" w:color="auto"/>
              </w:divBdr>
            </w:div>
            <w:div w:id="1854415896">
              <w:marLeft w:val="0"/>
              <w:marRight w:val="0"/>
              <w:marTop w:val="0"/>
              <w:marBottom w:val="0"/>
              <w:divBdr>
                <w:top w:val="none" w:sz="0" w:space="0" w:color="auto"/>
                <w:left w:val="none" w:sz="0" w:space="0" w:color="auto"/>
                <w:bottom w:val="none" w:sz="0" w:space="0" w:color="auto"/>
                <w:right w:val="none" w:sz="0" w:space="0" w:color="auto"/>
              </w:divBdr>
              <w:divsChild>
                <w:div w:id="1207906918">
                  <w:marLeft w:val="0"/>
                  <w:marRight w:val="0"/>
                  <w:marTop w:val="0"/>
                  <w:marBottom w:val="336"/>
                  <w:divBdr>
                    <w:top w:val="none" w:sz="0" w:space="0" w:color="auto"/>
                    <w:left w:val="none" w:sz="0" w:space="0" w:color="auto"/>
                    <w:bottom w:val="none" w:sz="0" w:space="0" w:color="auto"/>
                    <w:right w:val="none" w:sz="0" w:space="0" w:color="auto"/>
                  </w:divBdr>
                </w:div>
                <w:div w:id="235895643">
                  <w:marLeft w:val="0"/>
                  <w:marRight w:val="0"/>
                  <w:marTop w:val="0"/>
                  <w:marBottom w:val="336"/>
                  <w:divBdr>
                    <w:top w:val="none" w:sz="0" w:space="0" w:color="auto"/>
                    <w:left w:val="none" w:sz="0" w:space="0" w:color="auto"/>
                    <w:bottom w:val="none" w:sz="0" w:space="0" w:color="auto"/>
                    <w:right w:val="none" w:sz="0" w:space="0" w:color="auto"/>
                  </w:divBdr>
                </w:div>
                <w:div w:id="196654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639414">
          <w:marLeft w:val="0"/>
          <w:marRight w:val="0"/>
          <w:marTop w:val="0"/>
          <w:marBottom w:val="336"/>
          <w:divBdr>
            <w:top w:val="none" w:sz="0" w:space="0" w:color="auto"/>
            <w:left w:val="none" w:sz="0" w:space="0" w:color="auto"/>
            <w:bottom w:val="none" w:sz="0" w:space="0" w:color="auto"/>
            <w:right w:val="none" w:sz="0" w:space="0" w:color="auto"/>
          </w:divBdr>
        </w:div>
        <w:div w:id="1025791204">
          <w:marLeft w:val="0"/>
          <w:marRight w:val="0"/>
          <w:marTop w:val="0"/>
          <w:marBottom w:val="336"/>
          <w:divBdr>
            <w:top w:val="none" w:sz="0" w:space="0" w:color="auto"/>
            <w:left w:val="none" w:sz="0" w:space="0" w:color="auto"/>
            <w:bottom w:val="none" w:sz="0" w:space="0" w:color="auto"/>
            <w:right w:val="none" w:sz="0" w:space="0" w:color="auto"/>
          </w:divBdr>
        </w:div>
        <w:div w:id="1089499516">
          <w:marLeft w:val="0"/>
          <w:marRight w:val="0"/>
          <w:marTop w:val="0"/>
          <w:marBottom w:val="336"/>
          <w:divBdr>
            <w:top w:val="none" w:sz="0" w:space="0" w:color="auto"/>
            <w:left w:val="none" w:sz="0" w:space="0" w:color="auto"/>
            <w:bottom w:val="none" w:sz="0" w:space="0" w:color="auto"/>
            <w:right w:val="none" w:sz="0" w:space="0" w:color="auto"/>
          </w:divBdr>
        </w:div>
        <w:div w:id="1192569459">
          <w:marLeft w:val="0"/>
          <w:marRight w:val="0"/>
          <w:marTop w:val="0"/>
          <w:marBottom w:val="336"/>
          <w:divBdr>
            <w:top w:val="none" w:sz="0" w:space="0" w:color="auto"/>
            <w:left w:val="none" w:sz="0" w:space="0" w:color="auto"/>
            <w:bottom w:val="none" w:sz="0" w:space="0" w:color="auto"/>
            <w:right w:val="none" w:sz="0" w:space="0" w:color="auto"/>
          </w:divBdr>
        </w:div>
        <w:div w:id="149366598">
          <w:marLeft w:val="0"/>
          <w:marRight w:val="0"/>
          <w:marTop w:val="0"/>
          <w:marBottom w:val="336"/>
          <w:divBdr>
            <w:top w:val="none" w:sz="0" w:space="0" w:color="auto"/>
            <w:left w:val="none" w:sz="0" w:space="0" w:color="auto"/>
            <w:bottom w:val="none" w:sz="0" w:space="0" w:color="auto"/>
            <w:right w:val="none" w:sz="0" w:space="0" w:color="auto"/>
          </w:divBdr>
        </w:div>
        <w:div w:id="705527741">
          <w:marLeft w:val="0"/>
          <w:marRight w:val="0"/>
          <w:marTop w:val="0"/>
          <w:marBottom w:val="336"/>
          <w:divBdr>
            <w:top w:val="none" w:sz="0" w:space="0" w:color="auto"/>
            <w:left w:val="none" w:sz="0" w:space="0" w:color="auto"/>
            <w:bottom w:val="none" w:sz="0" w:space="0" w:color="auto"/>
            <w:right w:val="none" w:sz="0" w:space="0" w:color="auto"/>
          </w:divBdr>
        </w:div>
        <w:div w:id="640311415">
          <w:marLeft w:val="0"/>
          <w:marRight w:val="0"/>
          <w:marTop w:val="0"/>
          <w:marBottom w:val="336"/>
          <w:divBdr>
            <w:top w:val="none" w:sz="0" w:space="0" w:color="auto"/>
            <w:left w:val="none" w:sz="0" w:space="0" w:color="auto"/>
            <w:bottom w:val="none" w:sz="0" w:space="0" w:color="auto"/>
            <w:right w:val="none" w:sz="0" w:space="0" w:color="auto"/>
          </w:divBdr>
        </w:div>
        <w:div w:id="1401905770">
          <w:marLeft w:val="0"/>
          <w:marRight w:val="0"/>
          <w:marTop w:val="0"/>
          <w:marBottom w:val="336"/>
          <w:divBdr>
            <w:top w:val="none" w:sz="0" w:space="0" w:color="auto"/>
            <w:left w:val="none" w:sz="0" w:space="0" w:color="auto"/>
            <w:bottom w:val="none" w:sz="0" w:space="0" w:color="auto"/>
            <w:right w:val="none" w:sz="0" w:space="0" w:color="auto"/>
          </w:divBdr>
        </w:div>
        <w:div w:id="626662840">
          <w:marLeft w:val="0"/>
          <w:marRight w:val="0"/>
          <w:marTop w:val="0"/>
          <w:marBottom w:val="336"/>
          <w:divBdr>
            <w:top w:val="none" w:sz="0" w:space="0" w:color="auto"/>
            <w:left w:val="none" w:sz="0" w:space="0" w:color="auto"/>
            <w:bottom w:val="none" w:sz="0" w:space="0" w:color="auto"/>
            <w:right w:val="none" w:sz="0" w:space="0" w:color="auto"/>
          </w:divBdr>
        </w:div>
        <w:div w:id="956252826">
          <w:marLeft w:val="0"/>
          <w:marRight w:val="0"/>
          <w:marTop w:val="0"/>
          <w:marBottom w:val="336"/>
          <w:divBdr>
            <w:top w:val="none" w:sz="0" w:space="0" w:color="auto"/>
            <w:left w:val="none" w:sz="0" w:space="0" w:color="auto"/>
            <w:bottom w:val="none" w:sz="0" w:space="0" w:color="auto"/>
            <w:right w:val="none" w:sz="0" w:space="0" w:color="auto"/>
          </w:divBdr>
        </w:div>
        <w:div w:id="386300389">
          <w:marLeft w:val="0"/>
          <w:marRight w:val="0"/>
          <w:marTop w:val="0"/>
          <w:marBottom w:val="336"/>
          <w:divBdr>
            <w:top w:val="none" w:sz="0" w:space="0" w:color="auto"/>
            <w:left w:val="none" w:sz="0" w:space="0" w:color="auto"/>
            <w:bottom w:val="none" w:sz="0" w:space="0" w:color="auto"/>
            <w:right w:val="none" w:sz="0" w:space="0" w:color="auto"/>
          </w:divBdr>
        </w:div>
        <w:div w:id="1604219122">
          <w:marLeft w:val="0"/>
          <w:marRight w:val="0"/>
          <w:marTop w:val="0"/>
          <w:marBottom w:val="336"/>
          <w:divBdr>
            <w:top w:val="none" w:sz="0" w:space="0" w:color="auto"/>
            <w:left w:val="none" w:sz="0" w:space="0" w:color="auto"/>
            <w:bottom w:val="none" w:sz="0" w:space="0" w:color="auto"/>
            <w:right w:val="none" w:sz="0" w:space="0" w:color="auto"/>
          </w:divBdr>
        </w:div>
        <w:div w:id="293218842">
          <w:marLeft w:val="0"/>
          <w:marRight w:val="0"/>
          <w:marTop w:val="0"/>
          <w:marBottom w:val="336"/>
          <w:divBdr>
            <w:top w:val="none" w:sz="0" w:space="0" w:color="auto"/>
            <w:left w:val="none" w:sz="0" w:space="0" w:color="auto"/>
            <w:bottom w:val="none" w:sz="0" w:space="0" w:color="auto"/>
            <w:right w:val="none" w:sz="0" w:space="0" w:color="auto"/>
          </w:divBdr>
        </w:div>
        <w:div w:id="1286623594">
          <w:marLeft w:val="0"/>
          <w:marRight w:val="0"/>
          <w:marTop w:val="0"/>
          <w:marBottom w:val="336"/>
          <w:divBdr>
            <w:top w:val="none" w:sz="0" w:space="0" w:color="auto"/>
            <w:left w:val="none" w:sz="0" w:space="0" w:color="auto"/>
            <w:bottom w:val="none" w:sz="0" w:space="0" w:color="auto"/>
            <w:right w:val="none" w:sz="0" w:space="0" w:color="auto"/>
          </w:divBdr>
        </w:div>
        <w:div w:id="1779639024">
          <w:marLeft w:val="0"/>
          <w:marRight w:val="0"/>
          <w:marTop w:val="0"/>
          <w:marBottom w:val="336"/>
          <w:divBdr>
            <w:top w:val="none" w:sz="0" w:space="0" w:color="auto"/>
            <w:left w:val="none" w:sz="0" w:space="0" w:color="auto"/>
            <w:bottom w:val="none" w:sz="0" w:space="0" w:color="auto"/>
            <w:right w:val="none" w:sz="0" w:space="0" w:color="auto"/>
          </w:divBdr>
        </w:div>
        <w:div w:id="1486044758">
          <w:marLeft w:val="0"/>
          <w:marRight w:val="0"/>
          <w:marTop w:val="0"/>
          <w:marBottom w:val="336"/>
          <w:divBdr>
            <w:top w:val="none" w:sz="0" w:space="0" w:color="auto"/>
            <w:left w:val="none" w:sz="0" w:space="0" w:color="auto"/>
            <w:bottom w:val="none" w:sz="0" w:space="0" w:color="auto"/>
            <w:right w:val="none" w:sz="0" w:space="0" w:color="auto"/>
          </w:divBdr>
        </w:div>
        <w:div w:id="254678149">
          <w:marLeft w:val="0"/>
          <w:marRight w:val="0"/>
          <w:marTop w:val="0"/>
          <w:marBottom w:val="336"/>
          <w:divBdr>
            <w:top w:val="none" w:sz="0" w:space="0" w:color="auto"/>
            <w:left w:val="none" w:sz="0" w:space="0" w:color="auto"/>
            <w:bottom w:val="none" w:sz="0" w:space="0" w:color="auto"/>
            <w:right w:val="none" w:sz="0" w:space="0" w:color="auto"/>
          </w:divBdr>
        </w:div>
        <w:div w:id="1375304005">
          <w:marLeft w:val="0"/>
          <w:marRight w:val="0"/>
          <w:marTop w:val="0"/>
          <w:marBottom w:val="336"/>
          <w:divBdr>
            <w:top w:val="none" w:sz="0" w:space="0" w:color="auto"/>
            <w:left w:val="none" w:sz="0" w:space="0" w:color="auto"/>
            <w:bottom w:val="none" w:sz="0" w:space="0" w:color="auto"/>
            <w:right w:val="none" w:sz="0" w:space="0" w:color="auto"/>
          </w:divBdr>
        </w:div>
        <w:div w:id="1932930872">
          <w:marLeft w:val="0"/>
          <w:marRight w:val="0"/>
          <w:marTop w:val="0"/>
          <w:marBottom w:val="336"/>
          <w:divBdr>
            <w:top w:val="none" w:sz="0" w:space="0" w:color="auto"/>
            <w:left w:val="none" w:sz="0" w:space="0" w:color="auto"/>
            <w:bottom w:val="none" w:sz="0" w:space="0" w:color="auto"/>
            <w:right w:val="none" w:sz="0" w:space="0" w:color="auto"/>
          </w:divBdr>
        </w:div>
        <w:div w:id="2068062335">
          <w:marLeft w:val="0"/>
          <w:marRight w:val="0"/>
          <w:marTop w:val="0"/>
          <w:marBottom w:val="336"/>
          <w:divBdr>
            <w:top w:val="none" w:sz="0" w:space="0" w:color="auto"/>
            <w:left w:val="none" w:sz="0" w:space="0" w:color="auto"/>
            <w:bottom w:val="none" w:sz="0" w:space="0" w:color="auto"/>
            <w:right w:val="none" w:sz="0" w:space="0" w:color="auto"/>
          </w:divBdr>
        </w:div>
        <w:div w:id="1148476403">
          <w:marLeft w:val="0"/>
          <w:marRight w:val="0"/>
          <w:marTop w:val="0"/>
          <w:marBottom w:val="336"/>
          <w:divBdr>
            <w:top w:val="none" w:sz="0" w:space="0" w:color="auto"/>
            <w:left w:val="none" w:sz="0" w:space="0" w:color="auto"/>
            <w:bottom w:val="none" w:sz="0" w:space="0" w:color="auto"/>
            <w:right w:val="none" w:sz="0" w:space="0" w:color="auto"/>
          </w:divBdr>
        </w:div>
        <w:div w:id="641348738">
          <w:marLeft w:val="0"/>
          <w:marRight w:val="0"/>
          <w:marTop w:val="0"/>
          <w:marBottom w:val="336"/>
          <w:divBdr>
            <w:top w:val="none" w:sz="0" w:space="0" w:color="auto"/>
            <w:left w:val="none" w:sz="0" w:space="0" w:color="auto"/>
            <w:bottom w:val="none" w:sz="0" w:space="0" w:color="auto"/>
            <w:right w:val="none" w:sz="0" w:space="0" w:color="auto"/>
          </w:divBdr>
        </w:div>
      </w:divsChild>
    </w:div>
    <w:div w:id="1837455153">
      <w:bodyDiv w:val="1"/>
      <w:marLeft w:val="0"/>
      <w:marRight w:val="0"/>
      <w:marTop w:val="0"/>
      <w:marBottom w:val="0"/>
      <w:divBdr>
        <w:top w:val="none" w:sz="0" w:space="0" w:color="auto"/>
        <w:left w:val="none" w:sz="0" w:space="0" w:color="auto"/>
        <w:bottom w:val="none" w:sz="0" w:space="0" w:color="auto"/>
        <w:right w:val="none" w:sz="0" w:space="0" w:color="auto"/>
      </w:divBdr>
    </w:div>
    <w:div w:id="1845122897">
      <w:bodyDiv w:val="1"/>
      <w:marLeft w:val="0"/>
      <w:marRight w:val="0"/>
      <w:marTop w:val="0"/>
      <w:marBottom w:val="0"/>
      <w:divBdr>
        <w:top w:val="none" w:sz="0" w:space="0" w:color="auto"/>
        <w:left w:val="none" w:sz="0" w:space="0" w:color="auto"/>
        <w:bottom w:val="none" w:sz="0" w:space="0" w:color="auto"/>
        <w:right w:val="none" w:sz="0" w:space="0" w:color="auto"/>
      </w:divBdr>
    </w:div>
    <w:div w:id="1895850068">
      <w:bodyDiv w:val="1"/>
      <w:marLeft w:val="0"/>
      <w:marRight w:val="0"/>
      <w:marTop w:val="0"/>
      <w:marBottom w:val="0"/>
      <w:divBdr>
        <w:top w:val="none" w:sz="0" w:space="0" w:color="auto"/>
        <w:left w:val="none" w:sz="0" w:space="0" w:color="auto"/>
        <w:bottom w:val="none" w:sz="0" w:space="0" w:color="auto"/>
        <w:right w:val="none" w:sz="0" w:space="0" w:color="auto"/>
      </w:divBdr>
    </w:div>
    <w:div w:id="1907762037">
      <w:bodyDiv w:val="1"/>
      <w:marLeft w:val="0"/>
      <w:marRight w:val="0"/>
      <w:marTop w:val="0"/>
      <w:marBottom w:val="0"/>
      <w:divBdr>
        <w:top w:val="none" w:sz="0" w:space="0" w:color="auto"/>
        <w:left w:val="none" w:sz="0" w:space="0" w:color="auto"/>
        <w:bottom w:val="none" w:sz="0" w:space="0" w:color="auto"/>
        <w:right w:val="none" w:sz="0" w:space="0" w:color="auto"/>
      </w:divBdr>
    </w:div>
    <w:div w:id="1915510702">
      <w:bodyDiv w:val="1"/>
      <w:marLeft w:val="0"/>
      <w:marRight w:val="0"/>
      <w:marTop w:val="0"/>
      <w:marBottom w:val="0"/>
      <w:divBdr>
        <w:top w:val="none" w:sz="0" w:space="0" w:color="auto"/>
        <w:left w:val="none" w:sz="0" w:space="0" w:color="auto"/>
        <w:bottom w:val="none" w:sz="0" w:space="0" w:color="auto"/>
        <w:right w:val="none" w:sz="0" w:space="0" w:color="auto"/>
      </w:divBdr>
    </w:div>
    <w:div w:id="1918051059">
      <w:bodyDiv w:val="1"/>
      <w:marLeft w:val="0"/>
      <w:marRight w:val="0"/>
      <w:marTop w:val="0"/>
      <w:marBottom w:val="0"/>
      <w:divBdr>
        <w:top w:val="none" w:sz="0" w:space="0" w:color="auto"/>
        <w:left w:val="none" w:sz="0" w:space="0" w:color="auto"/>
        <w:bottom w:val="none" w:sz="0" w:space="0" w:color="auto"/>
        <w:right w:val="none" w:sz="0" w:space="0" w:color="auto"/>
      </w:divBdr>
    </w:div>
    <w:div w:id="1923445248">
      <w:bodyDiv w:val="1"/>
      <w:marLeft w:val="0"/>
      <w:marRight w:val="0"/>
      <w:marTop w:val="0"/>
      <w:marBottom w:val="0"/>
      <w:divBdr>
        <w:top w:val="none" w:sz="0" w:space="0" w:color="auto"/>
        <w:left w:val="none" w:sz="0" w:space="0" w:color="auto"/>
        <w:bottom w:val="none" w:sz="0" w:space="0" w:color="auto"/>
        <w:right w:val="none" w:sz="0" w:space="0" w:color="auto"/>
      </w:divBdr>
    </w:div>
    <w:div w:id="1927497935">
      <w:bodyDiv w:val="1"/>
      <w:marLeft w:val="0"/>
      <w:marRight w:val="0"/>
      <w:marTop w:val="0"/>
      <w:marBottom w:val="0"/>
      <w:divBdr>
        <w:top w:val="none" w:sz="0" w:space="0" w:color="auto"/>
        <w:left w:val="none" w:sz="0" w:space="0" w:color="auto"/>
        <w:bottom w:val="none" w:sz="0" w:space="0" w:color="auto"/>
        <w:right w:val="none" w:sz="0" w:space="0" w:color="auto"/>
      </w:divBdr>
    </w:div>
    <w:div w:id="1978143219">
      <w:bodyDiv w:val="1"/>
      <w:marLeft w:val="0"/>
      <w:marRight w:val="0"/>
      <w:marTop w:val="0"/>
      <w:marBottom w:val="0"/>
      <w:divBdr>
        <w:top w:val="none" w:sz="0" w:space="0" w:color="auto"/>
        <w:left w:val="none" w:sz="0" w:space="0" w:color="auto"/>
        <w:bottom w:val="none" w:sz="0" w:space="0" w:color="auto"/>
        <w:right w:val="none" w:sz="0" w:space="0" w:color="auto"/>
      </w:divBdr>
    </w:div>
    <w:div w:id="1983149521">
      <w:bodyDiv w:val="1"/>
      <w:marLeft w:val="0"/>
      <w:marRight w:val="0"/>
      <w:marTop w:val="0"/>
      <w:marBottom w:val="0"/>
      <w:divBdr>
        <w:top w:val="none" w:sz="0" w:space="0" w:color="auto"/>
        <w:left w:val="none" w:sz="0" w:space="0" w:color="auto"/>
        <w:bottom w:val="none" w:sz="0" w:space="0" w:color="auto"/>
        <w:right w:val="none" w:sz="0" w:space="0" w:color="auto"/>
      </w:divBdr>
    </w:div>
    <w:div w:id="1991902464">
      <w:bodyDiv w:val="1"/>
      <w:marLeft w:val="0"/>
      <w:marRight w:val="0"/>
      <w:marTop w:val="0"/>
      <w:marBottom w:val="0"/>
      <w:divBdr>
        <w:top w:val="none" w:sz="0" w:space="0" w:color="auto"/>
        <w:left w:val="none" w:sz="0" w:space="0" w:color="auto"/>
        <w:bottom w:val="none" w:sz="0" w:space="0" w:color="auto"/>
        <w:right w:val="none" w:sz="0" w:space="0" w:color="auto"/>
      </w:divBdr>
    </w:div>
    <w:div w:id="1992059398">
      <w:bodyDiv w:val="1"/>
      <w:marLeft w:val="0"/>
      <w:marRight w:val="0"/>
      <w:marTop w:val="0"/>
      <w:marBottom w:val="0"/>
      <w:divBdr>
        <w:top w:val="none" w:sz="0" w:space="0" w:color="auto"/>
        <w:left w:val="none" w:sz="0" w:space="0" w:color="auto"/>
        <w:bottom w:val="none" w:sz="0" w:space="0" w:color="auto"/>
        <w:right w:val="none" w:sz="0" w:space="0" w:color="auto"/>
      </w:divBdr>
    </w:div>
    <w:div w:id="1992126729">
      <w:bodyDiv w:val="1"/>
      <w:marLeft w:val="0"/>
      <w:marRight w:val="0"/>
      <w:marTop w:val="0"/>
      <w:marBottom w:val="0"/>
      <w:divBdr>
        <w:top w:val="none" w:sz="0" w:space="0" w:color="auto"/>
        <w:left w:val="none" w:sz="0" w:space="0" w:color="auto"/>
        <w:bottom w:val="none" w:sz="0" w:space="0" w:color="auto"/>
        <w:right w:val="none" w:sz="0" w:space="0" w:color="auto"/>
      </w:divBdr>
    </w:div>
    <w:div w:id="2011173937">
      <w:bodyDiv w:val="1"/>
      <w:marLeft w:val="0"/>
      <w:marRight w:val="0"/>
      <w:marTop w:val="0"/>
      <w:marBottom w:val="0"/>
      <w:divBdr>
        <w:top w:val="none" w:sz="0" w:space="0" w:color="auto"/>
        <w:left w:val="none" w:sz="0" w:space="0" w:color="auto"/>
        <w:bottom w:val="none" w:sz="0" w:space="0" w:color="auto"/>
        <w:right w:val="none" w:sz="0" w:space="0" w:color="auto"/>
      </w:divBdr>
    </w:div>
    <w:div w:id="2012172653">
      <w:bodyDiv w:val="1"/>
      <w:marLeft w:val="0"/>
      <w:marRight w:val="0"/>
      <w:marTop w:val="0"/>
      <w:marBottom w:val="0"/>
      <w:divBdr>
        <w:top w:val="none" w:sz="0" w:space="0" w:color="auto"/>
        <w:left w:val="none" w:sz="0" w:space="0" w:color="auto"/>
        <w:bottom w:val="none" w:sz="0" w:space="0" w:color="auto"/>
        <w:right w:val="none" w:sz="0" w:space="0" w:color="auto"/>
      </w:divBdr>
    </w:div>
    <w:div w:id="2031450984">
      <w:bodyDiv w:val="1"/>
      <w:marLeft w:val="0"/>
      <w:marRight w:val="0"/>
      <w:marTop w:val="0"/>
      <w:marBottom w:val="0"/>
      <w:divBdr>
        <w:top w:val="none" w:sz="0" w:space="0" w:color="auto"/>
        <w:left w:val="none" w:sz="0" w:space="0" w:color="auto"/>
        <w:bottom w:val="none" w:sz="0" w:space="0" w:color="auto"/>
        <w:right w:val="none" w:sz="0" w:space="0" w:color="auto"/>
      </w:divBdr>
    </w:div>
    <w:div w:id="2047096170">
      <w:bodyDiv w:val="1"/>
      <w:marLeft w:val="0"/>
      <w:marRight w:val="0"/>
      <w:marTop w:val="0"/>
      <w:marBottom w:val="0"/>
      <w:divBdr>
        <w:top w:val="none" w:sz="0" w:space="0" w:color="auto"/>
        <w:left w:val="none" w:sz="0" w:space="0" w:color="auto"/>
        <w:bottom w:val="none" w:sz="0" w:space="0" w:color="auto"/>
        <w:right w:val="none" w:sz="0" w:space="0" w:color="auto"/>
      </w:divBdr>
    </w:div>
    <w:div w:id="2049138127">
      <w:bodyDiv w:val="1"/>
      <w:marLeft w:val="0"/>
      <w:marRight w:val="0"/>
      <w:marTop w:val="0"/>
      <w:marBottom w:val="0"/>
      <w:divBdr>
        <w:top w:val="none" w:sz="0" w:space="0" w:color="auto"/>
        <w:left w:val="none" w:sz="0" w:space="0" w:color="auto"/>
        <w:bottom w:val="none" w:sz="0" w:space="0" w:color="auto"/>
        <w:right w:val="none" w:sz="0" w:space="0" w:color="auto"/>
      </w:divBdr>
    </w:div>
    <w:div w:id="2057003484">
      <w:bodyDiv w:val="1"/>
      <w:marLeft w:val="0"/>
      <w:marRight w:val="0"/>
      <w:marTop w:val="0"/>
      <w:marBottom w:val="0"/>
      <w:divBdr>
        <w:top w:val="none" w:sz="0" w:space="0" w:color="auto"/>
        <w:left w:val="none" w:sz="0" w:space="0" w:color="auto"/>
        <w:bottom w:val="none" w:sz="0" w:space="0" w:color="auto"/>
        <w:right w:val="none" w:sz="0" w:space="0" w:color="auto"/>
      </w:divBdr>
    </w:div>
    <w:div w:id="2075547393">
      <w:bodyDiv w:val="1"/>
      <w:marLeft w:val="0"/>
      <w:marRight w:val="0"/>
      <w:marTop w:val="0"/>
      <w:marBottom w:val="0"/>
      <w:divBdr>
        <w:top w:val="none" w:sz="0" w:space="0" w:color="auto"/>
        <w:left w:val="none" w:sz="0" w:space="0" w:color="auto"/>
        <w:bottom w:val="none" w:sz="0" w:space="0" w:color="auto"/>
        <w:right w:val="none" w:sz="0" w:space="0" w:color="auto"/>
      </w:divBdr>
    </w:div>
    <w:div w:id="2112241551">
      <w:bodyDiv w:val="1"/>
      <w:marLeft w:val="0"/>
      <w:marRight w:val="0"/>
      <w:marTop w:val="0"/>
      <w:marBottom w:val="0"/>
      <w:divBdr>
        <w:top w:val="none" w:sz="0" w:space="0" w:color="auto"/>
        <w:left w:val="none" w:sz="0" w:space="0" w:color="auto"/>
        <w:bottom w:val="none" w:sz="0" w:space="0" w:color="auto"/>
        <w:right w:val="none" w:sz="0" w:space="0" w:color="auto"/>
      </w:divBdr>
    </w:div>
    <w:div w:id="2115591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6" ma:contentTypeDescription="Create a new document." ma:contentTypeScope="" ma:versionID="2efdf175b2dc91d236631f748b62aa57">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2fe24e38ba734f032151a3eaacea1259"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OCR"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Off10</b:Tag>
    <b:SourceType>DocumentFromInternetSite</b:SourceType>
    <b:Guid>{9F9146E8-9EA4-4057-81F2-A7C87C1DC052}</b:Guid>
    <b:Author>
      <b:Author>
        <b:NameList>
          <b:Person>
            <b:Last>Office</b:Last>
            <b:First>Cabinet</b:First>
          </b:Person>
        </b:NameList>
      </b:Author>
    </b:Author>
    <b:Title>GOV.UK</b:Title>
    <b:Year>2010</b:Year>
    <b:Month>April</b:Month>
    <b:URL>https://www.gov.uk/government/publications/emergency-response-and-recovery</b:URL>
    <b:RefOrder>15</b:RefOrder>
  </b:Source>
  <b:Source>
    <b:Tag>Car18</b:Tag>
    <b:SourceType>DocumentFromInternetSite</b:SourceType>
    <b:Guid>{BD3D55B1-F1C7-4A71-8F1F-4B4526E42795}</b:Guid>
    <b:Author>
      <b:Author>
        <b:NameList>
          <b:Person>
            <b:Last>Carwyn Jones</b:Last>
            <b:First>First</b:First>
            <b:Middle>Minister</b:Middle>
          </b:Person>
        </b:NameList>
      </b:Author>
    </b:Author>
    <b:Title>Written Statement - The Transfer of Executive Functions under Part 1 of the Civil Contingencies Act 2004</b:Title>
    <b:InternetSiteTitle>Welsh Government  </b:InternetSiteTitle>
    <b:Year>2018</b:Year>
    <b:Month>June </b:Month>
    <b:URL>https://www.gov.wales/written-statement-transfer-executive-functions-under-part-1-civil-contingencies-act-2004</b:URL>
    <b:RefOrder>9</b:RefOrder>
  </b:Source>
  <b:Source>
    <b:Tag>Cab13</b:Tag>
    <b:SourceType>DocumentFromInternetSite</b:SourceType>
    <b:Guid>{3699F82B-D02A-4583-9F64-9580AE0AD8D4}</b:Guid>
    <b:InternetSiteTitle>GOV.UK</b:InternetSiteTitle>
    <b:Year>2013</b:Year>
    <b:Month>October</b:Month>
    <b:Day>29</b:Day>
    <b:URL>https://www.gov.uk/government/publications/emergency-response-and-recovery</b:URL>
    <b:Author>
      <b:Author>
        <b:NameList>
          <b:Person>
            <b:Last>Office</b:Last>
            <b:First>Cabinet</b:First>
          </b:Person>
        </b:NameList>
      </b:Author>
    </b:Author>
    <b:RefOrder>4</b:RefOrder>
  </b:Source>
  <b:Source>
    <b:Tag>Cab12</b:Tag>
    <b:SourceType>DocumentFromInternetSite</b:SourceType>
    <b:Guid>{8D2972D8-5700-4DD7-9CA6-68311B47525D}</b:Guid>
    <b:Author>
      <b:Author>
        <b:NameList>
          <b:Person>
            <b:Last>Office</b:Last>
            <b:First>Cabinet</b:First>
          </b:Person>
        </b:NameList>
      </b:Author>
    </b:Author>
    <b:Title>Civil Contingencies Act Enhancement Programme</b:Title>
    <b:Year>2012</b:Year>
    <b:Month>March </b:Month>
    <b:URL>https://covid19.public-inquiry.uk/wp-content/uploads/2023/07/24101656/INQ000055887.pdf</b:URL>
    <b:RefOrder>2</b:RefOrder>
  </b:Source>
  <b:Source>
    <b:Tag>Cab131</b:Tag>
    <b:SourceType>DocumentFromInternetSite</b:SourceType>
    <b:Guid>{8566B4BC-57C9-49AC-9388-02F64D759142}</b:Guid>
    <b:Author>
      <b:Author>
        <b:NameList>
          <b:Person>
            <b:Last>Office</b:Last>
            <b:First>Cabinet</b:First>
          </b:Person>
        </b:NameList>
      </b:Author>
    </b:Author>
    <b:Title>Preparation and planning for emergencies: responsibilities of responder agencies and others</b:Title>
    <b:InternetSiteTitle>GOV.UK</b:InternetSiteTitle>
    <b:Year>2013</b:Year>
    <b:Month>February</b:Month>
    <b:Day>20</b:Day>
    <b:URL>https://www.gov.uk/guidance/preparation-and-planning-for-emergencies-responsibilities-of-responder-agencies-and-others</b:URL>
    <b:RefOrder>5</b:RefOrder>
  </b:Source>
  <b:Source>
    <b:Tag>Cab11</b:Tag>
    <b:SourceType>DocumentFromInternetSite</b:SourceType>
    <b:Guid>{54120547-CA7D-467B-9468-F0356F1A86EC}</b:Guid>
    <b:Author>
      <b:Author>
        <b:NameList>
          <b:Person>
            <b:Last>Office</b:Last>
            <b:First>Cabinet</b:First>
          </b:Person>
        </b:NameList>
      </b:Author>
    </b:Author>
    <b:Title>Civil Contingencies Act 2004: concordat between the UK government and the Welsh government</b:Title>
    <b:InternetSiteTitle>GOV.UK</b:InternetSiteTitle>
    <b:Year>2011</b:Year>
    <b:Month>February</b:Month>
    <b:Day>9</b:Day>
    <b:URL>https://www.gov.uk/government/publications/civil-contingencies-act-2004-concordat-between-the-uk-government-and-the-welsh-government</b:URL>
    <b:RefOrder>6</b:RefOrder>
  </b:Source>
  <b:Source>
    <b:Tag>Car181</b:Tag>
    <b:SourceType>DocumentFromInternetSite</b:SourceType>
    <b:Guid>{98AD8A98-F4E8-4C2C-9B4C-9050A8EB9143}</b:Guid>
    <b:Author>
      <b:Author>
        <b:NameList>
          <b:Person>
            <b:Last>Carwyn Jones</b:Last>
            <b:First>First</b:First>
            <b:Middle>Minister</b:Middle>
          </b:Person>
        </b:NameList>
      </b:Author>
    </b:Author>
    <b:Title>Written Statement - The Transfer of Executive Functions under Part 1 of the Civil Contingencies Act 2004</b:Title>
    <b:InternetSiteTitle>Welsh Government </b:InternetSiteTitle>
    <b:Year>2018</b:Year>
    <b:Month>June</b:Month>
    <b:Day>29</b:Day>
    <b:URL>https://www.gov.wales/written-statement-transfer-executive-functions-under-part-1-civil-contingencies-act-2004</b:URL>
    <b:RefOrder>7</b:RefOrder>
  </b:Source>
  <b:Source>
    <b:Tag>Cab111</b:Tag>
    <b:SourceType>DocumentFromInternetSite</b:SourceType>
    <b:Guid>{270C6293-2A53-48D2-8847-61661FA416C8}</b:Guid>
    <b:Author>
      <b:Author>
        <b:NameList>
          <b:Person>
            <b:Last>Office</b:Last>
            <b:First>Cabinet</b:First>
          </b:Person>
        </b:NameList>
      </b:Author>
    </b:Author>
    <b:Title>Civil Contingencies Act 2004: concordat between the UK government and the Welsh government</b:Title>
    <b:InternetSiteTitle>GOV.UK</b:InternetSiteTitle>
    <b:Year>2011</b:Year>
    <b:Month>February</b:Month>
    <b:Day>9</b:Day>
    <b:URL>https://www.gov.uk/government/publications/civil-contingencies-act-2004-concordat-between-the-uk-government-and-the-welsh-government</b:URL>
    <b:RefOrder>8</b:RefOrder>
  </b:Source>
  <b:Source>
    <b:Tag>Rep17</b:Tag>
    <b:SourceType>DocumentFromInternetSite</b:SourceType>
    <b:Guid>{5DDC8F22-FB9E-4770-8745-B5C3E75D7BF7}</b:Guid>
    <b:Title>Report of the Post Implementation Review of the CCA 2004 Regulations 2005</b:Title>
    <b:Year>2017</b:Year>
    <b:Month>March</b:Month>
    <b:URL>https://assets.publishing.service.gov.uk/media/5a82c15340f0b6230269c879/post_implementation_review_civil_contingencies_act__print.pdf</b:URL>
    <b:RefOrder>10</b:RefOrder>
  </b:Source>
  <b:Source>
    <b:Tag>Cab22</b:Tag>
    <b:SourceType>DocumentFromInternetSite</b:SourceType>
    <b:Guid>{D1E276F3-7E2A-4D0F-A772-2498B7FA8C8D}</b:Guid>
    <b:Author>
      <b:Author>
        <b:NameList>
          <b:Person>
            <b:Last>Office</b:Last>
            <b:First>Cabinet</b:First>
          </b:Person>
        </b:NameList>
      </b:Author>
    </b:Author>
    <b:Title>Civil Contingencies Act Post Implementation Review 2022</b:Title>
    <b:Year>2022</b:Year>
    <b:Month>March</b:Month>
    <b:Day>29</b:Day>
    <b:URL>https://assets.publishing.service.gov.uk/media/6283a1a6d3bf7f1f3ef4838d/cca-pir-2022.pdf</b:URL>
    <b:RefOrder>11</b:RefOrder>
  </b:Source>
  <b:Source>
    <b:Tag>Swa17</b:Tag>
    <b:SourceType>Report</b:SourceType>
    <b:Guid>{235ABC0B-8420-4F25-AF03-9367FA316960}</b:Guid>
    <b:Author>
      <b:Author>
        <b:NameList>
          <b:Person>
            <b:Last>Board</b:Last>
            <b:First>Swansea</b:First>
            <b:Middle>Bay University Health</b:Middle>
          </b:Person>
        </b:NameList>
      </b:Author>
    </b:Author>
    <b:Title>Health Emergency Planning Annual Report for 2017</b:Title>
    <b:Year>2017</b:Year>
    <b:Publisher>Welsh Government </b:Publisher>
    <b:RefOrder>14</b:RefOrder>
  </b:Source>
  <b:Source>
    <b:Tag>Kar23</b:Tag>
    <b:SourceType>Misc</b:SourceType>
    <b:Guid>{D662CE93-4BAB-4118-BB0C-FDFEF9110EAB}</b:Guid>
    <b:Title>Emergency Preparedness Resilience and Response, (EPRR) Awareness Session</b:Title>
    <b:Year>2023</b:Year>
    <b:Author>
      <b:Author>
        <b:NameList>
          <b:Person>
            <b:Last>Karen Jones</b:Last>
            <b:First>Head</b:First>
            <b:Middle>of EPRR for Swansea Bay University Health Board</b:Middle>
          </b:Person>
        </b:NameList>
      </b:Author>
    </b:Author>
    <b:RefOrder>13</b:RefOrder>
  </b:Source>
  <b:Source>
    <b:Tag>HmG23</b:Tag>
    <b:SourceType>DocumentFromInternetSite</b:SourceType>
    <b:Guid>{FF40BFCF-3BFC-4B40-877F-694AA1EAB2FC}</b:Guid>
    <b:Title>National Risk Register 2023 edition</b:Title>
    <b:Year>2023</b:Year>
    <b:Author>
      <b:Author>
        <b:NameList>
          <b:Person>
            <b:Last>Government</b:Last>
            <b:First>Hm</b:First>
          </b:Person>
        </b:NameList>
      </b:Author>
    </b:Author>
    <b:URL>https://assets.publishing.service.gov.uk/media/64ca1dfe19f5622669f3c1b1/2023_NATIONAL_RISK_REGISTER_NRR.pdf</b:URL>
    <b:InternetSiteTitle>National Risk Register 2023 edition</b:InternetSiteTitle>
    <b:RefOrder>3</b:RefOrder>
  </b:Source>
  <b:Source>
    <b:Tag>Cab132</b:Tag>
    <b:SourceType>DocumentFromInternetSite</b:SourceType>
    <b:Guid>{75DD555E-A6B3-4C13-AB5F-981C874814D5}</b:Guid>
    <b:Author>
      <b:Author>
        <b:NameList>
          <b:Person>
            <b:Last>Office</b:Last>
            <b:First>Cabinet</b:First>
          </b:Person>
        </b:NameList>
      </b:Author>
    </b:Author>
    <b:Title>Emergency Response and Recovery </b:Title>
    <b:Year>2013</b:Year>
    <b:Month>February</b:Month>
    <b:Day>20</b:Day>
    <b:URL>https://www.gov.uk/guidance/emergency-response-and-recovery</b:URL>
    <b:RefOrder>1</b:RefOrder>
  </b:Source>
  <b:Source>
    <b:Tag>Civ</b:Tag>
    <b:SourceType>DocumentFromInternetSite</b:SourceType>
    <b:Guid>{DD73B32F-DAD1-43EA-8A06-870E60A9C5B9}</b:Guid>
    <b:Title>Civil Contingencies Act 2004</b:Title>
    <b:URL>https://www.legislation.gov.uk/ukpga/2004/36/notes</b:URL>
    <b:RefOrder>12</b:RefOrder>
  </b:Source>
</b:Sources>
</file>

<file path=customXml/itemProps1.xml><?xml version="1.0" encoding="utf-8"?>
<ds:datastoreItem xmlns:ds="http://schemas.openxmlformats.org/officeDocument/2006/customXml" ds:itemID="{4505CD68-B954-436C-BC37-B903C14790D1}">
  <ds:schemaRefs>
    <ds:schemaRef ds:uri="http://schemas.microsoft.com/office/2006/metadata/properties"/>
    <ds:schemaRef ds:uri="http://schemas.microsoft.com/office/infopath/2007/PartnerControls"/>
    <ds:schemaRef ds:uri="2795bbee-07b4-4e79-98d8-0419d9871cad"/>
  </ds:schemaRefs>
</ds:datastoreItem>
</file>

<file path=customXml/itemProps2.xml><?xml version="1.0" encoding="utf-8"?>
<ds:datastoreItem xmlns:ds="http://schemas.openxmlformats.org/officeDocument/2006/customXml" ds:itemID="{379D85AB-1E3B-4BCE-9826-EB64B29CC1BD}">
  <ds:schemaRefs>
    <ds:schemaRef ds:uri="http://schemas.microsoft.com/sharepoint/v3/contenttype/forms"/>
  </ds:schemaRefs>
</ds:datastoreItem>
</file>

<file path=customXml/itemProps3.xml><?xml version="1.0" encoding="utf-8"?>
<ds:datastoreItem xmlns:ds="http://schemas.openxmlformats.org/officeDocument/2006/customXml" ds:itemID="{313F028E-0616-4A5E-94F0-D5AF34BFE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0B712F-718B-4424-92D8-45F3B30BB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16</Pages>
  <Words>6403</Words>
  <Characters>36499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42817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ca006521</dc:creator>
  <cp:keywords/>
  <dc:description/>
  <cp:lastModifiedBy>Rebecca Parcell (Swansea Bay UHB - Hospital Operations )</cp:lastModifiedBy>
  <cp:revision>159</cp:revision>
  <cp:lastPrinted>2022-08-23T15:57:00Z</cp:lastPrinted>
  <dcterms:created xsi:type="dcterms:W3CDTF">2024-01-10T14:12:00Z</dcterms:created>
  <dcterms:modified xsi:type="dcterms:W3CDTF">2024-01-12T12:17:00Z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