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197C" w:rsidRDefault="00221D0F">
      <w:pPr>
        <w:rPr>
          <w:u w:val="single"/>
        </w:rPr>
      </w:pPr>
      <w:r w:rsidRPr="00221D0F">
        <w:rPr>
          <w:u w:val="single"/>
        </w:rPr>
        <w:t xml:space="preserve">'The Pharisees helped to preserve that which was best in Judaism'. Comment on this description and assess the significance of the Pharisees </w:t>
      </w:r>
      <w:r w:rsidR="002213FA">
        <w:rPr>
          <w:u w:val="single"/>
        </w:rPr>
        <w:t xml:space="preserve">for the Jewish faith. </w:t>
      </w:r>
      <w:r w:rsidRPr="00221D0F">
        <w:rPr>
          <w:u w:val="single"/>
        </w:rPr>
        <w:t xml:space="preserve"> </w:t>
      </w:r>
    </w:p>
    <w:p w:rsidR="0000685F" w:rsidRPr="00191A71" w:rsidRDefault="0018631F">
      <w:r w:rsidRPr="00191A71">
        <w:t xml:space="preserve">This essay will be discussing and evaluating the role of the Pharisees within the Jewish faith and the significance of the contributions that they have made. This essay will do that by first looking the destruction of the second Temple in 70CE and the narratives that can be found on the Pharisees prior to the destruction of the Temple and what issues arise from these narratives. The essay will then look at the origin </w:t>
      </w:r>
      <w:r w:rsidR="000C2A39" w:rsidRPr="00191A71">
        <w:t xml:space="preserve">and nature </w:t>
      </w:r>
      <w:r w:rsidRPr="00191A71">
        <w:t xml:space="preserve">of the Pharisees and their relation to other </w:t>
      </w:r>
      <w:r w:rsidR="000C2A39" w:rsidRPr="00191A71">
        <w:t>sects and religious societies in</w:t>
      </w:r>
      <w:r w:rsidRPr="00191A71">
        <w:t xml:space="preserve"> the</w:t>
      </w:r>
      <w:r w:rsidR="000C2A39" w:rsidRPr="00191A71">
        <w:t>ir</w:t>
      </w:r>
      <w:r w:rsidRPr="00191A71">
        <w:t xml:space="preserve"> time.</w:t>
      </w:r>
      <w:r w:rsidR="000C2A39" w:rsidRPr="00191A71">
        <w:t xml:space="preserve"> This piece of work will then go on to look at the contributions that the Pharisees presented to Judaism and their significance to the Jewish people, especially after the destruction of the Temple. To conduct this essay the main sources that will be used are </w:t>
      </w:r>
      <w:r w:rsidR="00AD0334">
        <w:t xml:space="preserve">Lloyd Jones’s book </w:t>
      </w:r>
      <w:r w:rsidR="00E23026">
        <w:t>‘The bones of Joseph’</w:t>
      </w:r>
      <w:r w:rsidR="00E23026">
        <w:rPr>
          <w:rStyle w:val="FootnoteReference"/>
        </w:rPr>
        <w:footnoteReference w:id="1"/>
      </w:r>
      <w:r w:rsidR="00E23026">
        <w:t xml:space="preserve"> and </w:t>
      </w:r>
      <w:r w:rsidR="00374115">
        <w:t>Jacob Neusner’s book ‘Judaism in the beginning of Christianity’.</w:t>
      </w:r>
      <w:r w:rsidR="00374115">
        <w:rPr>
          <w:rStyle w:val="FootnoteReference"/>
        </w:rPr>
        <w:footnoteReference w:id="2"/>
      </w:r>
    </w:p>
    <w:p w:rsidR="00D10D64" w:rsidRDefault="001762DF" w:rsidP="001762DF">
      <w:r w:rsidRPr="001762DF">
        <w:t>One of the single most important events that occurred in Jewish history was the destruction of the destruction of the second Temple by the Romans in 70CE. It divided the majority of the Jewish communities not only because of the political bases that came from the Temple but also because the majority of Jewish life and worship was c</w:t>
      </w:r>
      <w:r>
        <w:t xml:space="preserve">entred on the Temple. Although </w:t>
      </w:r>
      <w:r w:rsidRPr="001762DF">
        <w:t xml:space="preserve">there were some groups that broke away and focused </w:t>
      </w:r>
      <w:r>
        <w:t xml:space="preserve">on </w:t>
      </w:r>
      <w:r w:rsidRPr="001762DF">
        <w:t xml:space="preserve">life away from the </w:t>
      </w:r>
      <w:r>
        <w:t>T</w:t>
      </w:r>
      <w:r w:rsidRPr="001762DF">
        <w:t>emple</w:t>
      </w:r>
      <w:r>
        <w:t xml:space="preserve">, for the masses </w:t>
      </w:r>
      <w:r w:rsidR="00D10D64">
        <w:t xml:space="preserve">it was the gateway between the earth and God. </w:t>
      </w:r>
      <w:r w:rsidR="004B28C6">
        <w:t xml:space="preserve"> </w:t>
      </w:r>
    </w:p>
    <w:p w:rsidR="004B28C6" w:rsidRDefault="00D053DA" w:rsidP="001762DF">
      <w:r>
        <w:t>The rebellion of the Jews against the occupying forces of the Roman Empire came to a head with the declaration of complete war in 66 CE. This war brought an end to the Jewish nation until the reestablishment of Israel in 1948.</w:t>
      </w:r>
      <w:r>
        <w:rPr>
          <w:rStyle w:val="FootnoteReference"/>
        </w:rPr>
        <w:footnoteReference w:id="3"/>
      </w:r>
      <w:r>
        <w:t xml:space="preserve"> The main historical sources regarding the revolt came from a man called Flavius Josephus who was descended from a Hasmonean family and became a Pharisee, and who also took part in the Jewish war as a general. The relationship between the Roman Empire and the Jewish nation was tense since the start of the occupation in 63 BCE, since which the nation had been governed by client kings and procurators. Due to a deep set history and Jewish nationalism, the Jews never completely</w:t>
      </w:r>
      <w:r w:rsidR="00E83B80">
        <w:t xml:space="preserve"> submitted to the foreign power and were committed to defending the Temple, however they only rebelled when Jewish beliefs and practices were at risk. </w:t>
      </w:r>
    </w:p>
    <w:p w:rsidR="00E83B80" w:rsidRDefault="009A3015" w:rsidP="001762DF">
      <w:r>
        <w:t xml:space="preserve">The Jewish war is divided into five parts; the first is the outbreak of rebellion around and in Jerusalem in 66 CE, next the military operations that occurred within Peraea and Galilee during 66 to 68 CE, the end of hostility during the turbulence in Rome from 68 to 69 CE, the siege and the ultimate destruction of Jerusalem by Titus in 70 CE and finally in 73 CE the final attacks on the last strongholds until </w:t>
      </w:r>
      <w:r w:rsidR="00B046AA">
        <w:t>the last one fell.</w:t>
      </w:r>
      <w:r w:rsidR="00B046AA">
        <w:rPr>
          <w:rStyle w:val="FootnoteReference"/>
        </w:rPr>
        <w:footnoteReference w:id="4"/>
      </w:r>
    </w:p>
    <w:p w:rsidR="009A3015" w:rsidRPr="001762DF" w:rsidRDefault="009A3015" w:rsidP="001762DF">
      <w:r>
        <w:t>After the destruction of Jerusal</w:t>
      </w:r>
      <w:r w:rsidR="00B046AA">
        <w:t>em after the war with the Rome</w:t>
      </w:r>
      <w:r>
        <w:t>, the Jewish land was sold and what was left of Jerusalem was garrisoned by</w:t>
      </w:r>
      <w:r w:rsidR="00B046AA">
        <w:t xml:space="preserve"> Romans. The most significant of the aftermath of the war was the destruction of the second temple. After this all occurred Judaism was significantly changed as it became impossible to follow the traditions that had been adhered to in the past relating to the Jewish land and Temple. A new rabbinic school was established in </w:t>
      </w:r>
      <w:r w:rsidR="000974D1">
        <w:t>Yavneh which became the new centre for the teaching and study of the Torah. Despite the Sadducees and the ruling class priest all but vanishing after the destruction of the Temple, the power of the Pharisees only grew.</w:t>
      </w:r>
      <w:r w:rsidR="000974D1">
        <w:rPr>
          <w:rStyle w:val="FootnoteReference"/>
        </w:rPr>
        <w:footnoteReference w:id="5"/>
      </w:r>
      <w:r w:rsidR="000974D1">
        <w:t xml:space="preserve"> </w:t>
      </w:r>
    </w:p>
    <w:p w:rsidR="003F3DDE" w:rsidRDefault="00510187" w:rsidP="00510187">
      <w:r>
        <w:lastRenderedPageBreak/>
        <w:t>There are three separate sources of information regarding the Pharisees before the destruction of the Temple. The first source of information is the historian Josephus who between the times of 75 to</w:t>
      </w:r>
      <w:r w:rsidR="00D31B42">
        <w:t xml:space="preserve"> 100 CE wrote about the beginnings of the Jews all the way to the destruction of the Temple which included the war </w:t>
      </w:r>
      <w:r w:rsidR="00F657AA">
        <w:t xml:space="preserve">against the Romans. </w:t>
      </w:r>
      <w:r w:rsidR="00830A1B">
        <w:t>The Pharisees appealed to Josephus the most and although he lived with the Essenes for three years and had great respect for them, it was ultimately the Pharisees that he joined.</w:t>
      </w:r>
      <w:r w:rsidR="000E443A">
        <w:t xml:space="preserve"> </w:t>
      </w:r>
      <w:r w:rsidR="00F657AA">
        <w:t>The second source is a biography of traditions that were compiled in the nascent Christian community in the years between 50 and 90 CE. The third are a compilation of laws and sayings attributed to the Pharisees before the Temple that were collected by the heirs of the Pharisees who were rabbis of the second century.</w:t>
      </w:r>
      <w:r w:rsidR="00F657AA">
        <w:rPr>
          <w:rStyle w:val="FootnoteReference"/>
        </w:rPr>
        <w:footnoteReference w:id="6"/>
      </w:r>
      <w:r w:rsidR="000A572B">
        <w:t xml:space="preserve"> </w:t>
      </w:r>
    </w:p>
    <w:p w:rsidR="000E443A" w:rsidRDefault="00451B74" w:rsidP="00510187">
      <w:r>
        <w:t xml:space="preserve">There are a few problems with these sources of information on the Pharisees however. </w:t>
      </w:r>
      <w:r w:rsidR="00101CD0">
        <w:t xml:space="preserve">Josephus’ narrative needs to be understood from his background in Roman politics after 70CE. During this time, Josephus was explaining </w:t>
      </w:r>
      <w:r w:rsidR="0093032B">
        <w:t>to the Jewish people at that time that Rome was not responsible fo</w:t>
      </w:r>
      <w:r w:rsidR="002213FA">
        <w:t>r the destruction of the Temple. Not only this, but he also told the Roman people that the Jews were not responsible for the war as they were misled and so could not be held accountable. The narration by the Gospels can also be seen to have its problems. The Gospels narration show little focus on the Pharisees and when they do they are used as a basis for polemic narrative.</w:t>
      </w:r>
      <w:r w:rsidR="00FD334F">
        <w:t xml:space="preserve"> </w:t>
      </w:r>
    </w:p>
    <w:p w:rsidR="00DB1E5F" w:rsidRDefault="00FD334F" w:rsidP="00510187">
      <w:r>
        <w:t xml:space="preserve">When the gospels do focus on the Pharisees they are </w:t>
      </w:r>
      <w:r w:rsidR="00CA0DB6">
        <w:t>usually</w:t>
      </w:r>
      <w:r>
        <w:t xml:space="preserve"> centred on two things; the Pharisees emphasis on tithing and the Pharisees stress on keeping purity laws when outside the Temple.</w:t>
      </w:r>
      <w:r>
        <w:rPr>
          <w:rStyle w:val="FootnoteReference"/>
        </w:rPr>
        <w:footnoteReference w:id="7"/>
      </w:r>
      <w:r>
        <w:t xml:space="preserve"> </w:t>
      </w:r>
      <w:r w:rsidR="001A75CE">
        <w:t>An additional major feature</w:t>
      </w:r>
      <w:r w:rsidR="00DB1E5F">
        <w:t xml:space="preserve"> of the Pharisees </w:t>
      </w:r>
      <w:r w:rsidR="001A75CE">
        <w:t>is the emphasis that they place</w:t>
      </w:r>
      <w:r w:rsidR="00DB1E5F">
        <w:t xml:space="preserve"> on the oral traditions. The oral traditions are traditional laws and observances that have been adapted from the written law over time. All Jews had their own interpretations of these oral traditions, even the Sadducees, however they r</w:t>
      </w:r>
      <w:r w:rsidR="001A75CE">
        <w:t>ejected the Pharisees interpretations</w:t>
      </w:r>
      <w:r w:rsidR="00DB1E5F">
        <w:t xml:space="preserve"> and any of </w:t>
      </w:r>
      <w:r w:rsidR="001A75CE">
        <w:t xml:space="preserve">the authority that they gave </w:t>
      </w:r>
      <w:r w:rsidR="00DB1E5F">
        <w:t xml:space="preserve">them.  </w:t>
      </w:r>
    </w:p>
    <w:p w:rsidR="00954F5D" w:rsidRDefault="00CA0DB6" w:rsidP="00510187">
      <w:r>
        <w:t>The rabbinical history of the Pharisees is very relevant to the spiritual crisis that occurred after the Bar Kok</w:t>
      </w:r>
      <w:r w:rsidR="00A85AC0">
        <w:t>h</w:t>
      </w:r>
      <w:r>
        <w:t>ba revolt and the destruction of the Temp</w:t>
      </w:r>
      <w:r w:rsidR="00A85AC0">
        <w:t>l</w:t>
      </w:r>
      <w:r>
        <w:t xml:space="preserve">e. The rabbinic legislators seemed to have no </w:t>
      </w:r>
      <w:r w:rsidR="00267E95">
        <w:t>interest</w:t>
      </w:r>
      <w:r>
        <w:t xml:space="preserve"> in the narrative, </w:t>
      </w:r>
      <w:r w:rsidR="00267E95">
        <w:t>biography or history of problems that occurred but instead focus on the proclamation of new laws for the l</w:t>
      </w:r>
      <w:r w:rsidR="00A85AC0">
        <w:t>eaders of the Jewish community.</w:t>
      </w:r>
      <w:r w:rsidR="00A85AC0">
        <w:rPr>
          <w:rStyle w:val="FootnoteReference"/>
        </w:rPr>
        <w:footnoteReference w:id="8"/>
      </w:r>
      <w:r w:rsidR="00E523AE">
        <w:t xml:space="preserve"> </w:t>
      </w:r>
    </w:p>
    <w:p w:rsidR="00830A1B" w:rsidRDefault="007A1FA8" w:rsidP="007A1FA8">
      <w:r>
        <w:t xml:space="preserve">Modern Judaism can generally trace its roots back to the Pharisees thought the Mishnah. The Mishnah was the first great document of Judaism </w:t>
      </w:r>
      <w:r w:rsidR="00772150">
        <w:t>which included teachings that were derived from sources now known to be the Pharisees.</w:t>
      </w:r>
      <w:r w:rsidR="00772150">
        <w:rPr>
          <w:rStyle w:val="FootnoteReference"/>
        </w:rPr>
        <w:footnoteReference w:id="9"/>
      </w:r>
      <w:r w:rsidR="00772150">
        <w:t xml:space="preserve"> </w:t>
      </w:r>
      <w:r w:rsidR="001901A4">
        <w:t xml:space="preserve">The word ‘Pharisee’ can be traced as back as Greek through the Aramaic word for ‘separated’. </w:t>
      </w:r>
      <w:r w:rsidR="00623BE8">
        <w:t>Separati</w:t>
      </w:r>
      <w:r w:rsidR="001901A4">
        <w:t>st as a name can be thought to be a result of the separation that took place during the time of Zerubbabel and then in Ezra when “Israel separated from the heathen dwelling in the land and from their uncleanness.”</w:t>
      </w:r>
      <w:r w:rsidR="001901A4">
        <w:rPr>
          <w:rStyle w:val="FootnoteReference"/>
        </w:rPr>
        <w:footnoteReference w:id="10"/>
      </w:r>
      <w:r w:rsidR="001901A4">
        <w:t xml:space="preserve"> The name most likely cam</w:t>
      </w:r>
      <w:r w:rsidR="00623BE8">
        <w:t>e</w:t>
      </w:r>
      <w:r w:rsidR="001901A4">
        <w:t xml:space="preserve"> to be associated with the Pharisees through their strict ideas about religious purity and their aversion to ‘pollution’ that they believed affected the majority of Israel. However, it is unlikely that</w:t>
      </w:r>
      <w:r w:rsidR="00623BE8">
        <w:t xml:space="preserve"> the Pharisees gave the name Sepa</w:t>
      </w:r>
      <w:r w:rsidR="001901A4">
        <w:t>ratist to thems</w:t>
      </w:r>
      <w:r w:rsidR="005218EB">
        <w:t xml:space="preserve">elves as they called themselves the haberim </w:t>
      </w:r>
      <w:r w:rsidR="00C47E4C">
        <w:t>as it refers to someone who associates themselves with the law in order to observe it.</w:t>
      </w:r>
      <w:r w:rsidR="00C47E4C">
        <w:rPr>
          <w:rStyle w:val="FootnoteReference"/>
        </w:rPr>
        <w:footnoteReference w:id="11"/>
      </w:r>
    </w:p>
    <w:p w:rsidR="00830A1B" w:rsidRDefault="00B930D4" w:rsidP="007A1FA8">
      <w:r>
        <w:lastRenderedPageBreak/>
        <w:t xml:space="preserve">The New Testament both </w:t>
      </w:r>
      <w:r w:rsidR="001A75CE">
        <w:t xml:space="preserve">mentions </w:t>
      </w:r>
      <w:r>
        <w:t xml:space="preserve">the Pharisees </w:t>
      </w:r>
      <w:r w:rsidR="001A75CE">
        <w:t>both often</w:t>
      </w:r>
      <w:r>
        <w:t xml:space="preserve"> and disparagingly</w:t>
      </w:r>
      <w:r w:rsidR="008D1EDE">
        <w:t xml:space="preserve">. It would be unwise however to think that the Pharisees haven’t been </w:t>
      </w:r>
      <w:r w:rsidR="00ED5400">
        <w:t>distorted</w:t>
      </w:r>
      <w:r w:rsidR="008D1EDE">
        <w:t xml:space="preserve"> in at least some </w:t>
      </w:r>
      <w:r w:rsidR="00ED5400">
        <w:t xml:space="preserve">ways within some </w:t>
      </w:r>
      <w:r w:rsidR="008D1EDE">
        <w:t xml:space="preserve">of the Gospels, especially in the books Matthew and John which </w:t>
      </w:r>
      <w:r w:rsidR="00ED5400">
        <w:t>echo</w:t>
      </w:r>
      <w:r w:rsidR="008D1EDE">
        <w:t xml:space="preserve"> the </w:t>
      </w:r>
      <w:r w:rsidR="00ED5400">
        <w:t>mounting</w:t>
      </w:r>
      <w:r w:rsidR="008D1EDE">
        <w:t xml:space="preserve"> tension between Christians and Jews after 70CE.</w:t>
      </w:r>
      <w:r w:rsidR="008D1EDE">
        <w:rPr>
          <w:rStyle w:val="FootnoteReference"/>
        </w:rPr>
        <w:footnoteReference w:id="12"/>
      </w:r>
      <w:r w:rsidR="008D1EDE">
        <w:t xml:space="preserve"> </w:t>
      </w:r>
      <w:r w:rsidR="000E443A">
        <w:t xml:space="preserve">Not only does the New Testament portray the Pharisees in a negative light, rabbinic literature is also critical of them. The Talmud even lists seven types of Pharisees; </w:t>
      </w:r>
    </w:p>
    <w:p w:rsidR="000E443A" w:rsidRDefault="000E443A" w:rsidP="000E443A">
      <w:pPr>
        <w:ind w:left="720"/>
      </w:pPr>
      <w:r>
        <w:t>T</w:t>
      </w:r>
      <w:r w:rsidRPr="000E443A">
        <w:t>here is the shouldering Pharisee, who parades good deeds; there is the delaying Pharisee, who lets business wait in order to do a good deed; there is</w:t>
      </w:r>
      <w:r>
        <w:t xml:space="preserve"> </w:t>
      </w:r>
      <w:r w:rsidRPr="000E443A">
        <w:t>the bruised Pharisee, who walks</w:t>
      </w:r>
      <w:r>
        <w:t xml:space="preserve"> </w:t>
      </w:r>
      <w:r w:rsidRPr="000E443A">
        <w:t>into a wall to keep from looking at a woman; there is the pestle Pharisee, who with false humility walks with his head down like a pestle on</w:t>
      </w:r>
      <w:r>
        <w:t xml:space="preserve"> </w:t>
      </w:r>
      <w:r w:rsidRPr="000E443A">
        <w:t>a mortar; there is</w:t>
      </w:r>
      <w:r>
        <w:t xml:space="preserve"> </w:t>
      </w:r>
      <w:r w:rsidRPr="000E443A">
        <w:t>the ever-reckoning Pharisee, who asks what good deeds he might do that would be reckoned as cancelling out his neglects; there is the fearful Pharisee, who is</w:t>
      </w:r>
      <w:r>
        <w:t xml:space="preserve"> </w:t>
      </w:r>
      <w:r w:rsidRPr="000E443A">
        <w:t>in</w:t>
      </w:r>
      <w:r>
        <w:t xml:space="preserve"> </w:t>
      </w:r>
      <w:r w:rsidRPr="000E443A">
        <w:t>terror of</w:t>
      </w:r>
      <w:r>
        <w:t xml:space="preserve"> </w:t>
      </w:r>
      <w:r w:rsidRPr="000E443A">
        <w:t>God; and there is the loving Pharisee, who like Abraham loves God--he is admirable</w:t>
      </w:r>
      <w:r>
        <w:t xml:space="preserve">. </w:t>
      </w:r>
      <w:r w:rsidRPr="000E443A">
        <w:t>Two other expressions are used in the Mishnah to describe the Pharisees: "destroyers of the world" and "Pharisaic plagues," which certainly portray them very cri</w:t>
      </w:r>
      <w:r>
        <w:t>tically.</w:t>
      </w:r>
      <w:r>
        <w:rPr>
          <w:rStyle w:val="FootnoteReference"/>
        </w:rPr>
        <w:footnoteReference w:id="13"/>
      </w:r>
    </w:p>
    <w:p w:rsidR="007A1FA8" w:rsidRDefault="000A31BF" w:rsidP="007A1FA8">
      <w:r>
        <w:t xml:space="preserve">During the time of John Hyrcanus the Pharisees were in strict opposition of the Maccabees as they were no longer keeping observance of the law and rather </w:t>
      </w:r>
      <w:r w:rsidR="004A071D">
        <w:t>spreading</w:t>
      </w:r>
      <w:r>
        <w:t xml:space="preserve"> themselves into political and economic power.</w:t>
      </w:r>
      <w:r w:rsidR="004A071D">
        <w:t xml:space="preserve"> The emphasis that the Pharisees laid onto the religion of the nation won over the people, and so to keep peace Queen Alexandra gave power to the Pharisees.</w:t>
      </w:r>
      <w:r w:rsidR="004A071D">
        <w:rPr>
          <w:rStyle w:val="FootnoteReference"/>
        </w:rPr>
        <w:footnoteReference w:id="14"/>
      </w:r>
      <w:r w:rsidR="00EF3B31">
        <w:t xml:space="preserve"> Despite their growing power, the Pharisees were not at all great in number with Josephus describing them as around six thousand in number, however, they did gain a great amount of influence with the people despite their relatively small size. </w:t>
      </w:r>
    </w:p>
    <w:p w:rsidR="007A1FA8" w:rsidRDefault="007A1FA8" w:rsidP="007A1FA8">
      <w:r>
        <w:t xml:space="preserve">The Pharisees were a Jewish sect of religious scholars and teacher who were dedicated to the Jewish law and the study and debating of it. The Pharisees were strong advocates of the oral Torah and the authority that it held alongside the written scriptures. The Pharisees centred their activity in the synagogue rather than the temple unlike the Sadducees. This focus on the synagogue came in useful after the destruction of the Temple in 70 CE as they were already </w:t>
      </w:r>
      <w:r w:rsidR="002E730D">
        <w:t>capable at</w:t>
      </w:r>
      <w:r>
        <w:t xml:space="preserve"> adapting to the more localised worship o</w:t>
      </w:r>
      <w:r w:rsidR="002E730D">
        <w:t>f the synagogue, rather than T</w:t>
      </w:r>
      <w:r>
        <w:t>emple worship.</w:t>
      </w:r>
    </w:p>
    <w:p w:rsidR="007A1FA8" w:rsidRDefault="00510187" w:rsidP="007A1FA8">
      <w:r>
        <w:t>There is a clash of opinions concerning the Pharisees between Christianity and Judaism. While Judaism praises the Pharisees as a source of Jewish wisdom and of learning</w:t>
      </w:r>
      <w:r w:rsidR="002C6AD7">
        <w:t xml:space="preserve"> and that</w:t>
      </w:r>
      <w:r w:rsidR="002C6AD7" w:rsidRPr="002C6AD7">
        <w:t xml:space="preserve"> </w:t>
      </w:r>
      <w:r w:rsidR="002C6AD7">
        <w:t>Christianity tends to hold the Pharisees in a different light as they draw upon the judgements contained within the Gospels which portray the Pharisees as hypocrites.</w:t>
      </w:r>
      <w:r>
        <w:rPr>
          <w:rStyle w:val="FootnoteReference"/>
        </w:rPr>
        <w:footnoteReference w:id="15"/>
      </w:r>
      <w:r w:rsidR="002C6AD7">
        <w:t xml:space="preserve"> </w:t>
      </w:r>
    </w:p>
    <w:p w:rsidR="002C6AD7" w:rsidRDefault="002C6AD7" w:rsidP="007A1FA8">
      <w:r>
        <w:t>However, Josephus states that the Pharisees had the most expertise and wer</w:t>
      </w:r>
      <w:r w:rsidR="006B71A4">
        <w:t>e the most accurate interpreters and exponents</w:t>
      </w:r>
      <w:r>
        <w:t xml:space="preserve"> in and of the</w:t>
      </w:r>
      <w:r w:rsidR="006B71A4">
        <w:t xml:space="preserve"> Jewish</w:t>
      </w:r>
      <w:r>
        <w:t xml:space="preserve"> Law. The Pharisees dedication to the Law was the core of their devotion to the Jewish faith</w:t>
      </w:r>
      <w:r w:rsidR="009E123C">
        <w:t xml:space="preserve"> </w:t>
      </w:r>
      <w:r w:rsidR="00BB11C8">
        <w:t xml:space="preserve">and they had </w:t>
      </w:r>
      <w:r w:rsidR="006B71A4">
        <w:t>very good reason for developing the dual Torah</w:t>
      </w:r>
      <w:r w:rsidR="00BB11C8">
        <w:t xml:space="preserve">. The oral Law was necessary for difficult cases when the law was not clear enough to be adapted to different situations, especially as society developed further and circumstances changed. </w:t>
      </w:r>
    </w:p>
    <w:p w:rsidR="00774AFE" w:rsidRDefault="0019300A" w:rsidP="0019300A">
      <w:r>
        <w:lastRenderedPageBreak/>
        <w:t>The</w:t>
      </w:r>
      <w:r w:rsidR="00774AFE">
        <w:t>re</w:t>
      </w:r>
      <w:r>
        <w:t xml:space="preserve"> have been many different ide</w:t>
      </w:r>
      <w:r w:rsidR="006B71A4">
        <w:t>as that have been considered regarding</w:t>
      </w:r>
      <w:r>
        <w:t xml:space="preserve"> the nature of the Pharisees during the time of the New Testament. </w:t>
      </w:r>
      <w:r w:rsidR="00A6257A">
        <w:t xml:space="preserve">The Pharisees were one group of many who were vying for power by gaining influence with the people. </w:t>
      </w:r>
      <w:r w:rsidR="008066E2">
        <w:t>However the Pharisees were a well organised and long lasting group who had many connections. According t</w:t>
      </w:r>
      <w:r w:rsidR="008B74AB">
        <w:t>o Josephus the Pharisees were like a political interest group who had great sway over the public; they had their own set of goals and always sought ways to achieve them to influence society to commit to a stricter way of Jewish life.</w:t>
      </w:r>
      <w:r w:rsidR="008B74AB">
        <w:rPr>
          <w:rStyle w:val="FootnoteReference"/>
        </w:rPr>
        <w:footnoteReference w:id="16"/>
      </w:r>
      <w:r w:rsidR="008B74AB">
        <w:t xml:space="preserve"> </w:t>
      </w:r>
    </w:p>
    <w:p w:rsidR="00774AFE" w:rsidRPr="00221D0F" w:rsidRDefault="00DA0400" w:rsidP="0019300A">
      <w:r>
        <w:t xml:space="preserve">The Pharisees place in society at that time can be described as higher than the working class yet lower than the ruling class, so for example they would occupy positions such as bureaucrats, educators and judges and so were interlaced within many parts of society, and they were all connected by shared beliefs and practices. However this doesn’t mean that they shared the same views. Within the Pharisees group there were internal factions, notably Shammai and Hillel who were important figures within the Pharisees during the time of Herod. </w:t>
      </w:r>
      <w:r w:rsidR="00774AFE">
        <w:t>Both Shammai and Hillel had different approaches to Pharisaical Judaism; Shammai was well known for his strictness and rigidity and Hillel was seen as more humane and lenient. In their respective schools it was usually always the school of Hillel that prevailed in most matters.</w:t>
      </w:r>
      <w:r w:rsidR="00EF3B31">
        <w:rPr>
          <w:rStyle w:val="FootnoteReference"/>
        </w:rPr>
        <w:footnoteReference w:id="17"/>
      </w:r>
      <w:r w:rsidR="00774AFE">
        <w:t xml:space="preserve"> </w:t>
      </w:r>
    </w:p>
    <w:p w:rsidR="00DE0A5F" w:rsidRDefault="00C5719A">
      <w:r>
        <w:t>Due to the fact that the Pharisees believed that the written Torah was too vague to be of practical use they adapted the ordinances to be more applicable to the changing times that were faced by many Jews. The principles that were upheld in the Torah were adapted to better suit everyday use</w:t>
      </w:r>
      <w:r w:rsidR="00DE0A5F">
        <w:t>. To do this and make the commandments in the Torah more applicable the Pharisees created the concept of the duel Law or dual Torah; the written and the unwritten</w:t>
      </w:r>
      <w:r>
        <w:t xml:space="preserve">. </w:t>
      </w:r>
      <w:r w:rsidR="00E84D2A">
        <w:t xml:space="preserve">This meant going through the written law and demonstrating through simple adaptations that following the laws to the letter was not beyond anyone’s capabilities. An example of these adaptations and interpretations can be found </w:t>
      </w:r>
      <w:r w:rsidR="00FD685F">
        <w:t xml:space="preserve">from a quote in Exodus “Whenever hurt is done to you, you shall give life for life, eye for eye, tooth for toot, hand for hand, foot for foot, burn for burn, bruise for bruise, wound for wound” (Exodus 21:24). </w:t>
      </w:r>
    </w:p>
    <w:p w:rsidR="00840D89" w:rsidRDefault="00C662A3">
      <w:r>
        <w:t>Ta</w:t>
      </w:r>
      <w:r w:rsidR="00FD685F">
        <w:t>ken literally this would mean that any bodily harm that is done to you must be repaid back in kind. However the Pharisees were not content with this literal interpretation and instead sought to rectify this this. If say a person who assaulted you only had a single eye before the assault and the resulting punishment was removal of said eye resulting in complete blindness, would not the punishment exceed the crime committed?</w:t>
      </w:r>
      <w:r w:rsidR="00FD685F">
        <w:rPr>
          <w:rStyle w:val="FootnoteReference"/>
        </w:rPr>
        <w:footnoteReference w:id="18"/>
      </w:r>
      <w:r w:rsidR="00FD685F">
        <w:t xml:space="preserve"> In the view of the Pharisees, for this reason, the written law should not</w:t>
      </w:r>
      <w:r w:rsidR="008F0858">
        <w:t>,</w:t>
      </w:r>
      <w:r w:rsidR="00FD685F">
        <w:t xml:space="preserve"> in some cases</w:t>
      </w:r>
      <w:r w:rsidR="008F0858">
        <w:t>,</w:t>
      </w:r>
      <w:r w:rsidR="00FD685F">
        <w:t xml:space="preserve"> be taken literally but instead be interpreted, as compensation in this case. The victim of the damage should receive compensation to the value of the eye not the eye itself in the case of ‘an eye for an eye’. </w:t>
      </w:r>
    </w:p>
    <w:p w:rsidR="00C662A3" w:rsidRDefault="00B7471A">
      <w:r>
        <w:t xml:space="preserve">The developing oral Torah had three major far reaching </w:t>
      </w:r>
      <w:r w:rsidR="00E01CE4">
        <w:t>implications</w:t>
      </w:r>
      <w:r>
        <w:t xml:space="preserve"> for Judaism.  The first is that with the development of the oral Torah more emphasis was placed on the individual. Although the </w:t>
      </w:r>
      <w:r w:rsidR="00BC72C5">
        <w:t xml:space="preserve">bible had already placed the individual as valuable in the eyes of God, the Pharisees went much further than this. They rejected the notion that an individual could only receive forgiveness and be </w:t>
      </w:r>
      <w:r w:rsidR="00BC72C5">
        <w:lastRenderedPageBreak/>
        <w:t>saved through a pri</w:t>
      </w:r>
      <w:r w:rsidR="00E01CE4">
        <w:t>est and a ritual in the Temple resulting in the Jewish people fostering a much closer relationship to God.</w:t>
      </w:r>
      <w:r w:rsidR="00BB1415">
        <w:rPr>
          <w:rStyle w:val="FootnoteReference"/>
        </w:rPr>
        <w:footnoteReference w:id="19"/>
      </w:r>
      <w:r w:rsidR="00E01CE4">
        <w:t xml:space="preserve"> </w:t>
      </w:r>
      <w:r w:rsidR="00EE3990">
        <w:t xml:space="preserve"> </w:t>
      </w:r>
    </w:p>
    <w:p w:rsidR="00E01CE4" w:rsidRDefault="00E01CE4">
      <w:r>
        <w:t xml:space="preserve">The second significant implication was that the Synagogue was giving a much more prominent role in Jewish life, rather than ritual and prayer being solely focused on the Temple. </w:t>
      </w:r>
      <w:r w:rsidR="00BB1415">
        <w:t>Not only way the synagogue a house of prayer for daily services, it was developed into the centre for Jewish communities. The Pharisees believed that worship had very little value if it was not also accompanied by study of the law and social action; that piety was hollow if it was not also accompanied by charity. Through this the synagogue became a school, social centre library and a place to offer hospitality to strangers.</w:t>
      </w:r>
      <w:r w:rsidR="00BB1415">
        <w:rPr>
          <w:rStyle w:val="FootnoteReference"/>
        </w:rPr>
        <w:footnoteReference w:id="20"/>
      </w:r>
      <w:r w:rsidR="00BB1415">
        <w:t xml:space="preserve"> </w:t>
      </w:r>
    </w:p>
    <w:p w:rsidR="00BB1415" w:rsidRPr="00C5719A" w:rsidRDefault="00BB1415">
      <w:r>
        <w:t xml:space="preserve">The third implication was the prominent role that the home and the family began to take within Jewish religious life. </w:t>
      </w:r>
      <w:r w:rsidR="00BE75CC">
        <w:t xml:space="preserve">The shift from ritual sacrificed to normal family orientated meals came about as it can be seen that the Pharisees placed a large emphasis on food. </w:t>
      </w:r>
      <w:r w:rsidR="000E4B58">
        <w:t xml:space="preserve">The Pharisees formed various regulations regarding the preparation of food and what food can be eaten. This sanctification of an everyday act gave Jewish people the ability to live out their religious beliefs and the law in their own homes without the use of a priest as a mediator. The Pharisees believed corruption dwelled in every part of Judah, its politics, culture and even religion. Through shifting the focus from ritual purity at a Temple to purity in the home </w:t>
      </w:r>
      <w:r w:rsidR="00400604">
        <w:t xml:space="preserve">personal purity was still obtainable, though national purity was not. </w:t>
      </w:r>
    </w:p>
    <w:p w:rsidR="00DE0A5F" w:rsidRDefault="00DE0A5F" w:rsidP="003B657E">
      <w:r>
        <w:t xml:space="preserve">To conclude, although the Pharisaic movement came to an end as a movement in 220 CE, its effects can still be seen throughout Judaism though the centuries. </w:t>
      </w:r>
      <w:r w:rsidR="0018631F">
        <w:t xml:space="preserve">Although there have been counter arguments to the worth of the Pharisees and their role in Judaism, it is important that their contributions to the faith are acknowledged. It can be very much argued that the Pharisees did indeed preserve ‘that which is best’ in Judaism through their avocation of Torah study and their development of duel Torah, allowing for the Laws of Judaism to be better understood, especially in the aftermath of the destruction of the Temple.  These are not the only contributions that the Pharisees have made within Judaism. </w:t>
      </w:r>
    </w:p>
    <w:p w:rsidR="000974D1" w:rsidRDefault="00337EF0" w:rsidP="003B657E">
      <w:r>
        <w:t xml:space="preserve">Through the Pharisees emphasis on the individual seeking forgiveness through direct communication with God, they created the concept of a personal relationship with the divine, cementing the notion of a father like deity. </w:t>
      </w:r>
      <w:r w:rsidR="00BB1415">
        <w:t xml:space="preserve">This also allowed the shift from Temple to Synagogue worship to smoothly transition as the majority of the Jewish community were convinced that salvation should be obtained not through ritual but by study. The study enabled every Jewish person to personally understand the commandments and their own responsibility for keeping them. </w:t>
      </w:r>
      <w:r w:rsidR="00400604">
        <w:t xml:space="preserve">Also by helping to shift Temple worship to worship in the home surrounded by family, it centred and localised Jewish traditions. It was through this that after the destruction of the Temple, the traditions of the Torah and the Jewish people survived through pious families. </w:t>
      </w:r>
    </w:p>
    <w:p w:rsidR="000974D1" w:rsidRDefault="000974D1" w:rsidP="003B657E"/>
    <w:p w:rsidR="000974D1" w:rsidRDefault="000974D1" w:rsidP="003B657E"/>
    <w:p w:rsidR="000974D1" w:rsidRDefault="000974D1" w:rsidP="003B657E"/>
    <w:p w:rsidR="00BE75CC" w:rsidRDefault="00BE75CC" w:rsidP="003B657E"/>
    <w:p w:rsidR="00BE75CC" w:rsidRDefault="00BE75CC" w:rsidP="003B657E"/>
    <w:p w:rsidR="007B7EC4" w:rsidRPr="007B7EC4" w:rsidRDefault="007B7EC4" w:rsidP="007B7EC4">
      <w:pPr>
        <w:rPr>
          <w:u w:val="single"/>
        </w:rPr>
      </w:pPr>
      <w:r w:rsidRPr="007B7EC4">
        <w:rPr>
          <w:u w:val="single"/>
        </w:rPr>
        <w:lastRenderedPageBreak/>
        <w:t xml:space="preserve">Bibliography </w:t>
      </w:r>
    </w:p>
    <w:p w:rsidR="006B7382" w:rsidRDefault="006B7382" w:rsidP="006B7382">
      <w:r w:rsidRPr="003C1FAD">
        <w:t>Bible.org, ‘The Pharisees,’ 2017. &lt;</w:t>
      </w:r>
      <w:r w:rsidRPr="00F43317">
        <w:t>https://bible.org/seriespage/2-pharisees#P42_10539</w:t>
      </w:r>
      <w:r w:rsidRPr="003C1FAD">
        <w:t>&gt; [Accessed 5</w:t>
      </w:r>
      <w:r w:rsidRPr="006B7382">
        <w:rPr>
          <w:vertAlign w:val="superscript"/>
        </w:rPr>
        <w:t>th</w:t>
      </w:r>
      <w:r w:rsidRPr="003C1FAD">
        <w:t xml:space="preserve"> December </w:t>
      </w:r>
      <w:r>
        <w:t>2017]</w:t>
      </w:r>
    </w:p>
    <w:p w:rsidR="006B7382" w:rsidRDefault="006B7382" w:rsidP="006B7382">
      <w:r w:rsidRPr="003C1FAD">
        <w:t>Eisen</w:t>
      </w:r>
      <w:r>
        <w:t>,</w:t>
      </w:r>
      <w:r w:rsidRPr="003C1FAD">
        <w:t xml:space="preserve"> </w:t>
      </w:r>
      <w:r w:rsidRPr="003C1FAD">
        <w:t>Yosef, ‘Hillel and Shammai,’ 2017. &lt;http://www.chabad.org/library/article_cdo/aid/2832622/jewish/Hillel-and-Shammai.htm&gt; [Accessed 4</w:t>
      </w:r>
      <w:r w:rsidRPr="006B7382">
        <w:rPr>
          <w:vertAlign w:val="superscript"/>
        </w:rPr>
        <w:t>th</w:t>
      </w:r>
      <w:r w:rsidRPr="003C1FAD">
        <w:t xml:space="preserve"> December </w:t>
      </w:r>
      <w:r>
        <w:t>2017]</w:t>
      </w:r>
    </w:p>
    <w:p w:rsidR="006B7382" w:rsidRDefault="006B7382" w:rsidP="006B7382">
      <w:r>
        <w:t>Grace</w:t>
      </w:r>
      <w:r w:rsidRPr="003C1FAD">
        <w:t xml:space="preserve">Notes, ‘The Jewish Religion System Scribes, Pharisees, Sadducees, the Sanhedrin, the Talmud’, 2017. </w:t>
      </w:r>
      <w:r>
        <w:t>&lt;</w:t>
      </w:r>
      <w:r w:rsidRPr="00F43317">
        <w:t>https://www.gracenotes.info/documents/topics_doc/jewishreligioussystem.pdf</w:t>
      </w:r>
      <w:r>
        <w:t>&gt;</w:t>
      </w:r>
    </w:p>
    <w:p w:rsidR="006B7382" w:rsidRPr="006B7382" w:rsidRDefault="006B7382" w:rsidP="006B7382">
      <w:pPr>
        <w:rPr>
          <w:rStyle w:val="Hyperlink"/>
          <w:color w:val="auto"/>
          <w:u w:val="none"/>
        </w:rPr>
      </w:pPr>
      <w:r w:rsidRPr="006B7382">
        <w:rPr>
          <w:rStyle w:val="Hyperlink"/>
          <w:color w:val="auto"/>
          <w:u w:val="none"/>
        </w:rPr>
        <w:t>Jewish Virtual Library, ‘Ancient Jewish History: Pharisees, Sadducees &amp; Essenes,’ 2017. &lt;http://www.jewishvirtuallibrary.org/pharisees-sadducees-and-essenes&gt; [Accessed 5</w:t>
      </w:r>
      <w:r w:rsidRPr="006B7382">
        <w:rPr>
          <w:rStyle w:val="Hyperlink"/>
          <w:color w:val="auto"/>
          <w:u w:val="none"/>
          <w:vertAlign w:val="superscript"/>
        </w:rPr>
        <w:t>th</w:t>
      </w:r>
      <w:r w:rsidRPr="006B7382">
        <w:rPr>
          <w:rStyle w:val="Hyperlink"/>
          <w:color w:val="auto"/>
          <w:u w:val="none"/>
        </w:rPr>
        <w:t xml:space="preserve"> December 2017] </w:t>
      </w:r>
    </w:p>
    <w:p w:rsidR="006B7382" w:rsidRDefault="006B7382" w:rsidP="006B7382">
      <w:r w:rsidRPr="002F3CC6">
        <w:t>Jones</w:t>
      </w:r>
      <w:r w:rsidRPr="002F3CC6">
        <w:t xml:space="preserve"> </w:t>
      </w:r>
      <w:r w:rsidRPr="002F3CC6">
        <w:t>Lloyd</w:t>
      </w:r>
      <w:r>
        <w:t xml:space="preserve">, </w:t>
      </w:r>
      <w:r w:rsidRPr="002F3CC6">
        <w:t xml:space="preserve">Gareth, </w:t>
      </w:r>
      <w:r w:rsidRPr="006B7382">
        <w:rPr>
          <w:i/>
        </w:rPr>
        <w:t>The bones of Joseph</w:t>
      </w:r>
      <w:r>
        <w:t>, (WB Eerdmans, 1997)</w:t>
      </w:r>
    </w:p>
    <w:p w:rsidR="006B7382" w:rsidRDefault="006B7382" w:rsidP="006B7382">
      <w:r w:rsidRPr="003C1FAD">
        <w:t>Neusner</w:t>
      </w:r>
      <w:r>
        <w:t>,</w:t>
      </w:r>
      <w:r w:rsidRPr="003C1FAD">
        <w:t xml:space="preserve"> </w:t>
      </w:r>
      <w:r w:rsidRPr="003C1FAD">
        <w:t xml:space="preserve">Jacob, </w:t>
      </w:r>
      <w:r w:rsidRPr="006B7382">
        <w:rPr>
          <w:i/>
        </w:rPr>
        <w:t>Judaism in the beginning of Christianity</w:t>
      </w:r>
      <w:r w:rsidRPr="003C1FAD">
        <w:t>, (Augsburg Fortress Publishers, 1997)</w:t>
      </w:r>
    </w:p>
    <w:p w:rsidR="006B7382" w:rsidRPr="006B7382" w:rsidRDefault="006B7382" w:rsidP="006B7382">
      <w:pPr>
        <w:rPr>
          <w:rStyle w:val="Hyperlink"/>
          <w:color w:val="auto"/>
          <w:u w:val="none"/>
        </w:rPr>
      </w:pPr>
      <w:r>
        <w:t>Randolph, Jeff, ‘Brief Summary of the destruction of Jerusalem in 70 AD,’ 2007. &lt;</w:t>
      </w:r>
      <w:r w:rsidRPr="00B02ADE">
        <w:t>http://www.salinechurchofchrist.org/classes/2007/revela</w:t>
      </w:r>
      <w:r w:rsidRPr="00B02ADE">
        <w:t>t</w:t>
      </w:r>
      <w:r w:rsidRPr="00B02ADE">
        <w:t>ion/DestructionJerusalem.pdf</w:t>
      </w:r>
      <w:r>
        <w:t>&gt; [Accessed 5</w:t>
      </w:r>
      <w:r w:rsidRPr="006B7382">
        <w:rPr>
          <w:vertAlign w:val="superscript"/>
        </w:rPr>
        <w:t>th</w:t>
      </w:r>
      <w:r>
        <w:t xml:space="preserve"> December 2017] </w:t>
      </w:r>
    </w:p>
    <w:p w:rsidR="006B7382" w:rsidRDefault="006B7382" w:rsidP="006B7382">
      <w:r w:rsidRPr="003C1FAD">
        <w:t>Ross</w:t>
      </w:r>
      <w:r>
        <w:t>,</w:t>
      </w:r>
      <w:r w:rsidRPr="003C1FAD">
        <w:t xml:space="preserve"> </w:t>
      </w:r>
      <w:r>
        <w:t xml:space="preserve">Allen P, </w:t>
      </w:r>
      <w:r w:rsidRPr="003C1FAD">
        <w:t>‘The Religious World of Jesus,’ unknown date. &lt;http://www.christianleadershipcenter.org/dvnt721c.pdf&gt; [Accessed 3</w:t>
      </w:r>
      <w:r w:rsidRPr="006B7382">
        <w:rPr>
          <w:vertAlign w:val="superscript"/>
        </w:rPr>
        <w:t>rd</w:t>
      </w:r>
      <w:r>
        <w:t xml:space="preserve"> December 2017]</w:t>
      </w:r>
    </w:p>
    <w:p w:rsidR="006B7382" w:rsidRDefault="006B7382" w:rsidP="006B7382">
      <w:r>
        <w:t>Schiffman H, Lawrence, ‘Challenge and Transformation: Second Temple and Rabbinic Judaism,’ unknown date. &lt;</w:t>
      </w:r>
      <w:r w:rsidRPr="00D860BD">
        <w:t>http://www.myjli.com/debates/index.php/lesson-1/challenge-and-transformation-second-temple-and-rabbinic-judaism/</w:t>
      </w:r>
      <w:r>
        <w:t>&gt; [Accessed 6</w:t>
      </w:r>
      <w:r w:rsidRPr="006B7382">
        <w:rPr>
          <w:vertAlign w:val="superscript"/>
        </w:rPr>
        <w:t>th</w:t>
      </w:r>
      <w:r>
        <w:t xml:space="preserve"> December 2017]</w:t>
      </w:r>
    </w:p>
    <w:p w:rsidR="006B7382" w:rsidRPr="00674551" w:rsidRDefault="006B7382" w:rsidP="006B7382">
      <w:r>
        <w:t>Sheppard</w:t>
      </w:r>
      <w:r>
        <w:t>,</w:t>
      </w:r>
      <w:r>
        <w:t xml:space="preserve"> Si, </w:t>
      </w:r>
      <w:proofErr w:type="gramStart"/>
      <w:r w:rsidRPr="006B7382">
        <w:rPr>
          <w:i/>
        </w:rPr>
        <w:t>The</w:t>
      </w:r>
      <w:proofErr w:type="gramEnd"/>
      <w:r w:rsidRPr="006B7382">
        <w:rPr>
          <w:i/>
        </w:rPr>
        <w:t xml:space="preserve"> Jewish Revolt AD 66-74, </w:t>
      </w:r>
      <w:r>
        <w:t>(Osprey Publishing, 2013)</w:t>
      </w:r>
    </w:p>
    <w:p w:rsidR="006B7382" w:rsidRDefault="006B7382" w:rsidP="006B7382">
      <w:r w:rsidRPr="003C1FAD">
        <w:t>Zeltmacher, ‘The Jewish War AD 66-73’, 2010. &lt;http://zeltmacher.eu/wp-content/uploads/2010/01/The_Jewish_War.pdf&gt; [Accessed 2</w:t>
      </w:r>
      <w:r w:rsidRPr="006B7382">
        <w:rPr>
          <w:vertAlign w:val="superscript"/>
        </w:rPr>
        <w:t>nd</w:t>
      </w:r>
      <w:r>
        <w:t xml:space="preserve"> December]</w:t>
      </w:r>
    </w:p>
    <w:p w:rsidR="000974D1" w:rsidRPr="00674551" w:rsidRDefault="000974D1" w:rsidP="00D747B5">
      <w:pPr>
        <w:pStyle w:val="ListParagraph"/>
      </w:pPr>
    </w:p>
    <w:sectPr w:rsidR="000974D1" w:rsidRPr="006745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19D7" w:rsidRDefault="001619D7" w:rsidP="00772150">
      <w:pPr>
        <w:spacing w:after="0" w:line="240" w:lineRule="auto"/>
      </w:pPr>
      <w:r>
        <w:separator/>
      </w:r>
    </w:p>
  </w:endnote>
  <w:endnote w:type="continuationSeparator" w:id="0">
    <w:p w:rsidR="001619D7" w:rsidRDefault="001619D7" w:rsidP="007721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19D7" w:rsidRDefault="001619D7" w:rsidP="00772150">
      <w:pPr>
        <w:spacing w:after="0" w:line="240" w:lineRule="auto"/>
      </w:pPr>
      <w:r>
        <w:separator/>
      </w:r>
    </w:p>
  </w:footnote>
  <w:footnote w:type="continuationSeparator" w:id="0">
    <w:p w:rsidR="001619D7" w:rsidRDefault="001619D7" w:rsidP="00772150">
      <w:pPr>
        <w:spacing w:after="0" w:line="240" w:lineRule="auto"/>
      </w:pPr>
      <w:r>
        <w:continuationSeparator/>
      </w:r>
    </w:p>
  </w:footnote>
  <w:footnote w:id="1">
    <w:p w:rsidR="00E23026" w:rsidRPr="00E23026" w:rsidRDefault="00E23026">
      <w:pPr>
        <w:pStyle w:val="FootnoteText"/>
      </w:pPr>
      <w:r>
        <w:rPr>
          <w:rStyle w:val="FootnoteReference"/>
        </w:rPr>
        <w:footnoteRef/>
      </w:r>
      <w:r>
        <w:t xml:space="preserve"> Gareth Lloyd Jones, </w:t>
      </w:r>
      <w:r w:rsidRPr="00E23026">
        <w:rPr>
          <w:i/>
        </w:rPr>
        <w:t>The bones of Joseph</w:t>
      </w:r>
      <w:r w:rsidR="00640F60">
        <w:t>, (WB Eerdmans, 1997).</w:t>
      </w:r>
    </w:p>
  </w:footnote>
  <w:footnote w:id="2">
    <w:p w:rsidR="00374115" w:rsidRPr="006A7949" w:rsidRDefault="00374115">
      <w:pPr>
        <w:pStyle w:val="FootnoteText"/>
      </w:pPr>
      <w:r>
        <w:rPr>
          <w:rStyle w:val="FootnoteReference"/>
        </w:rPr>
        <w:footnoteRef/>
      </w:r>
      <w:r>
        <w:t xml:space="preserve"> </w:t>
      </w:r>
      <w:r w:rsidR="006A7949">
        <w:t xml:space="preserve">Jacob </w:t>
      </w:r>
      <w:r>
        <w:t>Neusner</w:t>
      </w:r>
      <w:r w:rsidR="006A7949">
        <w:t xml:space="preserve">, </w:t>
      </w:r>
      <w:r w:rsidRPr="006A7949">
        <w:rPr>
          <w:i/>
        </w:rPr>
        <w:t xml:space="preserve">Judaism in the beginning of </w:t>
      </w:r>
      <w:r w:rsidR="006A7949" w:rsidRPr="006A7949">
        <w:rPr>
          <w:i/>
        </w:rPr>
        <w:t>Christianity</w:t>
      </w:r>
      <w:r w:rsidR="006A7949">
        <w:t>, (Augsburg Fortress Publishers, 1997).</w:t>
      </w:r>
    </w:p>
  </w:footnote>
  <w:footnote w:id="3">
    <w:p w:rsidR="00E23026" w:rsidRDefault="00E23026">
      <w:pPr>
        <w:pStyle w:val="FootnoteText"/>
      </w:pPr>
      <w:r>
        <w:rPr>
          <w:rStyle w:val="FootnoteReference"/>
        </w:rPr>
        <w:footnoteRef/>
      </w:r>
      <w:r>
        <w:t xml:space="preserve"> </w:t>
      </w:r>
      <w:r w:rsidR="006A7949">
        <w:t>Zeltmacher, ‘The Jewish War AD 66-73’, 2010. &lt;</w:t>
      </w:r>
      <w:r w:rsidRPr="00D053DA">
        <w:t>http://zeltmacher.eu/wp-content/uploads/2010/01/The_Jewish_War.pdf</w:t>
      </w:r>
      <w:r w:rsidR="006A7949">
        <w:t>&gt; [Accessed 2</w:t>
      </w:r>
      <w:r w:rsidR="006A7949" w:rsidRPr="006A7949">
        <w:rPr>
          <w:vertAlign w:val="superscript"/>
        </w:rPr>
        <w:t>nd</w:t>
      </w:r>
      <w:r w:rsidR="006A7949">
        <w:t xml:space="preserve"> December].</w:t>
      </w:r>
    </w:p>
  </w:footnote>
  <w:footnote w:id="4">
    <w:p w:rsidR="00E23026" w:rsidRDefault="00E23026">
      <w:pPr>
        <w:pStyle w:val="FootnoteText"/>
      </w:pPr>
      <w:r>
        <w:rPr>
          <w:rStyle w:val="FootnoteReference"/>
        </w:rPr>
        <w:footnoteRef/>
      </w:r>
      <w:r>
        <w:t xml:space="preserve"> </w:t>
      </w:r>
      <w:r w:rsidR="006A7949" w:rsidRPr="006A7949">
        <w:t xml:space="preserve">Zeltmacher, ‘The Jewish War AD 66-73’, </w:t>
      </w:r>
      <w:r>
        <w:t xml:space="preserve"> pg. 6</w:t>
      </w:r>
    </w:p>
  </w:footnote>
  <w:footnote w:id="5">
    <w:p w:rsidR="00E23026" w:rsidRDefault="00E23026">
      <w:pPr>
        <w:pStyle w:val="FootnoteText"/>
      </w:pPr>
      <w:r>
        <w:rPr>
          <w:rStyle w:val="FootnoteReference"/>
        </w:rPr>
        <w:footnoteRef/>
      </w:r>
      <w:r>
        <w:t xml:space="preserve"> </w:t>
      </w:r>
      <w:r w:rsidR="006A7949" w:rsidRPr="006A7949">
        <w:t xml:space="preserve">Zeltmacher, ‘The Jewish War AD 66-73’, </w:t>
      </w:r>
      <w:r>
        <w:t xml:space="preserve">pg. 12 </w:t>
      </w:r>
    </w:p>
  </w:footnote>
  <w:footnote w:id="6">
    <w:p w:rsidR="00E23026" w:rsidRDefault="00E23026">
      <w:pPr>
        <w:pStyle w:val="FootnoteText"/>
      </w:pPr>
      <w:r>
        <w:rPr>
          <w:rStyle w:val="FootnoteReference"/>
        </w:rPr>
        <w:footnoteRef/>
      </w:r>
      <w:r w:rsidR="006A7949">
        <w:t xml:space="preserve"> </w:t>
      </w:r>
      <w:r w:rsidR="006A7949" w:rsidRPr="006A7949">
        <w:t xml:space="preserve">Jacob Neusner, </w:t>
      </w:r>
      <w:r w:rsidR="006A7949" w:rsidRPr="006A7949">
        <w:rPr>
          <w:i/>
        </w:rPr>
        <w:t>Judaism in the beginning of Christianity</w:t>
      </w:r>
      <w:r w:rsidR="006A7949" w:rsidRPr="006A7949">
        <w:t>,</w:t>
      </w:r>
      <w:r>
        <w:t xml:space="preserve"> </w:t>
      </w:r>
      <w:r w:rsidR="006A7949">
        <w:t>pg.</w:t>
      </w:r>
      <w:r>
        <w:t xml:space="preserve"> 46</w:t>
      </w:r>
    </w:p>
  </w:footnote>
  <w:footnote w:id="7">
    <w:p w:rsidR="00E23026" w:rsidRDefault="00E23026">
      <w:pPr>
        <w:pStyle w:val="FootnoteText"/>
      </w:pPr>
      <w:r>
        <w:rPr>
          <w:rStyle w:val="FootnoteReference"/>
        </w:rPr>
        <w:footnoteRef/>
      </w:r>
      <w:r w:rsidR="006A7949">
        <w:t xml:space="preserve"> </w:t>
      </w:r>
      <w:r w:rsidR="006A7949" w:rsidRPr="006A7949">
        <w:t xml:space="preserve">Jacob Neusner, </w:t>
      </w:r>
      <w:r w:rsidR="006A7949" w:rsidRPr="006A7949">
        <w:rPr>
          <w:i/>
        </w:rPr>
        <w:t>Judaism in the beginning of Christianity</w:t>
      </w:r>
      <w:r w:rsidR="006A7949" w:rsidRPr="006A7949">
        <w:t>,</w:t>
      </w:r>
      <w:r w:rsidR="006A7949">
        <w:t xml:space="preserve"> pg.</w:t>
      </w:r>
      <w:r>
        <w:t xml:space="preserve"> 46</w:t>
      </w:r>
    </w:p>
  </w:footnote>
  <w:footnote w:id="8">
    <w:p w:rsidR="00E23026" w:rsidRDefault="00E23026">
      <w:pPr>
        <w:pStyle w:val="FootnoteText"/>
      </w:pPr>
      <w:r>
        <w:rPr>
          <w:rStyle w:val="FootnoteReference"/>
        </w:rPr>
        <w:footnoteRef/>
      </w:r>
      <w:r w:rsidR="006A7949">
        <w:t xml:space="preserve"> </w:t>
      </w:r>
      <w:r w:rsidR="006A7949" w:rsidRPr="006A7949">
        <w:t xml:space="preserve">Jacob Neusner, </w:t>
      </w:r>
      <w:r w:rsidR="006A7949" w:rsidRPr="006A7949">
        <w:rPr>
          <w:i/>
        </w:rPr>
        <w:t>Judaism in the beginning of Christianity</w:t>
      </w:r>
      <w:r w:rsidR="006A7949" w:rsidRPr="006A7949">
        <w:t>,</w:t>
      </w:r>
      <w:r>
        <w:t xml:space="preserve"> </w:t>
      </w:r>
      <w:r w:rsidR="006A7949">
        <w:t>pg.</w:t>
      </w:r>
      <w:r>
        <w:t xml:space="preserve"> 47</w:t>
      </w:r>
    </w:p>
  </w:footnote>
  <w:footnote w:id="9">
    <w:p w:rsidR="00E23026" w:rsidRDefault="00E23026">
      <w:pPr>
        <w:pStyle w:val="FootnoteText"/>
      </w:pPr>
      <w:r>
        <w:rPr>
          <w:rStyle w:val="FootnoteReference"/>
        </w:rPr>
        <w:footnoteRef/>
      </w:r>
      <w:r w:rsidR="006A7949">
        <w:t xml:space="preserve"> </w:t>
      </w:r>
      <w:r w:rsidR="006A7949" w:rsidRPr="006A7949">
        <w:t xml:space="preserve">Jacob Neusner, </w:t>
      </w:r>
      <w:r w:rsidR="006A7949" w:rsidRPr="006A7949">
        <w:rPr>
          <w:i/>
        </w:rPr>
        <w:t>Judaism in the beginning of Christianity</w:t>
      </w:r>
      <w:r w:rsidR="006A7949" w:rsidRPr="006A7949">
        <w:t>,</w:t>
      </w:r>
      <w:r>
        <w:t xml:space="preserve"> </w:t>
      </w:r>
      <w:r w:rsidR="006A7949">
        <w:t>pg.</w:t>
      </w:r>
      <w:r>
        <w:t xml:space="preserve"> 45 </w:t>
      </w:r>
    </w:p>
  </w:footnote>
  <w:footnote w:id="10">
    <w:p w:rsidR="00E23026" w:rsidRDefault="00E23026">
      <w:pPr>
        <w:pStyle w:val="FootnoteText"/>
      </w:pPr>
      <w:r>
        <w:rPr>
          <w:rStyle w:val="FootnoteReference"/>
        </w:rPr>
        <w:footnoteRef/>
      </w:r>
      <w:r>
        <w:t xml:space="preserve"> </w:t>
      </w:r>
      <w:r w:rsidR="00FE10AE">
        <w:t>Grace Notes, ‘The Jewish Religion System Scribes, Pharisees, Sadducees, the Sanhedrin, the Talmud’, 2017. &lt;</w:t>
      </w:r>
      <w:r w:rsidRPr="00FE10AE">
        <w:t>https://www.gracenotes.info/do</w:t>
      </w:r>
      <w:r w:rsidRPr="00FE10AE">
        <w:t>c</w:t>
      </w:r>
      <w:r w:rsidRPr="00FE10AE">
        <w:t>um</w:t>
      </w:r>
      <w:r w:rsidRPr="00FE10AE">
        <w:t>e</w:t>
      </w:r>
      <w:r w:rsidRPr="00FE10AE">
        <w:t>nts/topi</w:t>
      </w:r>
      <w:r w:rsidR="00FE10AE">
        <w:t xml:space="preserve">cs_doc/jewishreligioussystem.pdf&gt; </w:t>
      </w:r>
      <w:r>
        <w:t xml:space="preserve"> </w:t>
      </w:r>
      <w:r w:rsidR="00FE10AE">
        <w:t>pg.</w:t>
      </w:r>
      <w:r>
        <w:t xml:space="preserve"> 3</w:t>
      </w:r>
    </w:p>
  </w:footnote>
  <w:footnote w:id="11">
    <w:p w:rsidR="00E23026" w:rsidRDefault="00E23026">
      <w:pPr>
        <w:pStyle w:val="FootnoteText"/>
      </w:pPr>
      <w:r>
        <w:rPr>
          <w:rStyle w:val="FootnoteReference"/>
        </w:rPr>
        <w:footnoteRef/>
      </w:r>
      <w:r>
        <w:t xml:space="preserve"> </w:t>
      </w:r>
      <w:r w:rsidR="00FE10AE" w:rsidRPr="00FE10AE">
        <w:t>Grace Notes, ‘The Jewish Religion System Scribes, Pharisees, Sadducees, the Sanhedrin, the Talmud</w:t>
      </w:r>
      <w:r w:rsidR="00FE10AE">
        <w:t>’</w:t>
      </w:r>
      <w:r w:rsidR="00FE10AE" w:rsidRPr="00FE10AE">
        <w:t>, 2017. &lt;https://www.gracenotes.info/documents/topics</w:t>
      </w:r>
      <w:r w:rsidR="00FE10AE">
        <w:t>_doc/jewishreligioussystem.pdf&gt; pg.</w:t>
      </w:r>
      <w:r>
        <w:t xml:space="preserve"> 3</w:t>
      </w:r>
    </w:p>
  </w:footnote>
  <w:footnote w:id="12">
    <w:p w:rsidR="00E23026" w:rsidRDefault="00E23026">
      <w:pPr>
        <w:pStyle w:val="FootnoteText"/>
      </w:pPr>
      <w:r>
        <w:rPr>
          <w:rStyle w:val="FootnoteReference"/>
        </w:rPr>
        <w:footnoteRef/>
      </w:r>
      <w:r>
        <w:t xml:space="preserve"> </w:t>
      </w:r>
      <w:r w:rsidR="00277F8E">
        <w:t>Allen P. Ross, ‘The Religious World of Jesus,’ unknown date. &lt;</w:t>
      </w:r>
      <w:r w:rsidR="00FE10AE" w:rsidRPr="00277F8E">
        <w:t>http://www.c</w:t>
      </w:r>
      <w:r w:rsidR="00FE10AE" w:rsidRPr="00277F8E">
        <w:t>h</w:t>
      </w:r>
      <w:r w:rsidR="00FE10AE" w:rsidRPr="00277F8E">
        <w:t>ristianleadershipcenter.org/dvnt7</w:t>
      </w:r>
      <w:r w:rsidR="00FE10AE" w:rsidRPr="00277F8E">
        <w:t>2</w:t>
      </w:r>
      <w:r w:rsidR="00FE10AE" w:rsidRPr="00277F8E">
        <w:t>1c.pdf</w:t>
      </w:r>
      <w:r w:rsidR="00277F8E">
        <w:t>&gt; [Accessed 3</w:t>
      </w:r>
      <w:r w:rsidR="00277F8E" w:rsidRPr="00277F8E">
        <w:rPr>
          <w:vertAlign w:val="superscript"/>
        </w:rPr>
        <w:t>rd</w:t>
      </w:r>
      <w:r w:rsidR="00277F8E">
        <w:t xml:space="preserve"> December 2017].</w:t>
      </w:r>
    </w:p>
  </w:footnote>
  <w:footnote w:id="13">
    <w:p w:rsidR="00E23026" w:rsidRDefault="00E23026">
      <w:pPr>
        <w:pStyle w:val="FootnoteText"/>
      </w:pPr>
      <w:r>
        <w:rPr>
          <w:rStyle w:val="FootnoteReference"/>
        </w:rPr>
        <w:footnoteRef/>
      </w:r>
      <w:r w:rsidR="00277F8E" w:rsidRPr="00277F8E">
        <w:t>Allen P. Ross, ‘The Religious World of Jesus,’ unknown date. &lt;http://www.christianleadershipcenter.org/dvnt721c.pdf&gt; [Accessed 3</w:t>
      </w:r>
      <w:r w:rsidR="00277F8E" w:rsidRPr="00277F8E">
        <w:rPr>
          <w:vertAlign w:val="superscript"/>
        </w:rPr>
        <w:t>rd</w:t>
      </w:r>
      <w:r w:rsidR="00277F8E" w:rsidRPr="00277F8E">
        <w:t xml:space="preserve"> December 2017].</w:t>
      </w:r>
      <w:r>
        <w:t xml:space="preserve"> </w:t>
      </w:r>
      <w:r w:rsidR="00277F8E">
        <w:t>pg.</w:t>
      </w:r>
      <w:r>
        <w:t xml:space="preserve"> 10</w:t>
      </w:r>
    </w:p>
  </w:footnote>
  <w:footnote w:id="14">
    <w:p w:rsidR="00E23026" w:rsidRDefault="00E23026">
      <w:pPr>
        <w:pStyle w:val="FootnoteText"/>
      </w:pPr>
      <w:r>
        <w:rPr>
          <w:rStyle w:val="FootnoteReference"/>
        </w:rPr>
        <w:footnoteRef/>
      </w:r>
      <w:r>
        <w:t xml:space="preserve"> </w:t>
      </w:r>
      <w:r w:rsidR="00277F8E" w:rsidRPr="00277F8E">
        <w:t>Grace Notes, ‘The Jewish Religion System Scribes, Pharisees, Sadducees, the Sanhedrin, the Talmud’, 2017. &lt;https://www.gracenotes.info/documents/topics_doc/jewishreligioussystem.pdf&gt;</w:t>
      </w:r>
      <w:r w:rsidR="00277F8E">
        <w:t xml:space="preserve"> pg.</w:t>
      </w:r>
      <w:r>
        <w:t xml:space="preserve"> 4</w:t>
      </w:r>
      <w:r w:rsidR="005D7E82">
        <w:t>.</w:t>
      </w:r>
    </w:p>
  </w:footnote>
  <w:footnote w:id="15">
    <w:p w:rsidR="00E23026" w:rsidRDefault="00E23026" w:rsidP="00510187">
      <w:pPr>
        <w:pStyle w:val="FootnoteText"/>
      </w:pPr>
      <w:r>
        <w:rPr>
          <w:rStyle w:val="FootnoteReference"/>
        </w:rPr>
        <w:footnoteRef/>
      </w:r>
      <w:r w:rsidR="006A7949">
        <w:t xml:space="preserve"> </w:t>
      </w:r>
      <w:r w:rsidR="006A7949" w:rsidRPr="006A7949">
        <w:t xml:space="preserve">Jacob Neusner, </w:t>
      </w:r>
      <w:r w:rsidR="006A7949" w:rsidRPr="006A7949">
        <w:rPr>
          <w:i/>
        </w:rPr>
        <w:t>Judaism in the beginning of Christianity</w:t>
      </w:r>
      <w:r w:rsidR="006A7949" w:rsidRPr="006A7949">
        <w:t>,</w:t>
      </w:r>
      <w:r>
        <w:t xml:space="preserve"> </w:t>
      </w:r>
      <w:r w:rsidR="006A7949">
        <w:t>pg.</w:t>
      </w:r>
      <w:r>
        <w:t xml:space="preserve"> 45</w:t>
      </w:r>
      <w:r w:rsidR="005D7E82">
        <w:t>.</w:t>
      </w:r>
    </w:p>
  </w:footnote>
  <w:footnote w:id="16">
    <w:p w:rsidR="00E23026" w:rsidRDefault="00E23026">
      <w:pPr>
        <w:pStyle w:val="FootnoteText"/>
      </w:pPr>
      <w:r>
        <w:rPr>
          <w:rStyle w:val="FootnoteReference"/>
        </w:rPr>
        <w:footnoteRef/>
      </w:r>
      <w:r>
        <w:t xml:space="preserve"> </w:t>
      </w:r>
      <w:r w:rsidR="005D7E82">
        <w:t xml:space="preserve">Bible.org, ‘The Pharisees,’ 2017. </w:t>
      </w:r>
      <w:r w:rsidR="005D7E82">
        <w:t>&lt;</w:t>
      </w:r>
      <w:r w:rsidR="005D7E82" w:rsidRPr="006B7382">
        <w:t>https:/</w:t>
      </w:r>
      <w:bookmarkStart w:id="0" w:name="_GoBack"/>
      <w:bookmarkEnd w:id="0"/>
      <w:r w:rsidR="005D7E82" w:rsidRPr="006B7382">
        <w:t>/bible.org/seriespage/2-pharisees#P42_1053</w:t>
      </w:r>
      <w:r w:rsidR="005D7E82" w:rsidRPr="006B7382">
        <w:t>9</w:t>
      </w:r>
      <w:r w:rsidR="005D7E82">
        <w:t>&gt; [Accessed 5</w:t>
      </w:r>
      <w:r w:rsidR="005D7E82" w:rsidRPr="005D7E82">
        <w:rPr>
          <w:vertAlign w:val="superscript"/>
        </w:rPr>
        <w:t>th</w:t>
      </w:r>
      <w:r w:rsidR="005D7E82">
        <w:t xml:space="preserve"> December 2017].</w:t>
      </w:r>
    </w:p>
  </w:footnote>
  <w:footnote w:id="17">
    <w:p w:rsidR="00E23026" w:rsidRDefault="00E23026">
      <w:pPr>
        <w:pStyle w:val="FootnoteText"/>
      </w:pPr>
      <w:r>
        <w:rPr>
          <w:rStyle w:val="FootnoteReference"/>
        </w:rPr>
        <w:footnoteRef/>
      </w:r>
      <w:r>
        <w:t xml:space="preserve"> </w:t>
      </w:r>
      <w:r w:rsidR="00C0042F">
        <w:t>Yosef Eisen</w:t>
      </w:r>
      <w:r w:rsidR="00C02D54">
        <w:t>, ‘Hillel and Shammai,’ 2017. &lt;</w:t>
      </w:r>
      <w:r w:rsidR="00C0042F" w:rsidRPr="00C02D54">
        <w:t>http://www.chabad.org/library/article_cdo/aid/2832622/</w:t>
      </w:r>
      <w:r w:rsidR="00C0042F" w:rsidRPr="00C02D54">
        <w:t>j</w:t>
      </w:r>
      <w:r w:rsidR="00C0042F" w:rsidRPr="00C02D54">
        <w:t>ewish/Hillel-and-Shammai.htm</w:t>
      </w:r>
      <w:r w:rsidR="00C02D54">
        <w:t xml:space="preserve">&gt; </w:t>
      </w:r>
      <w:r w:rsidR="005D7E82">
        <w:t>[Accessed 4</w:t>
      </w:r>
      <w:r w:rsidR="005D7E82" w:rsidRPr="005D7E82">
        <w:rPr>
          <w:vertAlign w:val="superscript"/>
        </w:rPr>
        <w:t>th</w:t>
      </w:r>
      <w:r w:rsidR="005D7E82">
        <w:t xml:space="preserve"> December 2017].</w:t>
      </w:r>
    </w:p>
  </w:footnote>
  <w:footnote w:id="18">
    <w:p w:rsidR="00E23026" w:rsidRDefault="00E23026">
      <w:pPr>
        <w:pStyle w:val="FootnoteText"/>
      </w:pPr>
      <w:r>
        <w:rPr>
          <w:rStyle w:val="FootnoteReference"/>
        </w:rPr>
        <w:footnoteRef/>
      </w:r>
      <w:r>
        <w:t xml:space="preserve"> </w:t>
      </w:r>
      <w:r w:rsidR="00C0042F" w:rsidRPr="00C0042F">
        <w:t xml:space="preserve">Gareth Lloyd Jones, </w:t>
      </w:r>
      <w:r w:rsidR="00C0042F" w:rsidRPr="00C0042F">
        <w:rPr>
          <w:i/>
        </w:rPr>
        <w:t>The bones of Joseph</w:t>
      </w:r>
      <w:r w:rsidR="00C0042F" w:rsidRPr="00C0042F">
        <w:t>,</w:t>
      </w:r>
      <w:r w:rsidR="00C0042F">
        <w:t xml:space="preserve"> </w:t>
      </w:r>
      <w:r>
        <w:t>pg. 114</w:t>
      </w:r>
      <w:r w:rsidR="005D7E82">
        <w:t>.</w:t>
      </w:r>
    </w:p>
  </w:footnote>
  <w:footnote w:id="19">
    <w:p w:rsidR="00E23026" w:rsidRDefault="00E23026">
      <w:pPr>
        <w:pStyle w:val="FootnoteText"/>
      </w:pPr>
      <w:r>
        <w:rPr>
          <w:rStyle w:val="FootnoteReference"/>
        </w:rPr>
        <w:footnoteRef/>
      </w:r>
      <w:r>
        <w:t xml:space="preserve"> </w:t>
      </w:r>
      <w:r w:rsidR="00C0042F" w:rsidRPr="00C0042F">
        <w:t xml:space="preserve">Gareth Lloyd Jones, </w:t>
      </w:r>
      <w:r w:rsidR="00C0042F" w:rsidRPr="00C0042F">
        <w:rPr>
          <w:i/>
        </w:rPr>
        <w:t>The bones of Joseph</w:t>
      </w:r>
      <w:r w:rsidR="00C0042F" w:rsidRPr="00C0042F">
        <w:t>,</w:t>
      </w:r>
      <w:r w:rsidR="00C0042F">
        <w:t xml:space="preserve"> pg.</w:t>
      </w:r>
      <w:r>
        <w:t xml:space="preserve"> 114 </w:t>
      </w:r>
    </w:p>
  </w:footnote>
  <w:footnote w:id="20">
    <w:p w:rsidR="00E23026" w:rsidRDefault="00E23026">
      <w:pPr>
        <w:pStyle w:val="FootnoteText"/>
      </w:pPr>
      <w:r>
        <w:rPr>
          <w:rStyle w:val="FootnoteReference"/>
        </w:rPr>
        <w:footnoteRef/>
      </w:r>
      <w:r w:rsidR="00C0042F">
        <w:t xml:space="preserve"> </w:t>
      </w:r>
      <w:r w:rsidR="00C0042F" w:rsidRPr="00C0042F">
        <w:t xml:space="preserve">Gareth Lloyd Jones, </w:t>
      </w:r>
      <w:r w:rsidR="00C0042F" w:rsidRPr="00C0042F">
        <w:rPr>
          <w:i/>
        </w:rPr>
        <w:t>The bones of Joseph</w:t>
      </w:r>
      <w:r w:rsidR="00C0042F" w:rsidRPr="00C0042F">
        <w:t>,</w:t>
      </w:r>
      <w:r>
        <w:t xml:space="preserve"> pg. 115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8A4F11"/>
    <w:multiLevelType w:val="hybridMultilevel"/>
    <w:tmpl w:val="D1729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021998"/>
    <w:multiLevelType w:val="hybridMultilevel"/>
    <w:tmpl w:val="F1889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593359"/>
    <w:multiLevelType w:val="hybridMultilevel"/>
    <w:tmpl w:val="58E01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5B66FD"/>
    <w:multiLevelType w:val="hybridMultilevel"/>
    <w:tmpl w:val="9CB43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1C3E35"/>
    <w:multiLevelType w:val="hybridMultilevel"/>
    <w:tmpl w:val="A216C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6034EA"/>
    <w:multiLevelType w:val="hybridMultilevel"/>
    <w:tmpl w:val="4DF87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D0F"/>
    <w:rsid w:val="0000685F"/>
    <w:rsid w:val="00010BE3"/>
    <w:rsid w:val="000974D1"/>
    <w:rsid w:val="000A31BF"/>
    <w:rsid w:val="000A572B"/>
    <w:rsid w:val="000C1286"/>
    <w:rsid w:val="000C2A39"/>
    <w:rsid w:val="000D3883"/>
    <w:rsid w:val="000E443A"/>
    <w:rsid w:val="000E4B58"/>
    <w:rsid w:val="00101CD0"/>
    <w:rsid w:val="001619D7"/>
    <w:rsid w:val="001762DF"/>
    <w:rsid w:val="001842AE"/>
    <w:rsid w:val="0018631F"/>
    <w:rsid w:val="001901A4"/>
    <w:rsid w:val="00191A71"/>
    <w:rsid w:val="0019300A"/>
    <w:rsid w:val="001A75CE"/>
    <w:rsid w:val="002213FA"/>
    <w:rsid w:val="00221D0F"/>
    <w:rsid w:val="00245835"/>
    <w:rsid w:val="00267E95"/>
    <w:rsid w:val="00277F8E"/>
    <w:rsid w:val="00287090"/>
    <w:rsid w:val="00290473"/>
    <w:rsid w:val="002A11FA"/>
    <w:rsid w:val="002C6AD7"/>
    <w:rsid w:val="002E554A"/>
    <w:rsid w:val="002E730D"/>
    <w:rsid w:val="002F3CC6"/>
    <w:rsid w:val="00337EF0"/>
    <w:rsid w:val="00374115"/>
    <w:rsid w:val="003B0B19"/>
    <w:rsid w:val="003B657E"/>
    <w:rsid w:val="003F0D9F"/>
    <w:rsid w:val="003F3DDE"/>
    <w:rsid w:val="00400604"/>
    <w:rsid w:val="00451B74"/>
    <w:rsid w:val="00492CED"/>
    <w:rsid w:val="004A071D"/>
    <w:rsid w:val="004A0BD9"/>
    <w:rsid w:val="004B28C6"/>
    <w:rsid w:val="004C0998"/>
    <w:rsid w:val="00510187"/>
    <w:rsid w:val="005218EB"/>
    <w:rsid w:val="005D7E82"/>
    <w:rsid w:val="00623BE8"/>
    <w:rsid w:val="00640F60"/>
    <w:rsid w:val="00674551"/>
    <w:rsid w:val="006A7949"/>
    <w:rsid w:val="006B71A4"/>
    <w:rsid w:val="006B7382"/>
    <w:rsid w:val="00772150"/>
    <w:rsid w:val="00774AFE"/>
    <w:rsid w:val="007A1FA8"/>
    <w:rsid w:val="007B7EC4"/>
    <w:rsid w:val="008066E2"/>
    <w:rsid w:val="00830A1B"/>
    <w:rsid w:val="00840D89"/>
    <w:rsid w:val="008B74AB"/>
    <w:rsid w:val="008D1EDE"/>
    <w:rsid w:val="008E03CD"/>
    <w:rsid w:val="008F0858"/>
    <w:rsid w:val="009101F8"/>
    <w:rsid w:val="0093032B"/>
    <w:rsid w:val="00954F5D"/>
    <w:rsid w:val="009A3015"/>
    <w:rsid w:val="009E123C"/>
    <w:rsid w:val="00A6257A"/>
    <w:rsid w:val="00A85AC0"/>
    <w:rsid w:val="00AB6BD1"/>
    <w:rsid w:val="00AD0334"/>
    <w:rsid w:val="00AD0FEB"/>
    <w:rsid w:val="00B046AA"/>
    <w:rsid w:val="00B22923"/>
    <w:rsid w:val="00B33B4A"/>
    <w:rsid w:val="00B7471A"/>
    <w:rsid w:val="00B930D4"/>
    <w:rsid w:val="00BB11C8"/>
    <w:rsid w:val="00BB1415"/>
    <w:rsid w:val="00BC72C5"/>
    <w:rsid w:val="00BE5B0C"/>
    <w:rsid w:val="00BE75CC"/>
    <w:rsid w:val="00C0042F"/>
    <w:rsid w:val="00C02D54"/>
    <w:rsid w:val="00C06FCA"/>
    <w:rsid w:val="00C143B4"/>
    <w:rsid w:val="00C203D6"/>
    <w:rsid w:val="00C33B63"/>
    <w:rsid w:val="00C47E4C"/>
    <w:rsid w:val="00C5719A"/>
    <w:rsid w:val="00C662A3"/>
    <w:rsid w:val="00CA0DB6"/>
    <w:rsid w:val="00D053DA"/>
    <w:rsid w:val="00D10D64"/>
    <w:rsid w:val="00D31B42"/>
    <w:rsid w:val="00D55398"/>
    <w:rsid w:val="00D5776C"/>
    <w:rsid w:val="00D747B5"/>
    <w:rsid w:val="00DA0400"/>
    <w:rsid w:val="00DB1E5F"/>
    <w:rsid w:val="00DE000D"/>
    <w:rsid w:val="00DE0A5F"/>
    <w:rsid w:val="00E01CE4"/>
    <w:rsid w:val="00E2197C"/>
    <w:rsid w:val="00E23026"/>
    <w:rsid w:val="00E523AE"/>
    <w:rsid w:val="00E83B80"/>
    <w:rsid w:val="00E84D2A"/>
    <w:rsid w:val="00ED5400"/>
    <w:rsid w:val="00EE3990"/>
    <w:rsid w:val="00EF3B31"/>
    <w:rsid w:val="00F43317"/>
    <w:rsid w:val="00F657AA"/>
    <w:rsid w:val="00FD334F"/>
    <w:rsid w:val="00FD685F"/>
    <w:rsid w:val="00FE1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1CF620-18A8-467F-B482-9871B7FD1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1D0F"/>
    <w:pPr>
      <w:ind w:left="720"/>
      <w:contextualSpacing/>
    </w:pPr>
  </w:style>
  <w:style w:type="character" w:styleId="Hyperlink">
    <w:name w:val="Hyperlink"/>
    <w:basedOn w:val="DefaultParagraphFont"/>
    <w:uiPriority w:val="99"/>
    <w:unhideWhenUsed/>
    <w:rsid w:val="007B7EC4"/>
    <w:rPr>
      <w:color w:val="0563C1" w:themeColor="hyperlink"/>
      <w:u w:val="single"/>
    </w:rPr>
  </w:style>
  <w:style w:type="paragraph" w:styleId="FootnoteText">
    <w:name w:val="footnote text"/>
    <w:basedOn w:val="Normal"/>
    <w:link w:val="FootnoteTextChar"/>
    <w:uiPriority w:val="99"/>
    <w:semiHidden/>
    <w:unhideWhenUsed/>
    <w:rsid w:val="0077215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72150"/>
    <w:rPr>
      <w:sz w:val="20"/>
      <w:szCs w:val="20"/>
    </w:rPr>
  </w:style>
  <w:style w:type="character" w:styleId="FootnoteReference">
    <w:name w:val="footnote reference"/>
    <w:basedOn w:val="DefaultParagraphFont"/>
    <w:uiPriority w:val="99"/>
    <w:semiHidden/>
    <w:unhideWhenUsed/>
    <w:rsid w:val="00772150"/>
    <w:rPr>
      <w:vertAlign w:val="superscript"/>
    </w:rPr>
  </w:style>
  <w:style w:type="character" w:styleId="FollowedHyperlink">
    <w:name w:val="FollowedHyperlink"/>
    <w:basedOn w:val="DefaultParagraphFont"/>
    <w:uiPriority w:val="99"/>
    <w:semiHidden/>
    <w:unhideWhenUsed/>
    <w:rsid w:val="006A794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D73EA-CE6B-4DC7-B426-2C5B59A67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2734</Words>
  <Characters>15584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Waller</dc:creator>
  <cp:keywords/>
  <dc:description/>
  <cp:lastModifiedBy>Emily Waller</cp:lastModifiedBy>
  <cp:revision>2</cp:revision>
  <dcterms:created xsi:type="dcterms:W3CDTF">2017-12-08T13:08:00Z</dcterms:created>
  <dcterms:modified xsi:type="dcterms:W3CDTF">2017-12-08T13:08:00Z</dcterms:modified>
</cp:coreProperties>
</file>