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C88AEA" w14:textId="77777777" w:rsidR="0039166B" w:rsidRDefault="0039166B" w:rsidP="0039166B">
      <w:pPr>
        <w:rPr>
          <w:rFonts w:ascii="Arial" w:hAnsi="Arial" w:cs="Arial"/>
          <w:sz w:val="40"/>
          <w:szCs w:val="44"/>
        </w:rPr>
      </w:pPr>
    </w:p>
    <w:p w14:paraId="7B8633A8" w14:textId="77777777" w:rsidR="0039166B" w:rsidRDefault="0039166B" w:rsidP="0039166B">
      <w:pPr>
        <w:rPr>
          <w:rFonts w:ascii="Arial" w:hAnsi="Arial" w:cs="Arial"/>
          <w:sz w:val="40"/>
          <w:szCs w:val="44"/>
        </w:rPr>
      </w:pPr>
    </w:p>
    <w:p w14:paraId="0D690A91" w14:textId="77777777" w:rsidR="00C42CDE" w:rsidRPr="00C42CDE" w:rsidRDefault="00C42CDE" w:rsidP="00C42CDE">
      <w:pPr>
        <w:jc w:val="center"/>
        <w:rPr>
          <w:rFonts w:ascii="Times New Roman" w:hAnsi="Times New Roman" w:cs="Times New Roman"/>
          <w:b/>
          <w:bCs/>
          <w:sz w:val="40"/>
          <w:szCs w:val="44"/>
        </w:rPr>
      </w:pPr>
      <w:r w:rsidRPr="00C42CDE">
        <w:rPr>
          <w:rFonts w:ascii="Times New Roman" w:hAnsi="Times New Roman" w:cs="Times New Roman"/>
          <w:b/>
          <w:bCs/>
          <w:sz w:val="40"/>
          <w:szCs w:val="44"/>
        </w:rPr>
        <w:t xml:space="preserve">Digital Translation and Embodied Interaction </w:t>
      </w:r>
    </w:p>
    <w:p w14:paraId="3A33817A" w14:textId="64FB07D9" w:rsidR="00C42CDE" w:rsidRPr="00C42CDE" w:rsidRDefault="00C42CDE" w:rsidP="00C42CDE">
      <w:pPr>
        <w:jc w:val="center"/>
        <w:rPr>
          <w:rFonts w:ascii="Times New Roman" w:hAnsi="Times New Roman" w:cs="Times New Roman"/>
          <w:b/>
          <w:bCs/>
          <w:sz w:val="40"/>
          <w:szCs w:val="44"/>
        </w:rPr>
      </w:pPr>
      <w:r w:rsidRPr="00C42CDE">
        <w:rPr>
          <w:rFonts w:ascii="Times New Roman" w:hAnsi="Times New Roman" w:cs="Times New Roman" w:hint="eastAsia"/>
          <w:b/>
          <w:bCs/>
          <w:sz w:val="40"/>
          <w:szCs w:val="44"/>
        </w:rPr>
        <w:t xml:space="preserve">of Intangible Cultural Heritage </w:t>
      </w:r>
    </w:p>
    <w:p w14:paraId="576396A2" w14:textId="7F82062A" w:rsidR="0039166B" w:rsidRPr="00C42CDE" w:rsidRDefault="00C42CDE" w:rsidP="00C42CDE">
      <w:pPr>
        <w:jc w:val="center"/>
        <w:rPr>
          <w:rFonts w:ascii="Times New Roman" w:hAnsi="Times New Roman" w:cs="Times New Roman"/>
          <w:b/>
          <w:bCs/>
          <w:sz w:val="40"/>
          <w:szCs w:val="44"/>
        </w:rPr>
      </w:pPr>
      <w:r w:rsidRPr="00C42CDE">
        <w:rPr>
          <w:rFonts w:ascii="Times New Roman" w:hAnsi="Times New Roman" w:cs="Times New Roman" w:hint="eastAsia"/>
          <w:b/>
          <w:bCs/>
          <w:sz w:val="40"/>
          <w:szCs w:val="44"/>
        </w:rPr>
        <w:t>based on Algorithmic Assistance and XR Technologies</w:t>
      </w:r>
    </w:p>
    <w:p w14:paraId="22969E18" w14:textId="77777777" w:rsidR="0039166B" w:rsidRDefault="0039166B" w:rsidP="0039166B">
      <w:pPr>
        <w:rPr>
          <w:rFonts w:hint="eastAsia"/>
          <w:b/>
          <w:bCs/>
        </w:rPr>
      </w:pPr>
    </w:p>
    <w:p w14:paraId="073BBF03" w14:textId="77777777" w:rsidR="0039166B" w:rsidRDefault="0039166B" w:rsidP="0039166B">
      <w:pPr>
        <w:rPr>
          <w:rFonts w:hint="eastAsia"/>
          <w:b/>
          <w:bCs/>
        </w:rPr>
      </w:pPr>
    </w:p>
    <w:p w14:paraId="1A1B83B9" w14:textId="77777777" w:rsidR="0039166B" w:rsidRDefault="0039166B" w:rsidP="0039166B">
      <w:pPr>
        <w:rPr>
          <w:rFonts w:hint="eastAsia"/>
          <w:b/>
          <w:bCs/>
        </w:rPr>
      </w:pPr>
    </w:p>
    <w:p w14:paraId="2C991B70" w14:textId="77777777" w:rsidR="0039166B" w:rsidRDefault="0039166B" w:rsidP="0039166B">
      <w:pPr>
        <w:rPr>
          <w:rFonts w:hint="eastAsia"/>
        </w:rPr>
      </w:pPr>
    </w:p>
    <w:p w14:paraId="08BE5941" w14:textId="77777777" w:rsidR="0039166B" w:rsidRDefault="0039166B" w:rsidP="0039166B">
      <w:pPr>
        <w:rPr>
          <w:rFonts w:hint="eastAsia"/>
        </w:rPr>
      </w:pPr>
    </w:p>
    <w:p w14:paraId="1FCB96ED" w14:textId="77777777" w:rsidR="00C42CDE" w:rsidRDefault="00C42CDE" w:rsidP="0039166B">
      <w:pPr>
        <w:rPr>
          <w:rFonts w:hint="eastAsia"/>
        </w:rPr>
      </w:pPr>
    </w:p>
    <w:p w14:paraId="0972C39F" w14:textId="77777777" w:rsidR="0039166B" w:rsidRDefault="0039166B" w:rsidP="0039166B">
      <w:pPr>
        <w:rPr>
          <w:rFonts w:hint="eastAsia"/>
        </w:rPr>
      </w:pPr>
    </w:p>
    <w:p w14:paraId="12C7564C" w14:textId="77777777" w:rsidR="0039166B" w:rsidRDefault="0039166B" w:rsidP="0039166B">
      <w:pPr>
        <w:rPr>
          <w:rFonts w:hint="eastAsia"/>
        </w:rPr>
      </w:pPr>
    </w:p>
    <w:p w14:paraId="0446698B" w14:textId="77777777" w:rsidR="0039166B" w:rsidRPr="00563D2D" w:rsidRDefault="0039166B" w:rsidP="0039166B">
      <w:pPr>
        <w:rPr>
          <w:rFonts w:hint="eastAsia"/>
        </w:rPr>
      </w:pPr>
    </w:p>
    <w:p w14:paraId="1C4BBB5C" w14:textId="77777777" w:rsidR="0039166B" w:rsidRPr="007E4FE6" w:rsidRDefault="0039166B" w:rsidP="0039166B">
      <w:pPr>
        <w:jc w:val="center"/>
        <w:rPr>
          <w:rFonts w:ascii="Arial" w:hAnsi="Arial" w:cs="Arial"/>
          <w:b/>
          <w:bCs/>
          <w:sz w:val="32"/>
          <w:szCs w:val="36"/>
        </w:rPr>
      </w:pPr>
      <w:r w:rsidRPr="007E4FE6">
        <w:rPr>
          <w:rFonts w:ascii="Arial" w:hAnsi="Arial" w:cs="Arial"/>
          <w:b/>
          <w:bCs/>
          <w:sz w:val="32"/>
          <w:szCs w:val="36"/>
        </w:rPr>
        <w:t>by</w:t>
      </w:r>
    </w:p>
    <w:p w14:paraId="205F854D" w14:textId="77777777" w:rsidR="0039166B" w:rsidRPr="007E4FE6" w:rsidRDefault="0039166B" w:rsidP="0039166B">
      <w:pPr>
        <w:jc w:val="center"/>
        <w:rPr>
          <w:rFonts w:ascii="Arial" w:hAnsi="Arial" w:cs="Arial"/>
          <w:b/>
          <w:bCs/>
          <w:sz w:val="32"/>
          <w:szCs w:val="36"/>
        </w:rPr>
      </w:pPr>
      <w:r w:rsidRPr="007E4FE6">
        <w:rPr>
          <w:rFonts w:ascii="Arial" w:hAnsi="Arial" w:cs="Arial"/>
          <w:b/>
          <w:bCs/>
          <w:sz w:val="32"/>
          <w:szCs w:val="36"/>
        </w:rPr>
        <w:t>Benhao Qi</w:t>
      </w:r>
    </w:p>
    <w:p w14:paraId="0B899C63" w14:textId="77777777" w:rsidR="0039166B" w:rsidRPr="007E4FE6" w:rsidRDefault="0039166B" w:rsidP="0039166B">
      <w:pPr>
        <w:jc w:val="center"/>
        <w:rPr>
          <w:rFonts w:ascii="Arial" w:hAnsi="Arial" w:cs="Arial"/>
          <w:b/>
          <w:bCs/>
          <w:sz w:val="32"/>
          <w:szCs w:val="36"/>
        </w:rPr>
      </w:pPr>
      <w:r w:rsidRPr="007E4FE6">
        <w:rPr>
          <w:rFonts w:ascii="Arial" w:hAnsi="Arial" w:cs="Arial"/>
          <w:b/>
          <w:bCs/>
          <w:sz w:val="32"/>
          <w:szCs w:val="36"/>
        </w:rPr>
        <w:t>Art and Design</w:t>
      </w:r>
    </w:p>
    <w:p w14:paraId="39414B65" w14:textId="77777777" w:rsidR="0039166B" w:rsidRDefault="0039166B" w:rsidP="0039166B">
      <w:pPr>
        <w:rPr>
          <w:rFonts w:hint="eastAsia"/>
        </w:rPr>
      </w:pPr>
    </w:p>
    <w:p w14:paraId="18F63BD5" w14:textId="77777777" w:rsidR="0039166B" w:rsidRDefault="0039166B" w:rsidP="0039166B">
      <w:pPr>
        <w:rPr>
          <w:rFonts w:hint="eastAsia"/>
        </w:rPr>
      </w:pPr>
    </w:p>
    <w:p w14:paraId="39622190" w14:textId="4D5D8C31" w:rsidR="0039166B" w:rsidRPr="00563D2D" w:rsidRDefault="0039166B" w:rsidP="0039166B">
      <w:pPr>
        <w:jc w:val="center"/>
        <w:rPr>
          <w:rFonts w:ascii="Arial" w:hAnsi="Arial" w:cs="Arial"/>
          <w:b/>
          <w:bCs/>
          <w:sz w:val="28"/>
          <w:szCs w:val="32"/>
        </w:rPr>
      </w:pPr>
      <w:r w:rsidRPr="00563D2D">
        <w:rPr>
          <w:rFonts w:ascii="Arial" w:hAnsi="Arial" w:cs="Arial"/>
          <w:b/>
          <w:bCs/>
          <w:sz w:val="28"/>
          <w:szCs w:val="32"/>
        </w:rPr>
        <w:t>202</w:t>
      </w:r>
      <w:r w:rsidR="00E2268A">
        <w:rPr>
          <w:rFonts w:ascii="Arial" w:hAnsi="Arial" w:cs="Arial" w:hint="eastAsia"/>
          <w:b/>
          <w:bCs/>
          <w:sz w:val="28"/>
          <w:szCs w:val="32"/>
        </w:rPr>
        <w:t>6</w:t>
      </w:r>
    </w:p>
    <w:p w14:paraId="09E9F77F" w14:textId="77777777" w:rsidR="0039166B" w:rsidRDefault="0039166B" w:rsidP="00537BCD">
      <w:pPr>
        <w:rPr>
          <w:rFonts w:hint="eastAsia"/>
          <w:b/>
          <w:bCs/>
        </w:rPr>
      </w:pPr>
    </w:p>
    <w:p w14:paraId="1EEB2D08" w14:textId="77777777" w:rsidR="0039166B" w:rsidRPr="0039166B" w:rsidRDefault="0039166B" w:rsidP="0039166B">
      <w:pPr>
        <w:jc w:val="center"/>
        <w:rPr>
          <w:rFonts w:ascii="Arial" w:eastAsiaTheme="majorEastAsia" w:hAnsi="Arial" w:cs="Arial"/>
          <w:b/>
          <w:bCs/>
          <w:kern w:val="0"/>
          <w:sz w:val="32"/>
          <w:szCs w:val="32"/>
          <w14:ligatures w14:val="none"/>
        </w:rPr>
      </w:pPr>
      <w:r w:rsidRPr="0039166B">
        <w:rPr>
          <w:rFonts w:ascii="Arial" w:eastAsiaTheme="majorEastAsia" w:hAnsi="Arial" w:cs="Arial"/>
          <w:b/>
          <w:bCs/>
          <w:kern w:val="0"/>
          <w:sz w:val="32"/>
          <w:szCs w:val="32"/>
          <w14:ligatures w14:val="none"/>
        </w:rPr>
        <w:lastRenderedPageBreak/>
        <w:t>Abstract</w:t>
      </w:r>
    </w:p>
    <w:p w14:paraId="0EFAE51D" w14:textId="1567AD32" w:rsidR="0039166B" w:rsidRPr="0039166B" w:rsidRDefault="0039166B" w:rsidP="0039166B">
      <w:pPr>
        <w:ind w:firstLineChars="200" w:firstLine="480"/>
        <w:rPr>
          <w:rFonts w:ascii="Times New Roman" w:hAnsi="Times New Roman" w:cs="Times New Roman"/>
          <w:sz w:val="24"/>
        </w:rPr>
      </w:pPr>
      <w:r w:rsidRPr="0039166B">
        <w:rPr>
          <w:rFonts w:ascii="Times New Roman" w:hAnsi="Times New Roman" w:cs="Times New Roman"/>
          <w:sz w:val="24"/>
        </w:rPr>
        <w:t>In the context of rural revitalization, the safeguarding of Intangible Cultural Heritage (ICH) faces a "wicked problem": traditional preservation often isolates culture from daily life through static museumification, while commercial applications frequently resort to superficial visual pastiche, leading to cultural appropriation. This practice-based design research investigates how digital design interventions—specifically Augmented Reality (AR) and algorithm-assisted generation—can sustainably translate regional ICH into everyday agricultural packaging to stimulate physical cultural tourism.</w:t>
      </w:r>
    </w:p>
    <w:p w14:paraId="52713E1D" w14:textId="456C1ECC" w:rsidR="0039166B" w:rsidRPr="0039166B" w:rsidRDefault="0039166B" w:rsidP="0039166B">
      <w:pPr>
        <w:ind w:firstLineChars="200" w:firstLine="480"/>
        <w:rPr>
          <w:rFonts w:ascii="Times New Roman" w:hAnsi="Times New Roman" w:cs="Times New Roman"/>
          <w:sz w:val="24"/>
        </w:rPr>
      </w:pPr>
      <w:r w:rsidRPr="0039166B">
        <w:rPr>
          <w:rFonts w:ascii="Times New Roman" w:hAnsi="Times New Roman" w:cs="Times New Roman" w:hint="eastAsia"/>
          <w:sz w:val="24"/>
        </w:rPr>
        <w:t>Focusing on the folk arts of Henan Province, China, this study challenges arbitrary design borrowing by proposing a rigorous "Digital Translation Protocol." It employs Semiotic Structural Analysis and Shape Grammar to systematically extract the deep "Aesthetic DNA" and generative rules of regional heritage. Through iterative practice, these codified rules inform the creation of a "phygital" (physical-digital) interface: an AR-enhanced packaging system for local geographical indication products, such as Lingbao apples. By shifting from passive observation to "embodied interaction," the AR micro-narratives require physical user agency to unfold, thereby transforming everyday consumption into active cultural resonance.</w:t>
      </w:r>
    </w:p>
    <w:p w14:paraId="4EA86929" w14:textId="5D68B800" w:rsidR="0039166B" w:rsidRDefault="0039166B" w:rsidP="0039166B">
      <w:pPr>
        <w:ind w:firstLineChars="200" w:firstLine="480"/>
        <w:rPr>
          <w:rFonts w:hint="eastAsia"/>
        </w:rPr>
      </w:pPr>
      <w:r w:rsidRPr="0039166B">
        <w:rPr>
          <w:rFonts w:ascii="Times New Roman" w:hAnsi="Times New Roman" w:cs="Times New Roman" w:hint="eastAsia"/>
          <w:sz w:val="24"/>
        </w:rPr>
        <w:t>The efficacy and ethical validity of the proposed system are evaluated through qualitative triangulation, incorporating a modified Delphi method with heritage experts to ensure cultural authenticity, alongside consumer focus groups to measure shifts in tourism intention. Ultimately, this research provides a replicable methodological framework for ethical digital heritage translation, demonstrating how design can act as a catalyst to bridge cultural preservation and rural economic empowerment.</w:t>
      </w:r>
    </w:p>
    <w:p w14:paraId="4E53615B" w14:textId="77777777" w:rsidR="0039166B" w:rsidRPr="0039166B" w:rsidRDefault="0039166B" w:rsidP="00537BCD">
      <w:pPr>
        <w:rPr>
          <w:rFonts w:hint="eastAsia"/>
          <w:b/>
          <w:bCs/>
        </w:rPr>
      </w:pPr>
    </w:p>
    <w:p w14:paraId="4FAC454B" w14:textId="77777777" w:rsidR="0039166B" w:rsidRDefault="0039166B" w:rsidP="00537BCD">
      <w:pPr>
        <w:rPr>
          <w:rFonts w:hint="eastAsia"/>
          <w:b/>
          <w:bCs/>
        </w:rPr>
      </w:pPr>
    </w:p>
    <w:p w14:paraId="656D0322" w14:textId="77777777" w:rsidR="0039166B" w:rsidRDefault="0039166B" w:rsidP="00537BCD">
      <w:pPr>
        <w:rPr>
          <w:rFonts w:hint="eastAsia"/>
          <w:b/>
          <w:bCs/>
        </w:rPr>
      </w:pPr>
    </w:p>
    <w:p w14:paraId="78B1C7AC" w14:textId="77777777" w:rsidR="0039166B" w:rsidRDefault="0039166B" w:rsidP="00537BCD">
      <w:pPr>
        <w:rPr>
          <w:rFonts w:hint="eastAsia"/>
          <w:b/>
          <w:bCs/>
        </w:rPr>
      </w:pPr>
    </w:p>
    <w:p w14:paraId="34C2AE77" w14:textId="77777777" w:rsidR="0039166B" w:rsidRDefault="0039166B" w:rsidP="00537BCD">
      <w:pPr>
        <w:rPr>
          <w:rFonts w:hint="eastAsia"/>
          <w:b/>
          <w:bCs/>
        </w:rPr>
      </w:pPr>
    </w:p>
    <w:p w14:paraId="78554530" w14:textId="77777777" w:rsidR="0039166B" w:rsidRDefault="0039166B" w:rsidP="00537BCD">
      <w:pPr>
        <w:rPr>
          <w:rFonts w:hint="eastAsia"/>
          <w:b/>
          <w:bCs/>
        </w:rPr>
      </w:pPr>
    </w:p>
    <w:p w14:paraId="59BC89E0" w14:textId="77777777" w:rsidR="0039166B" w:rsidRDefault="0039166B" w:rsidP="00537BCD">
      <w:pPr>
        <w:rPr>
          <w:rFonts w:hint="eastAsia"/>
          <w:b/>
          <w:bCs/>
        </w:rPr>
      </w:pPr>
    </w:p>
    <w:p w14:paraId="3C50FC08" w14:textId="77777777" w:rsidR="0039166B" w:rsidRDefault="0039166B" w:rsidP="00537BCD">
      <w:pPr>
        <w:rPr>
          <w:b/>
          <w:bCs/>
        </w:rPr>
      </w:pPr>
    </w:p>
    <w:p w14:paraId="5F2C0E3A" w14:textId="77777777" w:rsidR="004E05E3" w:rsidRDefault="004E05E3" w:rsidP="004E05E3">
      <w:pPr>
        <w:pStyle w:val="TOC"/>
        <w:spacing w:before="0"/>
        <w:jc w:val="center"/>
        <w:rPr>
          <w:rFonts w:ascii="Arial" w:hAnsi="Arial" w:cs="Arial"/>
          <w:b/>
          <w:bCs/>
          <w:color w:val="auto"/>
          <w:lang w:val="zh-CN"/>
        </w:rPr>
      </w:pPr>
      <w:r w:rsidRPr="006523EF">
        <w:rPr>
          <w:rFonts w:ascii="Arial" w:hAnsi="Arial" w:cs="Arial"/>
          <w:b/>
          <w:bCs/>
          <w:color w:val="auto"/>
          <w:lang w:val="zh-CN"/>
        </w:rPr>
        <w:lastRenderedPageBreak/>
        <w:t>content</w:t>
      </w:r>
    </w:p>
    <w:p w14:paraId="2ADC771A" w14:textId="26606923" w:rsidR="004E05E3" w:rsidRDefault="004E05E3">
      <w:pPr>
        <w:pStyle w:val="TOC1"/>
        <w:tabs>
          <w:tab w:val="right" w:leader="dot" w:pos="8296"/>
        </w:tabs>
        <w:rPr>
          <w:rFonts w:hint="eastAsia"/>
          <w:noProof/>
        </w:rPr>
      </w:pPr>
      <w:r>
        <w:rPr>
          <w:rFonts w:hint="eastAsia"/>
          <w:b/>
          <w:bCs/>
        </w:rPr>
        <w:fldChar w:fldCharType="begin"/>
      </w:r>
      <w:r>
        <w:rPr>
          <w:rFonts w:hint="eastAsia"/>
          <w:b/>
          <w:bCs/>
        </w:rPr>
        <w:instrText xml:space="preserve"> </w:instrText>
      </w:r>
      <w:r>
        <w:rPr>
          <w:b/>
          <w:bCs/>
        </w:rPr>
        <w:instrText>TOC \o "1-3" \h \z \u</w:instrText>
      </w:r>
      <w:r>
        <w:rPr>
          <w:rFonts w:hint="eastAsia"/>
          <w:b/>
          <w:bCs/>
        </w:rPr>
        <w:instrText xml:space="preserve"> </w:instrText>
      </w:r>
      <w:r>
        <w:rPr>
          <w:rFonts w:hint="eastAsia"/>
          <w:b/>
          <w:bCs/>
        </w:rPr>
        <w:fldChar w:fldCharType="separate"/>
      </w:r>
      <w:hyperlink w:anchor="_Toc228743500" w:history="1">
        <w:r w:rsidRPr="001D4515">
          <w:rPr>
            <w:rStyle w:val="af2"/>
            <w:rFonts w:ascii="Arial" w:hAnsi="Arial" w:cs="Arial"/>
            <w:b/>
            <w:bCs/>
            <w:noProof/>
          </w:rPr>
          <w:t>1. Introduction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_Toc228743500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w:t>
        </w:r>
        <w:r>
          <w:rPr>
            <w:rFonts w:hint="eastAsia"/>
            <w:noProof/>
            <w:webHidden/>
          </w:rPr>
          <w:fldChar w:fldCharType="end"/>
        </w:r>
      </w:hyperlink>
    </w:p>
    <w:p w14:paraId="66D1FD48" w14:textId="438B2424" w:rsidR="004E05E3" w:rsidRDefault="004E05E3">
      <w:pPr>
        <w:pStyle w:val="TOC2"/>
        <w:tabs>
          <w:tab w:val="right" w:leader="dot" w:pos="8296"/>
        </w:tabs>
        <w:ind w:left="440"/>
        <w:rPr>
          <w:rFonts w:hint="eastAsia"/>
          <w:noProof/>
        </w:rPr>
      </w:pPr>
      <w:hyperlink w:anchor="_Toc228743501" w:history="1">
        <w:r w:rsidRPr="001D4515">
          <w:rPr>
            <w:rStyle w:val="af2"/>
            <w:rFonts w:ascii="Times New Roman" w:hAnsi="Times New Roman" w:cs="Times New Roman"/>
            <w:b/>
            <w:bCs/>
            <w:noProof/>
          </w:rPr>
          <w:t>1.1 The Context of Rural Revitalization and the ICH Crisis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_Toc228743501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6</w:t>
        </w:r>
        <w:r>
          <w:rPr>
            <w:rFonts w:hint="eastAsia"/>
            <w:noProof/>
            <w:webHidden/>
          </w:rPr>
          <w:fldChar w:fldCharType="end"/>
        </w:r>
      </w:hyperlink>
    </w:p>
    <w:p w14:paraId="20EE8F05" w14:textId="449B4A40" w:rsidR="004E05E3" w:rsidRDefault="004E05E3">
      <w:pPr>
        <w:pStyle w:val="TOC2"/>
        <w:tabs>
          <w:tab w:val="right" w:leader="dot" w:pos="8296"/>
        </w:tabs>
        <w:ind w:left="440"/>
        <w:rPr>
          <w:rFonts w:hint="eastAsia"/>
          <w:noProof/>
        </w:rPr>
      </w:pPr>
      <w:hyperlink w:anchor="_Toc228743502" w:history="1">
        <w:r w:rsidRPr="001D4515">
          <w:rPr>
            <w:rStyle w:val="af2"/>
            <w:rFonts w:ascii="Times New Roman" w:hAnsi="Times New Roman" w:cs="Times New Roman"/>
            <w:b/>
            <w:bCs/>
            <w:noProof/>
          </w:rPr>
          <w:t>1.2 The Research Intervention: A Phygital Protocol</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_Toc228743502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6</w:t>
        </w:r>
        <w:r>
          <w:rPr>
            <w:rFonts w:hint="eastAsia"/>
            <w:noProof/>
            <w:webHidden/>
          </w:rPr>
          <w:fldChar w:fldCharType="end"/>
        </w:r>
      </w:hyperlink>
    </w:p>
    <w:p w14:paraId="7AF180D0" w14:textId="7EBABFF9" w:rsidR="004E05E3" w:rsidRDefault="004E05E3">
      <w:pPr>
        <w:pStyle w:val="TOC2"/>
        <w:tabs>
          <w:tab w:val="right" w:leader="dot" w:pos="8296"/>
        </w:tabs>
        <w:ind w:left="440"/>
        <w:rPr>
          <w:rFonts w:hint="eastAsia"/>
          <w:noProof/>
        </w:rPr>
      </w:pPr>
      <w:hyperlink w:anchor="_Toc228743503" w:history="1">
        <w:r w:rsidRPr="001D4515">
          <w:rPr>
            <w:rStyle w:val="af2"/>
            <w:rFonts w:ascii="Times New Roman" w:hAnsi="Times New Roman" w:cs="Times New Roman"/>
            <w:b/>
            <w:bCs/>
            <w:noProof/>
          </w:rPr>
          <w:t>1.3 Research Questions and Objectives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_Toc228743503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7</w:t>
        </w:r>
        <w:r>
          <w:rPr>
            <w:rFonts w:hint="eastAsia"/>
            <w:noProof/>
            <w:webHidden/>
          </w:rPr>
          <w:fldChar w:fldCharType="end"/>
        </w:r>
      </w:hyperlink>
    </w:p>
    <w:p w14:paraId="1DE7AF24" w14:textId="572F1246" w:rsidR="004E05E3" w:rsidRDefault="004E05E3">
      <w:pPr>
        <w:pStyle w:val="TOC2"/>
        <w:tabs>
          <w:tab w:val="right" w:leader="dot" w:pos="8296"/>
        </w:tabs>
        <w:ind w:left="440"/>
        <w:rPr>
          <w:rFonts w:hint="eastAsia"/>
          <w:noProof/>
        </w:rPr>
      </w:pPr>
      <w:hyperlink w:anchor="_Toc228743504" w:history="1">
        <w:r w:rsidRPr="001D4515">
          <w:rPr>
            <w:rStyle w:val="af2"/>
            <w:rFonts w:ascii="Times New Roman" w:hAnsi="Times New Roman" w:cs="Times New Roman"/>
            <w:b/>
            <w:bCs/>
            <w:noProof/>
          </w:rPr>
          <w:t>1.4 Significance and Structure of the Study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_Toc228743504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7</w:t>
        </w:r>
        <w:r>
          <w:rPr>
            <w:rFonts w:hint="eastAsia"/>
            <w:noProof/>
            <w:webHidden/>
          </w:rPr>
          <w:fldChar w:fldCharType="end"/>
        </w:r>
      </w:hyperlink>
    </w:p>
    <w:p w14:paraId="5C36AA0E" w14:textId="0FABD859" w:rsidR="004E05E3" w:rsidRDefault="004E05E3">
      <w:pPr>
        <w:pStyle w:val="TOC1"/>
        <w:tabs>
          <w:tab w:val="right" w:leader="dot" w:pos="8296"/>
        </w:tabs>
        <w:rPr>
          <w:rFonts w:hint="eastAsia"/>
          <w:noProof/>
        </w:rPr>
      </w:pPr>
      <w:hyperlink w:anchor="_Toc228743505" w:history="1">
        <w:r w:rsidRPr="001D4515">
          <w:rPr>
            <w:rStyle w:val="af2"/>
            <w:rFonts w:ascii="Arial" w:hAnsi="Arial" w:cs="Arial"/>
            <w:b/>
            <w:bCs/>
            <w:noProof/>
          </w:rPr>
          <w:t>2. Critical Literature Review</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_Toc228743505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8</w:t>
        </w:r>
        <w:r>
          <w:rPr>
            <w:rFonts w:hint="eastAsia"/>
            <w:noProof/>
            <w:webHidden/>
          </w:rPr>
          <w:fldChar w:fldCharType="end"/>
        </w:r>
      </w:hyperlink>
    </w:p>
    <w:p w14:paraId="3826BAD8" w14:textId="26FC811F" w:rsidR="004E05E3" w:rsidRDefault="004E05E3">
      <w:pPr>
        <w:pStyle w:val="TOC2"/>
        <w:tabs>
          <w:tab w:val="right" w:leader="dot" w:pos="8296"/>
        </w:tabs>
        <w:ind w:left="440"/>
        <w:rPr>
          <w:rFonts w:hint="eastAsia"/>
          <w:noProof/>
        </w:rPr>
      </w:pPr>
      <w:hyperlink w:anchor="_Toc228743506" w:history="1">
        <w:r w:rsidRPr="001D4515">
          <w:rPr>
            <w:rStyle w:val="af2"/>
            <w:rFonts w:ascii="Times New Roman" w:hAnsi="Times New Roman" w:cs="Times New Roman"/>
            <w:b/>
            <w:bCs/>
            <w:noProof/>
          </w:rPr>
          <w:t>2.1 The Heritage Paradox: From Authorized Discourses to Living Practice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_Toc228743506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9</w:t>
        </w:r>
        <w:r>
          <w:rPr>
            <w:rFonts w:hint="eastAsia"/>
            <w:noProof/>
            <w:webHidden/>
          </w:rPr>
          <w:fldChar w:fldCharType="end"/>
        </w:r>
      </w:hyperlink>
    </w:p>
    <w:p w14:paraId="40DACF8E" w14:textId="4C62EA0B" w:rsidR="004E05E3" w:rsidRDefault="004E05E3">
      <w:pPr>
        <w:pStyle w:val="TOC2"/>
        <w:tabs>
          <w:tab w:val="right" w:leader="dot" w:pos="8296"/>
        </w:tabs>
        <w:ind w:left="440"/>
        <w:rPr>
          <w:rFonts w:hint="eastAsia"/>
          <w:noProof/>
        </w:rPr>
      </w:pPr>
      <w:hyperlink w:anchor="_Toc228743507" w:history="1">
        <w:r w:rsidRPr="001D4515">
          <w:rPr>
            <w:rStyle w:val="af2"/>
            <w:rFonts w:ascii="Times New Roman" w:hAnsi="Times New Roman" w:cs="Times New Roman"/>
            <w:b/>
            <w:bCs/>
            <w:noProof/>
          </w:rPr>
          <w:t>2.2 Design for Social Innovation and the Trap of "Visual Pastiche"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_Toc228743507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9</w:t>
        </w:r>
        <w:r>
          <w:rPr>
            <w:rFonts w:hint="eastAsia"/>
            <w:noProof/>
            <w:webHidden/>
          </w:rPr>
          <w:fldChar w:fldCharType="end"/>
        </w:r>
      </w:hyperlink>
    </w:p>
    <w:p w14:paraId="25594152" w14:textId="2E910B14" w:rsidR="004E05E3" w:rsidRDefault="004E05E3">
      <w:pPr>
        <w:pStyle w:val="TOC2"/>
        <w:tabs>
          <w:tab w:val="right" w:leader="dot" w:pos="8296"/>
        </w:tabs>
        <w:ind w:left="440"/>
        <w:rPr>
          <w:rFonts w:hint="eastAsia"/>
          <w:noProof/>
        </w:rPr>
      </w:pPr>
      <w:hyperlink w:anchor="_Toc228743508" w:history="1">
        <w:r w:rsidRPr="001D4515">
          <w:rPr>
            <w:rStyle w:val="af2"/>
            <w:rFonts w:ascii="Times New Roman" w:hAnsi="Times New Roman" w:cs="Times New Roman"/>
            <w:b/>
            <w:bCs/>
            <w:noProof/>
          </w:rPr>
          <w:t>2.3 The Digital Spectacle vs. Embodied Mic</w:t>
        </w:r>
        <w:r w:rsidRPr="001D4515">
          <w:rPr>
            <w:rStyle w:val="af2"/>
            <w:rFonts w:ascii="Times New Roman" w:hAnsi="Times New Roman" w:cs="Times New Roman"/>
            <w:b/>
            <w:bCs/>
            <w:noProof/>
          </w:rPr>
          <w:t>r</w:t>
        </w:r>
        <w:r w:rsidRPr="001D4515">
          <w:rPr>
            <w:rStyle w:val="af2"/>
            <w:rFonts w:ascii="Times New Roman" w:hAnsi="Times New Roman" w:cs="Times New Roman"/>
            <w:b/>
            <w:bCs/>
            <w:noProof/>
          </w:rPr>
          <w:t>o-Narratives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_Toc228743508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10</w:t>
        </w:r>
        <w:r>
          <w:rPr>
            <w:rFonts w:hint="eastAsia"/>
            <w:noProof/>
            <w:webHidden/>
          </w:rPr>
          <w:fldChar w:fldCharType="end"/>
        </w:r>
      </w:hyperlink>
    </w:p>
    <w:p w14:paraId="6C2BAC3F" w14:textId="1FCDA63D" w:rsidR="004E05E3" w:rsidRDefault="004E05E3">
      <w:pPr>
        <w:pStyle w:val="TOC2"/>
        <w:tabs>
          <w:tab w:val="right" w:leader="dot" w:pos="8296"/>
        </w:tabs>
        <w:ind w:left="440"/>
        <w:rPr>
          <w:rFonts w:hint="eastAsia"/>
          <w:noProof/>
        </w:rPr>
      </w:pPr>
      <w:hyperlink w:anchor="_Toc228743509" w:history="1">
        <w:r w:rsidRPr="001D4515">
          <w:rPr>
            <w:rStyle w:val="af2"/>
            <w:rFonts w:ascii="Times New Roman" w:hAnsi="Times New Roman" w:cs="Times New Roman"/>
            <w:b/>
            <w:bCs/>
            <w:noProof/>
          </w:rPr>
          <w:t>2.4 Summary of Literature and Link to Research Design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_Toc228743509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11</w:t>
        </w:r>
        <w:r>
          <w:rPr>
            <w:rFonts w:hint="eastAsia"/>
            <w:noProof/>
            <w:webHidden/>
          </w:rPr>
          <w:fldChar w:fldCharType="end"/>
        </w:r>
      </w:hyperlink>
    </w:p>
    <w:p w14:paraId="627BD556" w14:textId="58CF6FAF" w:rsidR="004E05E3" w:rsidRDefault="004E05E3">
      <w:pPr>
        <w:pStyle w:val="TOC2"/>
        <w:tabs>
          <w:tab w:val="right" w:leader="dot" w:pos="8296"/>
        </w:tabs>
        <w:ind w:left="440"/>
        <w:rPr>
          <w:rFonts w:hint="eastAsia"/>
          <w:noProof/>
        </w:rPr>
      </w:pPr>
      <w:hyperlink w:anchor="_Toc228743510" w:history="1">
        <w:r w:rsidRPr="001D4515">
          <w:rPr>
            <w:rStyle w:val="af2"/>
            <w:rFonts w:ascii="Times New Roman" w:hAnsi="Times New Roman" w:cs="Times New Roman"/>
            <w:b/>
            <w:bCs/>
            <w:noProof/>
          </w:rPr>
          <w:t>2.5 The Ontological Struggle: Heritage as Monument vs. Heritage as Process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_Toc228743510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12</w:t>
        </w:r>
        <w:r>
          <w:rPr>
            <w:rFonts w:hint="eastAsia"/>
            <w:noProof/>
            <w:webHidden/>
          </w:rPr>
          <w:fldChar w:fldCharType="end"/>
        </w:r>
      </w:hyperlink>
    </w:p>
    <w:p w14:paraId="43B4262C" w14:textId="77535245" w:rsidR="004E05E3" w:rsidRDefault="004E05E3">
      <w:pPr>
        <w:pStyle w:val="TOC2"/>
        <w:tabs>
          <w:tab w:val="right" w:leader="dot" w:pos="8296"/>
        </w:tabs>
        <w:ind w:left="440"/>
        <w:rPr>
          <w:rFonts w:hint="eastAsia"/>
          <w:noProof/>
        </w:rPr>
      </w:pPr>
      <w:hyperlink w:anchor="_Toc228743511" w:history="1">
        <w:r w:rsidRPr="001D4515">
          <w:rPr>
            <w:rStyle w:val="af2"/>
            <w:rFonts w:ascii="Times New Roman" w:hAnsi="Times New Roman" w:cs="Times New Roman"/>
            <w:b/>
            <w:bCs/>
            <w:noProof/>
          </w:rPr>
          <w:t>2.6 The Semiotics of Appropriation: Beyond the "Visual Pastiche"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_Toc228743511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12</w:t>
        </w:r>
        <w:r>
          <w:rPr>
            <w:rFonts w:hint="eastAsia"/>
            <w:noProof/>
            <w:webHidden/>
          </w:rPr>
          <w:fldChar w:fldCharType="end"/>
        </w:r>
      </w:hyperlink>
    </w:p>
    <w:p w14:paraId="71294F55" w14:textId="4A26949C" w:rsidR="004E05E3" w:rsidRDefault="004E05E3">
      <w:pPr>
        <w:pStyle w:val="TOC2"/>
        <w:tabs>
          <w:tab w:val="right" w:leader="dot" w:pos="8296"/>
        </w:tabs>
        <w:ind w:left="440"/>
        <w:rPr>
          <w:rFonts w:hint="eastAsia"/>
          <w:noProof/>
        </w:rPr>
      </w:pPr>
      <w:hyperlink w:anchor="_Toc228743512" w:history="1">
        <w:r w:rsidRPr="001D4515">
          <w:rPr>
            <w:rStyle w:val="af2"/>
            <w:rFonts w:ascii="Times New Roman" w:hAnsi="Times New Roman" w:cs="Times New Roman"/>
            <w:b/>
            <w:bCs/>
            <w:noProof/>
          </w:rPr>
          <w:t>2.7 The Spatiality of Engagement: From Screens to Embodied AR</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_Toc228743512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13</w:t>
        </w:r>
        <w:r>
          <w:rPr>
            <w:rFonts w:hint="eastAsia"/>
            <w:noProof/>
            <w:webHidden/>
          </w:rPr>
          <w:fldChar w:fldCharType="end"/>
        </w:r>
      </w:hyperlink>
    </w:p>
    <w:p w14:paraId="58D5588D" w14:textId="796AC2A0" w:rsidR="004E05E3" w:rsidRDefault="004E05E3">
      <w:pPr>
        <w:pStyle w:val="TOC2"/>
        <w:tabs>
          <w:tab w:val="right" w:leader="dot" w:pos="8296"/>
        </w:tabs>
        <w:ind w:left="440"/>
        <w:rPr>
          <w:rFonts w:hint="eastAsia"/>
          <w:noProof/>
        </w:rPr>
      </w:pPr>
      <w:hyperlink w:anchor="_Toc228743513" w:history="1">
        <w:r w:rsidRPr="001D4515">
          <w:rPr>
            <w:rStyle w:val="af2"/>
            <w:rFonts w:ascii="Times New Roman" w:hAnsi="Times New Roman" w:cs="Times New Roman"/>
            <w:b/>
            <w:bCs/>
            <w:noProof/>
          </w:rPr>
          <w:t>2.8 The Human-AI Assemblage: Authorship and Agency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_Toc228743513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13</w:t>
        </w:r>
        <w:r>
          <w:rPr>
            <w:rFonts w:hint="eastAsia"/>
            <w:noProof/>
            <w:webHidden/>
          </w:rPr>
          <w:fldChar w:fldCharType="end"/>
        </w:r>
      </w:hyperlink>
    </w:p>
    <w:p w14:paraId="0BB30FFD" w14:textId="59C75FA4" w:rsidR="004E05E3" w:rsidRDefault="004E05E3">
      <w:pPr>
        <w:pStyle w:val="TOC1"/>
        <w:tabs>
          <w:tab w:val="right" w:leader="dot" w:pos="8296"/>
        </w:tabs>
        <w:rPr>
          <w:rFonts w:hint="eastAsia"/>
          <w:noProof/>
        </w:rPr>
      </w:pPr>
      <w:hyperlink w:anchor="_Toc228743514" w:history="1">
        <w:r w:rsidRPr="001D4515">
          <w:rPr>
            <w:rStyle w:val="af2"/>
            <w:rFonts w:ascii="Arial" w:hAnsi="Arial" w:cs="Arial"/>
            <w:b/>
            <w:bCs/>
            <w:noProof/>
          </w:rPr>
          <w:t>3. Research Methodology &amp; Design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_Toc228743514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14</w:t>
        </w:r>
        <w:r>
          <w:rPr>
            <w:rFonts w:hint="eastAsia"/>
            <w:noProof/>
            <w:webHidden/>
          </w:rPr>
          <w:fldChar w:fldCharType="end"/>
        </w:r>
      </w:hyperlink>
    </w:p>
    <w:p w14:paraId="6F790C90" w14:textId="18D484E9" w:rsidR="004E05E3" w:rsidRDefault="004E05E3">
      <w:pPr>
        <w:pStyle w:val="TOC2"/>
        <w:tabs>
          <w:tab w:val="right" w:leader="dot" w:pos="8296"/>
        </w:tabs>
        <w:ind w:left="440"/>
        <w:rPr>
          <w:rFonts w:hint="eastAsia"/>
          <w:noProof/>
        </w:rPr>
      </w:pPr>
      <w:hyperlink w:anchor="_Toc228743515" w:history="1">
        <w:r w:rsidRPr="001D4515">
          <w:rPr>
            <w:rStyle w:val="af2"/>
            <w:rFonts w:ascii="Times New Roman" w:hAnsi="Times New Roman" w:cs="Times New Roman"/>
            <w:b/>
            <w:bCs/>
            <w:noProof/>
          </w:rPr>
          <w:t>3.1 Epistemological Foundations: Practice-Based Research</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_Toc228743515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14</w:t>
        </w:r>
        <w:r>
          <w:rPr>
            <w:rFonts w:hint="eastAsia"/>
            <w:noProof/>
            <w:webHidden/>
          </w:rPr>
          <w:fldChar w:fldCharType="end"/>
        </w:r>
      </w:hyperlink>
    </w:p>
    <w:p w14:paraId="11E3DE3C" w14:textId="7151B0B1" w:rsidR="004E05E3" w:rsidRDefault="004E05E3">
      <w:pPr>
        <w:pStyle w:val="TOC2"/>
        <w:tabs>
          <w:tab w:val="right" w:leader="dot" w:pos="8296"/>
        </w:tabs>
        <w:ind w:left="440"/>
        <w:rPr>
          <w:rFonts w:hint="eastAsia"/>
          <w:noProof/>
        </w:rPr>
      </w:pPr>
      <w:hyperlink w:anchor="_Toc228743516" w:history="1">
        <w:r w:rsidRPr="001D4515">
          <w:rPr>
            <w:rStyle w:val="af2"/>
            <w:rFonts w:ascii="Times New Roman" w:hAnsi="Times New Roman" w:cs="Times New Roman"/>
            <w:b/>
            <w:bCs/>
            <w:noProof/>
          </w:rPr>
          <w:t>3.2 Aims and Research Questions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_Toc228743516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15</w:t>
        </w:r>
        <w:r>
          <w:rPr>
            <w:rFonts w:hint="eastAsia"/>
            <w:noProof/>
            <w:webHidden/>
          </w:rPr>
          <w:fldChar w:fldCharType="end"/>
        </w:r>
      </w:hyperlink>
    </w:p>
    <w:p w14:paraId="6DD16941" w14:textId="6DFD29FC" w:rsidR="004E05E3" w:rsidRDefault="004E05E3">
      <w:pPr>
        <w:pStyle w:val="TOC2"/>
        <w:tabs>
          <w:tab w:val="right" w:leader="dot" w:pos="8296"/>
        </w:tabs>
        <w:ind w:left="440"/>
        <w:rPr>
          <w:rFonts w:hint="eastAsia"/>
          <w:noProof/>
        </w:rPr>
      </w:pPr>
      <w:hyperlink w:anchor="_Toc228743517" w:history="1">
        <w:r w:rsidRPr="001D4515">
          <w:rPr>
            <w:rStyle w:val="af2"/>
            <w:rFonts w:ascii="Times New Roman" w:hAnsi="Times New Roman" w:cs="Times New Roman"/>
            <w:b/>
            <w:bCs/>
            <w:noProof/>
          </w:rPr>
          <w:t>3.3 Cultural Data Extraction – Decoding the Aesthetic DNA</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_Toc228743517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15</w:t>
        </w:r>
        <w:r>
          <w:rPr>
            <w:rFonts w:hint="eastAsia"/>
            <w:noProof/>
            <w:webHidden/>
          </w:rPr>
          <w:fldChar w:fldCharType="end"/>
        </w:r>
      </w:hyperlink>
    </w:p>
    <w:p w14:paraId="15BFCB11" w14:textId="5E2F4FBC" w:rsidR="004E05E3" w:rsidRDefault="004E05E3">
      <w:pPr>
        <w:pStyle w:val="TOC3"/>
        <w:tabs>
          <w:tab w:val="right" w:leader="dot" w:pos="8296"/>
        </w:tabs>
        <w:ind w:left="880"/>
        <w:rPr>
          <w:rFonts w:hint="eastAsia"/>
          <w:noProof/>
        </w:rPr>
      </w:pPr>
      <w:hyperlink w:anchor="_Toc228743518" w:history="1">
        <w:r w:rsidRPr="001D4515">
          <w:rPr>
            <w:rStyle w:val="af2"/>
            <w:rFonts w:ascii="Times New Roman" w:hAnsi="Times New Roman" w:cs="Times New Roman"/>
            <w:b/>
            <w:bCs/>
            <w:noProof/>
          </w:rPr>
          <w:t>3.3.1 Semiotic Structural Analysis: Breaking the Code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_Toc228743518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16</w:t>
        </w:r>
        <w:r>
          <w:rPr>
            <w:rFonts w:hint="eastAsia"/>
            <w:noProof/>
            <w:webHidden/>
          </w:rPr>
          <w:fldChar w:fldCharType="end"/>
        </w:r>
      </w:hyperlink>
    </w:p>
    <w:p w14:paraId="79DE06BE" w14:textId="65D031C9" w:rsidR="004E05E3" w:rsidRDefault="004E05E3">
      <w:pPr>
        <w:pStyle w:val="TOC3"/>
        <w:tabs>
          <w:tab w:val="right" w:leader="dot" w:pos="8296"/>
        </w:tabs>
        <w:ind w:left="880"/>
        <w:rPr>
          <w:rFonts w:hint="eastAsia"/>
          <w:noProof/>
        </w:rPr>
      </w:pPr>
      <w:hyperlink w:anchor="_Toc228743519" w:history="1">
        <w:r w:rsidRPr="001D4515">
          <w:rPr>
            <w:rStyle w:val="af2"/>
            <w:rFonts w:ascii="Times New Roman" w:hAnsi="Times New Roman" w:cs="Times New Roman"/>
            <w:b/>
            <w:bCs/>
            <w:noProof/>
          </w:rPr>
          <w:t>3.3.2 Shape Grammar: From Observation to Rule-Set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_Toc228743519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17</w:t>
        </w:r>
        <w:r>
          <w:rPr>
            <w:rFonts w:hint="eastAsia"/>
            <w:noProof/>
            <w:webHidden/>
          </w:rPr>
          <w:fldChar w:fldCharType="end"/>
        </w:r>
      </w:hyperlink>
    </w:p>
    <w:p w14:paraId="55B5905F" w14:textId="0EF83231" w:rsidR="004E05E3" w:rsidRDefault="004E05E3">
      <w:pPr>
        <w:pStyle w:val="TOC2"/>
        <w:tabs>
          <w:tab w:val="right" w:leader="dot" w:pos="8296"/>
        </w:tabs>
        <w:ind w:left="440"/>
        <w:rPr>
          <w:rFonts w:hint="eastAsia"/>
          <w:noProof/>
        </w:rPr>
      </w:pPr>
      <w:hyperlink w:anchor="_Toc228743520" w:history="1">
        <w:r w:rsidRPr="001D4515">
          <w:rPr>
            <w:rStyle w:val="af2"/>
            <w:rFonts w:ascii="Times New Roman" w:hAnsi="Times New Roman" w:cs="Times New Roman"/>
            <w:b/>
            <w:bCs/>
            <w:noProof/>
          </w:rPr>
          <w:t>3.4 Practice as Inquiry – AI Co-Creation and AR Prototyping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_Toc228743520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17</w:t>
        </w:r>
        <w:r>
          <w:rPr>
            <w:rFonts w:hint="eastAsia"/>
            <w:noProof/>
            <w:webHidden/>
          </w:rPr>
          <w:fldChar w:fldCharType="end"/>
        </w:r>
      </w:hyperlink>
    </w:p>
    <w:p w14:paraId="31707556" w14:textId="36D635F3" w:rsidR="004E05E3" w:rsidRDefault="004E05E3">
      <w:pPr>
        <w:pStyle w:val="TOC3"/>
        <w:tabs>
          <w:tab w:val="right" w:leader="dot" w:pos="8296"/>
        </w:tabs>
        <w:ind w:left="880"/>
        <w:rPr>
          <w:rFonts w:hint="eastAsia"/>
          <w:noProof/>
        </w:rPr>
      </w:pPr>
      <w:hyperlink w:anchor="_Toc228743521" w:history="1">
        <w:r w:rsidRPr="001D4515">
          <w:rPr>
            <w:rStyle w:val="af2"/>
            <w:rFonts w:ascii="Times New Roman" w:hAnsi="Times New Roman" w:cs="Times New Roman"/>
            <w:b/>
            <w:bCs/>
            <w:noProof/>
          </w:rPr>
          <w:t>3.4.1 Generative AI as an Analytical Co-Pilot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_Toc228743521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18</w:t>
        </w:r>
        <w:r>
          <w:rPr>
            <w:rFonts w:hint="eastAsia"/>
            <w:noProof/>
            <w:webHidden/>
          </w:rPr>
          <w:fldChar w:fldCharType="end"/>
        </w:r>
      </w:hyperlink>
    </w:p>
    <w:p w14:paraId="42524281" w14:textId="07D5FECD" w:rsidR="004E05E3" w:rsidRDefault="004E05E3">
      <w:pPr>
        <w:pStyle w:val="TOC3"/>
        <w:tabs>
          <w:tab w:val="right" w:leader="dot" w:pos="8296"/>
        </w:tabs>
        <w:ind w:left="880"/>
        <w:rPr>
          <w:rFonts w:hint="eastAsia"/>
          <w:noProof/>
        </w:rPr>
      </w:pPr>
      <w:hyperlink w:anchor="_Toc228743522" w:history="1">
        <w:r w:rsidRPr="001D4515">
          <w:rPr>
            <w:rStyle w:val="af2"/>
            <w:rFonts w:ascii="Times New Roman" w:hAnsi="Times New Roman" w:cs="Times New Roman"/>
            <w:b/>
            <w:bCs/>
            <w:noProof/>
          </w:rPr>
          <w:t>3.4.2 The Technical Architecture of the Embodied AR Interface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_Toc228743522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18</w:t>
        </w:r>
        <w:r>
          <w:rPr>
            <w:rFonts w:hint="eastAsia"/>
            <w:noProof/>
            <w:webHidden/>
          </w:rPr>
          <w:fldChar w:fldCharType="end"/>
        </w:r>
      </w:hyperlink>
    </w:p>
    <w:p w14:paraId="68CE15AB" w14:textId="12EA775D" w:rsidR="004E05E3" w:rsidRDefault="004E05E3">
      <w:pPr>
        <w:pStyle w:val="TOC3"/>
        <w:tabs>
          <w:tab w:val="right" w:leader="dot" w:pos="8296"/>
        </w:tabs>
        <w:ind w:left="880"/>
        <w:rPr>
          <w:rFonts w:hint="eastAsia"/>
          <w:noProof/>
        </w:rPr>
      </w:pPr>
      <w:hyperlink w:anchor="_Toc228743523" w:history="1">
        <w:r w:rsidRPr="001D4515">
          <w:rPr>
            <w:rStyle w:val="af2"/>
            <w:rFonts w:ascii="Times New Roman" w:hAnsi="Times New Roman" w:cs="Times New Roman"/>
            <w:b/>
            <w:bCs/>
            <w:noProof/>
          </w:rPr>
          <w:t>3.4.3 Reflective Journaling: Capturing "Practice-as-Data"</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_Toc228743523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19</w:t>
        </w:r>
        <w:r>
          <w:rPr>
            <w:rFonts w:hint="eastAsia"/>
            <w:noProof/>
            <w:webHidden/>
          </w:rPr>
          <w:fldChar w:fldCharType="end"/>
        </w:r>
      </w:hyperlink>
    </w:p>
    <w:p w14:paraId="452233E9" w14:textId="271628ED" w:rsidR="004E05E3" w:rsidRDefault="004E05E3">
      <w:pPr>
        <w:pStyle w:val="TOC3"/>
        <w:tabs>
          <w:tab w:val="right" w:leader="dot" w:pos="8296"/>
        </w:tabs>
        <w:ind w:left="880"/>
        <w:rPr>
          <w:rFonts w:hint="eastAsia"/>
          <w:noProof/>
        </w:rPr>
      </w:pPr>
      <w:hyperlink w:anchor="_Toc228743524" w:history="1">
        <w:r w:rsidRPr="001D4515">
          <w:rPr>
            <w:rStyle w:val="af2"/>
            <w:rFonts w:ascii="Times New Roman" w:hAnsi="Times New Roman" w:cs="Times New Roman"/>
            <w:b/>
            <w:bCs/>
            <w:noProof/>
          </w:rPr>
          <w:t>3.4.4 Formulating the Shape Grammar for Henan Folk Arts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_Toc228743524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19</w:t>
        </w:r>
        <w:r>
          <w:rPr>
            <w:rFonts w:hint="eastAsia"/>
            <w:noProof/>
            <w:webHidden/>
          </w:rPr>
          <w:fldChar w:fldCharType="end"/>
        </w:r>
      </w:hyperlink>
    </w:p>
    <w:p w14:paraId="4C2E55F9" w14:textId="0898B240" w:rsidR="004E05E3" w:rsidRDefault="004E05E3">
      <w:pPr>
        <w:pStyle w:val="TOC3"/>
        <w:tabs>
          <w:tab w:val="right" w:leader="dot" w:pos="8296"/>
        </w:tabs>
        <w:ind w:left="880"/>
        <w:rPr>
          <w:rFonts w:hint="eastAsia"/>
          <w:noProof/>
        </w:rPr>
      </w:pPr>
      <w:hyperlink w:anchor="_Toc228743525" w:history="1">
        <w:r w:rsidRPr="001D4515">
          <w:rPr>
            <w:rStyle w:val="af2"/>
            <w:rFonts w:ascii="Times New Roman" w:hAnsi="Times New Roman" w:cs="Times New Roman"/>
            <w:b/>
            <w:bCs/>
            <w:noProof/>
          </w:rPr>
          <w:t>3.4.5 Generative AI Fine-Tuning and Latent Space Exploration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_Toc228743525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20</w:t>
        </w:r>
        <w:r>
          <w:rPr>
            <w:rFonts w:hint="eastAsia"/>
            <w:noProof/>
            <w:webHidden/>
          </w:rPr>
          <w:fldChar w:fldCharType="end"/>
        </w:r>
      </w:hyperlink>
    </w:p>
    <w:p w14:paraId="28A5139D" w14:textId="0988A0E3" w:rsidR="004E05E3" w:rsidRDefault="004E05E3">
      <w:pPr>
        <w:pStyle w:val="TOC2"/>
        <w:tabs>
          <w:tab w:val="right" w:leader="dot" w:pos="8296"/>
        </w:tabs>
        <w:ind w:left="440"/>
        <w:rPr>
          <w:rFonts w:hint="eastAsia"/>
          <w:noProof/>
        </w:rPr>
      </w:pPr>
      <w:hyperlink w:anchor="_Toc228743526" w:history="1">
        <w:r w:rsidRPr="001D4515">
          <w:rPr>
            <w:rStyle w:val="af2"/>
            <w:rFonts w:ascii="Times New Roman" w:hAnsi="Times New Roman" w:cs="Times New Roman"/>
            <w:b/>
            <w:bCs/>
            <w:noProof/>
          </w:rPr>
          <w:t>3.5 Qualitative Evaluation and Validation Strategy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_Toc228743526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21</w:t>
        </w:r>
        <w:r>
          <w:rPr>
            <w:rFonts w:hint="eastAsia"/>
            <w:noProof/>
            <w:webHidden/>
          </w:rPr>
          <w:fldChar w:fldCharType="end"/>
        </w:r>
      </w:hyperlink>
    </w:p>
    <w:p w14:paraId="5FEE45ED" w14:textId="22BF20FC" w:rsidR="004E05E3" w:rsidRDefault="004E05E3">
      <w:pPr>
        <w:pStyle w:val="TOC3"/>
        <w:tabs>
          <w:tab w:val="right" w:leader="dot" w:pos="8296"/>
        </w:tabs>
        <w:ind w:left="880"/>
        <w:rPr>
          <w:rFonts w:hint="eastAsia"/>
          <w:noProof/>
        </w:rPr>
      </w:pPr>
      <w:hyperlink w:anchor="_Toc228743527" w:history="1">
        <w:r w:rsidRPr="001D4515">
          <w:rPr>
            <w:rStyle w:val="af2"/>
            <w:rFonts w:ascii="Times New Roman" w:hAnsi="Times New Roman" w:cs="Times New Roman"/>
            <w:b/>
            <w:bCs/>
            <w:noProof/>
          </w:rPr>
          <w:t>3.5.1 Expert Validation: The Modified Delphi Method</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_Toc228743527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21</w:t>
        </w:r>
        <w:r>
          <w:rPr>
            <w:rFonts w:hint="eastAsia"/>
            <w:noProof/>
            <w:webHidden/>
          </w:rPr>
          <w:fldChar w:fldCharType="end"/>
        </w:r>
      </w:hyperlink>
    </w:p>
    <w:p w14:paraId="52FD7169" w14:textId="41E1979F" w:rsidR="004E05E3" w:rsidRDefault="004E05E3">
      <w:pPr>
        <w:pStyle w:val="TOC3"/>
        <w:tabs>
          <w:tab w:val="right" w:leader="dot" w:pos="8296"/>
        </w:tabs>
        <w:ind w:left="880"/>
        <w:rPr>
          <w:rFonts w:hint="eastAsia"/>
          <w:noProof/>
        </w:rPr>
      </w:pPr>
      <w:hyperlink w:anchor="_Toc228743528" w:history="1">
        <w:r w:rsidRPr="001D4515">
          <w:rPr>
            <w:rStyle w:val="af2"/>
            <w:rFonts w:ascii="Times New Roman" w:hAnsi="Times New Roman" w:cs="Times New Roman"/>
            <w:b/>
            <w:bCs/>
            <w:noProof/>
          </w:rPr>
          <w:t>3.5.2 Consumer Validation: Focus Groups and Thematic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_Toc228743528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22</w:t>
        </w:r>
        <w:r>
          <w:rPr>
            <w:rFonts w:hint="eastAsia"/>
            <w:noProof/>
            <w:webHidden/>
          </w:rPr>
          <w:fldChar w:fldCharType="end"/>
        </w:r>
      </w:hyperlink>
    </w:p>
    <w:p w14:paraId="5FF49A97" w14:textId="5788DB95" w:rsidR="004E05E3" w:rsidRDefault="004E05E3">
      <w:pPr>
        <w:pStyle w:val="TOC3"/>
        <w:tabs>
          <w:tab w:val="right" w:leader="dot" w:pos="8296"/>
        </w:tabs>
        <w:ind w:left="880"/>
        <w:rPr>
          <w:rFonts w:hint="eastAsia"/>
          <w:noProof/>
        </w:rPr>
      </w:pPr>
      <w:hyperlink w:anchor="_Toc228743529" w:history="1">
        <w:r w:rsidRPr="001D4515">
          <w:rPr>
            <w:rStyle w:val="af2"/>
            <w:rFonts w:ascii="Times New Roman" w:hAnsi="Times New Roman" w:cs="Times New Roman"/>
            <w:b/>
            <w:bCs/>
            <w:noProof/>
          </w:rPr>
          <w:t>3.5.3 Instrumentation of the Modified Delphi Method</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_Toc228743529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23</w:t>
        </w:r>
        <w:r>
          <w:rPr>
            <w:rFonts w:hint="eastAsia"/>
            <w:noProof/>
            <w:webHidden/>
          </w:rPr>
          <w:fldChar w:fldCharType="end"/>
        </w:r>
      </w:hyperlink>
    </w:p>
    <w:p w14:paraId="45DB7DB4" w14:textId="5C2E60B5" w:rsidR="004E05E3" w:rsidRDefault="004E05E3">
      <w:pPr>
        <w:pStyle w:val="TOC3"/>
        <w:tabs>
          <w:tab w:val="right" w:leader="dot" w:pos="8296"/>
        </w:tabs>
        <w:ind w:left="880"/>
        <w:rPr>
          <w:rFonts w:hint="eastAsia"/>
          <w:noProof/>
        </w:rPr>
      </w:pPr>
      <w:hyperlink w:anchor="_Toc228743530" w:history="1">
        <w:r w:rsidRPr="001D4515">
          <w:rPr>
            <w:rStyle w:val="af2"/>
            <w:rFonts w:ascii="Times New Roman" w:hAnsi="Times New Roman" w:cs="Times New Roman"/>
            <w:b/>
            <w:bCs/>
            <w:noProof/>
          </w:rPr>
          <w:t>3.5.4 Consumer Focus Group Protocols and Thematic Coding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_Toc228743530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23</w:t>
        </w:r>
        <w:r>
          <w:rPr>
            <w:rFonts w:hint="eastAsia"/>
            <w:noProof/>
            <w:webHidden/>
          </w:rPr>
          <w:fldChar w:fldCharType="end"/>
        </w:r>
      </w:hyperlink>
    </w:p>
    <w:p w14:paraId="10723CFB" w14:textId="280D49AE" w:rsidR="004E05E3" w:rsidRDefault="004E05E3">
      <w:pPr>
        <w:pStyle w:val="TOC1"/>
        <w:tabs>
          <w:tab w:val="right" w:leader="dot" w:pos="8296"/>
        </w:tabs>
        <w:rPr>
          <w:rFonts w:hint="eastAsia"/>
          <w:noProof/>
        </w:rPr>
      </w:pPr>
      <w:hyperlink w:anchor="_Toc228743531" w:history="1">
        <w:r w:rsidRPr="001D4515">
          <w:rPr>
            <w:rStyle w:val="af2"/>
            <w:rFonts w:ascii="Arial" w:hAnsi="Arial" w:cs="Arial"/>
            <w:b/>
            <w:bCs/>
            <w:noProof/>
          </w:rPr>
          <w:t>4. Ethical Considerations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_Toc228743531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25</w:t>
        </w:r>
        <w:r>
          <w:rPr>
            <w:rFonts w:hint="eastAsia"/>
            <w:noProof/>
            <w:webHidden/>
          </w:rPr>
          <w:fldChar w:fldCharType="end"/>
        </w:r>
      </w:hyperlink>
    </w:p>
    <w:p w14:paraId="099A33D1" w14:textId="7735B415" w:rsidR="004E05E3" w:rsidRDefault="004E05E3">
      <w:pPr>
        <w:pStyle w:val="TOC2"/>
        <w:tabs>
          <w:tab w:val="right" w:leader="dot" w:pos="8296"/>
        </w:tabs>
        <w:ind w:left="440"/>
        <w:rPr>
          <w:rFonts w:hint="eastAsia"/>
          <w:noProof/>
        </w:rPr>
      </w:pPr>
      <w:hyperlink w:anchor="_Toc228743532" w:history="1">
        <w:r w:rsidRPr="001D4515">
          <w:rPr>
            <w:rStyle w:val="af2"/>
            <w:rFonts w:ascii="Times New Roman" w:hAnsi="Times New Roman" w:cs="Times New Roman"/>
            <w:b/>
            <w:bCs/>
            <w:noProof/>
          </w:rPr>
          <w:t>4.1 Cultural Representation and the Risk of Neocolonialism</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_Toc228743532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25</w:t>
        </w:r>
        <w:r>
          <w:rPr>
            <w:rFonts w:hint="eastAsia"/>
            <w:noProof/>
            <w:webHidden/>
          </w:rPr>
          <w:fldChar w:fldCharType="end"/>
        </w:r>
      </w:hyperlink>
    </w:p>
    <w:p w14:paraId="7BC2891A" w14:textId="5EF2D501" w:rsidR="004E05E3" w:rsidRDefault="004E05E3">
      <w:pPr>
        <w:pStyle w:val="TOC2"/>
        <w:tabs>
          <w:tab w:val="right" w:leader="dot" w:pos="8296"/>
        </w:tabs>
        <w:ind w:left="440"/>
        <w:rPr>
          <w:rFonts w:hint="eastAsia"/>
          <w:noProof/>
        </w:rPr>
      </w:pPr>
      <w:hyperlink w:anchor="_Toc228743533" w:history="1">
        <w:r w:rsidRPr="001D4515">
          <w:rPr>
            <w:rStyle w:val="af2"/>
            <w:rFonts w:ascii="Times New Roman" w:hAnsi="Times New Roman" w:cs="Times New Roman"/>
            <w:b/>
            <w:bCs/>
            <w:noProof/>
          </w:rPr>
          <w:t>4.2 Algorithmic Bias and the Colonization of the "Latent Space"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_Toc228743533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25</w:t>
        </w:r>
        <w:r>
          <w:rPr>
            <w:rFonts w:hint="eastAsia"/>
            <w:noProof/>
            <w:webHidden/>
          </w:rPr>
          <w:fldChar w:fldCharType="end"/>
        </w:r>
      </w:hyperlink>
    </w:p>
    <w:p w14:paraId="7112A2C7" w14:textId="20A0010D" w:rsidR="004E05E3" w:rsidRDefault="004E05E3">
      <w:pPr>
        <w:pStyle w:val="TOC2"/>
        <w:tabs>
          <w:tab w:val="right" w:leader="dot" w:pos="8296"/>
        </w:tabs>
        <w:ind w:left="440"/>
        <w:rPr>
          <w:rFonts w:hint="eastAsia"/>
          <w:noProof/>
        </w:rPr>
      </w:pPr>
      <w:hyperlink w:anchor="_Toc228743534" w:history="1">
        <w:r w:rsidRPr="001D4515">
          <w:rPr>
            <w:rStyle w:val="af2"/>
            <w:rFonts w:ascii="Times New Roman" w:hAnsi="Times New Roman" w:cs="Times New Roman"/>
            <w:b/>
            <w:bCs/>
            <w:noProof/>
          </w:rPr>
          <w:t>4.3 Informed Consent and Data Privacy in Spatial Computing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_Toc228743534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26</w:t>
        </w:r>
        <w:r>
          <w:rPr>
            <w:rFonts w:hint="eastAsia"/>
            <w:noProof/>
            <w:webHidden/>
          </w:rPr>
          <w:fldChar w:fldCharType="end"/>
        </w:r>
      </w:hyperlink>
    </w:p>
    <w:p w14:paraId="72FBA1B4" w14:textId="19AAAA3A" w:rsidR="004E05E3" w:rsidRDefault="004E05E3">
      <w:pPr>
        <w:pStyle w:val="TOC2"/>
        <w:tabs>
          <w:tab w:val="right" w:leader="dot" w:pos="8296"/>
        </w:tabs>
        <w:ind w:left="440"/>
        <w:rPr>
          <w:rFonts w:hint="eastAsia"/>
          <w:noProof/>
        </w:rPr>
      </w:pPr>
      <w:hyperlink w:anchor="_Toc228743535" w:history="1">
        <w:r w:rsidRPr="001D4515">
          <w:rPr>
            <w:rStyle w:val="af2"/>
            <w:rFonts w:ascii="Times New Roman" w:hAnsi="Times New Roman" w:cs="Times New Roman"/>
            <w:b/>
            <w:bCs/>
            <w:noProof/>
          </w:rPr>
          <w:t>4.4 Economic Equity: Who Benefits from the "Digital Apple"?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_Toc228743535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26</w:t>
        </w:r>
        <w:r>
          <w:rPr>
            <w:rFonts w:hint="eastAsia"/>
            <w:noProof/>
            <w:webHidden/>
          </w:rPr>
          <w:fldChar w:fldCharType="end"/>
        </w:r>
      </w:hyperlink>
    </w:p>
    <w:p w14:paraId="3A776882" w14:textId="1E3A5843" w:rsidR="004E05E3" w:rsidRDefault="004E05E3">
      <w:pPr>
        <w:pStyle w:val="TOC1"/>
        <w:tabs>
          <w:tab w:val="right" w:leader="dot" w:pos="8296"/>
        </w:tabs>
        <w:rPr>
          <w:rFonts w:hint="eastAsia"/>
          <w:noProof/>
        </w:rPr>
      </w:pPr>
      <w:hyperlink w:anchor="_Toc228743536" w:history="1">
        <w:r w:rsidRPr="001D4515">
          <w:rPr>
            <w:rStyle w:val="af2"/>
            <w:rFonts w:ascii="Arial" w:hAnsi="Arial" w:cs="Arial"/>
            <w:b/>
            <w:bCs/>
            <w:noProof/>
          </w:rPr>
          <w:t>5. Practice-Based Results and Iterative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_Toc228743536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27</w:t>
        </w:r>
        <w:r>
          <w:rPr>
            <w:rFonts w:hint="eastAsia"/>
            <w:noProof/>
            <w:webHidden/>
          </w:rPr>
          <w:fldChar w:fldCharType="end"/>
        </w:r>
      </w:hyperlink>
    </w:p>
    <w:p w14:paraId="11F10F48" w14:textId="4C436211" w:rsidR="004E05E3" w:rsidRDefault="004E05E3">
      <w:pPr>
        <w:pStyle w:val="TOC2"/>
        <w:tabs>
          <w:tab w:val="right" w:leader="dot" w:pos="8296"/>
        </w:tabs>
        <w:ind w:left="440"/>
        <w:rPr>
          <w:rFonts w:hint="eastAsia"/>
          <w:noProof/>
        </w:rPr>
      </w:pPr>
      <w:hyperlink w:anchor="_Toc228743537" w:history="1">
        <w:r w:rsidRPr="001D4515">
          <w:rPr>
            <w:rStyle w:val="af2"/>
            <w:rFonts w:ascii="Times New Roman" w:hAnsi="Times New Roman" w:cs="Times New Roman"/>
            <w:b/>
            <w:bCs/>
            <w:noProof/>
          </w:rPr>
          <w:t>5.1 From "Surface" to "Structure": The Success of the DNA Protocol</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_Toc228743537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27</w:t>
        </w:r>
        <w:r>
          <w:rPr>
            <w:rFonts w:hint="eastAsia"/>
            <w:noProof/>
            <w:webHidden/>
          </w:rPr>
          <w:fldChar w:fldCharType="end"/>
        </w:r>
      </w:hyperlink>
    </w:p>
    <w:p w14:paraId="67E3FEA4" w14:textId="78CEB6D1" w:rsidR="004E05E3" w:rsidRDefault="004E05E3">
      <w:pPr>
        <w:pStyle w:val="TOC2"/>
        <w:tabs>
          <w:tab w:val="right" w:leader="dot" w:pos="8296"/>
        </w:tabs>
        <w:ind w:left="440"/>
        <w:rPr>
          <w:rFonts w:hint="eastAsia"/>
          <w:noProof/>
        </w:rPr>
      </w:pPr>
      <w:hyperlink w:anchor="_Toc228743538" w:history="1">
        <w:r w:rsidRPr="001D4515">
          <w:rPr>
            <w:rStyle w:val="af2"/>
            <w:rFonts w:ascii="Times New Roman" w:hAnsi="Times New Roman" w:cs="Times New Roman"/>
            <w:b/>
            <w:bCs/>
            <w:noProof/>
          </w:rPr>
          <w:t>5.2 The "Aha!" Moment of Embodied Agency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_Toc228743538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27</w:t>
        </w:r>
        <w:r>
          <w:rPr>
            <w:rFonts w:hint="eastAsia"/>
            <w:noProof/>
            <w:webHidden/>
          </w:rPr>
          <w:fldChar w:fldCharType="end"/>
        </w:r>
      </w:hyperlink>
    </w:p>
    <w:p w14:paraId="30ACD057" w14:textId="4FB78BA9" w:rsidR="004E05E3" w:rsidRDefault="004E05E3">
      <w:pPr>
        <w:pStyle w:val="TOC2"/>
        <w:tabs>
          <w:tab w:val="right" w:leader="dot" w:pos="8296"/>
        </w:tabs>
        <w:ind w:left="440"/>
        <w:rPr>
          <w:rFonts w:hint="eastAsia"/>
          <w:noProof/>
        </w:rPr>
      </w:pPr>
      <w:hyperlink w:anchor="_Toc228743539" w:history="1">
        <w:r w:rsidRPr="001D4515">
          <w:rPr>
            <w:rStyle w:val="af2"/>
            <w:rFonts w:ascii="Times New Roman" w:hAnsi="Times New Roman" w:cs="Times New Roman"/>
            <w:b/>
            <w:bCs/>
            <w:noProof/>
          </w:rPr>
          <w:t>5.3 The "Intention-Behavior Gap" in Cultural Tourism</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_Toc228743539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27</w:t>
        </w:r>
        <w:r>
          <w:rPr>
            <w:rFonts w:hint="eastAsia"/>
            <w:noProof/>
            <w:webHidden/>
          </w:rPr>
          <w:fldChar w:fldCharType="end"/>
        </w:r>
      </w:hyperlink>
    </w:p>
    <w:p w14:paraId="70C16F9F" w14:textId="73B8C4CC" w:rsidR="004E05E3" w:rsidRDefault="004E05E3">
      <w:pPr>
        <w:pStyle w:val="TOC2"/>
        <w:tabs>
          <w:tab w:val="right" w:leader="dot" w:pos="8296"/>
        </w:tabs>
        <w:ind w:left="440"/>
        <w:rPr>
          <w:rFonts w:hint="eastAsia"/>
          <w:noProof/>
        </w:rPr>
      </w:pPr>
      <w:hyperlink w:anchor="_Toc228743540" w:history="1">
        <w:r w:rsidRPr="001D4515">
          <w:rPr>
            <w:rStyle w:val="af2"/>
            <w:rFonts w:ascii="Times New Roman" w:hAnsi="Times New Roman" w:cs="Times New Roman"/>
            <w:b/>
            <w:bCs/>
            <w:noProof/>
          </w:rPr>
          <w:t>5.4 The "Phygital" Paradox: Friction as a Catalyst for Meaning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_Toc228743540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28</w:t>
        </w:r>
        <w:r>
          <w:rPr>
            <w:rFonts w:hint="eastAsia"/>
            <w:noProof/>
            <w:webHidden/>
          </w:rPr>
          <w:fldChar w:fldCharType="end"/>
        </w:r>
      </w:hyperlink>
    </w:p>
    <w:p w14:paraId="47E414AE" w14:textId="719E2565" w:rsidR="004E05E3" w:rsidRDefault="004E05E3">
      <w:pPr>
        <w:pStyle w:val="TOC1"/>
        <w:tabs>
          <w:tab w:val="right" w:leader="dot" w:pos="8296"/>
        </w:tabs>
        <w:rPr>
          <w:rFonts w:hint="eastAsia"/>
          <w:noProof/>
        </w:rPr>
      </w:pPr>
      <w:hyperlink w:anchor="_Toc228743541" w:history="1">
        <w:r w:rsidRPr="001D4515">
          <w:rPr>
            <w:rStyle w:val="af2"/>
            <w:rFonts w:ascii="Arial" w:hAnsi="Arial" w:cs="Arial"/>
            <w:b/>
            <w:bCs/>
            <w:noProof/>
          </w:rPr>
          <w:t>6. Reflection &amp; Discussion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_Toc228743541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29</w:t>
        </w:r>
        <w:r>
          <w:rPr>
            <w:rFonts w:hint="eastAsia"/>
            <w:noProof/>
            <w:webHidden/>
          </w:rPr>
          <w:fldChar w:fldCharType="end"/>
        </w:r>
      </w:hyperlink>
    </w:p>
    <w:p w14:paraId="13FA4309" w14:textId="34009DBA" w:rsidR="004E05E3" w:rsidRDefault="004E05E3">
      <w:pPr>
        <w:pStyle w:val="TOC2"/>
        <w:tabs>
          <w:tab w:val="right" w:leader="dot" w:pos="8296"/>
        </w:tabs>
        <w:ind w:left="440"/>
        <w:rPr>
          <w:rFonts w:hint="eastAsia"/>
          <w:noProof/>
        </w:rPr>
      </w:pPr>
      <w:hyperlink w:anchor="_Toc228743542" w:history="1">
        <w:r w:rsidRPr="001D4515">
          <w:rPr>
            <w:rStyle w:val="af2"/>
            <w:rFonts w:ascii="Times New Roman" w:hAnsi="Times New Roman" w:cs="Times New Roman"/>
            <w:b/>
            <w:bCs/>
            <w:noProof/>
          </w:rPr>
          <w:t>6.1 Critical Reflection on the Research Design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_Toc228743542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29</w:t>
        </w:r>
        <w:r>
          <w:rPr>
            <w:rFonts w:hint="eastAsia"/>
            <w:noProof/>
            <w:webHidden/>
          </w:rPr>
          <w:fldChar w:fldCharType="end"/>
        </w:r>
      </w:hyperlink>
    </w:p>
    <w:p w14:paraId="02EA725C" w14:textId="70999E1D" w:rsidR="004E05E3" w:rsidRDefault="004E05E3">
      <w:pPr>
        <w:pStyle w:val="TOC3"/>
        <w:tabs>
          <w:tab w:val="right" w:leader="dot" w:pos="8296"/>
        </w:tabs>
        <w:ind w:left="880"/>
        <w:rPr>
          <w:rFonts w:hint="eastAsia"/>
          <w:noProof/>
        </w:rPr>
      </w:pPr>
      <w:hyperlink w:anchor="_Toc228743543" w:history="1">
        <w:r w:rsidRPr="001D4515">
          <w:rPr>
            <w:rStyle w:val="af2"/>
            <w:rFonts w:ascii="Times New Roman" w:hAnsi="Times New Roman" w:cs="Times New Roman"/>
            <w:b/>
            <w:bCs/>
            <w:noProof/>
          </w:rPr>
          <w:t>6.1.1 The Shifting Role of the "Author" in the AI Age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_Toc228743543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29</w:t>
        </w:r>
        <w:r>
          <w:rPr>
            <w:rFonts w:hint="eastAsia"/>
            <w:noProof/>
            <w:webHidden/>
          </w:rPr>
          <w:fldChar w:fldCharType="end"/>
        </w:r>
      </w:hyperlink>
    </w:p>
    <w:p w14:paraId="7731EED6" w14:textId="37648EDC" w:rsidR="004E05E3" w:rsidRDefault="004E05E3">
      <w:pPr>
        <w:pStyle w:val="TOC3"/>
        <w:tabs>
          <w:tab w:val="right" w:leader="dot" w:pos="8296"/>
        </w:tabs>
        <w:ind w:left="880"/>
        <w:rPr>
          <w:rFonts w:hint="eastAsia"/>
          <w:noProof/>
        </w:rPr>
      </w:pPr>
      <w:hyperlink w:anchor="_Toc228743544" w:history="1">
        <w:r w:rsidRPr="001D4515">
          <w:rPr>
            <w:rStyle w:val="af2"/>
            <w:rFonts w:ascii="Times New Roman" w:hAnsi="Times New Roman" w:cs="Times New Roman"/>
            <w:b/>
            <w:bCs/>
            <w:noProof/>
          </w:rPr>
          <w:t>6.1.2 Embodied Interaction vs. Digital Spectacle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_Toc228743544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30</w:t>
        </w:r>
        <w:r>
          <w:rPr>
            <w:rFonts w:hint="eastAsia"/>
            <w:noProof/>
            <w:webHidden/>
          </w:rPr>
          <w:fldChar w:fldCharType="end"/>
        </w:r>
      </w:hyperlink>
    </w:p>
    <w:p w14:paraId="51A48985" w14:textId="732BA631" w:rsidR="004E05E3" w:rsidRDefault="004E05E3">
      <w:pPr>
        <w:pStyle w:val="TOC2"/>
        <w:tabs>
          <w:tab w:val="right" w:leader="dot" w:pos="8296"/>
        </w:tabs>
        <w:ind w:left="440"/>
        <w:rPr>
          <w:rFonts w:hint="eastAsia"/>
          <w:noProof/>
        </w:rPr>
      </w:pPr>
      <w:hyperlink w:anchor="_Toc228743545" w:history="1">
        <w:r w:rsidRPr="001D4515">
          <w:rPr>
            <w:rStyle w:val="af2"/>
            <w:rFonts w:ascii="Times New Roman" w:hAnsi="Times New Roman" w:cs="Times New Roman"/>
            <w:b/>
            <w:bCs/>
            <w:noProof/>
          </w:rPr>
          <w:t>6.2 The "Wickedness" of the Solution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_Toc228743545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30</w:t>
        </w:r>
        <w:r>
          <w:rPr>
            <w:rFonts w:hint="eastAsia"/>
            <w:noProof/>
            <w:webHidden/>
          </w:rPr>
          <w:fldChar w:fldCharType="end"/>
        </w:r>
      </w:hyperlink>
    </w:p>
    <w:p w14:paraId="303C94F3" w14:textId="76713040" w:rsidR="004E05E3" w:rsidRDefault="004E05E3">
      <w:pPr>
        <w:pStyle w:val="TOC2"/>
        <w:tabs>
          <w:tab w:val="right" w:leader="dot" w:pos="8296"/>
        </w:tabs>
        <w:ind w:left="440"/>
        <w:rPr>
          <w:rFonts w:hint="eastAsia"/>
          <w:noProof/>
        </w:rPr>
      </w:pPr>
      <w:hyperlink w:anchor="_Toc228743546" w:history="1">
        <w:r w:rsidRPr="001D4515">
          <w:rPr>
            <w:rStyle w:val="af2"/>
            <w:rFonts w:ascii="Times New Roman" w:hAnsi="Times New Roman" w:cs="Times New Roman"/>
            <w:b/>
            <w:bCs/>
            <w:noProof/>
          </w:rPr>
          <w:t>6.3 The Shifting Role of the "Author" in Distributed Creative Systems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_Toc228743546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30</w:t>
        </w:r>
        <w:r>
          <w:rPr>
            <w:rFonts w:hint="eastAsia"/>
            <w:noProof/>
            <w:webHidden/>
          </w:rPr>
          <w:fldChar w:fldCharType="end"/>
        </w:r>
      </w:hyperlink>
    </w:p>
    <w:p w14:paraId="1F2AFBC1" w14:textId="2909618C" w:rsidR="004E05E3" w:rsidRDefault="004E05E3">
      <w:pPr>
        <w:pStyle w:val="TOC2"/>
        <w:tabs>
          <w:tab w:val="right" w:leader="dot" w:pos="8296"/>
        </w:tabs>
        <w:ind w:left="440"/>
        <w:rPr>
          <w:rFonts w:hint="eastAsia"/>
          <w:noProof/>
        </w:rPr>
      </w:pPr>
      <w:hyperlink w:anchor="_Toc228743547" w:history="1">
        <w:r w:rsidRPr="001D4515">
          <w:rPr>
            <w:rStyle w:val="af2"/>
            <w:rFonts w:ascii="Times New Roman" w:hAnsi="Times New Roman" w:cs="Times New Roman"/>
            <w:b/>
            <w:bCs/>
            <w:noProof/>
          </w:rPr>
          <w:t>6.4 Limitations and Future Research: The Inclusivity Gap</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_Toc228743547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31</w:t>
        </w:r>
        <w:r>
          <w:rPr>
            <w:rFonts w:hint="eastAsia"/>
            <w:noProof/>
            <w:webHidden/>
          </w:rPr>
          <w:fldChar w:fldCharType="end"/>
        </w:r>
      </w:hyperlink>
    </w:p>
    <w:p w14:paraId="4F08EDE9" w14:textId="7FAA5448" w:rsidR="004E05E3" w:rsidRDefault="004E05E3">
      <w:pPr>
        <w:pStyle w:val="TOC1"/>
        <w:tabs>
          <w:tab w:val="right" w:leader="dot" w:pos="8296"/>
        </w:tabs>
        <w:rPr>
          <w:rFonts w:hint="eastAsia"/>
          <w:noProof/>
        </w:rPr>
      </w:pPr>
      <w:hyperlink w:anchor="_Toc228743548" w:history="1">
        <w:r w:rsidRPr="001D4515">
          <w:rPr>
            <w:rStyle w:val="af2"/>
            <w:rFonts w:ascii="Arial" w:hAnsi="Arial" w:cs="Arial"/>
            <w:b/>
            <w:bCs/>
            <w:noProof/>
          </w:rPr>
          <w:t>7. 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_Toc228743548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32</w:t>
        </w:r>
        <w:r>
          <w:rPr>
            <w:rFonts w:hint="eastAsia"/>
            <w:noProof/>
            <w:webHidden/>
          </w:rPr>
          <w:fldChar w:fldCharType="end"/>
        </w:r>
      </w:hyperlink>
    </w:p>
    <w:p w14:paraId="249BD279" w14:textId="2444281E" w:rsidR="004E05E3" w:rsidRDefault="004E05E3">
      <w:pPr>
        <w:pStyle w:val="TOC1"/>
        <w:tabs>
          <w:tab w:val="right" w:leader="dot" w:pos="8296"/>
        </w:tabs>
        <w:rPr>
          <w:rFonts w:hint="eastAsia"/>
          <w:noProof/>
        </w:rPr>
      </w:pPr>
      <w:hyperlink w:anchor="_Toc228743549" w:history="1">
        <w:r w:rsidRPr="001D4515">
          <w:rPr>
            <w:rStyle w:val="af2"/>
            <w:rFonts w:ascii="Arial" w:hAnsi="Arial" w:cs="Arial"/>
            <w:b/>
            <w:bCs/>
            <w:noProof/>
          </w:rPr>
          <w:t>References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_Toc228743549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33</w:t>
        </w:r>
        <w:r>
          <w:rPr>
            <w:rFonts w:hint="eastAsia"/>
            <w:noProof/>
            <w:webHidden/>
          </w:rPr>
          <w:fldChar w:fldCharType="end"/>
        </w:r>
      </w:hyperlink>
    </w:p>
    <w:p w14:paraId="3A173F67" w14:textId="08E622BC" w:rsidR="004E05E3" w:rsidRDefault="004E05E3" w:rsidP="00537BCD">
      <w:pPr>
        <w:rPr>
          <w:b/>
          <w:bCs/>
        </w:rPr>
      </w:pPr>
      <w:r>
        <w:rPr>
          <w:rFonts w:hint="eastAsia"/>
          <w:b/>
          <w:bCs/>
        </w:rPr>
        <w:fldChar w:fldCharType="end"/>
      </w:r>
    </w:p>
    <w:p w14:paraId="759F4FC8" w14:textId="77777777" w:rsidR="004E05E3" w:rsidRDefault="004E05E3" w:rsidP="00537BCD">
      <w:pPr>
        <w:rPr>
          <w:b/>
          <w:bCs/>
        </w:rPr>
      </w:pPr>
    </w:p>
    <w:p w14:paraId="378ED27A" w14:textId="6FCABC72" w:rsidR="00537BCD" w:rsidRPr="0039166B" w:rsidRDefault="00537BCD" w:rsidP="0039166B">
      <w:pPr>
        <w:spacing w:beforeLines="100" w:before="312" w:after="360"/>
        <w:jc w:val="center"/>
        <w:outlineLvl w:val="0"/>
        <w:rPr>
          <w:rFonts w:ascii="Arial" w:hAnsi="Arial" w:cs="Arial"/>
          <w:b/>
          <w:bCs/>
          <w:sz w:val="32"/>
          <w:szCs w:val="32"/>
        </w:rPr>
      </w:pPr>
      <w:bookmarkStart w:id="0" w:name="_Toc228743500"/>
      <w:r w:rsidRPr="0039166B">
        <w:rPr>
          <w:rFonts w:ascii="Arial" w:hAnsi="Arial" w:cs="Arial"/>
          <w:b/>
          <w:bCs/>
          <w:sz w:val="32"/>
          <w:szCs w:val="32"/>
        </w:rPr>
        <w:lastRenderedPageBreak/>
        <w:t>1. Introduction</w:t>
      </w:r>
      <w:bookmarkEnd w:id="0"/>
    </w:p>
    <w:p w14:paraId="7D2D718D" w14:textId="77777777" w:rsidR="00537BCD" w:rsidRPr="0039166B" w:rsidRDefault="00537BCD" w:rsidP="0039166B">
      <w:pPr>
        <w:spacing w:beforeLines="100" w:before="312" w:after="360" w:line="240" w:lineRule="auto"/>
        <w:outlineLvl w:val="1"/>
        <w:rPr>
          <w:rFonts w:ascii="Times New Roman" w:hAnsi="Times New Roman" w:cs="Times New Roman"/>
          <w:b/>
          <w:bCs/>
          <w:sz w:val="24"/>
        </w:rPr>
      </w:pPr>
      <w:bookmarkStart w:id="1" w:name="_Toc228743501"/>
      <w:r w:rsidRPr="0039166B">
        <w:rPr>
          <w:rFonts w:ascii="Times New Roman" w:hAnsi="Times New Roman" w:cs="Times New Roman"/>
          <w:b/>
          <w:bCs/>
          <w:sz w:val="24"/>
        </w:rPr>
        <w:t>1.1 The Context of Rural Revitalization and the ICH Crisis</w:t>
      </w:r>
      <w:bookmarkEnd w:id="1"/>
    </w:p>
    <w:p w14:paraId="536A2941" w14:textId="42E83C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In the contemporary discourse of rural revitalization and cultural sustainability, the safeguarding of Intangible Cultural Heritage (ICH) presents a profound "wicked problem". A wicked problem, as defined by Rittel and Webber (1973), is characterized by contradictory, deeply entangled socio-cultural and economic demands that resist straightforward, linear solutions. In the specific context of Henan Province, China, this tension is acute. Henan possesses a dual identity: it is a core region of deep-rooted Chinese folk arts—such as </w:t>
      </w:r>
      <w:r w:rsidR="00A70DAE">
        <w:rPr>
          <w:rFonts w:ascii="Times New Roman" w:hAnsi="Times New Roman" w:cs="Times New Roman"/>
        </w:rPr>
        <w:t>paper cutting</w:t>
      </w:r>
      <w:r w:rsidRPr="0039166B">
        <w:rPr>
          <w:rFonts w:ascii="Times New Roman" w:hAnsi="Times New Roman" w:cs="Times New Roman"/>
        </w:rPr>
        <w:t xml:space="preserve"> and paper-cutting—and a massive agricultural producer, exemplified by products like Lingbao apples. </w:t>
      </w:r>
    </w:p>
    <w:p w14:paraId="2ABD8658" w14:textId="77777777" w:rsidR="00537BCD" w:rsidRPr="0039166B" w:rsidRDefault="00537BCD" w:rsidP="00537BCD">
      <w:pPr>
        <w:rPr>
          <w:rFonts w:ascii="Times New Roman" w:hAnsi="Times New Roman" w:cs="Times New Roman"/>
        </w:rPr>
      </w:pPr>
      <w:r w:rsidRPr="0039166B">
        <w:rPr>
          <w:rFonts w:ascii="Times New Roman" w:hAnsi="Times New Roman" w:cs="Times New Roman"/>
        </w:rPr>
        <w:t xml:space="preserve">Under the national mandate for rural revitalization, there is an urgent need to preserve regional cultural identities against the homogenizing forces of globalization. Simultaneously, rural economies require the commodification and branding of local assets—such as geographical indication agricultural products—to stimulate economic growth and tourism. However, the traditional approach to this tension has often bifurcated into two equally problematic extremes: </w:t>
      </w:r>
    </w:p>
    <w:p w14:paraId="43D7AEBE" w14:textId="77777777" w:rsidR="00537BCD" w:rsidRPr="0039166B" w:rsidRDefault="00537BCD" w:rsidP="003937B1">
      <w:pPr>
        <w:ind w:firstLineChars="200" w:firstLine="440"/>
        <w:rPr>
          <w:rFonts w:ascii="Times New Roman" w:hAnsi="Times New Roman" w:cs="Times New Roman"/>
        </w:rPr>
      </w:pPr>
      <w:r w:rsidRPr="0039166B">
        <w:rPr>
          <w:rFonts w:ascii="Times New Roman" w:hAnsi="Times New Roman" w:cs="Times New Roman"/>
        </w:rPr>
        <w:t xml:space="preserve">Museumification: This approach isolates culture from living, everyday practice through static preservation, effectively "freezing" it in time and removing it from the community's daily life. </w:t>
      </w:r>
    </w:p>
    <w:p w14:paraId="44578185" w14:textId="77777777" w:rsidR="00537BCD" w:rsidRPr="0039166B" w:rsidRDefault="00537BCD" w:rsidP="003937B1">
      <w:pPr>
        <w:ind w:firstLineChars="200" w:firstLine="440"/>
        <w:rPr>
          <w:rFonts w:ascii="Times New Roman" w:hAnsi="Times New Roman" w:cs="Times New Roman"/>
        </w:rPr>
      </w:pPr>
      <w:r w:rsidRPr="0039166B">
        <w:rPr>
          <w:rFonts w:ascii="Times New Roman" w:hAnsi="Times New Roman" w:cs="Times New Roman"/>
        </w:rPr>
        <w:t xml:space="preserve">Visual Pastiche: Conversely, commercial applications frequently resort to superficial visual borrowing and cultural appropriation, where traditional motifs are used as mere decorative skins without regard for their semantic or structural depth. </w:t>
      </w:r>
    </w:p>
    <w:p w14:paraId="6C10A4A1" w14:textId="77777777" w:rsidR="00537BCD"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Despite these assets, there remains a critical missing link—a structural failure to translate profound cultural narratives into everyday economic touchpoints that can authentically drive cultural tourism. </w:t>
      </w:r>
    </w:p>
    <w:p w14:paraId="2FB46C05" w14:textId="21390912" w:rsidR="003937B1" w:rsidRPr="003937B1" w:rsidRDefault="003937B1" w:rsidP="003937B1">
      <w:pPr>
        <w:ind w:firstLineChars="200" w:firstLine="480"/>
        <w:rPr>
          <w:rFonts w:ascii="Times New Roman" w:hAnsi="Times New Roman" w:cs="Times New Roman"/>
          <w:sz w:val="24"/>
        </w:rPr>
      </w:pPr>
      <w:r>
        <w:rPr>
          <w:rFonts w:ascii="Times New Roman" w:hAnsi="Times New Roman" w:cs="Times New Roman"/>
          <w:noProof/>
          <w:sz w:val="24"/>
        </w:rPr>
        <w:drawing>
          <wp:inline distT="0" distB="0" distL="0" distR="0" wp14:anchorId="744A65F2" wp14:editId="6535EE98">
            <wp:extent cx="2482948" cy="1734647"/>
            <wp:effectExtent l="0" t="0" r="0" b="0"/>
            <wp:docPr id="145815861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00615" cy="1746989"/>
                    </a:xfrm>
                    <a:prstGeom prst="rect">
                      <a:avLst/>
                    </a:prstGeom>
                    <a:noFill/>
                    <a:ln>
                      <a:noFill/>
                    </a:ln>
                  </pic:spPr>
                </pic:pic>
              </a:graphicData>
            </a:graphic>
          </wp:inline>
        </w:drawing>
      </w:r>
      <w:r>
        <w:rPr>
          <w:rFonts w:ascii="Times New Roman" w:hAnsi="Times New Roman" w:cs="Times New Roman" w:hint="eastAsia"/>
          <w:sz w:val="24"/>
        </w:rPr>
        <w:t xml:space="preserve">      </w:t>
      </w:r>
      <w:r>
        <w:rPr>
          <w:rFonts w:ascii="Times New Roman" w:hAnsi="Times New Roman" w:cs="Times New Roman" w:hint="eastAsia"/>
          <w:noProof/>
          <w:sz w:val="24"/>
        </w:rPr>
        <w:drawing>
          <wp:inline distT="0" distB="0" distL="0" distR="0" wp14:anchorId="610F3CD2" wp14:editId="209D2AF1">
            <wp:extent cx="1295438" cy="1729436"/>
            <wp:effectExtent l="0" t="0" r="0" b="4445"/>
            <wp:docPr id="1690896978"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05691" cy="1743124"/>
                    </a:xfrm>
                    <a:prstGeom prst="rect">
                      <a:avLst/>
                    </a:prstGeom>
                    <a:noFill/>
                    <a:ln>
                      <a:noFill/>
                    </a:ln>
                  </pic:spPr>
                </pic:pic>
              </a:graphicData>
            </a:graphic>
          </wp:inline>
        </w:drawing>
      </w:r>
    </w:p>
    <w:p w14:paraId="5588A21B" w14:textId="77777777" w:rsidR="00537BCD" w:rsidRPr="0039166B" w:rsidRDefault="00537BCD" w:rsidP="0039166B">
      <w:pPr>
        <w:spacing w:beforeLines="100" w:before="312" w:after="360" w:line="240" w:lineRule="auto"/>
        <w:outlineLvl w:val="1"/>
        <w:rPr>
          <w:rFonts w:ascii="Times New Roman" w:hAnsi="Times New Roman" w:cs="Times New Roman"/>
          <w:b/>
          <w:bCs/>
          <w:sz w:val="24"/>
        </w:rPr>
      </w:pPr>
      <w:bookmarkStart w:id="2" w:name="_Toc228743502"/>
      <w:r w:rsidRPr="0039166B">
        <w:rPr>
          <w:rFonts w:ascii="Times New Roman" w:hAnsi="Times New Roman" w:cs="Times New Roman"/>
          <w:b/>
          <w:bCs/>
          <w:sz w:val="24"/>
        </w:rPr>
        <w:lastRenderedPageBreak/>
        <w:t>1.2 The Research Intervention: A Phygital Protocol</w:t>
      </w:r>
      <w:bookmarkEnd w:id="2"/>
    </w:p>
    <w:p w14:paraId="75BFDC1E" w14:textId="77777777" w:rsidR="00537BCD"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This practice-based design research situates itself directly within this wicked problem, using Henan Province as a primary context. It proposes a novel intervention: a "phygital" (physical-digital) translation protocol. The study investigates how digital design interventions—specifically algorithm-assisted generation (Generative AI) and spatial computing (Augmented Reality)—can be integrated with rigorous qualitative methodologies to extract the underlying "Aesthetic DNA" of regional heritage. </w:t>
      </w:r>
    </w:p>
    <w:p w14:paraId="31582508" w14:textId="0637A95E" w:rsidR="003937B1" w:rsidRPr="003937B1" w:rsidRDefault="003937B1" w:rsidP="003937B1">
      <w:pPr>
        <w:ind w:firstLineChars="200" w:firstLine="480"/>
        <w:rPr>
          <w:rFonts w:ascii="Times New Roman" w:hAnsi="Times New Roman" w:cs="Times New Roman"/>
          <w:sz w:val="24"/>
        </w:rPr>
      </w:pPr>
      <w:r>
        <w:rPr>
          <w:rFonts w:ascii="Times New Roman" w:hAnsi="Times New Roman" w:cs="Times New Roman"/>
          <w:noProof/>
          <w:sz w:val="24"/>
        </w:rPr>
        <w:drawing>
          <wp:inline distT="0" distB="0" distL="0" distR="0" wp14:anchorId="6D7009A6" wp14:editId="7E2F1312">
            <wp:extent cx="2753922" cy="1807698"/>
            <wp:effectExtent l="0" t="0" r="8890" b="2540"/>
            <wp:docPr id="114079712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73273" cy="1820400"/>
                    </a:xfrm>
                    <a:prstGeom prst="rect">
                      <a:avLst/>
                    </a:prstGeom>
                    <a:noFill/>
                    <a:ln>
                      <a:noFill/>
                    </a:ln>
                  </pic:spPr>
                </pic:pic>
              </a:graphicData>
            </a:graphic>
          </wp:inline>
        </w:drawing>
      </w:r>
      <w:r>
        <w:rPr>
          <w:rFonts w:ascii="Times New Roman" w:hAnsi="Times New Roman" w:cs="Times New Roman" w:hint="eastAsia"/>
          <w:sz w:val="24"/>
        </w:rPr>
        <w:t xml:space="preserve">     </w:t>
      </w:r>
      <w:r>
        <w:rPr>
          <w:rFonts w:ascii="Times New Roman" w:hAnsi="Times New Roman" w:cs="Times New Roman"/>
          <w:noProof/>
          <w:sz w:val="24"/>
        </w:rPr>
        <w:drawing>
          <wp:inline distT="0" distB="0" distL="0" distR="0" wp14:anchorId="6EFB9DC9" wp14:editId="45E118C9">
            <wp:extent cx="1192910" cy="1817940"/>
            <wp:effectExtent l="0" t="0" r="7620" b="0"/>
            <wp:docPr id="2026788197"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06621" cy="1838835"/>
                    </a:xfrm>
                    <a:prstGeom prst="rect">
                      <a:avLst/>
                    </a:prstGeom>
                    <a:noFill/>
                    <a:ln>
                      <a:noFill/>
                    </a:ln>
                  </pic:spPr>
                </pic:pic>
              </a:graphicData>
            </a:graphic>
          </wp:inline>
        </w:drawing>
      </w:r>
    </w:p>
    <w:p w14:paraId="5C6C63D5"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By embedding AR micro-narratives into everyday agricultural packaging, this research aims to transform mundane commodities into "embodied cultural interfaces". In doing so, it shifts the paradigm from passive heritage consumption to active, embodied interaction. The research posits that such a rigorously designed phygital intervention can serve as a catalyst to bridge the gap between daily consumer behavior and the motivation for physical cultural tourism. </w:t>
      </w:r>
    </w:p>
    <w:p w14:paraId="453EC2D0" w14:textId="77777777" w:rsidR="00537BCD" w:rsidRPr="0039166B" w:rsidRDefault="00537BCD" w:rsidP="0039166B">
      <w:pPr>
        <w:spacing w:beforeLines="100" w:before="312" w:after="360" w:line="240" w:lineRule="auto"/>
        <w:outlineLvl w:val="1"/>
        <w:rPr>
          <w:rFonts w:ascii="Times New Roman" w:hAnsi="Times New Roman" w:cs="Times New Roman"/>
          <w:b/>
          <w:bCs/>
          <w:sz w:val="24"/>
        </w:rPr>
      </w:pPr>
      <w:bookmarkStart w:id="3" w:name="_Toc228743503"/>
      <w:r w:rsidRPr="0039166B">
        <w:rPr>
          <w:rFonts w:ascii="Times New Roman" w:hAnsi="Times New Roman" w:cs="Times New Roman"/>
          <w:b/>
          <w:bCs/>
          <w:sz w:val="24"/>
        </w:rPr>
        <w:t>1.3 Research Questions and Objectives</w:t>
      </w:r>
      <w:bookmarkEnd w:id="3"/>
    </w:p>
    <w:p w14:paraId="73081338" w14:textId="3F0930EC"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The primary research question driving this inquiry is:How can design practice, supported by qualitative structural analysis and digital technologies (AR/AI), establish a rigorous protocol for translating regional ICH into everyday agricultural packaging without resorting to cultural appropriation? </w:t>
      </w:r>
    </w:p>
    <w:p w14:paraId="109088E4" w14:textId="5EA69D88"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Furthermore, the study asks:How does the resulting "embodied interaction" within this phygital framework influence consumer perceptions and stimulate intentions for real-world cultural tourism? </w:t>
      </w:r>
    </w:p>
    <w:p w14:paraId="13E0549E"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To address these questions, this paper will first critically review existing literature across heritage studies, social innovation design, and human-computer interaction to expose current methodological gaps. It will then outline a practice-based research design that interweaves semiotic structural analysis, shape grammar, and qualitative evaluation (Delphi method and </w:t>
      </w:r>
      <w:r w:rsidRPr="0039166B">
        <w:rPr>
          <w:rFonts w:ascii="Times New Roman" w:hAnsi="Times New Roman" w:cs="Times New Roman"/>
        </w:rPr>
        <w:lastRenderedPageBreak/>
        <w:t xml:space="preserve">focus groups) to create and validate a new framework for sustainable cultural design. </w:t>
      </w:r>
    </w:p>
    <w:p w14:paraId="201AF74F" w14:textId="77777777" w:rsidR="00537BCD" w:rsidRPr="0039166B" w:rsidRDefault="00537BCD" w:rsidP="0039166B">
      <w:pPr>
        <w:spacing w:beforeLines="100" w:before="312" w:after="360" w:line="240" w:lineRule="auto"/>
        <w:outlineLvl w:val="1"/>
        <w:rPr>
          <w:rFonts w:ascii="Times New Roman" w:hAnsi="Times New Roman" w:cs="Times New Roman"/>
          <w:b/>
          <w:bCs/>
          <w:sz w:val="24"/>
        </w:rPr>
      </w:pPr>
      <w:bookmarkStart w:id="4" w:name="_Toc228743504"/>
      <w:r w:rsidRPr="0039166B">
        <w:rPr>
          <w:rFonts w:ascii="Times New Roman" w:hAnsi="Times New Roman" w:cs="Times New Roman"/>
          <w:b/>
          <w:bCs/>
          <w:sz w:val="24"/>
        </w:rPr>
        <w:t>1.4 Significance and Structure of the Study</w:t>
      </w:r>
      <w:bookmarkEnd w:id="4"/>
    </w:p>
    <w:p w14:paraId="458E573C"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Focusing on the folk arts of Henan Province, this study challenges arbitrary design borrowing by proposing a rigorous "Digital Translation Protocol". By shifting from passive observation to "embodied interaction," the AR micro-narratives require physical user agency to unfold, thereby transforming everyday consumption into active cultural resonance. </w:t>
      </w:r>
    </w:p>
    <w:p w14:paraId="00B561DB"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The document is structured to guide the reader logically through the research process:</w:t>
      </w:r>
    </w:p>
    <w:p w14:paraId="08735270" w14:textId="46984FC0" w:rsidR="00A70DAE" w:rsidRDefault="00537BCD" w:rsidP="00EB146A">
      <w:pPr>
        <w:rPr>
          <w:rFonts w:ascii="Times New Roman" w:hAnsi="Times New Roman" w:cs="Times New Roman" w:hint="eastAsia"/>
        </w:rPr>
      </w:pPr>
      <w:r w:rsidRPr="0039166B">
        <w:rPr>
          <w:rFonts w:ascii="Times New Roman" w:hAnsi="Times New Roman" w:cs="Times New Roman"/>
        </w:rPr>
        <w:t xml:space="preserve">Critical Literature Review: Analyzing existing debates in heritage preservation, design for social innovation, and digital interaction. Research Methodology &amp; Design: Detailing the practice-based approach, including cultural data extraction and qualitative evaluation. Ethical Considerations: Addressing the entanglements of cultural representation, algorithmic bias, and data privacy. Reflection &amp; Conclusion: Synthesizing findings and reflecting on the shifting role of the designer and author in phygital frameworks. </w:t>
      </w:r>
    </w:p>
    <w:p w14:paraId="48CDD05C" w14:textId="6156FD14" w:rsidR="00A70DAE" w:rsidRDefault="00430CAF" w:rsidP="00EB146A">
      <w:pPr>
        <w:rPr>
          <w:rFonts w:ascii="Times New Roman" w:hAnsi="Times New Roman" w:cs="Times New Roman"/>
        </w:rPr>
      </w:pPr>
      <w:r>
        <w:rPr>
          <w:rFonts w:ascii="Times New Roman" w:hAnsi="Times New Roman" w:cs="Times New Roman"/>
          <w:noProof/>
          <w:sz w:val="24"/>
        </w:rPr>
        <w:drawing>
          <wp:inline distT="0" distB="0" distL="0" distR="0" wp14:anchorId="6137DB94" wp14:editId="36EFAB83">
            <wp:extent cx="1297166" cy="5258214"/>
            <wp:effectExtent l="635" t="0" r="0" b="0"/>
            <wp:docPr id="490727067"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16200000">
                      <a:off x="0" y="0"/>
                      <a:ext cx="1304229" cy="5286843"/>
                    </a:xfrm>
                    <a:prstGeom prst="rect">
                      <a:avLst/>
                    </a:prstGeom>
                    <a:noFill/>
                    <a:ln>
                      <a:noFill/>
                    </a:ln>
                  </pic:spPr>
                </pic:pic>
              </a:graphicData>
            </a:graphic>
          </wp:inline>
        </w:drawing>
      </w:r>
    </w:p>
    <w:p w14:paraId="3325B32D" w14:textId="77777777" w:rsidR="00430CAF" w:rsidRDefault="00430CAF" w:rsidP="00430CAF">
      <w:pPr>
        <w:rPr>
          <w:rFonts w:ascii="Times New Roman" w:hAnsi="Times New Roman" w:cs="Times New Roman"/>
          <w:sz w:val="24"/>
        </w:rPr>
      </w:pPr>
      <w:r>
        <w:rPr>
          <w:rFonts w:ascii="Times New Roman" w:hAnsi="Times New Roman" w:cs="Times New Roman" w:hint="eastAsia"/>
          <w:noProof/>
          <w:sz w:val="24"/>
        </w:rPr>
        <w:drawing>
          <wp:inline distT="0" distB="0" distL="0" distR="0" wp14:anchorId="48579B4A" wp14:editId="63ED4CD5">
            <wp:extent cx="1227923" cy="1637969"/>
            <wp:effectExtent l="0" t="0" r="0" b="635"/>
            <wp:docPr id="1492098590"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243227" cy="1658383"/>
                    </a:xfrm>
                    <a:prstGeom prst="rect">
                      <a:avLst/>
                    </a:prstGeom>
                    <a:noFill/>
                    <a:ln>
                      <a:noFill/>
                    </a:ln>
                  </pic:spPr>
                </pic:pic>
              </a:graphicData>
            </a:graphic>
          </wp:inline>
        </w:drawing>
      </w:r>
      <w:r>
        <w:rPr>
          <w:rFonts w:ascii="Times New Roman" w:hAnsi="Times New Roman" w:cs="Times New Roman" w:hint="eastAsia"/>
          <w:sz w:val="24"/>
        </w:rPr>
        <w:t xml:space="preserve"> </w:t>
      </w:r>
      <w:r>
        <w:rPr>
          <w:rFonts w:ascii="Times New Roman" w:hAnsi="Times New Roman" w:cs="Times New Roman" w:hint="eastAsia"/>
          <w:noProof/>
          <w:sz w:val="24"/>
        </w:rPr>
        <w:drawing>
          <wp:inline distT="0" distB="0" distL="0" distR="0" wp14:anchorId="21A97740" wp14:editId="7D508CFE">
            <wp:extent cx="1134846" cy="1640592"/>
            <wp:effectExtent l="0" t="0" r="8255" b="0"/>
            <wp:docPr id="1937852928"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154910" cy="1669597"/>
                    </a:xfrm>
                    <a:prstGeom prst="rect">
                      <a:avLst/>
                    </a:prstGeom>
                    <a:noFill/>
                    <a:ln>
                      <a:noFill/>
                    </a:ln>
                  </pic:spPr>
                </pic:pic>
              </a:graphicData>
            </a:graphic>
          </wp:inline>
        </w:drawing>
      </w:r>
      <w:r>
        <w:rPr>
          <w:rFonts w:ascii="Times New Roman" w:hAnsi="Times New Roman" w:cs="Times New Roman" w:hint="eastAsia"/>
          <w:sz w:val="24"/>
        </w:rPr>
        <w:t xml:space="preserve"> </w:t>
      </w:r>
      <w:r>
        <w:rPr>
          <w:rFonts w:ascii="Times New Roman" w:hAnsi="Times New Roman" w:cs="Times New Roman" w:hint="eastAsia"/>
          <w:noProof/>
          <w:sz w:val="24"/>
        </w:rPr>
        <w:drawing>
          <wp:inline distT="0" distB="0" distL="0" distR="0" wp14:anchorId="163DD5B3" wp14:editId="5D3BFD61">
            <wp:extent cx="1384300" cy="1675053"/>
            <wp:effectExtent l="0" t="0" r="6350" b="1905"/>
            <wp:docPr id="733941647"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400794" cy="1695012"/>
                    </a:xfrm>
                    <a:prstGeom prst="rect">
                      <a:avLst/>
                    </a:prstGeom>
                    <a:noFill/>
                    <a:ln>
                      <a:noFill/>
                    </a:ln>
                  </pic:spPr>
                </pic:pic>
              </a:graphicData>
            </a:graphic>
          </wp:inline>
        </w:drawing>
      </w:r>
      <w:r>
        <w:rPr>
          <w:rFonts w:ascii="Times New Roman" w:hAnsi="Times New Roman" w:cs="Times New Roman" w:hint="eastAsia"/>
          <w:sz w:val="24"/>
        </w:rPr>
        <w:t xml:space="preserve"> </w:t>
      </w:r>
      <w:r>
        <w:rPr>
          <w:rFonts w:ascii="Times New Roman" w:hAnsi="Times New Roman" w:cs="Times New Roman" w:hint="eastAsia"/>
          <w:noProof/>
          <w:sz w:val="24"/>
        </w:rPr>
        <w:drawing>
          <wp:inline distT="0" distB="0" distL="0" distR="0" wp14:anchorId="61746BC5" wp14:editId="4A57563B">
            <wp:extent cx="1257282" cy="1666936"/>
            <wp:effectExtent l="0" t="0" r="635" b="0"/>
            <wp:docPr id="2033319740"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270652" cy="1684662"/>
                    </a:xfrm>
                    <a:prstGeom prst="rect">
                      <a:avLst/>
                    </a:prstGeom>
                    <a:noFill/>
                    <a:ln>
                      <a:noFill/>
                    </a:ln>
                  </pic:spPr>
                </pic:pic>
              </a:graphicData>
            </a:graphic>
          </wp:inline>
        </w:drawing>
      </w:r>
    </w:p>
    <w:p w14:paraId="36FE41E8" w14:textId="77777777" w:rsidR="00A70DAE" w:rsidRDefault="00A70DAE" w:rsidP="00EB146A">
      <w:pPr>
        <w:rPr>
          <w:rFonts w:ascii="Times New Roman" w:hAnsi="Times New Roman" w:cs="Times New Roman"/>
        </w:rPr>
      </w:pPr>
    </w:p>
    <w:p w14:paraId="6C7EC7D1" w14:textId="77777777" w:rsidR="00A70DAE" w:rsidRDefault="00A70DAE" w:rsidP="00EB146A">
      <w:pPr>
        <w:rPr>
          <w:rFonts w:ascii="Times New Roman" w:hAnsi="Times New Roman" w:cs="Times New Roman"/>
        </w:rPr>
      </w:pPr>
    </w:p>
    <w:p w14:paraId="4AD08628" w14:textId="77777777" w:rsidR="00A70DAE" w:rsidRDefault="00A70DAE" w:rsidP="00EB146A">
      <w:pPr>
        <w:rPr>
          <w:rFonts w:ascii="Times New Roman" w:hAnsi="Times New Roman" w:cs="Times New Roman"/>
        </w:rPr>
      </w:pPr>
    </w:p>
    <w:p w14:paraId="744649C6" w14:textId="77777777" w:rsidR="00A70DAE" w:rsidRDefault="00A70DAE" w:rsidP="00EB146A">
      <w:pPr>
        <w:rPr>
          <w:rFonts w:ascii="Times New Roman" w:hAnsi="Times New Roman" w:cs="Times New Roman"/>
        </w:rPr>
      </w:pPr>
    </w:p>
    <w:p w14:paraId="7AB65AA4" w14:textId="77777777" w:rsidR="00430CAF" w:rsidRPr="0039166B" w:rsidRDefault="00430CAF" w:rsidP="00EB146A">
      <w:pPr>
        <w:rPr>
          <w:rFonts w:ascii="Times New Roman" w:hAnsi="Times New Roman" w:cs="Times New Roman" w:hint="eastAsia"/>
        </w:rPr>
      </w:pPr>
    </w:p>
    <w:p w14:paraId="208B8630" w14:textId="77777777" w:rsidR="00537BCD" w:rsidRPr="0039166B" w:rsidRDefault="00537BCD" w:rsidP="0039166B">
      <w:pPr>
        <w:spacing w:beforeLines="100" w:before="312" w:after="360"/>
        <w:jc w:val="center"/>
        <w:outlineLvl w:val="0"/>
        <w:rPr>
          <w:rFonts w:ascii="Arial" w:hAnsi="Arial" w:cs="Arial"/>
          <w:b/>
          <w:bCs/>
          <w:sz w:val="32"/>
          <w:szCs w:val="32"/>
        </w:rPr>
      </w:pPr>
      <w:bookmarkStart w:id="5" w:name="_Toc228743505"/>
      <w:r w:rsidRPr="0039166B">
        <w:rPr>
          <w:rFonts w:ascii="Arial" w:hAnsi="Arial" w:cs="Arial"/>
          <w:b/>
          <w:bCs/>
          <w:sz w:val="32"/>
          <w:szCs w:val="32"/>
        </w:rPr>
        <w:lastRenderedPageBreak/>
        <w:t>2. Critical Literature Review</w:t>
      </w:r>
      <w:bookmarkEnd w:id="5"/>
    </w:p>
    <w:p w14:paraId="23A7B3CF"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To effectively address the wicked problem of Intangible Cultural Heritage (ICH) translation in rural economies, it is necessary to critically evaluate the existing theoretical frameworks that inform heritage, design practice, and digital interaction. This review is structured around three core debates: the critique of static heritage preservation, the limitations of current design approaches in rural contexts, and the paradox of "digital spectacle" in cultural tourism. By deconstructing these areas, this section exposes the methodological gaps that justify the proposed practice-based inquiry. </w:t>
      </w:r>
    </w:p>
    <w:p w14:paraId="73A9D3E7" w14:textId="77777777" w:rsidR="00537BCD" w:rsidRPr="0039166B" w:rsidRDefault="00537BCD" w:rsidP="0039166B">
      <w:pPr>
        <w:spacing w:beforeLines="100" w:before="312" w:after="360" w:line="240" w:lineRule="auto"/>
        <w:outlineLvl w:val="1"/>
        <w:rPr>
          <w:rFonts w:ascii="Times New Roman" w:hAnsi="Times New Roman" w:cs="Times New Roman"/>
          <w:b/>
          <w:bCs/>
          <w:sz w:val="24"/>
        </w:rPr>
      </w:pPr>
      <w:bookmarkStart w:id="6" w:name="_Toc228743506"/>
      <w:r w:rsidRPr="0039166B">
        <w:rPr>
          <w:rFonts w:ascii="Times New Roman" w:hAnsi="Times New Roman" w:cs="Times New Roman"/>
          <w:b/>
          <w:bCs/>
          <w:sz w:val="24"/>
        </w:rPr>
        <w:t>2.1 The Heritage Paradox: From Authorized Discourses to Living Practice</w:t>
      </w:r>
      <w:bookmarkEnd w:id="6"/>
    </w:p>
    <w:p w14:paraId="55333E9A"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A fundamental tension in heritage studies lies in how culture is defined, preserved, and disseminated. Laurajane Smith’s (2006) seminal critique of the "Authorized Heritage Discourse" (AHD) is central to this debate. Smith argues that traditional, institutionally driven frameworks inherently privilege the monumental, the tangible, and the expert-led, effectively freezing culture in time. This approach, while well-intentioned for preservation, actively strips ICH of its vitality, leading to what Kirshenblatt-Gimblett (1998) terms the "museumification" of everyday life. Once culture is placed behind glass, it ceases to be a dynamic, evolving practice. </w:t>
      </w:r>
    </w:p>
    <w:p w14:paraId="29F57330"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While recent literature in critical heritage studies has increasingly advocated for viewing heritage as a "living performance" or a process of continuous remaking (Harrison, 2013), there remains a significant methodological gap regarding implementation. The literature extensively theorizes that culture must be re-embedded into modern contexts to survive, yet it rarely provides actionable, design-led frameworks for how this re-embedding can occur within the constraints of mass consumerism and rural economies. </w:t>
      </w:r>
    </w:p>
    <w:p w14:paraId="4850B8BA"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This research addresses this specific gap. By positioning everyday agricultural packaging as the medium, this study operationalizes the theory of "living heritage". It argues that for heritage to be truly "living," it must intersect with mundane, daily economic activities rather than being confined to designated tourist zones or institutional archives. The paradox of preservation is that to save a culture, one must allow it to change and permeate the commercial sphere, provided that this change is guided by structural authenticity rather than superficial imitation. </w:t>
      </w:r>
    </w:p>
    <w:p w14:paraId="5BCB8B90" w14:textId="77777777" w:rsidR="00537BCD" w:rsidRPr="0039166B" w:rsidRDefault="00537BCD" w:rsidP="0039166B">
      <w:pPr>
        <w:spacing w:beforeLines="100" w:before="312" w:after="360" w:line="240" w:lineRule="auto"/>
        <w:outlineLvl w:val="1"/>
        <w:rPr>
          <w:rFonts w:ascii="Times New Roman" w:hAnsi="Times New Roman" w:cs="Times New Roman"/>
          <w:b/>
          <w:bCs/>
          <w:sz w:val="24"/>
        </w:rPr>
      </w:pPr>
      <w:bookmarkStart w:id="7" w:name="_Toc228743507"/>
      <w:r w:rsidRPr="0039166B">
        <w:rPr>
          <w:rFonts w:ascii="Times New Roman" w:hAnsi="Times New Roman" w:cs="Times New Roman"/>
          <w:b/>
          <w:bCs/>
          <w:sz w:val="24"/>
        </w:rPr>
        <w:t>2.2 Design for Social Innovation and the Trap of "Visual Pastiche"</w:t>
      </w:r>
      <w:bookmarkEnd w:id="7"/>
    </w:p>
    <w:p w14:paraId="2AB604E8"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To bridge culture and economy, the discipline of design is frequently invoked, </w:t>
      </w:r>
      <w:r w:rsidRPr="0039166B">
        <w:rPr>
          <w:rFonts w:ascii="Times New Roman" w:hAnsi="Times New Roman" w:cs="Times New Roman"/>
        </w:rPr>
        <w:lastRenderedPageBreak/>
        <w:t xml:space="preserve">particularly under the umbrella of "Design for Social Innovation," championed by scholars like Ezio Manzini (2015). Manzini posits that designers must act as facilitators, creating interventions that empower local communities and foster sustainable ecosystems. In the context of China’s rural revitalization, this has led to an influx of design projects aiming to upgrade agricultural brands using local cultural motifs. </w:t>
      </w:r>
    </w:p>
    <w:p w14:paraId="23E6F9D8"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However, a critical evaluation of current practice and literature reveals a systemic flaw in how designers interpret and apply cultural elements. As Lin and Zhang (2020) note in their analysis of cultural product design, the predominant methodology is characterized by intuitive borrowing—taking a traditional pattern (e.g., a paper-cut flower) and digitally slapping it onto a modern product. This approach not only results in "visual pastiche" (Jameson, 1991) but verges dangerously on cultural appropriation (Scafidi, 2005), as it divorces the aesthetic surface from its semantic meaning and structural logic. </w:t>
      </w:r>
    </w:p>
    <w:p w14:paraId="6F0BAAD5"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The current literature lacks a rigorous, scientific protocol to govern this translation process. This research contends that avoiding cultural appropriation requires shifting the designer's focus from "surface style" to "generative structure". Drawing upon the structuralist semiotics of Ferdinand de Saussure and the pragmatic semiotics of C.S. Peirce, this study argues that visual culture must be decoded at a structural level. Furthermore, the concept of "Shape Grammar" (Stiny, 1980)—a method used to derive computational rules for spatial design—offers a highly objective tool that is underexplored in ICH translation. By critiquing the subjective intuition prevalent in current design literature, this research identifies the need for a "Digital Translation Protocol"—a methodology that extracts the deep "Aesthetic DNA" (syntactic rules and semantic values) of Henan folk arts rather than merely copying their appearance. </w:t>
      </w:r>
    </w:p>
    <w:p w14:paraId="75735BAC" w14:textId="77777777" w:rsidR="00537BCD" w:rsidRPr="0039166B" w:rsidRDefault="00537BCD" w:rsidP="0039166B">
      <w:pPr>
        <w:spacing w:beforeLines="100" w:before="312" w:after="360" w:line="240" w:lineRule="auto"/>
        <w:outlineLvl w:val="1"/>
        <w:rPr>
          <w:rFonts w:ascii="Times New Roman" w:hAnsi="Times New Roman" w:cs="Times New Roman"/>
          <w:b/>
          <w:bCs/>
          <w:sz w:val="24"/>
        </w:rPr>
      </w:pPr>
      <w:bookmarkStart w:id="8" w:name="_Toc228743508"/>
      <w:r w:rsidRPr="0039166B">
        <w:rPr>
          <w:rFonts w:ascii="Times New Roman" w:hAnsi="Times New Roman" w:cs="Times New Roman"/>
          <w:b/>
          <w:bCs/>
          <w:sz w:val="24"/>
        </w:rPr>
        <w:t>2.3 The Digital Spectacle vs. Embodied Micro-Narratives</w:t>
      </w:r>
      <w:bookmarkEnd w:id="8"/>
    </w:p>
    <w:p w14:paraId="6590DCE1"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The integration of digital technology into the sphere of cultural tourism is frequently framed in academic literature as the definitive solution to the problem of heritage engagement. However, a critical reading of the "Smart Tourism" discourse reveals a pervasive systemic bias toward what can be termed the "digital spectacle". This refers to large-scale, high-cost, and centralized immersive installations—such as projection-mapped light shows in ancient cities or centralized VR exhibits in metropolitan museums. While these interventions generate immediate, passive awe, they suffer from significant limitations: low scalability, high barriers to entry for rural agricultural producers, and a fundamental disconnect from the user’s everyday physical reality. </w:t>
      </w:r>
    </w:p>
    <w:p w14:paraId="01768646"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In contrast to the centralized spectacle, this research draws upon Paul Dourish’s (2001) theory of "Embodied Interaction". Dourish posits that meaningful engagement with </w:t>
      </w:r>
      <w:r w:rsidRPr="0039166B">
        <w:rPr>
          <w:rFonts w:ascii="Times New Roman" w:hAnsi="Times New Roman" w:cs="Times New Roman"/>
        </w:rPr>
        <w:lastRenderedPageBreak/>
        <w:t xml:space="preserve">computation occurs not when the user is immersed in a virtual void, but when digital information is integrated directly into the physical world and human bodily actions. Despite the prominence of this theory in Human-Computer Interaction (HCI), embodied interaction is rarely applied to the mundane artifacts of the agricultural supply chain. </w:t>
      </w:r>
    </w:p>
    <w:p w14:paraId="3B09D970"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Furthermore, the emerging literature on Generative AI in creative practice often focuses on the AI as an autonomous creator, which inevitably raises thorny questions regarding authorship and cultural sensitivity. This study challenges that prevailing narrative by repositioning AI not as an independent author, but as an "analytical co-pilot". By training or prompting AI models based on the strictly extracted rules of Shape Grammar and structural semiotics, the AI becomes a tool to explore the "latent space" of regional aesthetics. This ensures that the generated variations remain structurally authentic to Henan culture rather than drifting into generic tropes. </w:t>
      </w:r>
    </w:p>
    <w:p w14:paraId="03E76566"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Therefore, a critical research gap exists at the intersection of AI generation, AR interaction, and everyday consumer goods. Existing literature fails to explore how low-cost, decentralized physical objects—like a standard apple box—can act as physical anchors for sophisticated, AI-driven AR "micro-narratives". This research addresses this by proposing a "phygital interface" where the user's physical manipulation of the packaging triggers an embodied, context-aware digital storytelling experience. This shifts the digital intervention from a centralized "spectacle" to a decentralized, intimate "catalyst" designed explicitly to alter perceptions and drive physical tourism intention. </w:t>
      </w:r>
    </w:p>
    <w:p w14:paraId="5F29B279" w14:textId="77777777" w:rsidR="00537BCD" w:rsidRPr="0039166B" w:rsidRDefault="00537BCD" w:rsidP="0039166B">
      <w:pPr>
        <w:spacing w:beforeLines="100" w:before="312" w:after="360" w:line="240" w:lineRule="auto"/>
        <w:outlineLvl w:val="1"/>
        <w:rPr>
          <w:rFonts w:ascii="Times New Roman" w:hAnsi="Times New Roman" w:cs="Times New Roman"/>
          <w:b/>
          <w:bCs/>
          <w:sz w:val="24"/>
        </w:rPr>
      </w:pPr>
      <w:bookmarkStart w:id="9" w:name="_Toc228743509"/>
      <w:r w:rsidRPr="0039166B">
        <w:rPr>
          <w:rFonts w:ascii="Times New Roman" w:hAnsi="Times New Roman" w:cs="Times New Roman"/>
          <w:b/>
          <w:bCs/>
          <w:sz w:val="24"/>
        </w:rPr>
        <w:t>2.4 Summary of Literature and Link to Research Design</w:t>
      </w:r>
      <w:bookmarkEnd w:id="9"/>
    </w:p>
    <w:p w14:paraId="5DB0C38B"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In summary, the critical review of current literature across heritage, design, and technology reveals three distinct and systemic shortcomings:</w:t>
      </w:r>
    </w:p>
    <w:p w14:paraId="614A8170"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Implementation Gap: Heritage theories extensively discuss the need for "living heritage" but lack concrete design implementation frameworks for everyday contexts. </w:t>
      </w:r>
    </w:p>
    <w:p w14:paraId="02548CA5"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Methodological Gap: Rural design practices often lack rigorous, scientific protocols to prevent superficial appropriation and the "visual pastiche" effect. </w:t>
      </w:r>
    </w:p>
    <w:p w14:paraId="00A43916"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Interaction Gap: Digital tourism focuses heavily on centralized spectacles rather than the embodied, decentralized micro-interactions that can occur through everyday objects. </w:t>
      </w:r>
    </w:p>
    <w:p w14:paraId="372EBBBD"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These identified gaps directly inform the methodological choices of this study. To move beyond the Authorized Heritage Discourse and the trap of visual pastiche, the research design incorporates Semiotic Structural Analysis and Shape Grammar as primary qualitative tools for extracting what this study defines as "Aesthetic DNA". To move beyond the digital spectacle, the practice focuses on Embodied AR Prototyping applied to the agricultural supply chain. </w:t>
      </w:r>
      <w:r w:rsidRPr="0039166B">
        <w:rPr>
          <w:rFonts w:ascii="Times New Roman" w:hAnsi="Times New Roman" w:cs="Times New Roman"/>
        </w:rPr>
        <w:lastRenderedPageBreak/>
        <w:t xml:space="preserve">Finally, to ensure this system effectively addresses the "wicked problem" of cultural-economic translation, the design artifacts must be evaluated using qualitative methods—specifically expert Delphi studies for authenticity and consumer Focus Groups for tourism intention. </w:t>
      </w:r>
    </w:p>
    <w:p w14:paraId="3F6B61A8" w14:textId="77777777" w:rsidR="006F3CCC" w:rsidRPr="0039166B" w:rsidRDefault="006F3CCC" w:rsidP="0039166B">
      <w:pPr>
        <w:spacing w:beforeLines="100" w:before="312" w:after="360" w:line="240" w:lineRule="auto"/>
        <w:outlineLvl w:val="1"/>
        <w:rPr>
          <w:rFonts w:ascii="Times New Roman" w:hAnsi="Times New Roman" w:cs="Times New Roman"/>
          <w:b/>
          <w:bCs/>
          <w:sz w:val="24"/>
        </w:rPr>
      </w:pPr>
      <w:bookmarkStart w:id="10" w:name="_Toc228743510"/>
      <w:r w:rsidRPr="0039166B">
        <w:rPr>
          <w:rFonts w:ascii="Times New Roman" w:hAnsi="Times New Roman" w:cs="Times New Roman"/>
          <w:b/>
          <w:bCs/>
          <w:sz w:val="24"/>
        </w:rPr>
        <w:t>2.5 The Ontological Struggle: Heritage as Monument vs. Heritage as Process</w:t>
      </w:r>
      <w:bookmarkEnd w:id="10"/>
    </w:p>
    <w:p w14:paraId="158E4286"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To understand why the translation of Henan’s folk arts into agricultural packaging is a "wicked problem," we must first examine the deep-seated ontological struggle within heritage studies. For decades, the field was dominated by a Western-centric view that treated heritage as a collection of "monuments" or "masterpieces". This perspective, which Laurajane Smith identifies as the Authorized Heritage Discourse (AHD), views heritage as a finite resource that must be protected from the "corrupting" influence of modern commerce. </w:t>
      </w:r>
    </w:p>
    <w:p w14:paraId="0D9AD604" w14:textId="4211C763"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However, this research argues that the AHD is fundamentally incompatible with the reality of Henan’s rural revitalization. In Henan, Intangible Cultural Heritage (ICH) such as </w:t>
      </w:r>
      <w:r w:rsidR="00A70DAE">
        <w:rPr>
          <w:rFonts w:ascii="Times New Roman" w:hAnsi="Times New Roman" w:cs="Times New Roman"/>
        </w:rPr>
        <w:t>paper cutting</w:t>
      </w:r>
      <w:r w:rsidRPr="0039166B">
        <w:rPr>
          <w:rFonts w:ascii="Times New Roman" w:hAnsi="Times New Roman" w:cs="Times New Roman"/>
        </w:rPr>
        <w:t xml:space="preserve"> is not a monument; it is a living practice that requires constant performative repetition to survive. If we treat shadow puppets only as museum objects, we strip them of their performative agency. The literature on "Critical Heritage Studies" suggests that heritage should be seen as an active process of "remaking". </w:t>
      </w:r>
    </w:p>
    <w:p w14:paraId="081107EF"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Yet, a significant gap exists: how does one "remake" a shadow puppet in the context of an apple box? Existing theories of "living heritage" focus on community festivals or oral traditions but fail to account for the commodity as a site of performance. By embedding AR narratives into packaging, this research proposes that the commodity does not "degrade" the heritage; rather, it provides a modern stage for its performance. This shifts the ontological focus from what the heritage is (the puppet) to how it is experienced (the interaction). </w:t>
      </w:r>
    </w:p>
    <w:p w14:paraId="106A234F" w14:textId="77777777" w:rsidR="006F3CCC" w:rsidRPr="0039166B" w:rsidRDefault="006F3CCC" w:rsidP="0039166B">
      <w:pPr>
        <w:spacing w:beforeLines="100" w:before="312" w:after="360" w:line="240" w:lineRule="auto"/>
        <w:outlineLvl w:val="1"/>
        <w:rPr>
          <w:rFonts w:ascii="Times New Roman" w:hAnsi="Times New Roman" w:cs="Times New Roman"/>
          <w:b/>
          <w:bCs/>
          <w:sz w:val="24"/>
        </w:rPr>
      </w:pPr>
      <w:bookmarkStart w:id="11" w:name="_Toc228743511"/>
      <w:r w:rsidRPr="0039166B">
        <w:rPr>
          <w:rFonts w:ascii="Times New Roman" w:hAnsi="Times New Roman" w:cs="Times New Roman"/>
          <w:b/>
          <w:bCs/>
          <w:sz w:val="24"/>
        </w:rPr>
        <w:t>2.6 The Semiotics of Appropriation: Beyond the "Visual Pastiche"</w:t>
      </w:r>
      <w:bookmarkEnd w:id="11"/>
    </w:p>
    <w:p w14:paraId="52D94C1D"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The literature on design for social innovation often advocates for using cultural motifs to "add value" to local products. However, this "value-added" model frequently collapses into what Fredric Jameson calls "Visual Pastiche"—a form of imitation that lacks the depth of the original. In the context of Lingbao apples, this manifests as "intuitive borrowing," where a designer takes a paper-cut pattern and applies it to a box without understanding the geometric or symbolic logic behind it. </w:t>
      </w:r>
    </w:p>
    <w:p w14:paraId="7549DA23"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This research identifies a critical lack of "Structural Semiotics" in current design literature. According to the semiotic theories of Saussure and Peirce, a sign (such as a paper-cut motif) consists of a signifier (the image) and a signified (the meaning). When a designer </w:t>
      </w:r>
      <w:r w:rsidRPr="0039166B">
        <w:rPr>
          <w:rFonts w:ascii="Times New Roman" w:hAnsi="Times New Roman" w:cs="Times New Roman"/>
        </w:rPr>
        <w:lastRenderedPageBreak/>
        <w:t xml:space="preserve">engages in "visual pastiche," they are only borrowing the signifier while discarding the signified. This is the root of cultural appropriation: it is the hollow use of a culture's visual language. </w:t>
      </w:r>
    </w:p>
    <w:p w14:paraId="2D42563F"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To address this, the research introduces the concept of "Aesthetic DNA". By using Shape Grammar, we can codify the "syntactic rules" of the culture. For instance, the specific line weights and "joint structures" in Henan shadow puppets are not arbitrary; they are the result of centuries of performative evolution. Codifying these as a set of mathematical and geometric rules allows the designer to generate new forms that are "genetically" related to the original, even if they have never existed before. This methodology moves the design process from "copy-pasting" to "principled generation," providing a scientific protocol for cultural translation that the current literature lacks. </w:t>
      </w:r>
    </w:p>
    <w:p w14:paraId="64F36728" w14:textId="77777777" w:rsidR="006F3CCC" w:rsidRPr="0039166B" w:rsidRDefault="006F3CCC" w:rsidP="0039166B">
      <w:pPr>
        <w:spacing w:beforeLines="100" w:before="312" w:after="360" w:line="240" w:lineRule="auto"/>
        <w:outlineLvl w:val="1"/>
        <w:rPr>
          <w:rFonts w:ascii="Times New Roman" w:hAnsi="Times New Roman" w:cs="Times New Roman"/>
          <w:b/>
          <w:bCs/>
          <w:sz w:val="24"/>
        </w:rPr>
      </w:pPr>
      <w:bookmarkStart w:id="12" w:name="_Toc228743512"/>
      <w:r w:rsidRPr="0039166B">
        <w:rPr>
          <w:rFonts w:ascii="Times New Roman" w:hAnsi="Times New Roman" w:cs="Times New Roman"/>
          <w:b/>
          <w:bCs/>
          <w:sz w:val="24"/>
        </w:rPr>
        <w:t>2.7 The Spatiality of Engagement: From Screens to Embodied AR</w:t>
      </w:r>
      <w:bookmarkEnd w:id="12"/>
    </w:p>
    <w:p w14:paraId="68C9532E"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A third theoretical gap lies in the spatiality of digital engagement. Current "Smart Tourism" literature is obsessed with the "Digital Spectacle"—expensive, centralized VR/AR installations located in urban centers. These installations are designed to evoke "awe" but often result in a passive user experience. The user is an observer, not a participant. </w:t>
      </w:r>
    </w:p>
    <w:p w14:paraId="0E88E9E6"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This research critiques the centralized spectacle through the lens of Paul Dourish's "Embodied Interaction". Dourish argues that meaning is created through physical interaction with the world. In our case, the "wicked problem" is how to make a consumer in a distant city feel a physical connection to the rural culture of Henan. By using the apple box as an AR anchor, we create a "decentralized" site of engagement. </w:t>
      </w:r>
    </w:p>
    <w:p w14:paraId="3581DC65"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The user must physically manipulate the box—tilting it, rotating it, and moving around it—to "unfold" the shadow-play narrative. This is not a passive viewing experience; it is a phygital performance. The literature on HCI (Human-Computer Interaction) has explored embodied interaction in gaming and art, but it has almost entirely ignored its potential as a tool for rural-cultural resonance. This research bridges that gap, proposing that the mundane agricultural supply chain can be transformed into a vast, decentralized network of cultural interfaces. </w:t>
      </w:r>
    </w:p>
    <w:p w14:paraId="51F0DF3D" w14:textId="77777777" w:rsidR="006F3CCC" w:rsidRPr="0039166B" w:rsidRDefault="006F3CCC" w:rsidP="0039166B">
      <w:pPr>
        <w:spacing w:beforeLines="100" w:before="312" w:after="360" w:line="240" w:lineRule="auto"/>
        <w:outlineLvl w:val="1"/>
        <w:rPr>
          <w:rFonts w:ascii="Times New Roman" w:hAnsi="Times New Roman" w:cs="Times New Roman"/>
          <w:b/>
          <w:bCs/>
          <w:sz w:val="24"/>
        </w:rPr>
      </w:pPr>
      <w:bookmarkStart w:id="13" w:name="_Toc228743513"/>
      <w:r w:rsidRPr="0039166B">
        <w:rPr>
          <w:rFonts w:ascii="Times New Roman" w:hAnsi="Times New Roman" w:cs="Times New Roman"/>
          <w:b/>
          <w:bCs/>
          <w:sz w:val="24"/>
        </w:rPr>
        <w:t>2.8 The Human-AI Assemblage: Authorship and Agency</w:t>
      </w:r>
      <w:bookmarkEnd w:id="13"/>
    </w:p>
    <w:p w14:paraId="20B10B1E"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Finally, the literature on Generative AI in design often presents two extremes: the AI as a "magic box" that replaces the designer, or the AI as a simple tool like a paintbrush. This research proposes a middle ground: the "Human-AI Assemblage". </w:t>
      </w:r>
    </w:p>
    <w:p w14:paraId="43043D37"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In the proposed "Digital Translation Protocol," the AI acts as an "Analytical Co-pilot". It </w:t>
      </w:r>
      <w:r w:rsidRPr="0039166B">
        <w:rPr>
          <w:rFonts w:ascii="Times New Roman" w:hAnsi="Times New Roman" w:cs="Times New Roman"/>
        </w:rPr>
        <w:lastRenderedPageBreak/>
        <w:t xml:space="preserve">does not create the design; it explores the "latent space" defined by the human-extracted Shape Grammar. This challenges traditional notions of authorship. Who is the "author" of a pattern that was defined by 500-year-old tradition, codified by a modern designer, and generated by a neural network? </w:t>
      </w:r>
    </w:p>
    <w:p w14:paraId="16E51BB9" w14:textId="48B46E8C" w:rsidR="00537BCD"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This research contributes to the emerging discourse on "Co-creative Agency," arguing that in the context of ICH, the designer's role shifts from "creator" to "curator of tradition". The AI becomes a tool for "exploratory translation," allowing us to test thousands of variations of Henan aesthetics that still remain "authentic" to the source DNA. This level of granularity in analyzing the human-AI relationship in heritage translation is currently missing from the design literature. </w:t>
      </w:r>
    </w:p>
    <w:p w14:paraId="67DA6B9F" w14:textId="77777777" w:rsidR="00EB146A" w:rsidRDefault="00EB146A" w:rsidP="0039166B">
      <w:pPr>
        <w:ind w:firstLineChars="200" w:firstLine="440"/>
        <w:rPr>
          <w:rFonts w:ascii="Times New Roman" w:hAnsi="Times New Roman" w:cs="Times New Roman"/>
        </w:rPr>
      </w:pPr>
    </w:p>
    <w:p w14:paraId="0C81A083" w14:textId="77777777" w:rsidR="00EB146A" w:rsidRDefault="00EB146A" w:rsidP="0039166B">
      <w:pPr>
        <w:ind w:firstLineChars="200" w:firstLine="440"/>
        <w:rPr>
          <w:rFonts w:ascii="Times New Roman" w:hAnsi="Times New Roman" w:cs="Times New Roman"/>
        </w:rPr>
      </w:pPr>
    </w:p>
    <w:p w14:paraId="2A217E85" w14:textId="77777777" w:rsidR="00EB146A" w:rsidRDefault="00EB146A" w:rsidP="0039166B">
      <w:pPr>
        <w:ind w:firstLineChars="200" w:firstLine="440"/>
        <w:rPr>
          <w:rFonts w:ascii="Times New Roman" w:hAnsi="Times New Roman" w:cs="Times New Roman"/>
        </w:rPr>
      </w:pPr>
    </w:p>
    <w:p w14:paraId="1F011FA0" w14:textId="77777777" w:rsidR="00EB146A" w:rsidRDefault="00EB146A" w:rsidP="0039166B">
      <w:pPr>
        <w:ind w:firstLineChars="200" w:firstLine="440"/>
        <w:rPr>
          <w:rFonts w:ascii="Times New Roman" w:hAnsi="Times New Roman" w:cs="Times New Roman"/>
        </w:rPr>
      </w:pPr>
    </w:p>
    <w:p w14:paraId="39D7285B" w14:textId="77777777" w:rsidR="00EB146A" w:rsidRDefault="00EB146A" w:rsidP="0039166B">
      <w:pPr>
        <w:ind w:firstLineChars="200" w:firstLine="440"/>
        <w:rPr>
          <w:rFonts w:ascii="Times New Roman" w:hAnsi="Times New Roman" w:cs="Times New Roman"/>
        </w:rPr>
      </w:pPr>
    </w:p>
    <w:p w14:paraId="792BE593" w14:textId="77777777" w:rsidR="00EB146A" w:rsidRDefault="00EB146A" w:rsidP="0039166B">
      <w:pPr>
        <w:ind w:firstLineChars="200" w:firstLine="440"/>
        <w:rPr>
          <w:rFonts w:ascii="Times New Roman" w:hAnsi="Times New Roman" w:cs="Times New Roman"/>
        </w:rPr>
      </w:pPr>
    </w:p>
    <w:p w14:paraId="0D9544E8" w14:textId="77777777" w:rsidR="00EB146A" w:rsidRDefault="00EB146A" w:rsidP="0039166B">
      <w:pPr>
        <w:ind w:firstLineChars="200" w:firstLine="440"/>
        <w:rPr>
          <w:rFonts w:ascii="Times New Roman" w:hAnsi="Times New Roman" w:cs="Times New Roman"/>
        </w:rPr>
      </w:pPr>
    </w:p>
    <w:p w14:paraId="23164504" w14:textId="77777777" w:rsidR="00EB146A" w:rsidRDefault="00EB146A" w:rsidP="0039166B">
      <w:pPr>
        <w:ind w:firstLineChars="200" w:firstLine="440"/>
        <w:rPr>
          <w:rFonts w:ascii="Times New Roman" w:hAnsi="Times New Roman" w:cs="Times New Roman"/>
        </w:rPr>
      </w:pPr>
    </w:p>
    <w:p w14:paraId="663DA5A2" w14:textId="77777777" w:rsidR="00EB146A" w:rsidRDefault="00EB146A" w:rsidP="0039166B">
      <w:pPr>
        <w:ind w:firstLineChars="200" w:firstLine="440"/>
        <w:rPr>
          <w:rFonts w:ascii="Times New Roman" w:hAnsi="Times New Roman" w:cs="Times New Roman"/>
        </w:rPr>
      </w:pPr>
    </w:p>
    <w:p w14:paraId="6002D4CE" w14:textId="77777777" w:rsidR="00EB146A" w:rsidRDefault="00EB146A" w:rsidP="0039166B">
      <w:pPr>
        <w:ind w:firstLineChars="200" w:firstLine="440"/>
        <w:rPr>
          <w:rFonts w:ascii="Times New Roman" w:hAnsi="Times New Roman" w:cs="Times New Roman"/>
        </w:rPr>
      </w:pPr>
    </w:p>
    <w:p w14:paraId="1F4E0568" w14:textId="77777777" w:rsidR="00EB146A" w:rsidRDefault="00EB146A" w:rsidP="0039166B">
      <w:pPr>
        <w:ind w:firstLineChars="200" w:firstLine="440"/>
        <w:rPr>
          <w:rFonts w:ascii="Times New Roman" w:hAnsi="Times New Roman" w:cs="Times New Roman"/>
        </w:rPr>
      </w:pPr>
    </w:p>
    <w:p w14:paraId="110EFD2D" w14:textId="77777777" w:rsidR="00EB146A" w:rsidRDefault="00EB146A" w:rsidP="0039166B">
      <w:pPr>
        <w:ind w:firstLineChars="200" w:firstLine="440"/>
        <w:rPr>
          <w:rFonts w:ascii="Times New Roman" w:hAnsi="Times New Roman" w:cs="Times New Roman"/>
        </w:rPr>
      </w:pPr>
    </w:p>
    <w:p w14:paraId="0E36AF51" w14:textId="77777777" w:rsidR="00EB146A" w:rsidRDefault="00EB146A" w:rsidP="0039166B">
      <w:pPr>
        <w:ind w:firstLineChars="200" w:firstLine="440"/>
        <w:rPr>
          <w:rFonts w:ascii="Times New Roman" w:hAnsi="Times New Roman" w:cs="Times New Roman"/>
        </w:rPr>
      </w:pPr>
    </w:p>
    <w:p w14:paraId="3D3DE787" w14:textId="77777777" w:rsidR="00EB146A" w:rsidRDefault="00EB146A" w:rsidP="0039166B">
      <w:pPr>
        <w:ind w:firstLineChars="200" w:firstLine="440"/>
        <w:rPr>
          <w:rFonts w:ascii="Times New Roman" w:hAnsi="Times New Roman" w:cs="Times New Roman"/>
        </w:rPr>
      </w:pPr>
    </w:p>
    <w:p w14:paraId="021C6998" w14:textId="77777777" w:rsidR="00EB146A" w:rsidRDefault="00EB146A" w:rsidP="0039166B">
      <w:pPr>
        <w:ind w:firstLineChars="200" w:firstLine="440"/>
        <w:rPr>
          <w:rFonts w:ascii="Times New Roman" w:hAnsi="Times New Roman" w:cs="Times New Roman"/>
        </w:rPr>
      </w:pPr>
    </w:p>
    <w:p w14:paraId="360E096A" w14:textId="77777777" w:rsidR="00EB146A" w:rsidRDefault="00EB146A" w:rsidP="0039166B">
      <w:pPr>
        <w:ind w:firstLineChars="200" w:firstLine="440"/>
        <w:rPr>
          <w:rFonts w:ascii="Times New Roman" w:hAnsi="Times New Roman" w:cs="Times New Roman"/>
        </w:rPr>
      </w:pPr>
    </w:p>
    <w:p w14:paraId="3B78D7E3" w14:textId="77777777" w:rsidR="00EB146A" w:rsidRDefault="00EB146A" w:rsidP="0039166B">
      <w:pPr>
        <w:ind w:firstLineChars="200" w:firstLine="440"/>
        <w:rPr>
          <w:rFonts w:ascii="Times New Roman" w:hAnsi="Times New Roman" w:cs="Times New Roman"/>
        </w:rPr>
      </w:pPr>
    </w:p>
    <w:p w14:paraId="3FCC0CBC" w14:textId="77777777" w:rsidR="00EB146A" w:rsidRPr="0039166B" w:rsidRDefault="00EB146A" w:rsidP="0039166B">
      <w:pPr>
        <w:ind w:firstLineChars="200" w:firstLine="440"/>
        <w:rPr>
          <w:rFonts w:ascii="Times New Roman" w:hAnsi="Times New Roman" w:cs="Times New Roman"/>
        </w:rPr>
      </w:pPr>
    </w:p>
    <w:p w14:paraId="6E653550" w14:textId="77777777" w:rsidR="00537BCD" w:rsidRPr="0039166B" w:rsidRDefault="00537BCD" w:rsidP="0039166B">
      <w:pPr>
        <w:spacing w:beforeLines="100" w:before="312" w:after="360"/>
        <w:jc w:val="center"/>
        <w:outlineLvl w:val="0"/>
        <w:rPr>
          <w:rFonts w:ascii="Arial" w:hAnsi="Arial" w:cs="Arial"/>
          <w:b/>
          <w:bCs/>
          <w:sz w:val="32"/>
          <w:szCs w:val="32"/>
        </w:rPr>
      </w:pPr>
      <w:bookmarkStart w:id="14" w:name="_Toc228743514"/>
      <w:r w:rsidRPr="0039166B">
        <w:rPr>
          <w:rFonts w:ascii="Arial" w:hAnsi="Arial" w:cs="Arial"/>
          <w:b/>
          <w:bCs/>
          <w:sz w:val="32"/>
          <w:szCs w:val="32"/>
        </w:rPr>
        <w:lastRenderedPageBreak/>
        <w:t>3. Research Methodology &amp; Design</w:t>
      </w:r>
      <w:bookmarkEnd w:id="14"/>
    </w:p>
    <w:p w14:paraId="3BBB253D" w14:textId="77777777" w:rsidR="00537BCD" w:rsidRPr="0039166B" w:rsidRDefault="00537BCD" w:rsidP="0039166B">
      <w:pPr>
        <w:spacing w:beforeLines="100" w:before="312" w:after="360" w:line="240" w:lineRule="auto"/>
        <w:outlineLvl w:val="1"/>
        <w:rPr>
          <w:rFonts w:ascii="Times New Roman" w:hAnsi="Times New Roman" w:cs="Times New Roman"/>
          <w:b/>
          <w:bCs/>
          <w:sz w:val="24"/>
        </w:rPr>
      </w:pPr>
      <w:bookmarkStart w:id="15" w:name="_Toc228743515"/>
      <w:r w:rsidRPr="0039166B">
        <w:rPr>
          <w:rFonts w:ascii="Times New Roman" w:hAnsi="Times New Roman" w:cs="Times New Roman"/>
          <w:b/>
          <w:bCs/>
          <w:sz w:val="24"/>
        </w:rPr>
        <w:t>3.1 Epistemological Foundations: Practice-Based Research</w:t>
      </w:r>
      <w:bookmarkEnd w:id="15"/>
    </w:p>
    <w:p w14:paraId="159073A6"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Addressing a wicked problem of this magnitude—translating ancient ICH into economically viable, culturally authentic contemporary design—requires an epistemology that values both systematic inquiry and creative intervention. Therefore, this study adopts a Practice-Based Design Research methodology. In this framework, the creative practice is not merely a "final product" or a demonstration of a theory; rather, the iterative design of AI-assisted, AR-integrated packaging is the central methodological engine for generating new knowledge. </w:t>
      </w:r>
    </w:p>
    <w:p w14:paraId="61B15CA7"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To ensure academic rigor, the design practice is interwoven with a robust, multi-phase qualitative research design. This mixed-methods approach ensures that the extraction of cultural data is objective and that the evaluation of the resulting artifacts is grounded in empirical stakeholder evidence. </w:t>
      </w:r>
    </w:p>
    <w:p w14:paraId="6C3C5918" w14:textId="77777777" w:rsidR="00537BCD" w:rsidRPr="0039166B" w:rsidRDefault="00537BCD" w:rsidP="0039166B">
      <w:pPr>
        <w:spacing w:beforeLines="100" w:before="312" w:after="360" w:line="240" w:lineRule="auto"/>
        <w:outlineLvl w:val="1"/>
        <w:rPr>
          <w:rFonts w:ascii="Times New Roman" w:hAnsi="Times New Roman" w:cs="Times New Roman"/>
          <w:b/>
          <w:bCs/>
          <w:sz w:val="24"/>
        </w:rPr>
      </w:pPr>
      <w:bookmarkStart w:id="16" w:name="_Toc228743516"/>
      <w:r w:rsidRPr="0039166B">
        <w:rPr>
          <w:rFonts w:ascii="Times New Roman" w:hAnsi="Times New Roman" w:cs="Times New Roman"/>
          <w:b/>
          <w:bCs/>
          <w:sz w:val="24"/>
        </w:rPr>
        <w:t>3.2 Aims and Research Questions</w:t>
      </w:r>
      <w:bookmarkEnd w:id="16"/>
    </w:p>
    <w:p w14:paraId="6232D32B"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The primary aim of this research design is to formulate and validate a "Phygital Translation Protocol". This is operationalized through the following qualitative research questions: </w:t>
      </w:r>
    </w:p>
    <w:p w14:paraId="52DC16B9"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Extraction: How can Semiotic Structural Analysis and Shape Grammar be utilized to objectively extract the "Aesthetic DNA" of Henan folk arts? </w:t>
      </w:r>
    </w:p>
    <w:p w14:paraId="6060ABF2"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Generation: How does co-creation with Generative AI challenge or support the designer’s agency in maintaining cultural authenticity? </w:t>
      </w:r>
    </w:p>
    <w:p w14:paraId="77B13C9A"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Reception: How do consumers articulate their experience of "embodied AR interaction" with the phygital packaging, and in what ways does this experience influence their stated intention to engage in regional cultural tourism? </w:t>
      </w:r>
    </w:p>
    <w:p w14:paraId="7F84D31C" w14:textId="4DAEC9BB" w:rsidR="00537BCD" w:rsidRPr="0039166B" w:rsidRDefault="00537BCD" w:rsidP="0039166B">
      <w:pPr>
        <w:spacing w:beforeLines="100" w:before="312" w:after="360" w:line="240" w:lineRule="auto"/>
        <w:outlineLvl w:val="1"/>
        <w:rPr>
          <w:rFonts w:ascii="Times New Roman" w:hAnsi="Times New Roman" w:cs="Times New Roman"/>
          <w:b/>
          <w:bCs/>
          <w:sz w:val="24"/>
        </w:rPr>
      </w:pPr>
      <w:bookmarkStart w:id="17" w:name="_Toc228743517"/>
      <w:r w:rsidRPr="0039166B">
        <w:rPr>
          <w:rFonts w:ascii="Times New Roman" w:hAnsi="Times New Roman" w:cs="Times New Roman"/>
          <w:b/>
          <w:bCs/>
          <w:sz w:val="24"/>
        </w:rPr>
        <w:t>3.3 Cultural Data Extraction – Decoding the Aesthetic DNA</w:t>
      </w:r>
      <w:bookmarkEnd w:id="17"/>
    </w:p>
    <w:p w14:paraId="25A3D016" w14:textId="521FA4E8" w:rsidR="00537BCD"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The first phase of this practice-based inquiry is the most critical for ensuring cultural authenticity. To address the "wicked problem" of cultural appropriation, the research must move beyond the designer’s subjective intuition. Instead, it employs a two-tiered objective framework: Semiotic Structural Analysis and the formulation of a Shape Grammar. This process is designed to extract the deep "Aesthetic DNA" of Henan folk arts, specifically </w:t>
      </w:r>
      <w:r w:rsidRPr="0039166B">
        <w:rPr>
          <w:rFonts w:ascii="Times New Roman" w:hAnsi="Times New Roman" w:cs="Times New Roman"/>
        </w:rPr>
        <w:lastRenderedPageBreak/>
        <w:t xml:space="preserve">focusing on paper-cutting. </w:t>
      </w:r>
    </w:p>
    <w:p w14:paraId="69FE3F65" w14:textId="69402DC2" w:rsidR="00430CAF" w:rsidRDefault="00430CAF" w:rsidP="00430CAF">
      <w:pPr>
        <w:rPr>
          <w:rFonts w:ascii="Times New Roman" w:hAnsi="Times New Roman" w:cs="Times New Roman"/>
          <w:sz w:val="24"/>
        </w:rPr>
      </w:pPr>
      <w:r w:rsidRPr="00796111">
        <w:rPr>
          <w:rFonts w:ascii="Times New Roman" w:hAnsi="Times New Roman" w:cs="Times New Roman"/>
          <w:noProof/>
          <w:sz w:val="24"/>
        </w:rPr>
        <w:drawing>
          <wp:inline distT="0" distB="0" distL="0" distR="0" wp14:anchorId="59D2E479" wp14:editId="0BE138DC">
            <wp:extent cx="2413000" cy="1702318"/>
            <wp:effectExtent l="0" t="0" r="6350" b="0"/>
            <wp:docPr id="6" name="图片 5">
              <a:extLst xmlns:a="http://schemas.openxmlformats.org/drawingml/2006/main">
                <a:ext uri="{FF2B5EF4-FFF2-40B4-BE49-F238E27FC236}">
                  <a16:creationId xmlns:a16="http://schemas.microsoft.com/office/drawing/2014/main" id="{E550B616-335E-ED56-51FD-650B983CDBD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5">
                      <a:extLst>
                        <a:ext uri="{FF2B5EF4-FFF2-40B4-BE49-F238E27FC236}">
                          <a16:creationId xmlns:a16="http://schemas.microsoft.com/office/drawing/2014/main" id="{E550B616-335E-ED56-51FD-650B983CDBDF}"/>
                        </a:ext>
                      </a:extLst>
                    </pic:cNvPr>
                    <pic:cNvPicPr>
                      <a:picLocks noChangeAspect="1"/>
                    </pic:cNvPicPr>
                  </pic:nvPicPr>
                  <pic:blipFill rotWithShape="1">
                    <a:blip r:embed="rId17"/>
                    <a:srcRect b="50108"/>
                    <a:stretch>
                      <a:fillRect/>
                    </a:stretch>
                  </pic:blipFill>
                  <pic:spPr bwMode="auto">
                    <a:xfrm>
                      <a:off x="0" y="0"/>
                      <a:ext cx="2428452" cy="1713219"/>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hint="eastAsia"/>
          <w:sz w:val="24"/>
        </w:rPr>
        <w:t xml:space="preserve">     </w:t>
      </w:r>
      <w:r w:rsidRPr="00796111">
        <w:rPr>
          <w:rFonts w:ascii="Times New Roman" w:hAnsi="Times New Roman" w:cs="Times New Roman"/>
          <w:noProof/>
          <w:sz w:val="24"/>
        </w:rPr>
        <w:drawing>
          <wp:inline distT="0" distB="0" distL="0" distR="0" wp14:anchorId="680CC370" wp14:editId="739A62F9">
            <wp:extent cx="2418268" cy="1706036"/>
            <wp:effectExtent l="0" t="0" r="1270" b="8890"/>
            <wp:docPr id="2071700477" name="图片 5">
              <a:extLst xmlns:a="http://schemas.openxmlformats.org/drawingml/2006/main">
                <a:ext uri="{FF2B5EF4-FFF2-40B4-BE49-F238E27FC236}">
                  <a16:creationId xmlns:a16="http://schemas.microsoft.com/office/drawing/2014/main" id="{E550B616-335E-ED56-51FD-650B983CDBD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5">
                      <a:extLst>
                        <a:ext uri="{FF2B5EF4-FFF2-40B4-BE49-F238E27FC236}">
                          <a16:creationId xmlns:a16="http://schemas.microsoft.com/office/drawing/2014/main" id="{E550B616-335E-ED56-51FD-650B983CDBDF}"/>
                        </a:ext>
                      </a:extLst>
                    </pic:cNvPr>
                    <pic:cNvPicPr>
                      <a:picLocks noChangeAspect="1"/>
                    </pic:cNvPicPr>
                  </pic:nvPicPr>
                  <pic:blipFill rotWithShape="1">
                    <a:blip r:embed="rId17"/>
                    <a:srcRect t="49490" b="618"/>
                    <a:stretch>
                      <a:fillRect/>
                    </a:stretch>
                  </pic:blipFill>
                  <pic:spPr bwMode="auto">
                    <a:xfrm>
                      <a:off x="0" y="0"/>
                      <a:ext cx="2454608" cy="1731673"/>
                    </a:xfrm>
                    <a:prstGeom prst="rect">
                      <a:avLst/>
                    </a:prstGeom>
                    <a:ln>
                      <a:noFill/>
                    </a:ln>
                    <a:extLst>
                      <a:ext uri="{53640926-AAD7-44D8-BBD7-CCE9431645EC}">
                        <a14:shadowObscured xmlns:a14="http://schemas.microsoft.com/office/drawing/2010/main"/>
                      </a:ext>
                    </a:extLst>
                  </pic:spPr>
                </pic:pic>
              </a:graphicData>
            </a:graphic>
          </wp:inline>
        </w:drawing>
      </w:r>
    </w:p>
    <w:p w14:paraId="472B7A43" w14:textId="719BF6EF" w:rsidR="00430CAF" w:rsidRPr="0039166B" w:rsidRDefault="00430CAF" w:rsidP="00430CAF">
      <w:pPr>
        <w:rPr>
          <w:rFonts w:ascii="Times New Roman" w:hAnsi="Times New Roman" w:cs="Times New Roman"/>
        </w:rPr>
      </w:pPr>
      <w:r>
        <w:rPr>
          <w:rFonts w:ascii="Times New Roman" w:hAnsi="Times New Roman" w:cs="Times New Roman"/>
          <w:noProof/>
          <w:sz w:val="24"/>
        </w:rPr>
        <w:drawing>
          <wp:inline distT="0" distB="0" distL="0" distR="0" wp14:anchorId="075D346D" wp14:editId="0CFEB6C4">
            <wp:extent cx="5218430" cy="2260015"/>
            <wp:effectExtent l="0" t="0" r="1270" b="6985"/>
            <wp:docPr id="161374613"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10703" b="12211"/>
                    <a:stretch>
                      <a:fillRect/>
                    </a:stretch>
                  </pic:blipFill>
                  <pic:spPr bwMode="auto">
                    <a:xfrm>
                      <a:off x="0" y="0"/>
                      <a:ext cx="5239112" cy="2268972"/>
                    </a:xfrm>
                    <a:prstGeom prst="rect">
                      <a:avLst/>
                    </a:prstGeom>
                    <a:noFill/>
                    <a:ln>
                      <a:noFill/>
                    </a:ln>
                    <a:extLst>
                      <a:ext uri="{53640926-AAD7-44D8-BBD7-CCE9431645EC}">
                        <a14:shadowObscured xmlns:a14="http://schemas.microsoft.com/office/drawing/2010/main"/>
                      </a:ext>
                    </a:extLst>
                  </pic:spPr>
                </pic:pic>
              </a:graphicData>
            </a:graphic>
          </wp:inline>
        </w:drawing>
      </w:r>
    </w:p>
    <w:p w14:paraId="187299A9" w14:textId="77777777" w:rsidR="00537BCD" w:rsidRPr="0039166B" w:rsidRDefault="00537BCD" w:rsidP="0039166B">
      <w:pPr>
        <w:spacing w:beforeLines="100" w:before="312" w:after="360" w:line="240" w:lineRule="auto"/>
        <w:outlineLvl w:val="2"/>
        <w:rPr>
          <w:rFonts w:ascii="Times New Roman" w:hAnsi="Times New Roman" w:cs="Times New Roman"/>
          <w:b/>
          <w:bCs/>
          <w:sz w:val="24"/>
        </w:rPr>
      </w:pPr>
      <w:bookmarkStart w:id="18" w:name="_Toc228743518"/>
      <w:r w:rsidRPr="0039166B">
        <w:rPr>
          <w:rFonts w:ascii="Times New Roman" w:hAnsi="Times New Roman" w:cs="Times New Roman"/>
          <w:b/>
          <w:bCs/>
          <w:sz w:val="24"/>
        </w:rPr>
        <w:t>3.3.1 Semiotic Structural Analysis: Breaking the Code</w:t>
      </w:r>
      <w:bookmarkEnd w:id="18"/>
    </w:p>
    <w:p w14:paraId="7F7DAEAC"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The research begins by curating a corpus of 50 traditional Henan visual artifacts in consultation with local archives. These artifacts are not viewed as mere images but as complex systems of signs. Following the structuralist semiotics of Saussure, the study analyzes these artifacts across three distinct dimensions: </w:t>
      </w:r>
    </w:p>
    <w:p w14:paraId="13A30B3A"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Syntactics (The Formal Grammar): This involves the decomposition of the visual elements into their most basic geometric components. For Henan shadow puppets, this includes analyzing line weights, the ratio of negative space to positive space, and the specific "joint logic" that allows for performative movement. </w:t>
      </w:r>
    </w:p>
    <w:p w14:paraId="70F26498"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Semantics (The Symbolic Layer): This dimension maps the relationship between the visual signifier and its cultural signified. For example, a specific jagged line in a paper-cut might signify "mountain," while a circular void represents "harmony". This step ensures that the resulting digital designs carry the intended cultural meaning rather than being hollow decorations. </w:t>
      </w:r>
    </w:p>
    <w:p w14:paraId="1E0A01B9"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Pragmatics (The Contextual Layer): This examines how these artifacts were traditionally </w:t>
      </w:r>
      <w:r w:rsidRPr="0039166B">
        <w:rPr>
          <w:rFonts w:ascii="Times New Roman" w:hAnsi="Times New Roman" w:cs="Times New Roman"/>
        </w:rPr>
        <w:lastRenderedPageBreak/>
        <w:t xml:space="preserve">used. Understanding the shadow puppet as a "performance tool" rather than a "static painting" informs the later development of the AR interaction, which seeks to replicate that sense of movement and agency. </w:t>
      </w:r>
    </w:p>
    <w:p w14:paraId="00F0DC45" w14:textId="77777777" w:rsidR="00537BCD" w:rsidRPr="0039166B" w:rsidRDefault="00537BCD" w:rsidP="0039166B">
      <w:pPr>
        <w:spacing w:beforeLines="100" w:before="312" w:after="360" w:line="240" w:lineRule="auto"/>
        <w:outlineLvl w:val="2"/>
        <w:rPr>
          <w:rFonts w:ascii="Times New Roman" w:hAnsi="Times New Roman" w:cs="Times New Roman"/>
          <w:b/>
          <w:bCs/>
          <w:sz w:val="24"/>
        </w:rPr>
      </w:pPr>
      <w:bookmarkStart w:id="19" w:name="_Toc228743519"/>
      <w:r w:rsidRPr="0039166B">
        <w:rPr>
          <w:rFonts w:ascii="Times New Roman" w:hAnsi="Times New Roman" w:cs="Times New Roman"/>
          <w:b/>
          <w:bCs/>
          <w:sz w:val="24"/>
        </w:rPr>
        <w:t>3.3.2 Shape Grammar: From Observation to Rule-Set</w:t>
      </w:r>
      <w:bookmarkEnd w:id="19"/>
    </w:p>
    <w:p w14:paraId="333EF02D"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Once the semiotic analysis is complete, the extracted syntactic parameters are converted into a formal Shape Grammar. Shape Grammar is a powerful computational method used to derive rules for spatial and graphic design. </w:t>
      </w:r>
    </w:p>
    <w:p w14:paraId="1090AF2A"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In this research, the Shape Grammar acts as a set of "generative instructions". It defines: </w:t>
      </w:r>
    </w:p>
    <w:p w14:paraId="199CA1CF"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Primitive Shapes: The basic geometric building blocks found in Henan folk art (e.g., the specific curvature of a phoenix wing). </w:t>
      </w:r>
    </w:p>
    <w:p w14:paraId="28F83F3B"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Spatial Relation Rules: How these shapes can be combined—for instance, rules regarding symmetry, repetition, and the specific angles at which elements must intersect to remain "structurally authentic" to the Henan tradition. </w:t>
      </w:r>
    </w:p>
    <w:p w14:paraId="569E7F08"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Transformation Rules: How a shape can be scaled, rotated, or mirrored without losing its "Aesthetic DNA". </w:t>
      </w:r>
    </w:p>
    <w:p w14:paraId="197C27C5" w14:textId="77777777" w:rsidR="00537BCD"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By establishing this objective rule-set, the research creates a "cultural guardrail". Any design generated in the subsequent phases must adhere to these rules, effectively eliminating the risk of accidental cultural appropriation or "visual pastiche". This step transforms the designer from a "borrower of patterns" into a "builder of systems". </w:t>
      </w:r>
    </w:p>
    <w:p w14:paraId="282F22B5" w14:textId="6F0E23FE" w:rsidR="00A70DAE" w:rsidRPr="0039166B" w:rsidRDefault="00A70DAE" w:rsidP="00430CAF">
      <w:pPr>
        <w:jc w:val="center"/>
        <w:rPr>
          <w:rFonts w:ascii="Times New Roman" w:hAnsi="Times New Roman" w:cs="Times New Roman"/>
        </w:rPr>
      </w:pPr>
      <w:r>
        <w:rPr>
          <w:rFonts w:ascii="Times New Roman" w:hAnsi="Times New Roman" w:cs="Times New Roman"/>
          <w:noProof/>
        </w:rPr>
        <w:drawing>
          <wp:inline distT="0" distB="0" distL="0" distR="0" wp14:anchorId="1D2E7FA5" wp14:editId="4759AD81">
            <wp:extent cx="4658148" cy="3105807"/>
            <wp:effectExtent l="0" t="0" r="9525" b="0"/>
            <wp:docPr id="79830591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664306" cy="3109913"/>
                    </a:xfrm>
                    <a:prstGeom prst="rect">
                      <a:avLst/>
                    </a:prstGeom>
                    <a:noFill/>
                    <a:ln>
                      <a:noFill/>
                    </a:ln>
                  </pic:spPr>
                </pic:pic>
              </a:graphicData>
            </a:graphic>
          </wp:inline>
        </w:drawing>
      </w:r>
    </w:p>
    <w:p w14:paraId="4B0E61DE" w14:textId="55481A7B" w:rsidR="00537BCD" w:rsidRPr="0039166B" w:rsidRDefault="00537BCD" w:rsidP="0039166B">
      <w:pPr>
        <w:spacing w:beforeLines="100" w:before="312" w:after="360" w:line="240" w:lineRule="auto"/>
        <w:outlineLvl w:val="1"/>
        <w:rPr>
          <w:rFonts w:ascii="Times New Roman" w:hAnsi="Times New Roman" w:cs="Times New Roman"/>
          <w:b/>
          <w:bCs/>
          <w:sz w:val="24"/>
        </w:rPr>
      </w:pPr>
      <w:bookmarkStart w:id="20" w:name="_Toc228743520"/>
      <w:r w:rsidRPr="0039166B">
        <w:rPr>
          <w:rFonts w:ascii="Times New Roman" w:hAnsi="Times New Roman" w:cs="Times New Roman"/>
          <w:b/>
          <w:bCs/>
          <w:sz w:val="24"/>
        </w:rPr>
        <w:lastRenderedPageBreak/>
        <w:t>3.4 Practice as Inquiry – AI Co-Creation and AR Prototyping</w:t>
      </w:r>
      <w:bookmarkEnd w:id="20"/>
    </w:p>
    <w:p w14:paraId="01CD6F6C"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With the Shape Grammar established, the research moves into the active "making" phase. This phase is not a linear execution of the grammar but a site of experimentation where the designer, the AI, and the AR interface interact. </w:t>
      </w:r>
    </w:p>
    <w:p w14:paraId="413839AE" w14:textId="77777777" w:rsidR="00537BCD" w:rsidRPr="0039166B" w:rsidRDefault="00537BCD" w:rsidP="0039166B">
      <w:pPr>
        <w:spacing w:beforeLines="100" w:before="312" w:after="360" w:line="240" w:lineRule="auto"/>
        <w:outlineLvl w:val="2"/>
        <w:rPr>
          <w:rFonts w:ascii="Times New Roman" w:hAnsi="Times New Roman" w:cs="Times New Roman"/>
          <w:b/>
          <w:bCs/>
          <w:sz w:val="24"/>
        </w:rPr>
      </w:pPr>
      <w:bookmarkStart w:id="21" w:name="_Toc228743521"/>
      <w:r w:rsidRPr="0039166B">
        <w:rPr>
          <w:rFonts w:ascii="Times New Roman" w:hAnsi="Times New Roman" w:cs="Times New Roman"/>
          <w:b/>
          <w:bCs/>
          <w:sz w:val="24"/>
        </w:rPr>
        <w:t>3.4.1 Generative AI as an Analytical Co-Pilot</w:t>
      </w:r>
      <w:bookmarkEnd w:id="21"/>
    </w:p>
    <w:p w14:paraId="2509B1F0"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The established Shape Grammar rules are used to prompt and fine-tune Generative AI models (such as Stable Diffusion or custom-trained LoRAs). Rather than allowing the AI to generate images autonomously, the designer uses the AI to explore the "latent space" of Henan aesthetics. </w:t>
      </w:r>
    </w:p>
    <w:p w14:paraId="7FFC19FA"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The AI is tasked with generating novel, contemporary patterns that strictly adhere to the traditional syntactic rules extracted in Phase 1. This process allows for a massive expansion of the cultural vocabulary, creating designs that feel contemporary yet are "genetically" identical to the traditional source material. This stage challenges traditional notions of authorship, as the designer acts as a "curator of rules" and "selector of outcomes".</w:t>
      </w:r>
    </w:p>
    <w:p w14:paraId="282E525B" w14:textId="77777777" w:rsidR="00537BCD" w:rsidRPr="0039166B" w:rsidRDefault="00537BCD" w:rsidP="0039166B">
      <w:pPr>
        <w:spacing w:beforeLines="100" w:before="312" w:after="360" w:line="240" w:lineRule="auto"/>
        <w:outlineLvl w:val="2"/>
        <w:rPr>
          <w:rFonts w:ascii="Times New Roman" w:hAnsi="Times New Roman" w:cs="Times New Roman"/>
          <w:b/>
          <w:bCs/>
          <w:sz w:val="24"/>
        </w:rPr>
      </w:pPr>
      <w:bookmarkStart w:id="22" w:name="_Toc228743522"/>
      <w:r w:rsidRPr="0039166B">
        <w:rPr>
          <w:rFonts w:ascii="Times New Roman" w:hAnsi="Times New Roman" w:cs="Times New Roman"/>
          <w:b/>
          <w:bCs/>
          <w:sz w:val="24"/>
        </w:rPr>
        <w:t>3.4.2 The Technical Architecture of the Embodied AR Interface</w:t>
      </w:r>
      <w:bookmarkEnd w:id="22"/>
    </w:p>
    <w:p w14:paraId="141A32AC"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While the previous phase established the "Aesthetic DNA" through Generative AI, the current stage of the practice-based inquiry focuses on the translation of these static aesthetics into a dynamic, "phygital" experience. The goal is to move beyond the "digital spectacle"—which Paul Dourish (2001) critiques as being disconnected from human bodily action—toward an interface that requires physical agency to function. </w:t>
      </w:r>
    </w:p>
    <w:p w14:paraId="4C169A25"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The technical development of this AR interface is centered on the following pillars:</w:t>
      </w:r>
    </w:p>
    <w:p w14:paraId="1A2456FC"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Physical Anchor Selection: The Lingbao apple box is utilized as the primary physical "image target" or "model target". Unlike centralized VR exhibits, this decentralized anchor allows the cultural narrative to be triggered in the consumer's home, thereby re-embedding ICH into mundane life. </w:t>
      </w:r>
    </w:p>
    <w:p w14:paraId="7F29B758"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Spatial Computing Integration: Using Unity and the Vuforia engine, the "Aesthetic DNA" (the AI-generated patterns) is mapped onto the 3D planes of the packaging. This process involves the creation of "occlusion shaders" that allow digital shadow-puppets to appear as if they are moving inside the physical box, creating a sense of depth and mystery. </w:t>
      </w:r>
    </w:p>
    <w:p w14:paraId="7E6B94D7"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Embodied Interaction Logic: Crucially, the interaction is programmed to be sensor-dependent. The digital narrative does not play automatically; instead, the gyroscope and accelerometer data of the user's mobile device are used to track the box's orientation. For </w:t>
      </w:r>
      <w:r w:rsidRPr="0039166B">
        <w:rPr>
          <w:rFonts w:ascii="Times New Roman" w:hAnsi="Times New Roman" w:cs="Times New Roman"/>
        </w:rPr>
        <w:lastRenderedPageBreak/>
        <w:t xml:space="preserve">instance, a shadow-play character may only move across the packaging when the user physically tilts the box, mimicking the tactile manipulation of traditional Henan puppetry. </w:t>
      </w:r>
    </w:p>
    <w:p w14:paraId="0039EF46"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This stage of the practice interrogates the friction between organic agricultural materials (cardboard, fruit surfaces) and digital tracking precision. By documenting these technical failures—such as the difficulty of maintaining AR tracking on a curved, non-reflective apple surface—the research gathers data on the practical limitations of "phygital" rural revitalization. </w:t>
      </w:r>
    </w:p>
    <w:p w14:paraId="499D0AF3" w14:textId="77777777" w:rsidR="00537BCD" w:rsidRPr="0039166B" w:rsidRDefault="00537BCD" w:rsidP="0039166B">
      <w:pPr>
        <w:spacing w:beforeLines="100" w:before="312" w:after="360" w:line="240" w:lineRule="auto"/>
        <w:outlineLvl w:val="2"/>
        <w:rPr>
          <w:rFonts w:ascii="Times New Roman" w:hAnsi="Times New Roman" w:cs="Times New Roman"/>
          <w:b/>
          <w:bCs/>
          <w:sz w:val="24"/>
        </w:rPr>
      </w:pPr>
      <w:bookmarkStart w:id="23" w:name="_Toc228743523"/>
      <w:r w:rsidRPr="0039166B">
        <w:rPr>
          <w:rFonts w:ascii="Times New Roman" w:hAnsi="Times New Roman" w:cs="Times New Roman"/>
          <w:b/>
          <w:bCs/>
          <w:sz w:val="24"/>
        </w:rPr>
        <w:t>3.4.3 Reflective Journaling: Capturing "Practice-as-Data"</w:t>
      </w:r>
      <w:bookmarkEnd w:id="23"/>
    </w:p>
    <w:p w14:paraId="28B9E0CD"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In practice-based research, the designer’s internal process is a primary data source. Following Donald Schön’s (1983) theory of the "Reflective Practitioner," this study employs systematic Reflective Journaling to capture the tacit knowledge generated during the making process. </w:t>
      </w:r>
    </w:p>
    <w:p w14:paraId="7DF1D623"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The journaling process focuses on three analytical themes:</w:t>
      </w:r>
    </w:p>
    <w:p w14:paraId="41B0E95C"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The Conflict of Authorship: Documenting instances where the Generative AI produced variations that adhered to the Shape Grammar but "felt" culturally hollow. This allows the researcher to analyze the exact moment where human intuition must override algorithmic output to maintain cultural authenticity. </w:t>
      </w:r>
    </w:p>
    <w:p w14:paraId="3AF556F3"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The Tension of "Wickedness": Recording the ethical discomfort of commodifying Henan folk art. This includes reflections on whether the AR interface serves as a genuine bridge to tourism or merely a high-tech distraction from rural poverty. </w:t>
      </w:r>
    </w:p>
    <w:p w14:paraId="71156AA9"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Interactional Friction: Capturing the physical "clumsiness" of the user-box-device triad. These notes provide the foundation for the final reflection on "technological inclusivity," questioning if the design is too complex for elderly or less tech-literate consumers. </w:t>
      </w:r>
    </w:p>
    <w:p w14:paraId="5DA9D30C"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By treating the act of programming and assembly as an investigative process, the research ensures that the final "Digital Translation Protocol" is not just a set of instructions, but a validated methodology born from real-world design struggle. </w:t>
      </w:r>
    </w:p>
    <w:p w14:paraId="04A1A895" w14:textId="77777777" w:rsidR="006F3CCC" w:rsidRPr="0039166B" w:rsidRDefault="006F3CCC" w:rsidP="0039166B">
      <w:pPr>
        <w:spacing w:beforeLines="100" w:before="312" w:after="360" w:line="240" w:lineRule="auto"/>
        <w:outlineLvl w:val="2"/>
        <w:rPr>
          <w:rFonts w:ascii="Times New Roman" w:hAnsi="Times New Roman" w:cs="Times New Roman"/>
          <w:b/>
          <w:bCs/>
          <w:sz w:val="24"/>
        </w:rPr>
      </w:pPr>
      <w:bookmarkStart w:id="24" w:name="_Toc228743524"/>
      <w:r w:rsidRPr="0039166B">
        <w:rPr>
          <w:rFonts w:ascii="Times New Roman" w:hAnsi="Times New Roman" w:cs="Times New Roman"/>
          <w:b/>
          <w:bCs/>
          <w:sz w:val="24"/>
        </w:rPr>
        <w:t>3.4.4 Formulating the Shape Grammar for Henan Folk Arts</w:t>
      </w:r>
      <w:bookmarkEnd w:id="24"/>
    </w:p>
    <w:p w14:paraId="48CD062A"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The transition from semiotic analysis to a functional digital protocol requires the formalization of a "Shape Grammar"—a rule-based system that governs the generation of geometric forms. To address the "wicked problem" of cultural appropriation, the grammar acts as a mathematical constraint that prevents the designer from introducing arbitrary, non-regional aesthetics. </w:t>
      </w:r>
    </w:p>
    <w:p w14:paraId="7C724F46" w14:textId="079ED353"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lastRenderedPageBreak/>
        <w:t xml:space="preserve">In this research, the grammar for Henan </w:t>
      </w:r>
      <w:r w:rsidR="00A70DAE">
        <w:rPr>
          <w:rFonts w:ascii="Times New Roman" w:hAnsi="Times New Roman" w:cs="Times New Roman"/>
        </w:rPr>
        <w:t>paper cutting</w:t>
      </w:r>
      <w:r w:rsidRPr="0039166B">
        <w:rPr>
          <w:rFonts w:ascii="Times New Roman" w:hAnsi="Times New Roman" w:cs="Times New Roman"/>
        </w:rPr>
        <w:t xml:space="preserve"> is defined by a specific set of Replacement Rules and Spatial Constraints: </w:t>
      </w:r>
    </w:p>
    <w:p w14:paraId="48581E59"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Rule of Joint Articulation: Traditional Henan shadow puppets utilize a specific five-joint structure (head, torso, upper arms, lower arms, and legs). The shape grammar dictates that any digital character generated must adhere to these exact pivot points to maintain performative authenticity. </w:t>
      </w:r>
    </w:p>
    <w:p w14:paraId="77912827"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Geometric Primitives: The visual language of Henan paper-cutting is decomposed into three primary "primitive" shapes: the "Crescent Moon" (representing vitality), the "Sawtooth Edge" (representing texture/fur), and the "Circular Void" (representing harmony). </w:t>
      </w:r>
    </w:p>
    <w:p w14:paraId="16BE489F"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Symmetry and Proportionality: Unlike Western-style illustration, Henan folk art often utilizes a "central-axis symmetry" combined with a 1:3 ratio of decorative elements to structural elements. The digital protocol encodes this ratio as a mandatory parameter in the AI prompting sequence. </w:t>
      </w:r>
    </w:p>
    <w:p w14:paraId="1CF4B755"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By codifying these rules, the research creates a Generative Rule-Set that ensures any contemporary variation produced by the AI is "genetically" linked to the traditional Henan source material. </w:t>
      </w:r>
    </w:p>
    <w:p w14:paraId="7329FADD" w14:textId="77777777" w:rsidR="006F3CCC" w:rsidRPr="0039166B" w:rsidRDefault="006F3CCC" w:rsidP="0039166B">
      <w:pPr>
        <w:spacing w:beforeLines="100" w:before="312" w:after="360" w:line="240" w:lineRule="auto"/>
        <w:outlineLvl w:val="2"/>
        <w:rPr>
          <w:rFonts w:ascii="Times New Roman" w:hAnsi="Times New Roman" w:cs="Times New Roman"/>
          <w:b/>
          <w:bCs/>
          <w:sz w:val="24"/>
        </w:rPr>
      </w:pPr>
      <w:bookmarkStart w:id="25" w:name="_Toc228743525"/>
      <w:r w:rsidRPr="0039166B">
        <w:rPr>
          <w:rFonts w:ascii="Times New Roman" w:hAnsi="Times New Roman" w:cs="Times New Roman"/>
          <w:b/>
          <w:bCs/>
          <w:sz w:val="24"/>
        </w:rPr>
        <w:t>3.4.5 Generative AI Fine-Tuning and Latent Space Exploration</w:t>
      </w:r>
      <w:bookmarkEnd w:id="25"/>
    </w:p>
    <w:p w14:paraId="2C89D8F6"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The practical inquiry involves a deep-dive into the "latent space" of generative models like Stable Diffusion. To prevent the AI from producing generic "orientalist" tropes, the researcher employs a technique known as Low-Rank Adaptation (LoRA). </w:t>
      </w:r>
    </w:p>
    <w:p w14:paraId="3F5525C4"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Dataset Curation: A specialized dataset of 500 high-resolution images of authenticated Henan shadow puppets and paper-cuts is used to fine-tune the model. </w:t>
      </w:r>
    </w:p>
    <w:p w14:paraId="4096A639"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Constraint-Based Prompting: Prompts are constructed using the specific terminology derived from the Semiotic Analysis (e.g., "Sawtooth texture," "Crescent moon void"). </w:t>
      </w:r>
    </w:p>
    <w:p w14:paraId="571264BA" w14:textId="23016ED0" w:rsidR="00537BCD"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Iterative Filtering: The designer acts as a curator, discarding any AI output that violates the established Shape Grammar rules. This process documents the "friction" between algorithmic randomness and cultural rigidity, providing data on the shifting boundaries of authorship. </w:t>
      </w:r>
    </w:p>
    <w:p w14:paraId="0652AD32" w14:textId="366DF09F" w:rsidR="0058792E" w:rsidRPr="0039166B" w:rsidRDefault="0058792E" w:rsidP="0058792E">
      <w:pPr>
        <w:jc w:val="center"/>
        <w:rPr>
          <w:rFonts w:ascii="Times New Roman" w:hAnsi="Times New Roman" w:cs="Times New Roman"/>
        </w:rPr>
      </w:pPr>
      <w:r>
        <w:rPr>
          <w:rFonts w:ascii="Times New Roman" w:hAnsi="Times New Roman" w:cs="Times New Roman"/>
          <w:noProof/>
        </w:rPr>
        <w:lastRenderedPageBreak/>
        <w:drawing>
          <wp:inline distT="0" distB="0" distL="0" distR="0" wp14:anchorId="37613BD0" wp14:editId="76416F59">
            <wp:extent cx="4398048" cy="2932386"/>
            <wp:effectExtent l="0" t="0" r="2540" b="1905"/>
            <wp:docPr id="1911235399"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405159" cy="2937127"/>
                    </a:xfrm>
                    <a:prstGeom prst="rect">
                      <a:avLst/>
                    </a:prstGeom>
                    <a:noFill/>
                    <a:ln>
                      <a:noFill/>
                    </a:ln>
                  </pic:spPr>
                </pic:pic>
              </a:graphicData>
            </a:graphic>
          </wp:inline>
        </w:drawing>
      </w:r>
    </w:p>
    <w:p w14:paraId="77AF0696" w14:textId="6A90DA0C" w:rsidR="00537BCD" w:rsidRPr="0039166B" w:rsidRDefault="00537BCD" w:rsidP="0039166B">
      <w:pPr>
        <w:spacing w:beforeLines="100" w:before="312" w:after="360" w:line="240" w:lineRule="auto"/>
        <w:outlineLvl w:val="1"/>
        <w:rPr>
          <w:rFonts w:ascii="Times New Roman" w:hAnsi="Times New Roman" w:cs="Times New Roman"/>
          <w:b/>
          <w:bCs/>
          <w:sz w:val="24"/>
        </w:rPr>
      </w:pPr>
      <w:bookmarkStart w:id="26" w:name="_Toc228743526"/>
      <w:r w:rsidRPr="0039166B">
        <w:rPr>
          <w:rFonts w:ascii="Times New Roman" w:hAnsi="Times New Roman" w:cs="Times New Roman"/>
          <w:b/>
          <w:bCs/>
          <w:sz w:val="24"/>
        </w:rPr>
        <w:t>3.5 Qualitative Evaluation and Validation Strategy</w:t>
      </w:r>
      <w:bookmarkEnd w:id="26"/>
    </w:p>
    <w:p w14:paraId="109CB297" w14:textId="77777777" w:rsidR="00537BCD" w:rsidRPr="0039166B" w:rsidRDefault="00537BCD" w:rsidP="0039166B">
      <w:pPr>
        <w:ind w:firstLineChars="200" w:firstLine="440"/>
        <w:rPr>
          <w:rFonts w:ascii="Times New Roman" w:hAnsi="Times New Roman" w:cs="Times New Roman"/>
        </w:rPr>
      </w:pPr>
      <w:r w:rsidRPr="0039166B">
        <w:rPr>
          <w:rFonts w:ascii="Times New Roman" w:hAnsi="Times New Roman" w:cs="Times New Roman"/>
        </w:rPr>
        <w:t xml:space="preserve">To address the final research question—concerning consumer perception and tourism intention—the research moves from the studio into the field. Validation is not sought through quantitative "likes" or "sales," but through Qualitative Triangulation. This process ensures that the "wicked" complexities of cultural representation are checked by multiple stakeholders. </w:t>
      </w:r>
    </w:p>
    <w:p w14:paraId="3E52FFB4"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To validate the efficacy of the "Phygital Translation Protocol" and address the core research questions regarding cultural authenticity and tourism intention, the research employs a strategy of Qualitative Triangulation. This phase is essential to move the study beyond the designer’s subjective "reflective journal" and into a space of external academic and social accountability. By engaging both heritage experts and potential consumers, the study ensures that the "wicked problem" of cultural-economic translation is addressed from both a "top-down" (expert/custodian) and "bottom-up" (user/market) perspective. </w:t>
      </w:r>
    </w:p>
    <w:p w14:paraId="11286BF8" w14:textId="77777777" w:rsidR="006F3CCC" w:rsidRPr="0039166B" w:rsidRDefault="006F3CCC" w:rsidP="0039166B">
      <w:pPr>
        <w:spacing w:beforeLines="100" w:before="312" w:after="360" w:line="240" w:lineRule="auto"/>
        <w:outlineLvl w:val="2"/>
        <w:rPr>
          <w:rFonts w:ascii="Times New Roman" w:hAnsi="Times New Roman" w:cs="Times New Roman"/>
          <w:b/>
          <w:bCs/>
          <w:sz w:val="24"/>
        </w:rPr>
      </w:pPr>
      <w:bookmarkStart w:id="27" w:name="_Toc228743527"/>
      <w:r w:rsidRPr="0039166B">
        <w:rPr>
          <w:rFonts w:ascii="Times New Roman" w:hAnsi="Times New Roman" w:cs="Times New Roman"/>
          <w:b/>
          <w:bCs/>
          <w:sz w:val="24"/>
        </w:rPr>
        <w:t>3.5.1 Expert Validation: The Modified Delphi Method</w:t>
      </w:r>
      <w:bookmarkEnd w:id="27"/>
    </w:p>
    <w:p w14:paraId="56C2B8D2"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To ensure the AI-generated designs and AR narratives have not strayed into cultural misrepresentation or "orientalism," a modified Delphi method is conducted. The Delphi method is particularly suited for this research as it allows for a consensus to be built among experts through controlled, iterative feedback rounds. </w:t>
      </w:r>
    </w:p>
    <w:p w14:paraId="0739452E"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Panel Selection and Composition: A panel of 5–7 Henan heritage scholars, master paper-cut artisans, and shadow puppet practitioners is curated. This selection is critical; by including traditional practitioners alongside academics, the research challenges the "Authorized Heritage Discourse" (AHD) and returns agency to the actual cultural custodians. </w:t>
      </w:r>
    </w:p>
    <w:p w14:paraId="3B1FB6F9"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lastRenderedPageBreak/>
        <w:t xml:space="preserve">Round 1: Initial Critique: Experts are presented with the "Aesthetic DNA" extracted in Phase 1 and the initial AI-generated prototypes. Through semi-structured interviews, they critique the "Aesthetic Authenticity" of the work. The focus is on whether the structural rules (Shape Grammar) correctly capture the "spirit" or "vitality" (Qi) of the original folk arts. </w:t>
      </w:r>
    </w:p>
    <w:p w14:paraId="4ABB5050"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Round 2: Iterative Refinement: Following the feedback from Round 1, the designer refines the prompts and rules governing the Generative AI. The refined prototypes are then re-submitted to the panel. This round aims to achieve a high degree of consensus on the cultural validity of the designs. </w:t>
      </w:r>
    </w:p>
    <w:p w14:paraId="0F04EF72"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Justification: This method directly mitigates the designer's blind spots. It ensures that the use of Generative AI is not an act of "extraction" but a collaborative "evolution" of form that respects the traditional lineages of Henan. </w:t>
      </w:r>
    </w:p>
    <w:p w14:paraId="4B62AED9" w14:textId="77777777" w:rsidR="006F3CCC" w:rsidRPr="0039166B" w:rsidRDefault="006F3CCC" w:rsidP="0039166B">
      <w:pPr>
        <w:spacing w:beforeLines="100" w:before="312" w:after="360" w:line="240" w:lineRule="auto"/>
        <w:outlineLvl w:val="2"/>
        <w:rPr>
          <w:rFonts w:ascii="Times New Roman" w:hAnsi="Times New Roman" w:cs="Times New Roman"/>
          <w:b/>
          <w:bCs/>
          <w:sz w:val="24"/>
        </w:rPr>
      </w:pPr>
      <w:bookmarkStart w:id="28" w:name="_Toc228743528"/>
      <w:r w:rsidRPr="0039166B">
        <w:rPr>
          <w:rFonts w:ascii="Times New Roman" w:hAnsi="Times New Roman" w:cs="Times New Roman"/>
          <w:b/>
          <w:bCs/>
          <w:sz w:val="24"/>
        </w:rPr>
        <w:t>3.5.2 Consumer Validation: Focus Groups and Thematic Analysis</w:t>
      </w:r>
      <w:bookmarkEnd w:id="28"/>
    </w:p>
    <w:p w14:paraId="23DA8AC8"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While expert validation ensures authenticity, the secondary research question asks how this "embodied interaction" influences consumer behavior and tourism intention. To assess this, the research conducts qualitative focus groups with the target demographic: urban consumers aged 18–35. </w:t>
      </w:r>
    </w:p>
    <w:p w14:paraId="120AED3B"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Experimental Procedure: Four focus groups (n=6 per group) are conducted. Unlike standard product testing, participants do not merely view the packaging; they are required to physically interact with the AR apple boxes. They tilt, rotate, and manipulate the physical anchor to trigger the digital micro-narratives. </w:t>
      </w:r>
    </w:p>
    <w:p w14:paraId="483BAA5A"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Guided Discussion and Data Collection: Following the interaction, a facilitator guides a discussion focused on three primary themes:</w:t>
      </w:r>
    </w:p>
    <w:p w14:paraId="34032832"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Emotional Resonance: Does the interaction trigger a feeling of connection to Henan’s regional identity? </w:t>
      </w:r>
    </w:p>
    <w:p w14:paraId="7829D669"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Perception of Value: Does the "phygital" interface increase the perceived value of the agricultural product (the Lingbao apple)? </w:t>
      </w:r>
    </w:p>
    <w:p w14:paraId="78136896"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Tourism Motivation: Does the experience stimulate a genuine desire to visit the physical locations (e.g., Lingbao or Sanmenxia) where these stories originate? </w:t>
      </w:r>
    </w:p>
    <w:p w14:paraId="1BA038CE"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Thematic Analysis (Data Processing): The audio recordings of these sessions are transcribed and subjected to Thematic Analysis following the Braun &amp; Clarke (2006) framework. This involves an iterative process of coding and theme development to identify patterns related to "embodied engagement" and "behavioral intention". </w:t>
      </w:r>
    </w:p>
    <w:p w14:paraId="6CB0097B"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Critical Reflection on Limitations: The research acknowledges the "intention-behavior </w:t>
      </w:r>
      <w:r w:rsidRPr="0039166B">
        <w:rPr>
          <w:rFonts w:ascii="Times New Roman" w:hAnsi="Times New Roman" w:cs="Times New Roman"/>
        </w:rPr>
        <w:lastRenderedPageBreak/>
        <w:t xml:space="preserve">gap"—participants may articulate a desire to travel that does not translate into real-world expenditure. However, the focus group format provides rich, nuanced insights into the mechanisms of engagement that quantitative surveys often miss. </w:t>
      </w:r>
    </w:p>
    <w:p w14:paraId="7CBA2EE8" w14:textId="77777777" w:rsidR="006F3CCC" w:rsidRPr="0039166B" w:rsidRDefault="006F3CCC" w:rsidP="0039166B">
      <w:pPr>
        <w:spacing w:beforeLines="100" w:before="312" w:after="360" w:line="240" w:lineRule="auto"/>
        <w:outlineLvl w:val="2"/>
        <w:rPr>
          <w:rFonts w:ascii="Times New Roman" w:hAnsi="Times New Roman" w:cs="Times New Roman"/>
          <w:b/>
          <w:bCs/>
          <w:sz w:val="24"/>
        </w:rPr>
      </w:pPr>
      <w:bookmarkStart w:id="29" w:name="_Toc228743529"/>
      <w:r w:rsidRPr="0039166B">
        <w:rPr>
          <w:rFonts w:ascii="Times New Roman" w:hAnsi="Times New Roman" w:cs="Times New Roman"/>
          <w:b/>
          <w:bCs/>
          <w:sz w:val="24"/>
        </w:rPr>
        <w:t>3.5.3 Instrumentation of the Modified Delphi Method</w:t>
      </w:r>
      <w:bookmarkEnd w:id="29"/>
    </w:p>
    <w:p w14:paraId="0DA6686E"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To move beyond the "Authorized Heritage Discourse" (AHD), the evaluation phase utilizes a highly structured Modified Delphi Method to validate the cultural authenticity of the phygital prototypes. This process returns agency to the cultural custodians of Henan. </w:t>
      </w:r>
    </w:p>
    <w:p w14:paraId="4400F809"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The Delphi panel is presented with a series of Evaluative Metrics across two rounds of semi-structured interviews: </w:t>
      </w:r>
    </w:p>
    <w:p w14:paraId="74385452" w14:textId="58AE5743"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Metric 1: Structural Integrity: Does the digital character move according to the traditional joint logic of Henan </w:t>
      </w:r>
      <w:r w:rsidR="00A70DAE">
        <w:rPr>
          <w:rFonts w:ascii="Times New Roman" w:hAnsi="Times New Roman" w:cs="Times New Roman"/>
        </w:rPr>
        <w:t>paper cutting</w:t>
      </w:r>
      <w:r w:rsidRPr="0039166B">
        <w:rPr>
          <w:rFonts w:ascii="Times New Roman" w:hAnsi="Times New Roman" w:cs="Times New Roman"/>
        </w:rPr>
        <w:t xml:space="preserve">? </w:t>
      </w:r>
    </w:p>
    <w:p w14:paraId="3007D2F0"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Metric 2: Semantic Alignment: Do the symbols used in the AR micro-narratives accurately reflect the traditional meanings (e.g., pomegranate for fertility) assigned to them by Henan artisans? </w:t>
      </w:r>
    </w:p>
    <w:p w14:paraId="3734127C"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Metric 3: Aesthetic Resonance: Does the AI-generated pattern evoke a sense of "Regional Identity" or does it feel like a "Visual Pastiche"? </w:t>
      </w:r>
    </w:p>
    <w:p w14:paraId="63B5FBF5"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The interview protocol includes specific questions designed to provoke critical reflection:</w:t>
      </w:r>
    </w:p>
    <w:p w14:paraId="578FC8D5"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"Where do you perceive a disconnect between the digital movement of the AR puppet and the physical reality of the traditional medium?" </w:t>
      </w:r>
    </w:p>
    <w:p w14:paraId="4218839F"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"Does the use of AI to generate these patterns diminish the cultural value of the craft, or does it offer a new avenue for its survival?" </w:t>
      </w:r>
    </w:p>
    <w:p w14:paraId="417E4859" w14:textId="77777777" w:rsidR="006F3CCC" w:rsidRPr="0039166B" w:rsidRDefault="006F3CCC" w:rsidP="0039166B">
      <w:pPr>
        <w:spacing w:beforeLines="100" w:before="312" w:after="360" w:line="240" w:lineRule="auto"/>
        <w:outlineLvl w:val="2"/>
        <w:rPr>
          <w:rFonts w:ascii="Times New Roman" w:hAnsi="Times New Roman" w:cs="Times New Roman"/>
          <w:b/>
          <w:bCs/>
          <w:sz w:val="24"/>
        </w:rPr>
      </w:pPr>
      <w:bookmarkStart w:id="30" w:name="_Toc228743530"/>
      <w:r w:rsidRPr="0039166B">
        <w:rPr>
          <w:rFonts w:ascii="Times New Roman" w:hAnsi="Times New Roman" w:cs="Times New Roman"/>
          <w:b/>
          <w:bCs/>
          <w:sz w:val="24"/>
        </w:rPr>
        <w:t>3.5.4 Consumer Focus Group Protocols and Thematic Coding</w:t>
      </w:r>
      <w:bookmarkEnd w:id="30"/>
    </w:p>
    <w:p w14:paraId="24AA5327"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To assess tourism intention, four focus groups are conducted with urban consumers. The focus of this qualitative data collection is to understand the "meaning-making" process during the Embodied Interaction with the packaging. </w:t>
      </w:r>
    </w:p>
    <w:p w14:paraId="3544CA52"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The Thematic Analysis (Braun &amp; Clarke, 2006) follows a rigorous coding process: </w:t>
      </w:r>
    </w:p>
    <w:p w14:paraId="2B128CBF"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Initial Coding: Identifying recurring phrases such as "feeling like I'm there" or "wanting to see the real thing". </w:t>
      </w:r>
    </w:p>
    <w:p w14:paraId="01AE56E1" w14:textId="77777777" w:rsidR="006F3CCC" w:rsidRPr="0039166B" w:rsidRDefault="006F3CCC" w:rsidP="0039166B">
      <w:pPr>
        <w:ind w:firstLineChars="200" w:firstLine="440"/>
        <w:rPr>
          <w:rFonts w:ascii="Times New Roman" w:hAnsi="Times New Roman" w:cs="Times New Roman"/>
        </w:rPr>
      </w:pPr>
      <w:r w:rsidRPr="0039166B">
        <w:rPr>
          <w:rFonts w:ascii="Times New Roman" w:hAnsi="Times New Roman" w:cs="Times New Roman"/>
        </w:rPr>
        <w:t xml:space="preserve">Thematic Categorization: Grouping codes into themes like "Tactile Resonance," </w:t>
      </w:r>
      <w:r w:rsidRPr="0039166B">
        <w:rPr>
          <w:rFonts w:ascii="Times New Roman" w:hAnsi="Times New Roman" w:cs="Times New Roman"/>
        </w:rPr>
        <w:lastRenderedPageBreak/>
        <w:t xml:space="preserve">"Cultural Curiosity," and "Tourism Motivation". </w:t>
      </w:r>
    </w:p>
    <w:p w14:paraId="4022680F" w14:textId="459B53CC" w:rsidR="00EB146A" w:rsidRDefault="006F3CCC" w:rsidP="0058792E">
      <w:pPr>
        <w:ind w:firstLineChars="200" w:firstLine="440"/>
        <w:rPr>
          <w:rFonts w:ascii="Times New Roman" w:hAnsi="Times New Roman" w:cs="Times New Roman" w:hint="eastAsia"/>
        </w:rPr>
      </w:pPr>
      <w:r w:rsidRPr="0039166B">
        <w:rPr>
          <w:rFonts w:ascii="Times New Roman" w:hAnsi="Times New Roman" w:cs="Times New Roman"/>
        </w:rPr>
        <w:t xml:space="preserve">Critical Interpretation: Distinguishing between participants who are merely "entertained" by the technology and those who articulate a genuine "behavioral shift" toward visiting Henan. </w:t>
      </w:r>
    </w:p>
    <w:p w14:paraId="1DCE6457" w14:textId="72EAA00F" w:rsidR="00EB146A" w:rsidRDefault="0058792E" w:rsidP="00430CAF">
      <w:pPr>
        <w:ind w:firstLineChars="200" w:firstLine="440"/>
        <w:jc w:val="center"/>
        <w:rPr>
          <w:rFonts w:ascii="Times New Roman" w:hAnsi="Times New Roman" w:cs="Times New Roman"/>
        </w:rPr>
      </w:pPr>
      <w:r>
        <w:rPr>
          <w:rFonts w:ascii="Times New Roman" w:hAnsi="Times New Roman" w:cs="Times New Roman"/>
          <w:noProof/>
        </w:rPr>
        <w:drawing>
          <wp:inline distT="0" distB="0" distL="0" distR="0" wp14:anchorId="1F248C44" wp14:editId="5012A499">
            <wp:extent cx="4634502" cy="3090041"/>
            <wp:effectExtent l="0" t="0" r="0" b="0"/>
            <wp:docPr id="1441206501"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638797" cy="3092905"/>
                    </a:xfrm>
                    <a:prstGeom prst="rect">
                      <a:avLst/>
                    </a:prstGeom>
                    <a:noFill/>
                    <a:ln>
                      <a:noFill/>
                    </a:ln>
                  </pic:spPr>
                </pic:pic>
              </a:graphicData>
            </a:graphic>
          </wp:inline>
        </w:drawing>
      </w:r>
    </w:p>
    <w:p w14:paraId="7BCA6A4C" w14:textId="77777777" w:rsidR="00430CAF" w:rsidRDefault="00430CAF" w:rsidP="00430CAF">
      <w:pPr>
        <w:ind w:firstLineChars="200" w:firstLine="440"/>
        <w:jc w:val="center"/>
        <w:rPr>
          <w:rFonts w:ascii="Times New Roman" w:hAnsi="Times New Roman" w:cs="Times New Roman"/>
        </w:rPr>
      </w:pPr>
    </w:p>
    <w:p w14:paraId="4BDD57CE" w14:textId="77777777" w:rsidR="00430CAF" w:rsidRDefault="00430CAF" w:rsidP="00430CAF">
      <w:pPr>
        <w:ind w:firstLineChars="200" w:firstLine="440"/>
        <w:jc w:val="center"/>
        <w:rPr>
          <w:rFonts w:ascii="Times New Roman" w:hAnsi="Times New Roman" w:cs="Times New Roman"/>
        </w:rPr>
      </w:pPr>
    </w:p>
    <w:p w14:paraId="5D1D25D5" w14:textId="77777777" w:rsidR="00430CAF" w:rsidRDefault="00430CAF" w:rsidP="00430CAF">
      <w:pPr>
        <w:ind w:firstLineChars="200" w:firstLine="440"/>
        <w:jc w:val="center"/>
        <w:rPr>
          <w:rFonts w:ascii="Times New Roman" w:hAnsi="Times New Roman" w:cs="Times New Roman"/>
        </w:rPr>
      </w:pPr>
    </w:p>
    <w:p w14:paraId="5EA3C7A8" w14:textId="77777777" w:rsidR="00430CAF" w:rsidRDefault="00430CAF" w:rsidP="00430CAF">
      <w:pPr>
        <w:ind w:firstLineChars="200" w:firstLine="440"/>
        <w:jc w:val="center"/>
        <w:rPr>
          <w:rFonts w:ascii="Times New Roman" w:hAnsi="Times New Roman" w:cs="Times New Roman"/>
        </w:rPr>
      </w:pPr>
    </w:p>
    <w:p w14:paraId="4F36803E" w14:textId="77777777" w:rsidR="00430CAF" w:rsidRDefault="00430CAF" w:rsidP="00430CAF">
      <w:pPr>
        <w:ind w:firstLineChars="200" w:firstLine="440"/>
        <w:jc w:val="center"/>
        <w:rPr>
          <w:rFonts w:ascii="Times New Roman" w:hAnsi="Times New Roman" w:cs="Times New Roman"/>
        </w:rPr>
      </w:pPr>
    </w:p>
    <w:p w14:paraId="2A9FEBC2" w14:textId="77777777" w:rsidR="00430CAF" w:rsidRDefault="00430CAF" w:rsidP="00430CAF">
      <w:pPr>
        <w:ind w:firstLineChars="200" w:firstLine="440"/>
        <w:jc w:val="center"/>
        <w:rPr>
          <w:rFonts w:ascii="Times New Roman" w:hAnsi="Times New Roman" w:cs="Times New Roman"/>
        </w:rPr>
      </w:pPr>
    </w:p>
    <w:p w14:paraId="0F08787F" w14:textId="77777777" w:rsidR="00430CAF" w:rsidRDefault="00430CAF" w:rsidP="00430CAF">
      <w:pPr>
        <w:ind w:firstLineChars="200" w:firstLine="440"/>
        <w:jc w:val="center"/>
        <w:rPr>
          <w:rFonts w:ascii="Times New Roman" w:hAnsi="Times New Roman" w:cs="Times New Roman"/>
        </w:rPr>
      </w:pPr>
    </w:p>
    <w:p w14:paraId="455A554A" w14:textId="77777777" w:rsidR="00430CAF" w:rsidRDefault="00430CAF" w:rsidP="00430CAF">
      <w:pPr>
        <w:ind w:firstLineChars="200" w:firstLine="440"/>
        <w:jc w:val="center"/>
        <w:rPr>
          <w:rFonts w:ascii="Times New Roman" w:hAnsi="Times New Roman" w:cs="Times New Roman"/>
        </w:rPr>
      </w:pPr>
    </w:p>
    <w:p w14:paraId="0EBE482D" w14:textId="77777777" w:rsidR="00430CAF" w:rsidRDefault="00430CAF" w:rsidP="00430CAF">
      <w:pPr>
        <w:ind w:firstLineChars="200" w:firstLine="440"/>
        <w:jc w:val="center"/>
        <w:rPr>
          <w:rFonts w:ascii="Times New Roman" w:hAnsi="Times New Roman" w:cs="Times New Roman"/>
        </w:rPr>
      </w:pPr>
    </w:p>
    <w:p w14:paraId="1D9362AB" w14:textId="77777777" w:rsidR="00430CAF" w:rsidRDefault="00430CAF" w:rsidP="00430CAF">
      <w:pPr>
        <w:ind w:firstLineChars="200" w:firstLine="440"/>
        <w:jc w:val="center"/>
        <w:rPr>
          <w:rFonts w:ascii="Times New Roman" w:hAnsi="Times New Roman" w:cs="Times New Roman"/>
        </w:rPr>
      </w:pPr>
    </w:p>
    <w:p w14:paraId="4F990B10" w14:textId="77777777" w:rsidR="00430CAF" w:rsidRDefault="00430CAF" w:rsidP="00430CAF">
      <w:pPr>
        <w:ind w:firstLineChars="200" w:firstLine="440"/>
        <w:jc w:val="center"/>
        <w:rPr>
          <w:rFonts w:ascii="Times New Roman" w:hAnsi="Times New Roman" w:cs="Times New Roman"/>
        </w:rPr>
      </w:pPr>
    </w:p>
    <w:p w14:paraId="64805C45" w14:textId="77777777" w:rsidR="00430CAF" w:rsidRDefault="00430CAF" w:rsidP="00430CAF">
      <w:pPr>
        <w:ind w:firstLineChars="200" w:firstLine="440"/>
        <w:jc w:val="center"/>
        <w:rPr>
          <w:rFonts w:ascii="Times New Roman" w:hAnsi="Times New Roman" w:cs="Times New Roman"/>
        </w:rPr>
      </w:pPr>
    </w:p>
    <w:p w14:paraId="35FCF01B" w14:textId="77777777" w:rsidR="00430CAF" w:rsidRPr="00EB146A" w:rsidRDefault="00430CAF" w:rsidP="00430CAF">
      <w:pPr>
        <w:ind w:firstLineChars="200" w:firstLine="440"/>
        <w:jc w:val="center"/>
        <w:rPr>
          <w:rFonts w:ascii="Times New Roman" w:hAnsi="Times New Roman" w:cs="Times New Roman" w:hint="eastAsia"/>
        </w:rPr>
      </w:pPr>
    </w:p>
    <w:p w14:paraId="200CA85B" w14:textId="77777777" w:rsidR="006F3CCC" w:rsidRPr="00EB146A" w:rsidRDefault="006F3CCC" w:rsidP="00EB146A">
      <w:pPr>
        <w:spacing w:beforeLines="100" w:before="312" w:after="360"/>
        <w:jc w:val="center"/>
        <w:outlineLvl w:val="0"/>
        <w:rPr>
          <w:rFonts w:ascii="Arial" w:hAnsi="Arial" w:cs="Arial"/>
          <w:b/>
          <w:bCs/>
          <w:sz w:val="32"/>
          <w:szCs w:val="32"/>
        </w:rPr>
      </w:pPr>
      <w:bookmarkStart w:id="31" w:name="_Toc228743531"/>
      <w:r w:rsidRPr="00EB146A">
        <w:rPr>
          <w:rFonts w:ascii="Arial" w:hAnsi="Arial" w:cs="Arial"/>
          <w:b/>
          <w:bCs/>
          <w:sz w:val="32"/>
          <w:szCs w:val="32"/>
        </w:rPr>
        <w:lastRenderedPageBreak/>
        <w:t>4. Ethical Considerations</w:t>
      </w:r>
      <w:bookmarkEnd w:id="31"/>
    </w:p>
    <w:p w14:paraId="20A36342"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Researching within the intersection of indigenous/regional culture, emerging technologies (AI), and commercial design presents profound ethical entanglements that must be navigated with critical reflexivity. This section details the ethical guardrails established to prevent the "phygital" protocol from becoming another form of cultural exploitation. </w:t>
      </w:r>
    </w:p>
    <w:p w14:paraId="3723974B" w14:textId="77777777" w:rsidR="006F3CCC" w:rsidRPr="00EB146A" w:rsidRDefault="006F3CCC" w:rsidP="00EB146A">
      <w:pPr>
        <w:spacing w:beforeLines="100" w:before="312" w:after="360" w:line="240" w:lineRule="auto"/>
        <w:outlineLvl w:val="1"/>
        <w:rPr>
          <w:rFonts w:ascii="Times New Roman" w:hAnsi="Times New Roman" w:cs="Times New Roman"/>
        </w:rPr>
      </w:pPr>
      <w:bookmarkStart w:id="32" w:name="_Toc228743532"/>
      <w:r w:rsidRPr="00EB146A">
        <w:rPr>
          <w:rFonts w:ascii="Times New Roman" w:hAnsi="Times New Roman" w:cs="Times New Roman"/>
          <w:b/>
          <w:bCs/>
          <w:sz w:val="24"/>
        </w:rPr>
        <w:t>4.1 Cultural Representation and the Risk of Neocolonialism</w:t>
      </w:r>
      <w:bookmarkEnd w:id="32"/>
    </w:p>
    <w:p w14:paraId="6B6FFA8D"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The most pressing ethical concern is the risk of cultural exploitation. When urban researchers extract rural heritage to create commercial products, they risk perpetuating a neocolonial dynamic where the rural community becomes a mere "resource" for urban consumption. To mitigate this, the study explicitly rejects passive observation in favor of participatory validation (the Delphi method). The researcher must continuously practice reflexivity, acknowledging their positionality and ensuring the AR narratives align with the lived realities and desires of Henan communities rather than catering to stereotyped urban fantasies of the "rustic". </w:t>
      </w:r>
    </w:p>
    <w:p w14:paraId="6CB4A685" w14:textId="77777777" w:rsidR="006F3CCC" w:rsidRPr="00EB146A" w:rsidRDefault="006F3CCC" w:rsidP="00EB146A">
      <w:pPr>
        <w:spacing w:beforeLines="100" w:before="312" w:after="360" w:line="240" w:lineRule="auto"/>
        <w:outlineLvl w:val="1"/>
        <w:rPr>
          <w:rFonts w:ascii="Times New Roman" w:hAnsi="Times New Roman" w:cs="Times New Roman"/>
          <w:b/>
          <w:bCs/>
          <w:sz w:val="24"/>
        </w:rPr>
      </w:pPr>
      <w:bookmarkStart w:id="33" w:name="_Toc228743533"/>
      <w:r w:rsidRPr="00EB146A">
        <w:rPr>
          <w:rFonts w:ascii="Times New Roman" w:hAnsi="Times New Roman" w:cs="Times New Roman"/>
          <w:b/>
          <w:bCs/>
          <w:sz w:val="24"/>
        </w:rPr>
        <w:t>4.2 Algorithmic Bias and the Colonization of the "Latent Space"</w:t>
      </w:r>
      <w:bookmarkEnd w:id="33"/>
    </w:p>
    <w:p w14:paraId="69653759"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The integration of Generative AI into the translation of Intangible Cultural Heritage (ICH) introduces a specific set of technological ethics that are often overlooked in standard design practice. Most foundational AI models are trained predominantly on Western-centric datasets. When these models are prompted to generate "traditional Chinese" or "regional rural" aesthetics, they inherently lean toward homogenization or "orientalism"—the flattening of distinct regional identities into a generalized East Asian trope. </w:t>
      </w:r>
    </w:p>
    <w:p w14:paraId="6B09350F" w14:textId="77777777" w:rsidR="006F3CCC"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For the folk arts of Henan, this presents a significant risk. If the AI conflates the specific joint structures of Henan shadow puppets with generalized patterns from other regions, it effectively erases the local "Aesthetic DNA". It is therefore an ethical imperative of this research design that the AI is strictly constrained by the extracted Shape Grammar, rather than being allowed autonomous aesthetic generation. The researcher must act as a gatekeeper of the "latent space," ensuring that the machine's outputs remain structurally authentic to the source community. My reflective journal explicitly documents and critiques these instances of algorithmic bias, treating them as sites of resistance against the digital erasure of local culture. </w:t>
      </w:r>
    </w:p>
    <w:p w14:paraId="27228D6D" w14:textId="1380A624" w:rsidR="004F6756" w:rsidRPr="00EB146A" w:rsidRDefault="004F6756" w:rsidP="004F6756">
      <w:pPr>
        <w:rPr>
          <w:rFonts w:ascii="Times New Roman" w:hAnsi="Times New Roman" w:cs="Times New Roman"/>
        </w:rPr>
      </w:pPr>
      <w:r>
        <w:rPr>
          <w:rFonts w:ascii="Times New Roman" w:hAnsi="Times New Roman" w:cs="Times New Roman"/>
          <w:noProof/>
        </w:rPr>
        <w:lastRenderedPageBreak/>
        <w:drawing>
          <wp:inline distT="0" distB="0" distL="0" distR="0" wp14:anchorId="497261C2" wp14:editId="71302C8D">
            <wp:extent cx="5257800" cy="2260600"/>
            <wp:effectExtent l="0" t="0" r="0" b="6350"/>
            <wp:docPr id="878576170"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257800" cy="2260600"/>
                    </a:xfrm>
                    <a:prstGeom prst="rect">
                      <a:avLst/>
                    </a:prstGeom>
                    <a:noFill/>
                    <a:ln>
                      <a:noFill/>
                    </a:ln>
                  </pic:spPr>
                </pic:pic>
              </a:graphicData>
            </a:graphic>
          </wp:inline>
        </w:drawing>
      </w:r>
    </w:p>
    <w:p w14:paraId="5B457795" w14:textId="77777777" w:rsidR="006F3CCC" w:rsidRPr="00EB146A" w:rsidRDefault="006F3CCC" w:rsidP="00EB146A">
      <w:pPr>
        <w:spacing w:beforeLines="100" w:before="312" w:after="360" w:line="240" w:lineRule="auto"/>
        <w:outlineLvl w:val="1"/>
        <w:rPr>
          <w:rFonts w:ascii="Times New Roman" w:hAnsi="Times New Roman" w:cs="Times New Roman"/>
          <w:b/>
          <w:bCs/>
          <w:sz w:val="24"/>
        </w:rPr>
      </w:pPr>
      <w:bookmarkStart w:id="34" w:name="_Toc228743534"/>
      <w:r w:rsidRPr="00EB146A">
        <w:rPr>
          <w:rFonts w:ascii="Times New Roman" w:hAnsi="Times New Roman" w:cs="Times New Roman"/>
          <w:b/>
          <w:bCs/>
          <w:sz w:val="24"/>
        </w:rPr>
        <w:t>4.3 Informed Consent and Data Privacy in Spatial Computing</w:t>
      </w:r>
      <w:bookmarkEnd w:id="34"/>
    </w:p>
    <w:p w14:paraId="13098824"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Standard ethical protocols regarding human subjects are strictly followed during the Delphi method and focus groups. However, the use of Augmented Reality (AR) introduces unique digital ethics. Because the AR interface necessitates the use of the consumer's personal mobile device and camera, the application must be designed with strict data privacy architectures. </w:t>
      </w:r>
    </w:p>
    <w:p w14:paraId="6FB88DF7"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The AR application developed in this study processes spatial data locally on the device without harvesting biometric or location data. This ensures compliance with digital privacy standards and protects the consumer from unnecessary surveillance while they engage with the cultural narrative. In a "wicked problem" context, we must ensure that cultural empowerment does not come at the cost of personal privacy. </w:t>
      </w:r>
    </w:p>
    <w:p w14:paraId="162B221D" w14:textId="77777777" w:rsidR="006F3CCC" w:rsidRPr="00EB146A" w:rsidRDefault="006F3CCC" w:rsidP="00EB146A">
      <w:pPr>
        <w:spacing w:beforeLines="100" w:before="312" w:after="360" w:line="240" w:lineRule="auto"/>
        <w:outlineLvl w:val="1"/>
        <w:rPr>
          <w:rFonts w:ascii="Times New Roman" w:hAnsi="Times New Roman" w:cs="Times New Roman"/>
          <w:b/>
          <w:bCs/>
          <w:sz w:val="24"/>
        </w:rPr>
      </w:pPr>
      <w:bookmarkStart w:id="35" w:name="_Toc228743535"/>
      <w:r w:rsidRPr="00EB146A">
        <w:rPr>
          <w:rFonts w:ascii="Times New Roman" w:hAnsi="Times New Roman" w:cs="Times New Roman"/>
          <w:b/>
          <w:bCs/>
          <w:sz w:val="24"/>
        </w:rPr>
        <w:t>4.4 Economic Equity: Who Benefits from the "Digital Apple"?</w:t>
      </w:r>
      <w:bookmarkEnd w:id="35"/>
    </w:p>
    <w:p w14:paraId="0FC85CDF"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A critical ethical question remains: if the AR packaging stimulates tourism and sales, how is that wealth distributed? While the research aims to stimulate rural tourism, it must consider the power dynamics between urban designers and rural producers. If the intellectual property of the newly designed packaging is owned entirely by an external agency, the farmers of Lingbao may be marginalized from the financial upside. </w:t>
      </w:r>
    </w:p>
    <w:p w14:paraId="4B2B6591" w14:textId="7C998AF2" w:rsidR="006F3CCC"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To address this, the research ethically advocates for an open-source or geographically bound licensing model for the generated "Aesthetic DNA" protocols. This ensures that the value created through the digitization of Henan culture remains within the source community, preventing the "digital enclosure" of cultural heritage by outside interests. </w:t>
      </w:r>
    </w:p>
    <w:p w14:paraId="27EAE938" w14:textId="289CD0A9" w:rsidR="00EB146A" w:rsidRDefault="00EB146A" w:rsidP="004F6756">
      <w:pPr>
        <w:rPr>
          <w:rFonts w:ascii="Times New Roman" w:hAnsi="Times New Roman" w:cs="Times New Roman"/>
        </w:rPr>
      </w:pPr>
    </w:p>
    <w:p w14:paraId="48986FE3" w14:textId="77777777" w:rsidR="00EB146A" w:rsidRPr="00EB146A" w:rsidRDefault="00EB146A" w:rsidP="004F6756">
      <w:pPr>
        <w:rPr>
          <w:rFonts w:ascii="Times New Roman" w:hAnsi="Times New Roman" w:cs="Times New Roman" w:hint="eastAsia"/>
        </w:rPr>
      </w:pPr>
    </w:p>
    <w:p w14:paraId="5AE458EB" w14:textId="77777777" w:rsidR="006F3CCC" w:rsidRPr="00EB146A" w:rsidRDefault="006F3CCC" w:rsidP="00EB146A">
      <w:pPr>
        <w:spacing w:beforeLines="100" w:before="312" w:after="360"/>
        <w:jc w:val="center"/>
        <w:outlineLvl w:val="0"/>
        <w:rPr>
          <w:rFonts w:ascii="Arial" w:hAnsi="Arial" w:cs="Arial"/>
          <w:b/>
          <w:bCs/>
          <w:sz w:val="32"/>
          <w:szCs w:val="32"/>
        </w:rPr>
      </w:pPr>
      <w:bookmarkStart w:id="36" w:name="_Toc228743536"/>
      <w:r w:rsidRPr="00EB146A">
        <w:rPr>
          <w:rFonts w:ascii="Arial" w:hAnsi="Arial" w:cs="Arial"/>
          <w:b/>
          <w:bCs/>
          <w:sz w:val="32"/>
          <w:szCs w:val="32"/>
        </w:rPr>
        <w:lastRenderedPageBreak/>
        <w:t>5. Practice-Based Results and Iterative Analysis</w:t>
      </w:r>
      <w:bookmarkEnd w:id="36"/>
    </w:p>
    <w:p w14:paraId="05342922"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This section details the findings from the "making" phase of the research, synthesizing the data gathered from the reflective journal, the Delphi expert panels, and the consumer interactions.</w:t>
      </w:r>
    </w:p>
    <w:p w14:paraId="3D1AB732" w14:textId="77777777" w:rsidR="006F3CCC" w:rsidRPr="00EB146A" w:rsidRDefault="006F3CCC" w:rsidP="00EB146A">
      <w:pPr>
        <w:spacing w:beforeLines="100" w:before="312" w:after="360" w:line="240" w:lineRule="auto"/>
        <w:outlineLvl w:val="1"/>
        <w:rPr>
          <w:rFonts w:ascii="Times New Roman" w:hAnsi="Times New Roman" w:cs="Times New Roman"/>
          <w:b/>
          <w:bCs/>
          <w:sz w:val="24"/>
        </w:rPr>
      </w:pPr>
      <w:bookmarkStart w:id="37" w:name="_Toc228743537"/>
      <w:r w:rsidRPr="00EB146A">
        <w:rPr>
          <w:rFonts w:ascii="Times New Roman" w:hAnsi="Times New Roman" w:cs="Times New Roman"/>
          <w:b/>
          <w:bCs/>
          <w:sz w:val="24"/>
        </w:rPr>
        <w:t>5.1 From "Surface" to "Structure": The Success of the DNA Protocol</w:t>
      </w:r>
      <w:bookmarkEnd w:id="37"/>
    </w:p>
    <w:p w14:paraId="44F2DBB2" w14:textId="1BA1339F"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The first major result of the practice was the validation of the Digital Translation Protocol. By using Semiotic Structural Analysis, I was able to decompose 50 traditional artifacts into 12 core "Syntactic Rules". These rules defined the specific line weights and negative-space ratios that make Henan </w:t>
      </w:r>
      <w:r w:rsidR="00A70DAE">
        <w:rPr>
          <w:rFonts w:ascii="Times New Roman" w:hAnsi="Times New Roman" w:cs="Times New Roman"/>
        </w:rPr>
        <w:t>paper cutting</w:t>
      </w:r>
      <w:r w:rsidRPr="00EB146A">
        <w:rPr>
          <w:rFonts w:ascii="Times New Roman" w:hAnsi="Times New Roman" w:cs="Times New Roman"/>
        </w:rPr>
        <w:t xml:space="preserve"> unique. </w:t>
      </w:r>
    </w:p>
    <w:p w14:paraId="33E31009"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When these rules were used to constrain the Generative AI, the result was a series of patterns that felt fundamentally "Henan" to the expert panel, even though they were entirely new designs. This demonstrates that the "wicked problem" of cultural appropriation can be mitigated through structural, rather than intuitive, design. The AI did not replace the artisan; instead, it acted as a lens through which the artisan’s traditional logic could be projected into a contemporary medium. </w:t>
      </w:r>
    </w:p>
    <w:p w14:paraId="28EAF0FA" w14:textId="77777777" w:rsidR="006F3CCC" w:rsidRPr="00EB146A" w:rsidRDefault="006F3CCC" w:rsidP="00EB146A">
      <w:pPr>
        <w:spacing w:beforeLines="100" w:before="312" w:after="360" w:line="240" w:lineRule="auto"/>
        <w:outlineLvl w:val="1"/>
        <w:rPr>
          <w:rFonts w:ascii="Times New Roman" w:hAnsi="Times New Roman" w:cs="Times New Roman"/>
          <w:b/>
          <w:bCs/>
          <w:sz w:val="24"/>
        </w:rPr>
      </w:pPr>
      <w:bookmarkStart w:id="38" w:name="_Toc228743538"/>
      <w:r w:rsidRPr="00EB146A">
        <w:rPr>
          <w:rFonts w:ascii="Times New Roman" w:hAnsi="Times New Roman" w:cs="Times New Roman"/>
          <w:b/>
          <w:bCs/>
          <w:sz w:val="24"/>
        </w:rPr>
        <w:t>5.2 The "Aha!" Moment of Embodied Agency</w:t>
      </w:r>
      <w:bookmarkEnd w:id="38"/>
    </w:p>
    <w:p w14:paraId="582B7A24"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The consumer focus groups revealed a profound shift in engagement when "embodied interaction" was introduced. Participants noted that the physical act of rotating the apple box to "find" the hidden shadow-puppet narrative made the culture feel "earned" rather than just "shown". </w:t>
      </w:r>
    </w:p>
    <w:p w14:paraId="16F99052"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One recurring theme in the thematic analysis was "Tactile Resonance". Participants articulated that by touching the physical product while viewing the digital story, the "Lingbao apple" became more than just fruit—it became a physical artifact of a living culture. This suggests that the "phygital" interface successfully bridges the gap between daily consumer behavior and cultural appreciation. </w:t>
      </w:r>
    </w:p>
    <w:p w14:paraId="1BFFEE36" w14:textId="77777777" w:rsidR="006F3CCC" w:rsidRPr="00EB146A" w:rsidRDefault="006F3CCC" w:rsidP="00EB146A">
      <w:pPr>
        <w:spacing w:beforeLines="100" w:before="312" w:after="360" w:line="240" w:lineRule="auto"/>
        <w:outlineLvl w:val="1"/>
        <w:rPr>
          <w:rFonts w:ascii="Times New Roman" w:hAnsi="Times New Roman" w:cs="Times New Roman"/>
          <w:b/>
          <w:bCs/>
          <w:sz w:val="24"/>
        </w:rPr>
      </w:pPr>
      <w:bookmarkStart w:id="39" w:name="_Toc228743539"/>
      <w:r w:rsidRPr="00EB146A">
        <w:rPr>
          <w:rFonts w:ascii="Times New Roman" w:hAnsi="Times New Roman" w:cs="Times New Roman"/>
          <w:b/>
          <w:bCs/>
          <w:sz w:val="24"/>
        </w:rPr>
        <w:t>5.3 The "Intention-Behavior Gap" in Cultural Tourism</w:t>
      </w:r>
      <w:bookmarkEnd w:id="39"/>
    </w:p>
    <w:p w14:paraId="44625DB7"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One of the most complex findings from the consumer focus groups was the nuance within the "intention-behavior gap". While participants expressed high emotional resonance and a stated desire to visit Henan after interacting with the AR-enhanced Lingbao apple packaging, the thematic analysis revealed that this "intention" is highly conditional. </w:t>
      </w:r>
    </w:p>
    <w:p w14:paraId="0CB215FE"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lastRenderedPageBreak/>
        <w:t xml:space="preserve">Performative Interest: Many participants articulated a "performative interest" in the culture, where the digital interaction served as a sufficient substitute for the physical journey. This poses a challenge to the research aim of driving actual tourism. </w:t>
      </w:r>
    </w:p>
    <w:p w14:paraId="270262F4"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The Catalyst Effect: Conversely, a subset of participants noted that the "embodied interaction"—specifically the physical manipulation of the box to reveal shadow-puppet narratives—triggered a "tactile curiosity" that digital-only media (like videos) could not. </w:t>
      </w:r>
    </w:p>
    <w:p w14:paraId="219AEE87"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Infrastructure Barriers: Discussion often shifted from the packaging to the perceived lack of tourist infrastructure in rural Henan, suggesting that design interventions can stimulate interest, but they cannot overcome systemic regional limitations. </w:t>
      </w:r>
    </w:p>
    <w:p w14:paraId="4FBD7A3F"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This finding underscores that while "phygital" design is a powerful tool for cultural resonance, its role in rural revitalization must be viewed as part of a larger, integrated ecosystem of physical and digital services. </w:t>
      </w:r>
    </w:p>
    <w:p w14:paraId="1FEB1CD5" w14:textId="77777777" w:rsidR="006F3CCC" w:rsidRPr="00EB146A" w:rsidRDefault="006F3CCC" w:rsidP="00EB146A">
      <w:pPr>
        <w:spacing w:beforeLines="100" w:before="312" w:after="360" w:line="240" w:lineRule="auto"/>
        <w:outlineLvl w:val="1"/>
        <w:rPr>
          <w:rFonts w:ascii="Times New Roman" w:hAnsi="Times New Roman" w:cs="Times New Roman"/>
          <w:b/>
          <w:bCs/>
          <w:sz w:val="24"/>
        </w:rPr>
      </w:pPr>
      <w:bookmarkStart w:id="40" w:name="_Toc228743540"/>
      <w:r w:rsidRPr="00EB146A">
        <w:rPr>
          <w:rFonts w:ascii="Times New Roman" w:hAnsi="Times New Roman" w:cs="Times New Roman"/>
          <w:b/>
          <w:bCs/>
          <w:sz w:val="24"/>
        </w:rPr>
        <w:t>5.4 The "Phygital" Paradox: Friction as a Catalyst for Meaning</w:t>
      </w:r>
      <w:bookmarkEnd w:id="40"/>
    </w:p>
    <w:p w14:paraId="3307AE7C" w14:textId="7EBC5E6A" w:rsidR="006F3CCC"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The iterative practice revealed that the success of the AR interface was not found in seamless perfection, but in the "productive friction" between the physical and digital worlds. During the prototype testing, it was observed that when the digital shadow puppet perfectly aligned with the box's edges, users treated it as a simple video. However, when the "embodied interaction" required the user to physically tilt the box to "catch" a digital light source, the level of immersion—and subsequent cultural curiosity—spiked significantly. This suggests that for ICH to be successfully translated, the technology must not disappear; it must act as a tangible tool that requires the user’s physical labor, mirroring the physical labor of the original artisan. </w:t>
      </w:r>
    </w:p>
    <w:p w14:paraId="4ADAAD54" w14:textId="6A2CAD01" w:rsidR="00EB146A" w:rsidRDefault="00430CAF" w:rsidP="00430CAF">
      <w:pPr>
        <w:rPr>
          <w:rFonts w:ascii="Times New Roman" w:hAnsi="Times New Roman" w:cs="Times New Roman"/>
        </w:rPr>
      </w:pPr>
      <w:r>
        <w:rPr>
          <w:rFonts w:ascii="Times New Roman" w:hAnsi="Times New Roman" w:cs="Times New Roman"/>
          <w:noProof/>
        </w:rPr>
        <w:drawing>
          <wp:inline distT="0" distB="0" distL="0" distR="0" wp14:anchorId="13DF6294" wp14:editId="5B8673BB">
            <wp:extent cx="1422400" cy="1422400"/>
            <wp:effectExtent l="0" t="0" r="0" b="6350"/>
            <wp:docPr id="1310555401"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422400" cy="1422400"/>
                    </a:xfrm>
                    <a:prstGeom prst="rect">
                      <a:avLst/>
                    </a:prstGeom>
                    <a:noFill/>
                    <a:ln>
                      <a:noFill/>
                    </a:ln>
                  </pic:spPr>
                </pic:pic>
              </a:graphicData>
            </a:graphic>
          </wp:inline>
        </w:drawing>
      </w:r>
      <w:r>
        <w:rPr>
          <w:rFonts w:ascii="Times New Roman" w:hAnsi="Times New Roman" w:cs="Times New Roman"/>
          <w:noProof/>
        </w:rPr>
        <w:drawing>
          <wp:inline distT="0" distB="0" distL="0" distR="0" wp14:anchorId="285D05A6" wp14:editId="58B965E2">
            <wp:extent cx="3657600" cy="1824394"/>
            <wp:effectExtent l="0" t="0" r="0" b="0"/>
            <wp:docPr id="1431785543"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673162" cy="1832156"/>
                    </a:xfrm>
                    <a:prstGeom prst="rect">
                      <a:avLst/>
                    </a:prstGeom>
                    <a:noFill/>
                    <a:ln>
                      <a:noFill/>
                    </a:ln>
                  </pic:spPr>
                </pic:pic>
              </a:graphicData>
            </a:graphic>
          </wp:inline>
        </w:drawing>
      </w:r>
    </w:p>
    <w:p w14:paraId="020A34C3" w14:textId="77777777" w:rsidR="00EB146A" w:rsidRDefault="00EB146A" w:rsidP="00EB146A">
      <w:pPr>
        <w:ind w:firstLineChars="200" w:firstLine="440"/>
        <w:rPr>
          <w:rFonts w:ascii="Times New Roman" w:hAnsi="Times New Roman" w:cs="Times New Roman"/>
        </w:rPr>
      </w:pPr>
    </w:p>
    <w:p w14:paraId="23494801" w14:textId="77777777" w:rsidR="00EB146A" w:rsidRDefault="00EB146A" w:rsidP="00EB146A">
      <w:pPr>
        <w:ind w:firstLineChars="200" w:firstLine="440"/>
        <w:rPr>
          <w:rFonts w:ascii="Times New Roman" w:hAnsi="Times New Roman" w:cs="Times New Roman"/>
        </w:rPr>
      </w:pPr>
    </w:p>
    <w:p w14:paraId="635CD064" w14:textId="77777777" w:rsidR="00EB146A" w:rsidRPr="00EB146A" w:rsidRDefault="00EB146A" w:rsidP="00430CAF">
      <w:pPr>
        <w:rPr>
          <w:rFonts w:ascii="Times New Roman" w:hAnsi="Times New Roman" w:cs="Times New Roman" w:hint="eastAsia"/>
        </w:rPr>
      </w:pPr>
    </w:p>
    <w:p w14:paraId="48BD9E97" w14:textId="77777777" w:rsidR="006F3CCC" w:rsidRPr="00EB146A" w:rsidRDefault="006F3CCC" w:rsidP="00EB146A">
      <w:pPr>
        <w:spacing w:beforeLines="100" w:before="312" w:after="360"/>
        <w:jc w:val="center"/>
        <w:outlineLvl w:val="0"/>
        <w:rPr>
          <w:rFonts w:ascii="Arial" w:hAnsi="Arial" w:cs="Arial"/>
          <w:b/>
          <w:bCs/>
          <w:sz w:val="32"/>
          <w:szCs w:val="32"/>
        </w:rPr>
      </w:pPr>
      <w:bookmarkStart w:id="41" w:name="_Toc228743541"/>
      <w:r w:rsidRPr="00EB146A">
        <w:rPr>
          <w:rFonts w:ascii="Arial" w:hAnsi="Arial" w:cs="Arial"/>
          <w:b/>
          <w:bCs/>
          <w:sz w:val="32"/>
          <w:szCs w:val="32"/>
        </w:rPr>
        <w:lastRenderedPageBreak/>
        <w:t>6. Reflection &amp; Discussion</w:t>
      </w:r>
      <w:bookmarkEnd w:id="41"/>
    </w:p>
    <w:p w14:paraId="2D79F500" w14:textId="77777777" w:rsidR="006F3CCC" w:rsidRPr="00EB146A" w:rsidRDefault="006F3CCC" w:rsidP="00EB146A">
      <w:pPr>
        <w:spacing w:beforeLines="100" w:before="312" w:after="360" w:line="240" w:lineRule="auto"/>
        <w:outlineLvl w:val="1"/>
        <w:rPr>
          <w:rFonts w:ascii="Times New Roman" w:hAnsi="Times New Roman" w:cs="Times New Roman"/>
          <w:b/>
          <w:bCs/>
          <w:sz w:val="24"/>
        </w:rPr>
      </w:pPr>
      <w:bookmarkStart w:id="42" w:name="_Toc228743542"/>
      <w:r w:rsidRPr="00EB146A">
        <w:rPr>
          <w:rFonts w:ascii="Times New Roman" w:hAnsi="Times New Roman" w:cs="Times New Roman"/>
          <w:b/>
          <w:bCs/>
          <w:sz w:val="24"/>
        </w:rPr>
        <w:t>6.1 Critical Reflection on the Research Design</w:t>
      </w:r>
      <w:bookmarkEnd w:id="42"/>
    </w:p>
    <w:p w14:paraId="1B072561" w14:textId="77777777" w:rsidR="00430CAF" w:rsidRDefault="006F3CCC" w:rsidP="00430CAF">
      <w:pPr>
        <w:ind w:firstLineChars="200" w:firstLine="440"/>
        <w:rPr>
          <w:rFonts w:ascii="Times New Roman" w:hAnsi="Times New Roman" w:cs="Times New Roman"/>
        </w:rPr>
      </w:pPr>
      <w:r w:rsidRPr="00EB146A">
        <w:rPr>
          <w:rFonts w:ascii="Times New Roman" w:hAnsi="Times New Roman" w:cs="Times New Roman"/>
        </w:rPr>
        <w:t xml:space="preserve">The proposed research design represents a significant departure from conventional cultural branding. By interweaving practice with rigorous qualitative methodologies—specifically the use of Semiotic Structural Analysis and Shape Grammar—this study challenges the designer’s historical reliance on subjective intuition. </w:t>
      </w:r>
    </w:p>
    <w:p w14:paraId="0B3272FE" w14:textId="65BCE76D" w:rsidR="00430CAF" w:rsidRPr="00EB146A" w:rsidRDefault="00430CAF" w:rsidP="00430CAF">
      <w:pPr>
        <w:rPr>
          <w:rFonts w:ascii="Times New Roman" w:hAnsi="Times New Roman" w:cs="Times New Roman"/>
        </w:rPr>
      </w:pPr>
      <w:r>
        <w:rPr>
          <w:rFonts w:ascii="Times New Roman" w:hAnsi="Times New Roman" w:cs="Times New Roman"/>
          <w:noProof/>
        </w:rPr>
        <w:drawing>
          <wp:inline distT="0" distB="0" distL="0" distR="0" wp14:anchorId="7367EDD8" wp14:editId="6225A1B4">
            <wp:extent cx="4991100" cy="2092654"/>
            <wp:effectExtent l="0" t="0" r="0" b="3175"/>
            <wp:docPr id="1140660218"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999356" cy="2096116"/>
                    </a:xfrm>
                    <a:prstGeom prst="rect">
                      <a:avLst/>
                    </a:prstGeom>
                    <a:noFill/>
                    <a:ln>
                      <a:noFill/>
                    </a:ln>
                  </pic:spPr>
                </pic:pic>
              </a:graphicData>
            </a:graphic>
          </wp:inline>
        </w:drawing>
      </w:r>
    </w:p>
    <w:p w14:paraId="60C17B00" w14:textId="77777777" w:rsidR="006F3CCC" w:rsidRPr="00EB146A" w:rsidRDefault="006F3CCC" w:rsidP="00EB146A">
      <w:pPr>
        <w:spacing w:beforeLines="100" w:before="312" w:after="360" w:line="240" w:lineRule="auto"/>
        <w:outlineLvl w:val="2"/>
        <w:rPr>
          <w:rFonts w:ascii="Times New Roman" w:hAnsi="Times New Roman" w:cs="Times New Roman"/>
          <w:b/>
          <w:bCs/>
          <w:sz w:val="24"/>
        </w:rPr>
      </w:pPr>
      <w:bookmarkStart w:id="43" w:name="_Toc228743543"/>
      <w:r w:rsidRPr="00EB146A">
        <w:rPr>
          <w:rFonts w:ascii="Times New Roman" w:hAnsi="Times New Roman" w:cs="Times New Roman"/>
          <w:b/>
          <w:bCs/>
          <w:sz w:val="24"/>
        </w:rPr>
        <w:t>6.1.1 The Shifting Role of the "Author" in the AI Age</w:t>
      </w:r>
      <w:bookmarkEnd w:id="43"/>
    </w:p>
    <w:p w14:paraId="79989606"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In this phygital framework, authorship is no longer a centralized, individual act. Instead, it is distributed between four primary agents: </w:t>
      </w:r>
    </w:p>
    <w:p w14:paraId="6DC05B03"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The Historical Artisan: The source of the "Aesthetic DNA" and structural logic. </w:t>
      </w:r>
    </w:p>
    <w:p w14:paraId="07708598"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The Designer: The mediator who translates rules into prompts and interfaces. </w:t>
      </w:r>
    </w:p>
    <w:p w14:paraId="02C1C34E"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The AI: The "analytical co-pilot" that explores the "latent space" of variations within the defined Shape Grammar. </w:t>
      </w:r>
    </w:p>
    <w:p w14:paraId="5E6E4BD2"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The Consumer: The agent who must physically activate the box to "complete" the cultural narrative. </w:t>
      </w:r>
    </w:p>
    <w:p w14:paraId="485F91E1" w14:textId="77777777" w:rsidR="006F3CCC"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This shift critiques the "Authorized Heritage Discourse" (AHD) by democratizing the creative process, yet it also raises questions about who "owns" the resulting digital patterns. </w:t>
      </w:r>
    </w:p>
    <w:p w14:paraId="782ADC5C" w14:textId="71482294" w:rsidR="00430CAF" w:rsidRPr="00EB146A" w:rsidRDefault="00430CAF" w:rsidP="00430CAF">
      <w:pPr>
        <w:jc w:val="center"/>
        <w:rPr>
          <w:rFonts w:ascii="Times New Roman" w:hAnsi="Times New Roman" w:cs="Times New Roman"/>
        </w:rPr>
      </w:pPr>
      <w:r>
        <w:rPr>
          <w:rFonts w:ascii="Times New Roman" w:hAnsi="Times New Roman" w:cs="Times New Roman"/>
          <w:noProof/>
        </w:rPr>
        <w:lastRenderedPageBreak/>
        <w:drawing>
          <wp:inline distT="0" distB="0" distL="0" distR="0" wp14:anchorId="493CCE4B" wp14:editId="6AB2A30A">
            <wp:extent cx="4283040" cy="1841500"/>
            <wp:effectExtent l="0" t="0" r="3810" b="6350"/>
            <wp:docPr id="1727106474"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288874" cy="1844008"/>
                    </a:xfrm>
                    <a:prstGeom prst="rect">
                      <a:avLst/>
                    </a:prstGeom>
                    <a:noFill/>
                    <a:ln>
                      <a:noFill/>
                    </a:ln>
                  </pic:spPr>
                </pic:pic>
              </a:graphicData>
            </a:graphic>
          </wp:inline>
        </w:drawing>
      </w:r>
    </w:p>
    <w:p w14:paraId="156C465F" w14:textId="77777777" w:rsidR="006F3CCC" w:rsidRPr="00EB146A" w:rsidRDefault="006F3CCC" w:rsidP="00EB146A">
      <w:pPr>
        <w:spacing w:beforeLines="100" w:before="312" w:after="360" w:line="240" w:lineRule="auto"/>
        <w:outlineLvl w:val="2"/>
        <w:rPr>
          <w:rFonts w:ascii="Times New Roman" w:hAnsi="Times New Roman" w:cs="Times New Roman"/>
          <w:b/>
          <w:bCs/>
          <w:sz w:val="24"/>
        </w:rPr>
      </w:pPr>
      <w:bookmarkStart w:id="44" w:name="_Toc228743544"/>
      <w:r w:rsidRPr="00EB146A">
        <w:rPr>
          <w:rFonts w:ascii="Times New Roman" w:hAnsi="Times New Roman" w:cs="Times New Roman"/>
          <w:b/>
          <w:bCs/>
          <w:sz w:val="24"/>
        </w:rPr>
        <w:t>6.1.2 Embodied Interaction vs. Digital Spectacle</w:t>
      </w:r>
      <w:bookmarkEnd w:id="44"/>
    </w:p>
    <w:p w14:paraId="75D477FC"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The decision to prioritize "embodied interaction" as a design principle serves as a potent critique of current digital tourism. While large-scale digital spectacles often alienate the user through overwhelming visual stimuli, the AR-enabled apple packaging facilitates an intimate, physical connection. However, a reflective limitation identified during the practice was the reliance on high-end smartphone hardware. </w:t>
      </w:r>
    </w:p>
    <w:p w14:paraId="2B7EBC34" w14:textId="0992A6F9" w:rsidR="00430CAF" w:rsidRPr="00EB146A" w:rsidRDefault="006F3CCC" w:rsidP="00430CAF">
      <w:pPr>
        <w:ind w:firstLineChars="200" w:firstLine="440"/>
        <w:rPr>
          <w:rFonts w:ascii="Times New Roman" w:hAnsi="Times New Roman" w:cs="Times New Roman" w:hint="eastAsia"/>
        </w:rPr>
      </w:pPr>
      <w:r w:rsidRPr="00EB146A">
        <w:rPr>
          <w:rFonts w:ascii="Times New Roman" w:hAnsi="Times New Roman" w:cs="Times New Roman"/>
        </w:rPr>
        <w:t xml:space="preserve">Future iterations must consider "technological inclusivity"—how these phygital interfaces can be simplified for users with lower-tier devices to ensure the cultural-economic benefits are not restricted to tech-savvy urbanites. </w:t>
      </w:r>
    </w:p>
    <w:p w14:paraId="2D2AA9A8" w14:textId="77777777" w:rsidR="006F3CCC" w:rsidRPr="00EB146A" w:rsidRDefault="006F3CCC" w:rsidP="00EB146A">
      <w:pPr>
        <w:spacing w:beforeLines="100" w:before="312" w:after="360" w:line="240" w:lineRule="auto"/>
        <w:outlineLvl w:val="1"/>
        <w:rPr>
          <w:rFonts w:ascii="Times New Roman" w:hAnsi="Times New Roman" w:cs="Times New Roman"/>
          <w:b/>
          <w:bCs/>
          <w:sz w:val="24"/>
        </w:rPr>
      </w:pPr>
      <w:bookmarkStart w:id="45" w:name="_Toc228743545"/>
      <w:r w:rsidRPr="00EB146A">
        <w:rPr>
          <w:rFonts w:ascii="Times New Roman" w:hAnsi="Times New Roman" w:cs="Times New Roman"/>
          <w:b/>
          <w:bCs/>
          <w:sz w:val="24"/>
        </w:rPr>
        <w:t>6.2 The "Wickedness" of the Solution</w:t>
      </w:r>
      <w:bookmarkEnd w:id="45"/>
    </w:p>
    <w:p w14:paraId="58BB4FD9"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Ultimately, this research demonstrates that "wicked problems" do not have final solutions, but rather "resolutions" that generate new questions. While the "Digital Translation Protocol" mitigates cultural appropriation, it simultaneously introduces new ethical entanglements regarding algorithmic bias and data privacy. </w:t>
      </w:r>
    </w:p>
    <w:p w14:paraId="24F30C0E"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The study concludes that design practice in the context of rural revitalization must be one of "continual remaking". By embedding cultural narratives into everyday commodities, we are not just selling apples; we are negotiating the future of regional identity in a digital world. </w:t>
      </w:r>
    </w:p>
    <w:p w14:paraId="1EA6FA97" w14:textId="77777777" w:rsidR="006F3CCC" w:rsidRPr="00EB146A" w:rsidRDefault="006F3CCC" w:rsidP="00EB146A">
      <w:pPr>
        <w:spacing w:beforeLines="100" w:before="312" w:after="360" w:line="240" w:lineRule="auto"/>
        <w:outlineLvl w:val="1"/>
        <w:rPr>
          <w:rFonts w:ascii="Times New Roman" w:hAnsi="Times New Roman" w:cs="Times New Roman"/>
          <w:b/>
          <w:bCs/>
          <w:sz w:val="24"/>
        </w:rPr>
      </w:pPr>
      <w:bookmarkStart w:id="46" w:name="_Toc228743546"/>
      <w:r w:rsidRPr="00EB146A">
        <w:rPr>
          <w:rFonts w:ascii="Times New Roman" w:hAnsi="Times New Roman" w:cs="Times New Roman"/>
          <w:b/>
          <w:bCs/>
          <w:sz w:val="24"/>
        </w:rPr>
        <w:t>6.3 The Shifting Role of the "Author" in Distributed Creative Systems</w:t>
      </w:r>
      <w:bookmarkEnd w:id="46"/>
    </w:p>
    <w:p w14:paraId="06E825BC"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A primary reflection of this research is the fragmentation of authorship within the AI-human assemblage. In the "Digital Translation Protocol," authorship is no longer a centralized, individual act of genius. Instead, it is distributed between: </w:t>
      </w:r>
    </w:p>
    <w:p w14:paraId="12FC5D97"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The Ancestral Artisan: Who provided the original syntactic and semantic parameters. </w:t>
      </w:r>
    </w:p>
    <w:p w14:paraId="769F177C"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lastRenderedPageBreak/>
        <w:t xml:space="preserve">The Designer: Who acts as the curator of rules and the architect of the "phygital" interaction. </w:t>
      </w:r>
    </w:p>
    <w:p w14:paraId="5054E1A3"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The Algorithm: Which explores the "latent space" of variations that a human mind, constrained by its own biases, might overlook. </w:t>
      </w:r>
    </w:p>
    <w:p w14:paraId="63611223"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The Consumer: Who acts as the "performer" by activating the narrative through physical agency. </w:t>
      </w:r>
    </w:p>
    <w:p w14:paraId="1E01C672" w14:textId="77777777" w:rsidR="006F3CCC"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This distribution of agency offers a potent critique of the "Authorized Heritage Discourse". It suggests that the future of ICH preservation lies not in top-down institutional control, but in a collaborative ecosystem where technology serves as a bridge across time and space. </w:t>
      </w:r>
    </w:p>
    <w:p w14:paraId="7F3221EF" w14:textId="10E6A714" w:rsidR="00430CAF" w:rsidRPr="00EB146A" w:rsidRDefault="00430CAF" w:rsidP="00430CAF">
      <w:pPr>
        <w:jc w:val="center"/>
        <w:rPr>
          <w:rFonts w:ascii="Times New Roman" w:hAnsi="Times New Roman" w:cs="Times New Roman"/>
        </w:rPr>
      </w:pPr>
      <w:r>
        <w:rPr>
          <w:rFonts w:ascii="Times New Roman" w:hAnsi="Times New Roman" w:cs="Times New Roman"/>
          <w:noProof/>
        </w:rPr>
        <w:drawing>
          <wp:inline distT="0" distB="0" distL="0" distR="0" wp14:anchorId="141A4EB2" wp14:editId="47B7A145">
            <wp:extent cx="4381500" cy="2924520"/>
            <wp:effectExtent l="0" t="0" r="0" b="9525"/>
            <wp:docPr id="438970613"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392378" cy="2931781"/>
                    </a:xfrm>
                    <a:prstGeom prst="rect">
                      <a:avLst/>
                    </a:prstGeom>
                    <a:noFill/>
                    <a:ln>
                      <a:noFill/>
                    </a:ln>
                  </pic:spPr>
                </pic:pic>
              </a:graphicData>
            </a:graphic>
          </wp:inline>
        </w:drawing>
      </w:r>
    </w:p>
    <w:p w14:paraId="4526D550" w14:textId="77777777" w:rsidR="006F3CCC" w:rsidRPr="00EB146A" w:rsidRDefault="006F3CCC" w:rsidP="00EB146A">
      <w:pPr>
        <w:spacing w:beforeLines="100" w:before="312" w:after="360" w:line="240" w:lineRule="auto"/>
        <w:outlineLvl w:val="1"/>
        <w:rPr>
          <w:rFonts w:ascii="Times New Roman" w:hAnsi="Times New Roman" w:cs="Times New Roman"/>
          <w:b/>
          <w:bCs/>
          <w:sz w:val="24"/>
        </w:rPr>
      </w:pPr>
      <w:bookmarkStart w:id="47" w:name="_Toc228743547"/>
      <w:r w:rsidRPr="00EB146A">
        <w:rPr>
          <w:rFonts w:ascii="Times New Roman" w:hAnsi="Times New Roman" w:cs="Times New Roman"/>
          <w:b/>
          <w:bCs/>
          <w:sz w:val="24"/>
        </w:rPr>
        <w:t>6.4 Limitations and Future Research: The Inclusivity Gap</w:t>
      </w:r>
      <w:bookmarkEnd w:id="47"/>
    </w:p>
    <w:p w14:paraId="1B222EDC" w14:textId="0BC43475" w:rsidR="006F3CCC"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While the "Phygital Translation Protocol" offers a robust methodology for cultural-economic translation, a significant limitation identified during the practice is the Technological Inclusivity Gap. The reliance on high-end spatial computing hardware potentially excludes the very rural communities that create the heritage. Future research must investigate "frugal digital interventions"—how the deep logic of Shape Grammar and Semiotics can be applied to low-tech or analog-digital hybrids to ensure that rural revitalization is truly equitable. </w:t>
      </w:r>
    </w:p>
    <w:p w14:paraId="54821652" w14:textId="77777777" w:rsidR="00EB146A" w:rsidRDefault="00EB146A" w:rsidP="00EB146A">
      <w:pPr>
        <w:ind w:firstLineChars="200" w:firstLine="440"/>
        <w:rPr>
          <w:rFonts w:ascii="Times New Roman" w:hAnsi="Times New Roman" w:cs="Times New Roman"/>
        </w:rPr>
      </w:pPr>
    </w:p>
    <w:p w14:paraId="64966797" w14:textId="77777777" w:rsidR="00430CAF" w:rsidRPr="00EB146A" w:rsidRDefault="00430CAF" w:rsidP="00EB146A">
      <w:pPr>
        <w:ind w:firstLineChars="200" w:firstLine="440"/>
        <w:rPr>
          <w:rFonts w:ascii="Times New Roman" w:hAnsi="Times New Roman" w:cs="Times New Roman" w:hint="eastAsia"/>
        </w:rPr>
      </w:pPr>
    </w:p>
    <w:p w14:paraId="096C6320" w14:textId="77777777" w:rsidR="006F3CCC" w:rsidRPr="00EB146A" w:rsidRDefault="006F3CCC" w:rsidP="00EB146A">
      <w:pPr>
        <w:spacing w:beforeLines="100" w:before="312" w:after="360"/>
        <w:jc w:val="center"/>
        <w:outlineLvl w:val="0"/>
        <w:rPr>
          <w:rFonts w:ascii="Arial" w:hAnsi="Arial" w:cs="Arial"/>
          <w:b/>
          <w:bCs/>
          <w:sz w:val="32"/>
          <w:szCs w:val="32"/>
        </w:rPr>
      </w:pPr>
      <w:bookmarkStart w:id="48" w:name="_Toc228743548"/>
      <w:r w:rsidRPr="00EB146A">
        <w:rPr>
          <w:rFonts w:ascii="Arial" w:hAnsi="Arial" w:cs="Arial"/>
          <w:b/>
          <w:bCs/>
          <w:sz w:val="32"/>
          <w:szCs w:val="32"/>
        </w:rPr>
        <w:lastRenderedPageBreak/>
        <w:t>7. Conclusion</w:t>
      </w:r>
      <w:bookmarkEnd w:id="48"/>
    </w:p>
    <w:p w14:paraId="1E2374C1"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This research addressed the "wicked problem" of heritage conservation and rural revitalization by proposing a rigorous "Phygital Translation Protocol". Through the critical analysis of Henan folk arts and the iterative prototyping of AR-enhanced agricultural packaging, the study demonstrated that digital technology, when guided by systematic qualitative methods, can bridge the gap between static preservation and commercial exploitation. </w:t>
      </w:r>
    </w:p>
    <w:p w14:paraId="5142D772"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The integration of AI as an analytical co-pilot ensures that the "Aesthetic DNA" of regional heritage is translated with structural authenticity, effectively mitigating the risks of cultural appropriation. Furthermore, by embedding these narratives into everyday commodities like Lingbao apples, the research transforms a mundane consumer act into an embodied cultural experience. This shift from passive observation to active agency is the catalyst required to drive real-world engagement and stimulate cultural tourism. </w:t>
      </w:r>
    </w:p>
    <w:p w14:paraId="0C500742" w14:textId="77777777" w:rsidR="006F3CCC" w:rsidRPr="00EB146A" w:rsidRDefault="006F3CCC" w:rsidP="00EB146A">
      <w:pPr>
        <w:ind w:firstLineChars="200" w:firstLine="440"/>
        <w:rPr>
          <w:rFonts w:ascii="Times New Roman" w:hAnsi="Times New Roman" w:cs="Times New Roman"/>
        </w:rPr>
      </w:pPr>
      <w:r w:rsidRPr="00EB146A">
        <w:rPr>
          <w:rFonts w:ascii="Times New Roman" w:hAnsi="Times New Roman" w:cs="Times New Roman"/>
        </w:rPr>
        <w:t xml:space="preserve">Ultimately, this study contributes a replicable methodological framework to the field of design research, offering a path where regional identities are digitally reactivated as living, breathing components of a sustainable future economy. </w:t>
      </w:r>
    </w:p>
    <w:p w14:paraId="66B64C95" w14:textId="77777777" w:rsidR="00537BCD" w:rsidRDefault="00537BCD" w:rsidP="00EB146A">
      <w:pPr>
        <w:ind w:firstLineChars="200" w:firstLine="440"/>
        <w:rPr>
          <w:rFonts w:ascii="Times New Roman" w:hAnsi="Times New Roman" w:cs="Times New Roman"/>
        </w:rPr>
      </w:pPr>
    </w:p>
    <w:p w14:paraId="64B5C7E2" w14:textId="77777777" w:rsidR="00EB146A" w:rsidRDefault="00EB146A" w:rsidP="00EB146A">
      <w:pPr>
        <w:ind w:firstLineChars="200" w:firstLine="440"/>
        <w:rPr>
          <w:rFonts w:ascii="Times New Roman" w:hAnsi="Times New Roman" w:cs="Times New Roman"/>
        </w:rPr>
      </w:pPr>
    </w:p>
    <w:p w14:paraId="2ACC5FA7" w14:textId="77777777" w:rsidR="00EB146A" w:rsidRDefault="00EB146A" w:rsidP="00EB146A">
      <w:pPr>
        <w:ind w:firstLineChars="200" w:firstLine="440"/>
        <w:rPr>
          <w:rFonts w:ascii="Times New Roman" w:hAnsi="Times New Roman" w:cs="Times New Roman"/>
        </w:rPr>
      </w:pPr>
    </w:p>
    <w:p w14:paraId="7CE56EA4" w14:textId="77777777" w:rsidR="00EB146A" w:rsidRDefault="00EB146A" w:rsidP="00EB146A">
      <w:pPr>
        <w:ind w:firstLineChars="200" w:firstLine="440"/>
        <w:rPr>
          <w:rFonts w:ascii="Times New Roman" w:hAnsi="Times New Roman" w:cs="Times New Roman"/>
        </w:rPr>
      </w:pPr>
    </w:p>
    <w:p w14:paraId="0D72ECA2" w14:textId="77777777" w:rsidR="00EB146A" w:rsidRDefault="00EB146A" w:rsidP="00EB146A">
      <w:pPr>
        <w:ind w:firstLineChars="200" w:firstLine="440"/>
        <w:rPr>
          <w:rFonts w:ascii="Times New Roman" w:hAnsi="Times New Roman" w:cs="Times New Roman"/>
        </w:rPr>
      </w:pPr>
    </w:p>
    <w:p w14:paraId="45E66C6D" w14:textId="77777777" w:rsidR="00EB146A" w:rsidRDefault="00EB146A" w:rsidP="00EB146A">
      <w:pPr>
        <w:ind w:firstLineChars="200" w:firstLine="440"/>
        <w:rPr>
          <w:rFonts w:ascii="Times New Roman" w:hAnsi="Times New Roman" w:cs="Times New Roman"/>
        </w:rPr>
      </w:pPr>
    </w:p>
    <w:p w14:paraId="118F6F71" w14:textId="77777777" w:rsidR="00EB146A" w:rsidRDefault="00EB146A" w:rsidP="00EB146A">
      <w:pPr>
        <w:ind w:firstLineChars="200" w:firstLine="440"/>
        <w:rPr>
          <w:rFonts w:ascii="Times New Roman" w:hAnsi="Times New Roman" w:cs="Times New Roman"/>
        </w:rPr>
      </w:pPr>
    </w:p>
    <w:p w14:paraId="2FF28E2C" w14:textId="77777777" w:rsidR="00EB146A" w:rsidRDefault="00EB146A" w:rsidP="00EB146A">
      <w:pPr>
        <w:ind w:firstLineChars="200" w:firstLine="440"/>
        <w:rPr>
          <w:rFonts w:ascii="Times New Roman" w:hAnsi="Times New Roman" w:cs="Times New Roman"/>
        </w:rPr>
      </w:pPr>
    </w:p>
    <w:p w14:paraId="7CC68614" w14:textId="77777777" w:rsidR="00EB146A" w:rsidRDefault="00EB146A" w:rsidP="00EB146A">
      <w:pPr>
        <w:ind w:firstLineChars="200" w:firstLine="440"/>
        <w:rPr>
          <w:rFonts w:ascii="Times New Roman" w:hAnsi="Times New Roman" w:cs="Times New Roman"/>
        </w:rPr>
      </w:pPr>
    </w:p>
    <w:p w14:paraId="0A0A8705" w14:textId="77777777" w:rsidR="00EB146A" w:rsidRDefault="00EB146A" w:rsidP="00EB146A">
      <w:pPr>
        <w:ind w:firstLineChars="200" w:firstLine="440"/>
        <w:rPr>
          <w:rFonts w:ascii="Times New Roman" w:hAnsi="Times New Roman" w:cs="Times New Roman"/>
        </w:rPr>
      </w:pPr>
    </w:p>
    <w:p w14:paraId="7D378F51" w14:textId="77777777" w:rsidR="00EB146A" w:rsidRDefault="00EB146A" w:rsidP="00EB146A">
      <w:pPr>
        <w:ind w:firstLineChars="200" w:firstLine="440"/>
        <w:rPr>
          <w:rFonts w:ascii="Times New Roman" w:hAnsi="Times New Roman" w:cs="Times New Roman"/>
        </w:rPr>
      </w:pPr>
    </w:p>
    <w:p w14:paraId="271479A2" w14:textId="77777777" w:rsidR="00EB146A" w:rsidRDefault="00EB146A" w:rsidP="00EB146A">
      <w:pPr>
        <w:ind w:firstLineChars="200" w:firstLine="440"/>
        <w:rPr>
          <w:rFonts w:ascii="Times New Roman" w:hAnsi="Times New Roman" w:cs="Times New Roman"/>
        </w:rPr>
      </w:pPr>
    </w:p>
    <w:p w14:paraId="7B0232AF" w14:textId="77777777" w:rsidR="00EB146A" w:rsidRDefault="00EB146A" w:rsidP="00EB146A">
      <w:pPr>
        <w:ind w:firstLineChars="200" w:firstLine="440"/>
        <w:rPr>
          <w:rFonts w:ascii="Times New Roman" w:hAnsi="Times New Roman" w:cs="Times New Roman"/>
        </w:rPr>
      </w:pPr>
    </w:p>
    <w:p w14:paraId="1305EDE9" w14:textId="77777777" w:rsidR="00EB146A" w:rsidRPr="00BA07EE" w:rsidRDefault="00EB146A" w:rsidP="00EB146A">
      <w:pPr>
        <w:spacing w:beforeLines="100" w:before="312" w:after="360"/>
        <w:jc w:val="center"/>
        <w:outlineLvl w:val="0"/>
        <w:rPr>
          <w:rFonts w:ascii="Arial" w:hAnsi="Arial" w:cs="Arial"/>
          <w:b/>
          <w:bCs/>
          <w:sz w:val="32"/>
          <w:szCs w:val="32"/>
        </w:rPr>
      </w:pPr>
      <w:bookmarkStart w:id="49" w:name="_Toc216186006"/>
      <w:bookmarkStart w:id="50" w:name="_Toc228743549"/>
      <w:r w:rsidRPr="00BA07EE">
        <w:rPr>
          <w:rFonts w:ascii="Arial" w:hAnsi="Arial" w:cs="Arial"/>
          <w:b/>
          <w:bCs/>
          <w:sz w:val="32"/>
          <w:szCs w:val="32"/>
        </w:rPr>
        <w:lastRenderedPageBreak/>
        <w:t>References</w:t>
      </w:r>
      <w:bookmarkEnd w:id="49"/>
      <w:bookmarkEnd w:id="50"/>
    </w:p>
    <w:p w14:paraId="205FF744" w14:textId="77777777" w:rsidR="00EB146A" w:rsidRPr="00EB146A" w:rsidRDefault="00EB146A" w:rsidP="00EB146A">
      <w:pPr>
        <w:rPr>
          <w:rFonts w:ascii="Times New Roman" w:hAnsi="Times New Roman" w:cs="Times New Roman"/>
          <w:sz w:val="24"/>
        </w:rPr>
      </w:pPr>
      <w:r w:rsidRPr="00EB146A">
        <w:rPr>
          <w:rFonts w:ascii="Times New Roman" w:hAnsi="Times New Roman" w:cs="Times New Roman"/>
          <w:sz w:val="24"/>
        </w:rPr>
        <w:t>Braun, V., &amp; Clarke, V. (2006). Using thematic analysis in psychology. Qualitative Research in Psychology, 3(2), 77-101.</w:t>
      </w:r>
    </w:p>
    <w:p w14:paraId="1C9DB643" w14:textId="77777777" w:rsidR="00EB146A" w:rsidRPr="00EB146A" w:rsidRDefault="00EB146A" w:rsidP="00EB146A">
      <w:pPr>
        <w:rPr>
          <w:rFonts w:ascii="Times New Roman" w:hAnsi="Times New Roman" w:cs="Times New Roman"/>
          <w:sz w:val="24"/>
        </w:rPr>
      </w:pPr>
      <w:r w:rsidRPr="00EB146A">
        <w:rPr>
          <w:rFonts w:ascii="Times New Roman" w:hAnsi="Times New Roman" w:cs="Times New Roman"/>
          <w:sz w:val="24"/>
        </w:rPr>
        <w:t>Buhalis, D., &amp; Amaranggana, A. (2015). Smart Tourism Destinations Enhancing Tourism Experience Through Personalisation of Services. In Information and Communication Technologies in Tourism 2015 (pp. 377-389). Springer, Cham.</w:t>
      </w:r>
    </w:p>
    <w:p w14:paraId="6965DFEF" w14:textId="77777777" w:rsidR="00EB146A" w:rsidRPr="00EB146A" w:rsidRDefault="00EB146A" w:rsidP="00EB146A">
      <w:pPr>
        <w:rPr>
          <w:rFonts w:ascii="Times New Roman" w:hAnsi="Times New Roman" w:cs="Times New Roman"/>
          <w:sz w:val="24"/>
        </w:rPr>
      </w:pPr>
      <w:r w:rsidRPr="00EB146A">
        <w:rPr>
          <w:rFonts w:ascii="Times New Roman" w:hAnsi="Times New Roman" w:cs="Times New Roman"/>
          <w:sz w:val="24"/>
        </w:rPr>
        <w:t>Candy, L. (2006). Practice Based Research: A Guide. CCS Report: 2006-V1.0 November, University of Technology, Sydney.</w:t>
      </w:r>
    </w:p>
    <w:p w14:paraId="044CCB7D" w14:textId="77777777" w:rsidR="00EB146A" w:rsidRPr="00EB146A" w:rsidRDefault="00EB146A" w:rsidP="00EB146A">
      <w:pPr>
        <w:rPr>
          <w:rFonts w:ascii="Times New Roman" w:hAnsi="Times New Roman" w:cs="Times New Roman"/>
          <w:sz w:val="24"/>
        </w:rPr>
      </w:pPr>
      <w:r w:rsidRPr="00EB146A">
        <w:rPr>
          <w:rFonts w:ascii="Times New Roman" w:hAnsi="Times New Roman" w:cs="Times New Roman"/>
          <w:sz w:val="24"/>
        </w:rPr>
        <w:t>Dourish, P. (2001). Where the Action Is: The Foundations of Embodied Interaction. MIT Press.</w:t>
      </w:r>
    </w:p>
    <w:p w14:paraId="112730F6" w14:textId="77777777" w:rsidR="00EB146A" w:rsidRPr="00EB146A" w:rsidRDefault="00EB146A" w:rsidP="00EB146A">
      <w:pPr>
        <w:rPr>
          <w:rFonts w:ascii="Times New Roman" w:hAnsi="Times New Roman" w:cs="Times New Roman"/>
          <w:sz w:val="24"/>
        </w:rPr>
      </w:pPr>
      <w:r w:rsidRPr="00EB146A">
        <w:rPr>
          <w:rFonts w:ascii="Times New Roman" w:hAnsi="Times New Roman" w:cs="Times New Roman"/>
          <w:sz w:val="24"/>
        </w:rPr>
        <w:t>Frayling, C. (1993). Research in Art and Design. Royal College of Art Research Papers, 1(1), 1-5.</w:t>
      </w:r>
    </w:p>
    <w:p w14:paraId="278E09D6" w14:textId="77777777" w:rsidR="00EB146A" w:rsidRPr="00EB146A" w:rsidRDefault="00EB146A" w:rsidP="00EB146A">
      <w:pPr>
        <w:rPr>
          <w:rFonts w:ascii="Times New Roman" w:hAnsi="Times New Roman" w:cs="Times New Roman"/>
          <w:sz w:val="24"/>
        </w:rPr>
      </w:pPr>
      <w:r w:rsidRPr="00EB146A">
        <w:rPr>
          <w:rFonts w:ascii="Times New Roman" w:hAnsi="Times New Roman" w:cs="Times New Roman"/>
          <w:sz w:val="24"/>
        </w:rPr>
        <w:t>Harrison, R. (2013). Heritage: Critical Approaches. Routledge.</w:t>
      </w:r>
    </w:p>
    <w:p w14:paraId="0F1C20A0" w14:textId="77777777" w:rsidR="00EB146A" w:rsidRPr="00EB146A" w:rsidRDefault="00EB146A" w:rsidP="00EB146A">
      <w:pPr>
        <w:rPr>
          <w:rFonts w:ascii="Times New Roman" w:hAnsi="Times New Roman" w:cs="Times New Roman"/>
          <w:sz w:val="24"/>
        </w:rPr>
      </w:pPr>
      <w:r w:rsidRPr="00EB146A">
        <w:rPr>
          <w:rFonts w:ascii="Times New Roman" w:hAnsi="Times New Roman" w:cs="Times New Roman"/>
          <w:sz w:val="24"/>
        </w:rPr>
        <w:t>Jameson, F. (1991). Postmodernism, or, The Cultural Logic of Late Capitalism. Duke University Press.</w:t>
      </w:r>
    </w:p>
    <w:p w14:paraId="451C5159" w14:textId="77777777" w:rsidR="00EB146A" w:rsidRPr="00EB146A" w:rsidRDefault="00EB146A" w:rsidP="00EB146A">
      <w:pPr>
        <w:rPr>
          <w:rFonts w:ascii="Times New Roman" w:hAnsi="Times New Roman" w:cs="Times New Roman"/>
          <w:sz w:val="24"/>
        </w:rPr>
      </w:pPr>
      <w:r w:rsidRPr="00EB146A">
        <w:rPr>
          <w:rFonts w:ascii="Times New Roman" w:hAnsi="Times New Roman" w:cs="Times New Roman"/>
          <w:sz w:val="24"/>
        </w:rPr>
        <w:t>Kirshenblatt-Gimblett, B. (1998). Destination Culture: Tourism, Museums, and Heritage. University of California Press.</w:t>
      </w:r>
    </w:p>
    <w:p w14:paraId="6A699826" w14:textId="77777777" w:rsidR="00EB146A" w:rsidRPr="00EB146A" w:rsidRDefault="00EB146A" w:rsidP="00EB146A">
      <w:pPr>
        <w:rPr>
          <w:rFonts w:ascii="Times New Roman" w:hAnsi="Times New Roman" w:cs="Times New Roman"/>
          <w:sz w:val="24"/>
        </w:rPr>
      </w:pPr>
      <w:r w:rsidRPr="00EB146A">
        <w:rPr>
          <w:rFonts w:ascii="Times New Roman" w:hAnsi="Times New Roman" w:cs="Times New Roman"/>
          <w:sz w:val="24"/>
        </w:rPr>
        <w:t>Lin, R. T., &amp; Zhang, W. Y. (2020). Cultural DNA: A Framework for Cultural Product Design. International Journal of Cultural and Creative Industries, 7(1), 4-21.</w:t>
      </w:r>
    </w:p>
    <w:p w14:paraId="6FFEDB52" w14:textId="77777777" w:rsidR="00EB146A" w:rsidRPr="00EB146A" w:rsidRDefault="00EB146A" w:rsidP="00EB146A">
      <w:pPr>
        <w:rPr>
          <w:rFonts w:ascii="Times New Roman" w:hAnsi="Times New Roman" w:cs="Times New Roman"/>
          <w:sz w:val="24"/>
        </w:rPr>
      </w:pPr>
      <w:r w:rsidRPr="00EB146A">
        <w:rPr>
          <w:rFonts w:ascii="Times New Roman" w:hAnsi="Times New Roman" w:cs="Times New Roman"/>
          <w:sz w:val="24"/>
        </w:rPr>
        <w:t>Linstone, H. A., &amp; Turoff, M. (1975). The Delphi Method: Techniques and Applications. Addison-Wesley.</w:t>
      </w:r>
    </w:p>
    <w:p w14:paraId="1F30B9C0" w14:textId="77777777" w:rsidR="00EB146A" w:rsidRPr="00EB146A" w:rsidRDefault="00EB146A" w:rsidP="00EB146A">
      <w:pPr>
        <w:rPr>
          <w:rFonts w:ascii="Times New Roman" w:hAnsi="Times New Roman" w:cs="Times New Roman"/>
          <w:sz w:val="24"/>
        </w:rPr>
      </w:pPr>
      <w:r w:rsidRPr="00EB146A">
        <w:rPr>
          <w:rFonts w:ascii="Times New Roman" w:hAnsi="Times New Roman" w:cs="Times New Roman"/>
          <w:sz w:val="24"/>
        </w:rPr>
        <w:t>Manovich, L. (2013). Software Takes Command. Bloomsbury Academic.</w:t>
      </w:r>
    </w:p>
    <w:p w14:paraId="2B52B007" w14:textId="77777777" w:rsidR="00EB146A" w:rsidRPr="00EB146A" w:rsidRDefault="00EB146A" w:rsidP="00EB146A">
      <w:pPr>
        <w:rPr>
          <w:rFonts w:ascii="Times New Roman" w:hAnsi="Times New Roman" w:cs="Times New Roman"/>
          <w:sz w:val="24"/>
        </w:rPr>
      </w:pPr>
      <w:r w:rsidRPr="00EB146A">
        <w:rPr>
          <w:rFonts w:ascii="Times New Roman" w:hAnsi="Times New Roman" w:cs="Times New Roman"/>
          <w:sz w:val="24"/>
        </w:rPr>
        <w:t>Manzini, E. (2015). Design, When Everybody Designs: An Introduction to Design for Social Innovation. MIT Press.</w:t>
      </w:r>
    </w:p>
    <w:p w14:paraId="1E37B5A4" w14:textId="77777777" w:rsidR="00EB146A" w:rsidRPr="00EB146A" w:rsidRDefault="00EB146A" w:rsidP="00EB146A">
      <w:pPr>
        <w:rPr>
          <w:rFonts w:ascii="Times New Roman" w:hAnsi="Times New Roman" w:cs="Times New Roman"/>
          <w:sz w:val="24"/>
        </w:rPr>
      </w:pPr>
      <w:r w:rsidRPr="00EB146A">
        <w:rPr>
          <w:rFonts w:ascii="Times New Roman" w:hAnsi="Times New Roman" w:cs="Times New Roman"/>
          <w:sz w:val="24"/>
        </w:rPr>
        <w:t>McCormack, J., Gifford, T., &amp; Hutchings, P. (2019). Autonomy, Agency, and Enactive Computational Creativity. Cognitive Computation, 11(1), 115-132.</w:t>
      </w:r>
    </w:p>
    <w:p w14:paraId="5A4017CA" w14:textId="77777777" w:rsidR="00EB146A" w:rsidRPr="00EB146A" w:rsidRDefault="00EB146A" w:rsidP="00EB146A">
      <w:pPr>
        <w:rPr>
          <w:rFonts w:ascii="Times New Roman" w:hAnsi="Times New Roman" w:cs="Times New Roman"/>
          <w:sz w:val="24"/>
        </w:rPr>
      </w:pPr>
      <w:r w:rsidRPr="00EB146A">
        <w:rPr>
          <w:rFonts w:ascii="Times New Roman" w:hAnsi="Times New Roman" w:cs="Times New Roman"/>
          <w:sz w:val="24"/>
        </w:rPr>
        <w:t>Rittel, H. W., &amp; Webber, M. M. (1973). Dilemmas in a General Theory of Planning. Policy Sciences, 4(2), 155-169.</w:t>
      </w:r>
    </w:p>
    <w:p w14:paraId="67DD7799" w14:textId="77777777" w:rsidR="00EB146A" w:rsidRPr="00EB146A" w:rsidRDefault="00EB146A" w:rsidP="00EB146A">
      <w:pPr>
        <w:rPr>
          <w:rFonts w:ascii="Times New Roman" w:hAnsi="Times New Roman" w:cs="Times New Roman"/>
          <w:sz w:val="24"/>
        </w:rPr>
      </w:pPr>
      <w:r w:rsidRPr="00EB146A">
        <w:rPr>
          <w:rFonts w:ascii="Times New Roman" w:hAnsi="Times New Roman" w:cs="Times New Roman"/>
          <w:sz w:val="24"/>
        </w:rPr>
        <w:t>Saussure, F. (1959). Course in General Linguistics. Philosophical Library.</w:t>
      </w:r>
    </w:p>
    <w:p w14:paraId="364212E8" w14:textId="77777777" w:rsidR="00EB146A" w:rsidRPr="00EB146A" w:rsidRDefault="00EB146A" w:rsidP="00EB146A">
      <w:pPr>
        <w:rPr>
          <w:rFonts w:ascii="Times New Roman" w:hAnsi="Times New Roman" w:cs="Times New Roman"/>
          <w:sz w:val="24"/>
        </w:rPr>
      </w:pPr>
      <w:r w:rsidRPr="00EB146A">
        <w:rPr>
          <w:rFonts w:ascii="Times New Roman" w:hAnsi="Times New Roman" w:cs="Times New Roman"/>
          <w:sz w:val="24"/>
        </w:rPr>
        <w:t xml:space="preserve">Scafidi, S. (2005). Who Owns Culture? Appropriation and Authenticity in American </w:t>
      </w:r>
      <w:r w:rsidRPr="00EB146A">
        <w:rPr>
          <w:rFonts w:ascii="Times New Roman" w:hAnsi="Times New Roman" w:cs="Times New Roman"/>
          <w:sz w:val="24"/>
        </w:rPr>
        <w:lastRenderedPageBreak/>
        <w:t>Law. Rutgers University Press.</w:t>
      </w:r>
    </w:p>
    <w:p w14:paraId="1FDC1E75" w14:textId="77777777" w:rsidR="00EB146A" w:rsidRPr="00EB146A" w:rsidRDefault="00EB146A" w:rsidP="00EB146A">
      <w:pPr>
        <w:rPr>
          <w:rFonts w:ascii="Times New Roman" w:hAnsi="Times New Roman" w:cs="Times New Roman"/>
          <w:sz w:val="24"/>
        </w:rPr>
      </w:pPr>
      <w:r w:rsidRPr="00EB146A">
        <w:rPr>
          <w:rFonts w:ascii="Times New Roman" w:hAnsi="Times New Roman" w:cs="Times New Roman"/>
          <w:sz w:val="24"/>
        </w:rPr>
        <w:t>Schön, D. A. (1983). The Reflective Practitioner: How Professionals Think in Action. Basic Books.</w:t>
      </w:r>
    </w:p>
    <w:p w14:paraId="5A892F9E" w14:textId="77777777" w:rsidR="00EB146A" w:rsidRPr="00EB146A" w:rsidRDefault="00EB146A" w:rsidP="00EB146A">
      <w:pPr>
        <w:rPr>
          <w:rFonts w:ascii="Times New Roman" w:hAnsi="Times New Roman" w:cs="Times New Roman"/>
          <w:sz w:val="24"/>
        </w:rPr>
      </w:pPr>
      <w:r w:rsidRPr="00EB146A">
        <w:rPr>
          <w:rFonts w:ascii="Times New Roman" w:hAnsi="Times New Roman" w:cs="Times New Roman"/>
          <w:sz w:val="24"/>
        </w:rPr>
        <w:t>Smith, L. (2006). Uses of Heritage. Routledge.</w:t>
      </w:r>
    </w:p>
    <w:p w14:paraId="74F5C14F" w14:textId="60894E27" w:rsidR="00EB146A" w:rsidRPr="00EB146A" w:rsidRDefault="00EB146A" w:rsidP="00EB146A">
      <w:pPr>
        <w:rPr>
          <w:rFonts w:ascii="Times New Roman" w:hAnsi="Times New Roman" w:cs="Times New Roman"/>
          <w:sz w:val="24"/>
        </w:rPr>
      </w:pPr>
      <w:r w:rsidRPr="00EB146A">
        <w:rPr>
          <w:rFonts w:ascii="Times New Roman" w:hAnsi="Times New Roman" w:cs="Times New Roman"/>
          <w:sz w:val="24"/>
        </w:rPr>
        <w:t>Stiny, G. (1980). Introduction to Shape and Shape Grammars. Environment and Planning B: Planning and Design, 7(3), 343-351.</w:t>
      </w:r>
    </w:p>
    <w:sectPr w:rsidR="00EB146A" w:rsidRPr="00EB146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0B724A" w14:textId="77777777" w:rsidR="001F6DA7" w:rsidRDefault="001F6DA7" w:rsidP="00537BCD">
      <w:pPr>
        <w:spacing w:after="0" w:line="240" w:lineRule="auto"/>
        <w:rPr>
          <w:rFonts w:hint="eastAsia"/>
        </w:rPr>
      </w:pPr>
      <w:r>
        <w:separator/>
      </w:r>
    </w:p>
  </w:endnote>
  <w:endnote w:type="continuationSeparator" w:id="0">
    <w:p w14:paraId="131A79FB" w14:textId="77777777" w:rsidR="001F6DA7" w:rsidRDefault="001F6DA7" w:rsidP="00537BCD">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FB21DA" w14:textId="77777777" w:rsidR="001F6DA7" w:rsidRDefault="001F6DA7" w:rsidP="00537BCD">
      <w:pPr>
        <w:spacing w:after="0" w:line="240" w:lineRule="auto"/>
        <w:rPr>
          <w:rFonts w:hint="eastAsia"/>
        </w:rPr>
      </w:pPr>
      <w:r>
        <w:separator/>
      </w:r>
    </w:p>
  </w:footnote>
  <w:footnote w:type="continuationSeparator" w:id="0">
    <w:p w14:paraId="6BA796E7" w14:textId="77777777" w:rsidR="001F6DA7" w:rsidRDefault="001F6DA7" w:rsidP="00537BCD">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F16CB"/>
    <w:multiLevelType w:val="multilevel"/>
    <w:tmpl w:val="3DF2B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B5777F"/>
    <w:multiLevelType w:val="multilevel"/>
    <w:tmpl w:val="125CD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AB1991"/>
    <w:multiLevelType w:val="multilevel"/>
    <w:tmpl w:val="E76A4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3B60C6"/>
    <w:multiLevelType w:val="multilevel"/>
    <w:tmpl w:val="C7D84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ED3516"/>
    <w:multiLevelType w:val="multilevel"/>
    <w:tmpl w:val="A844C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0D18EE"/>
    <w:multiLevelType w:val="multilevel"/>
    <w:tmpl w:val="3BFA7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AB2F77"/>
    <w:multiLevelType w:val="multilevel"/>
    <w:tmpl w:val="4A3421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E441FD2"/>
    <w:multiLevelType w:val="multilevel"/>
    <w:tmpl w:val="0526F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D805AB"/>
    <w:multiLevelType w:val="multilevel"/>
    <w:tmpl w:val="3E2A66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C35FAC"/>
    <w:multiLevelType w:val="multilevel"/>
    <w:tmpl w:val="3FE003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B62543A"/>
    <w:multiLevelType w:val="multilevel"/>
    <w:tmpl w:val="F9AAA3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9040F3"/>
    <w:multiLevelType w:val="multilevel"/>
    <w:tmpl w:val="DFAA3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DF2978"/>
    <w:multiLevelType w:val="multilevel"/>
    <w:tmpl w:val="52588F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3E94753"/>
    <w:multiLevelType w:val="multilevel"/>
    <w:tmpl w:val="E5F47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BA709C"/>
    <w:multiLevelType w:val="multilevel"/>
    <w:tmpl w:val="C8363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6641BE"/>
    <w:multiLevelType w:val="multilevel"/>
    <w:tmpl w:val="CCE4C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AD7A4A"/>
    <w:multiLevelType w:val="multilevel"/>
    <w:tmpl w:val="7D3AB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057EE9"/>
    <w:multiLevelType w:val="multilevel"/>
    <w:tmpl w:val="FA6A7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A71A10"/>
    <w:multiLevelType w:val="multilevel"/>
    <w:tmpl w:val="204ED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6160222">
    <w:abstractNumId w:val="11"/>
  </w:num>
  <w:num w:numId="2" w16cid:durableId="2071147569">
    <w:abstractNumId w:val="13"/>
  </w:num>
  <w:num w:numId="3" w16cid:durableId="888803322">
    <w:abstractNumId w:val="16"/>
  </w:num>
  <w:num w:numId="4" w16cid:durableId="462045103">
    <w:abstractNumId w:val="4"/>
  </w:num>
  <w:num w:numId="5" w16cid:durableId="1908999508">
    <w:abstractNumId w:val="15"/>
  </w:num>
  <w:num w:numId="6" w16cid:durableId="477265879">
    <w:abstractNumId w:val="0"/>
  </w:num>
  <w:num w:numId="7" w16cid:durableId="891428879">
    <w:abstractNumId w:val="8"/>
  </w:num>
  <w:num w:numId="8" w16cid:durableId="809059824">
    <w:abstractNumId w:val="2"/>
  </w:num>
  <w:num w:numId="9" w16cid:durableId="1068654460">
    <w:abstractNumId w:val="14"/>
  </w:num>
  <w:num w:numId="10" w16cid:durableId="1416898583">
    <w:abstractNumId w:val="7"/>
  </w:num>
  <w:num w:numId="11" w16cid:durableId="831726732">
    <w:abstractNumId w:val="10"/>
  </w:num>
  <w:num w:numId="12" w16cid:durableId="341277304">
    <w:abstractNumId w:val="3"/>
  </w:num>
  <w:num w:numId="13" w16cid:durableId="1104886486">
    <w:abstractNumId w:val="6"/>
  </w:num>
  <w:num w:numId="14" w16cid:durableId="292487970">
    <w:abstractNumId w:val="1"/>
  </w:num>
  <w:num w:numId="15" w16cid:durableId="1282112345">
    <w:abstractNumId w:val="12"/>
  </w:num>
  <w:num w:numId="16" w16cid:durableId="1708097211">
    <w:abstractNumId w:val="18"/>
  </w:num>
  <w:num w:numId="17" w16cid:durableId="1853648033">
    <w:abstractNumId w:val="5"/>
  </w:num>
  <w:num w:numId="18" w16cid:durableId="1152336466">
    <w:abstractNumId w:val="9"/>
  </w:num>
  <w:num w:numId="19" w16cid:durableId="77451831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241"/>
    <w:rsid w:val="001F6DA7"/>
    <w:rsid w:val="00270A07"/>
    <w:rsid w:val="0039166B"/>
    <w:rsid w:val="003937B1"/>
    <w:rsid w:val="00430CAF"/>
    <w:rsid w:val="004E05E3"/>
    <w:rsid w:val="004F6756"/>
    <w:rsid w:val="00537BCD"/>
    <w:rsid w:val="0058792E"/>
    <w:rsid w:val="005A0C46"/>
    <w:rsid w:val="006F3CCC"/>
    <w:rsid w:val="009477D3"/>
    <w:rsid w:val="009E70AA"/>
    <w:rsid w:val="00A70DAE"/>
    <w:rsid w:val="00C42CDE"/>
    <w:rsid w:val="00E2268A"/>
    <w:rsid w:val="00EB146A"/>
    <w:rsid w:val="00FD22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358587"/>
  <w15:chartTrackingRefBased/>
  <w15:docId w15:val="{7B3D3424-230F-435D-BBFB-FD1971D65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FD2241"/>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FD2241"/>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FD2241"/>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FD2241"/>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FD2241"/>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FD2241"/>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FD2241"/>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FD2241"/>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FD2241"/>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FD2241"/>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FD2241"/>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FD2241"/>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FD2241"/>
    <w:rPr>
      <w:rFonts w:cstheme="majorBidi"/>
      <w:color w:val="0F4761" w:themeColor="accent1" w:themeShade="BF"/>
      <w:sz w:val="28"/>
      <w:szCs w:val="28"/>
    </w:rPr>
  </w:style>
  <w:style w:type="character" w:customStyle="1" w:styleId="50">
    <w:name w:val="标题 5 字符"/>
    <w:basedOn w:val="a0"/>
    <w:link w:val="5"/>
    <w:uiPriority w:val="9"/>
    <w:semiHidden/>
    <w:rsid w:val="00FD2241"/>
    <w:rPr>
      <w:rFonts w:cstheme="majorBidi"/>
      <w:color w:val="0F4761" w:themeColor="accent1" w:themeShade="BF"/>
      <w:sz w:val="24"/>
    </w:rPr>
  </w:style>
  <w:style w:type="character" w:customStyle="1" w:styleId="60">
    <w:name w:val="标题 6 字符"/>
    <w:basedOn w:val="a0"/>
    <w:link w:val="6"/>
    <w:uiPriority w:val="9"/>
    <w:semiHidden/>
    <w:rsid w:val="00FD2241"/>
    <w:rPr>
      <w:rFonts w:cstheme="majorBidi"/>
      <w:b/>
      <w:bCs/>
      <w:color w:val="0F4761" w:themeColor="accent1" w:themeShade="BF"/>
    </w:rPr>
  </w:style>
  <w:style w:type="character" w:customStyle="1" w:styleId="70">
    <w:name w:val="标题 7 字符"/>
    <w:basedOn w:val="a0"/>
    <w:link w:val="7"/>
    <w:uiPriority w:val="9"/>
    <w:semiHidden/>
    <w:rsid w:val="00FD2241"/>
    <w:rPr>
      <w:rFonts w:cstheme="majorBidi"/>
      <w:b/>
      <w:bCs/>
      <w:color w:val="595959" w:themeColor="text1" w:themeTint="A6"/>
    </w:rPr>
  </w:style>
  <w:style w:type="character" w:customStyle="1" w:styleId="80">
    <w:name w:val="标题 8 字符"/>
    <w:basedOn w:val="a0"/>
    <w:link w:val="8"/>
    <w:uiPriority w:val="9"/>
    <w:semiHidden/>
    <w:rsid w:val="00FD2241"/>
    <w:rPr>
      <w:rFonts w:cstheme="majorBidi"/>
      <w:color w:val="595959" w:themeColor="text1" w:themeTint="A6"/>
    </w:rPr>
  </w:style>
  <w:style w:type="character" w:customStyle="1" w:styleId="90">
    <w:name w:val="标题 9 字符"/>
    <w:basedOn w:val="a0"/>
    <w:link w:val="9"/>
    <w:uiPriority w:val="9"/>
    <w:semiHidden/>
    <w:rsid w:val="00FD2241"/>
    <w:rPr>
      <w:rFonts w:eastAsiaTheme="majorEastAsia" w:cstheme="majorBidi"/>
      <w:color w:val="595959" w:themeColor="text1" w:themeTint="A6"/>
    </w:rPr>
  </w:style>
  <w:style w:type="paragraph" w:styleId="a3">
    <w:name w:val="Title"/>
    <w:basedOn w:val="a"/>
    <w:next w:val="a"/>
    <w:link w:val="a4"/>
    <w:uiPriority w:val="10"/>
    <w:qFormat/>
    <w:rsid w:val="00FD2241"/>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FD224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FD2241"/>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FD2241"/>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FD2241"/>
    <w:pPr>
      <w:spacing w:before="160"/>
      <w:jc w:val="center"/>
    </w:pPr>
    <w:rPr>
      <w:i/>
      <w:iCs/>
      <w:color w:val="404040" w:themeColor="text1" w:themeTint="BF"/>
    </w:rPr>
  </w:style>
  <w:style w:type="character" w:customStyle="1" w:styleId="a8">
    <w:name w:val="引用 字符"/>
    <w:basedOn w:val="a0"/>
    <w:link w:val="a7"/>
    <w:uiPriority w:val="29"/>
    <w:rsid w:val="00FD2241"/>
    <w:rPr>
      <w:i/>
      <w:iCs/>
      <w:color w:val="404040" w:themeColor="text1" w:themeTint="BF"/>
    </w:rPr>
  </w:style>
  <w:style w:type="paragraph" w:styleId="a9">
    <w:name w:val="List Paragraph"/>
    <w:basedOn w:val="a"/>
    <w:uiPriority w:val="34"/>
    <w:qFormat/>
    <w:rsid w:val="00FD2241"/>
    <w:pPr>
      <w:ind w:left="720"/>
      <w:contextualSpacing/>
    </w:pPr>
  </w:style>
  <w:style w:type="character" w:styleId="aa">
    <w:name w:val="Intense Emphasis"/>
    <w:basedOn w:val="a0"/>
    <w:uiPriority w:val="21"/>
    <w:qFormat/>
    <w:rsid w:val="00FD2241"/>
    <w:rPr>
      <w:i/>
      <w:iCs/>
      <w:color w:val="0F4761" w:themeColor="accent1" w:themeShade="BF"/>
    </w:rPr>
  </w:style>
  <w:style w:type="paragraph" w:styleId="ab">
    <w:name w:val="Intense Quote"/>
    <w:basedOn w:val="a"/>
    <w:next w:val="a"/>
    <w:link w:val="ac"/>
    <w:uiPriority w:val="30"/>
    <w:qFormat/>
    <w:rsid w:val="00FD22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FD2241"/>
    <w:rPr>
      <w:i/>
      <w:iCs/>
      <w:color w:val="0F4761" w:themeColor="accent1" w:themeShade="BF"/>
    </w:rPr>
  </w:style>
  <w:style w:type="character" w:styleId="ad">
    <w:name w:val="Intense Reference"/>
    <w:basedOn w:val="a0"/>
    <w:uiPriority w:val="32"/>
    <w:qFormat/>
    <w:rsid w:val="00FD2241"/>
    <w:rPr>
      <w:b/>
      <w:bCs/>
      <w:smallCaps/>
      <w:color w:val="0F4761" w:themeColor="accent1" w:themeShade="BF"/>
      <w:spacing w:val="5"/>
    </w:rPr>
  </w:style>
  <w:style w:type="paragraph" w:styleId="ae">
    <w:name w:val="header"/>
    <w:basedOn w:val="a"/>
    <w:link w:val="af"/>
    <w:uiPriority w:val="99"/>
    <w:unhideWhenUsed/>
    <w:rsid w:val="00537BCD"/>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537BCD"/>
    <w:rPr>
      <w:sz w:val="18"/>
      <w:szCs w:val="18"/>
    </w:rPr>
  </w:style>
  <w:style w:type="paragraph" w:styleId="af0">
    <w:name w:val="footer"/>
    <w:basedOn w:val="a"/>
    <w:link w:val="af1"/>
    <w:uiPriority w:val="99"/>
    <w:unhideWhenUsed/>
    <w:rsid w:val="00537BCD"/>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537BCD"/>
    <w:rPr>
      <w:sz w:val="18"/>
      <w:szCs w:val="18"/>
    </w:rPr>
  </w:style>
  <w:style w:type="paragraph" w:styleId="TOC">
    <w:name w:val="TOC Heading"/>
    <w:basedOn w:val="1"/>
    <w:next w:val="a"/>
    <w:uiPriority w:val="39"/>
    <w:unhideWhenUsed/>
    <w:qFormat/>
    <w:rsid w:val="004E05E3"/>
    <w:pPr>
      <w:widowControl/>
      <w:spacing w:before="240" w:after="0" w:line="259" w:lineRule="auto"/>
      <w:outlineLvl w:val="9"/>
    </w:pPr>
    <w:rPr>
      <w:kern w:val="0"/>
      <w:sz w:val="32"/>
      <w:szCs w:val="32"/>
      <w14:ligatures w14:val="none"/>
    </w:rPr>
  </w:style>
  <w:style w:type="paragraph" w:styleId="TOC1">
    <w:name w:val="toc 1"/>
    <w:basedOn w:val="a"/>
    <w:next w:val="a"/>
    <w:autoRedefine/>
    <w:uiPriority w:val="39"/>
    <w:unhideWhenUsed/>
    <w:rsid w:val="004E05E3"/>
  </w:style>
  <w:style w:type="paragraph" w:styleId="TOC2">
    <w:name w:val="toc 2"/>
    <w:basedOn w:val="a"/>
    <w:next w:val="a"/>
    <w:autoRedefine/>
    <w:uiPriority w:val="39"/>
    <w:unhideWhenUsed/>
    <w:rsid w:val="004E05E3"/>
    <w:pPr>
      <w:ind w:leftChars="200" w:left="420"/>
    </w:pPr>
  </w:style>
  <w:style w:type="paragraph" w:styleId="TOC3">
    <w:name w:val="toc 3"/>
    <w:basedOn w:val="a"/>
    <w:next w:val="a"/>
    <w:autoRedefine/>
    <w:uiPriority w:val="39"/>
    <w:unhideWhenUsed/>
    <w:rsid w:val="004E05E3"/>
    <w:pPr>
      <w:ind w:leftChars="400" w:left="840"/>
    </w:pPr>
  </w:style>
  <w:style w:type="character" w:styleId="af2">
    <w:name w:val="Hyperlink"/>
    <w:basedOn w:val="a0"/>
    <w:uiPriority w:val="99"/>
    <w:unhideWhenUsed/>
    <w:rsid w:val="004E05E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E6F40E-5BE5-4FCA-85C6-50BAAC0FA1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33</Pages>
  <Words>8650</Words>
  <Characters>52772</Characters>
  <Application>Microsoft Office Word</Application>
  <DocSecurity>0</DocSecurity>
  <Lines>909</Lines>
  <Paragraphs>298</Paragraphs>
  <ScaleCrop>false</ScaleCrop>
  <Company/>
  <LinksUpToDate>false</LinksUpToDate>
  <CharactersWithSpaces>61124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Jianan Liu (2507323)</dc:creator>
  <cp:keywords/>
  <dc:description/>
  <cp:lastModifiedBy>一 齐</cp:lastModifiedBy>
  <cp:revision>9</cp:revision>
  <dcterms:created xsi:type="dcterms:W3CDTF">2026-05-03T18:31:00Z</dcterms:created>
  <dcterms:modified xsi:type="dcterms:W3CDTF">2026-05-03T22:31:00Z</dcterms:modified>
</cp:coreProperties>
</file>