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DF1B2C" w14:textId="2AB6F769" w:rsidR="001571D2" w:rsidRPr="00432E46" w:rsidRDefault="001571D2" w:rsidP="001571D2">
      <w:pPr>
        <w:rPr>
          <w:rFonts w:asciiTheme="minorBidi" w:hAnsiTheme="minorBidi"/>
          <w:sz w:val="22"/>
        </w:rPr>
      </w:pPr>
    </w:p>
    <w:p w14:paraId="16227234" w14:textId="483E303D" w:rsidR="001571D2" w:rsidRPr="00432E46" w:rsidRDefault="007625C8" w:rsidP="001571D2">
      <w:pPr>
        <w:rPr>
          <w:rFonts w:asciiTheme="minorBidi" w:hAnsiTheme="minorBidi"/>
          <w:sz w:val="22"/>
        </w:rPr>
      </w:pPr>
      <w:r w:rsidRPr="00432E46">
        <w:rPr>
          <w:rFonts w:asciiTheme="minorBidi" w:hAnsiTheme="minorBidi"/>
          <w:noProof/>
          <w:sz w:val="22"/>
          <w:lang w:eastAsia="en-GB"/>
        </w:rPr>
        <w:drawing>
          <wp:anchor distT="0" distB="0" distL="114300" distR="114300" simplePos="0" relativeHeight="251659264" behindDoc="0" locked="0" layoutInCell="1" allowOverlap="1" wp14:anchorId="1AAA70F1" wp14:editId="5D18C7E9">
            <wp:simplePos x="0" y="0"/>
            <wp:positionH relativeFrom="column">
              <wp:posOffset>0</wp:posOffset>
            </wp:positionH>
            <wp:positionV relativeFrom="paragraph">
              <wp:posOffset>116840</wp:posOffset>
            </wp:positionV>
            <wp:extent cx="1809750" cy="59817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a:extLst>
                        <a:ext uri="{28A0092B-C50C-407E-A947-70E740481C1C}">
                          <a14:useLocalDpi xmlns:a14="http://schemas.microsoft.com/office/drawing/2010/main" val="0"/>
                        </a:ext>
                      </a:extLst>
                    </a:blip>
                    <a:stretch>
                      <a:fillRect/>
                    </a:stretch>
                  </pic:blipFill>
                  <pic:spPr bwMode="auto">
                    <a:xfrm>
                      <a:off x="0" y="0"/>
                      <a:ext cx="1809750" cy="598170"/>
                    </a:xfrm>
                    <a:prstGeom prst="rect">
                      <a:avLst/>
                    </a:prstGeom>
                    <a:noFill/>
                    <a:ln>
                      <a:noFill/>
                    </a:ln>
                  </pic:spPr>
                </pic:pic>
              </a:graphicData>
            </a:graphic>
            <wp14:sizeRelV relativeFrom="margin">
              <wp14:pctHeight>0</wp14:pctHeight>
            </wp14:sizeRelV>
          </wp:anchor>
        </w:drawing>
      </w:r>
    </w:p>
    <w:p w14:paraId="4283FB40" w14:textId="77777777" w:rsidR="001571D2" w:rsidRPr="00432E46" w:rsidRDefault="001571D2" w:rsidP="001571D2">
      <w:pPr>
        <w:rPr>
          <w:rFonts w:asciiTheme="minorBidi" w:hAnsiTheme="minorBidi"/>
          <w:sz w:val="22"/>
        </w:rPr>
      </w:pPr>
    </w:p>
    <w:p w14:paraId="5C4A8F3B" w14:textId="77777777" w:rsidR="001571D2" w:rsidRPr="00432E46" w:rsidRDefault="001571D2" w:rsidP="001571D2">
      <w:pPr>
        <w:rPr>
          <w:rFonts w:asciiTheme="minorBidi" w:hAnsiTheme="minorBidi"/>
          <w:sz w:val="22"/>
        </w:rPr>
      </w:pPr>
    </w:p>
    <w:p w14:paraId="3365A120" w14:textId="77777777" w:rsidR="001571D2" w:rsidRPr="00432E46" w:rsidRDefault="001571D2" w:rsidP="001571D2">
      <w:pPr>
        <w:tabs>
          <w:tab w:val="left" w:pos="6540"/>
        </w:tabs>
        <w:rPr>
          <w:rFonts w:asciiTheme="minorBidi" w:hAnsiTheme="minorBidi"/>
          <w:sz w:val="22"/>
        </w:rPr>
      </w:pPr>
    </w:p>
    <w:p w14:paraId="5CE32888" w14:textId="65DCF0E7" w:rsidR="001571D2" w:rsidRPr="00432E46" w:rsidRDefault="001571D2" w:rsidP="007625C8">
      <w:pPr>
        <w:tabs>
          <w:tab w:val="left" w:pos="6540"/>
        </w:tabs>
        <w:jc w:val="left"/>
        <w:rPr>
          <w:rFonts w:cs="Arial"/>
          <w:sz w:val="28"/>
          <w:szCs w:val="28"/>
        </w:rPr>
      </w:pPr>
      <w:r w:rsidRPr="00432E46">
        <w:rPr>
          <w:rFonts w:cs="Arial"/>
          <w:b/>
          <w:bCs/>
          <w:sz w:val="28"/>
          <w:szCs w:val="28"/>
        </w:rPr>
        <w:t>Module name</w:t>
      </w:r>
      <w:r w:rsidRPr="00432E46">
        <w:rPr>
          <w:rFonts w:cs="Arial"/>
          <w:sz w:val="28"/>
          <w:szCs w:val="28"/>
        </w:rPr>
        <w:t xml:space="preserve">: </w:t>
      </w:r>
      <w:r w:rsidR="000650E4" w:rsidRPr="00432E46">
        <w:rPr>
          <w:rFonts w:cs="Arial"/>
          <w:sz w:val="28"/>
          <w:szCs w:val="28"/>
        </w:rPr>
        <w:t>Introduction to Health and Social Care</w:t>
      </w:r>
    </w:p>
    <w:p w14:paraId="1196D66E" w14:textId="039DEC6F" w:rsidR="001571D2" w:rsidRPr="00432E46" w:rsidRDefault="001571D2" w:rsidP="007625C8">
      <w:pPr>
        <w:tabs>
          <w:tab w:val="left" w:pos="6540"/>
        </w:tabs>
        <w:jc w:val="left"/>
        <w:rPr>
          <w:rFonts w:cs="Arial"/>
          <w:sz w:val="28"/>
          <w:szCs w:val="28"/>
        </w:rPr>
      </w:pPr>
      <w:r w:rsidRPr="00432E46">
        <w:rPr>
          <w:rFonts w:cs="Arial"/>
          <w:b/>
          <w:bCs/>
          <w:sz w:val="28"/>
          <w:szCs w:val="28"/>
        </w:rPr>
        <w:t>Module code</w:t>
      </w:r>
      <w:r w:rsidRPr="00432E46">
        <w:rPr>
          <w:rFonts w:cs="Arial"/>
          <w:sz w:val="28"/>
          <w:szCs w:val="28"/>
        </w:rPr>
        <w:t>:</w:t>
      </w:r>
      <w:r w:rsidR="000650E4" w:rsidRPr="00432E46">
        <w:rPr>
          <w:rFonts w:cs="Arial"/>
          <w:sz w:val="28"/>
          <w:szCs w:val="28"/>
        </w:rPr>
        <w:t xml:space="preserve"> LCHS4003</w:t>
      </w:r>
    </w:p>
    <w:p w14:paraId="62ACF873" w14:textId="77777777" w:rsidR="001571D2" w:rsidRPr="00432E46" w:rsidRDefault="001571D2" w:rsidP="007625C8">
      <w:pPr>
        <w:tabs>
          <w:tab w:val="left" w:pos="6540"/>
        </w:tabs>
        <w:jc w:val="left"/>
        <w:rPr>
          <w:rFonts w:cs="Arial"/>
          <w:b/>
          <w:bCs/>
          <w:sz w:val="28"/>
          <w:szCs w:val="28"/>
        </w:rPr>
      </w:pPr>
    </w:p>
    <w:p w14:paraId="1FA4863C" w14:textId="77777777" w:rsidR="007625C8" w:rsidRPr="00CD33A8" w:rsidRDefault="007625C8" w:rsidP="007625C8">
      <w:pPr>
        <w:tabs>
          <w:tab w:val="left" w:pos="6540"/>
        </w:tabs>
        <w:jc w:val="left"/>
        <w:rPr>
          <w:sz w:val="28"/>
          <w:szCs w:val="28"/>
          <w:lang w:val="nl-NL"/>
        </w:rPr>
      </w:pPr>
      <w:r w:rsidRPr="00CD33A8">
        <w:rPr>
          <w:b/>
          <w:bCs/>
          <w:sz w:val="28"/>
          <w:szCs w:val="28"/>
          <w:lang w:val="nl-NL"/>
        </w:rPr>
        <w:t>Student name</w:t>
      </w:r>
      <w:r w:rsidRPr="00CD33A8">
        <w:rPr>
          <w:sz w:val="28"/>
          <w:szCs w:val="28"/>
          <w:lang w:val="nl-NL"/>
        </w:rPr>
        <w:t>:</w:t>
      </w:r>
      <w:r>
        <w:rPr>
          <w:sz w:val="28"/>
          <w:szCs w:val="28"/>
          <w:lang w:val="nl-NL"/>
        </w:rPr>
        <w:t xml:space="preserve"> </w:t>
      </w:r>
      <w:r w:rsidRPr="00C52301">
        <w:rPr>
          <w:sz w:val="28"/>
          <w:szCs w:val="28"/>
          <w:lang w:val="nl-NL"/>
        </w:rPr>
        <w:t>Mousumi Akther</w:t>
      </w:r>
    </w:p>
    <w:p w14:paraId="05BE705C" w14:textId="77777777" w:rsidR="007625C8" w:rsidRPr="00C52301" w:rsidRDefault="007625C8" w:rsidP="007625C8">
      <w:pPr>
        <w:tabs>
          <w:tab w:val="left" w:pos="6540"/>
        </w:tabs>
        <w:jc w:val="left"/>
        <w:rPr>
          <w:sz w:val="28"/>
          <w:szCs w:val="28"/>
          <w:lang w:val="nl-NL"/>
        </w:rPr>
      </w:pPr>
      <w:r w:rsidRPr="00CD33A8">
        <w:rPr>
          <w:b/>
          <w:bCs/>
          <w:sz w:val="28"/>
          <w:szCs w:val="28"/>
          <w:lang w:val="nl-NL"/>
        </w:rPr>
        <w:t>Student ID</w:t>
      </w:r>
      <w:r w:rsidRPr="00CD33A8">
        <w:rPr>
          <w:sz w:val="28"/>
          <w:szCs w:val="28"/>
          <w:lang w:val="nl-NL"/>
        </w:rPr>
        <w:t>:</w:t>
      </w:r>
      <w:r>
        <w:rPr>
          <w:sz w:val="28"/>
          <w:szCs w:val="28"/>
          <w:lang w:val="nl-NL"/>
        </w:rPr>
        <w:t xml:space="preserve"> </w:t>
      </w:r>
      <w:r w:rsidRPr="00C52301">
        <w:rPr>
          <w:sz w:val="28"/>
          <w:szCs w:val="28"/>
          <w:lang w:val="nl-NL"/>
        </w:rPr>
        <w:t>2528629</w:t>
      </w:r>
    </w:p>
    <w:p w14:paraId="352F6C98" w14:textId="77777777" w:rsidR="001571D2" w:rsidRPr="00432E46" w:rsidRDefault="001571D2" w:rsidP="007625C8">
      <w:pPr>
        <w:tabs>
          <w:tab w:val="left" w:pos="6540"/>
        </w:tabs>
        <w:jc w:val="left"/>
        <w:rPr>
          <w:rFonts w:cs="Arial"/>
          <w:sz w:val="28"/>
          <w:szCs w:val="28"/>
        </w:rPr>
      </w:pPr>
    </w:p>
    <w:p w14:paraId="7765E260" w14:textId="16EBB372" w:rsidR="001571D2" w:rsidRPr="00432E46" w:rsidRDefault="001571D2" w:rsidP="007625C8">
      <w:pPr>
        <w:tabs>
          <w:tab w:val="left" w:pos="6540"/>
        </w:tabs>
        <w:jc w:val="left"/>
        <w:rPr>
          <w:rFonts w:cs="Arial"/>
          <w:sz w:val="28"/>
          <w:szCs w:val="28"/>
        </w:rPr>
      </w:pPr>
      <w:r w:rsidRPr="00432E46">
        <w:rPr>
          <w:rFonts w:cs="Arial"/>
          <w:b/>
          <w:bCs/>
          <w:sz w:val="28"/>
          <w:szCs w:val="28"/>
        </w:rPr>
        <w:t>Lecturer’s name</w:t>
      </w:r>
      <w:r w:rsidRPr="00432E46">
        <w:rPr>
          <w:rFonts w:cs="Arial"/>
          <w:sz w:val="28"/>
          <w:szCs w:val="28"/>
        </w:rPr>
        <w:t>:</w:t>
      </w:r>
      <w:r w:rsidR="000650E4" w:rsidRPr="00432E46">
        <w:rPr>
          <w:rFonts w:cs="Arial"/>
          <w:sz w:val="28"/>
          <w:szCs w:val="28"/>
        </w:rPr>
        <w:t xml:space="preserve"> Muhammad Aliyu</w:t>
      </w:r>
      <w:bookmarkStart w:id="0" w:name="_GoBack"/>
      <w:bookmarkEnd w:id="0"/>
    </w:p>
    <w:p w14:paraId="38C8D0B5" w14:textId="77777777" w:rsidR="001571D2" w:rsidRPr="00432E46" w:rsidRDefault="001571D2" w:rsidP="007625C8">
      <w:pPr>
        <w:spacing w:line="240" w:lineRule="auto"/>
        <w:jc w:val="left"/>
        <w:rPr>
          <w:b/>
          <w:color w:val="0A2F41" w:themeColor="accent1" w:themeShade="80"/>
          <w:sz w:val="32"/>
          <w:szCs w:val="32"/>
        </w:rPr>
      </w:pPr>
      <w:r w:rsidRPr="00432E46">
        <w:br w:type="page"/>
      </w:r>
    </w:p>
    <w:sdt>
      <w:sdtPr>
        <w:rPr>
          <w:rFonts w:ascii="Arial" w:eastAsia="Times New Roman" w:hAnsi="Arial" w:cs="Times New Roman"/>
          <w:color w:val="auto"/>
          <w:sz w:val="24"/>
          <w:szCs w:val="20"/>
          <w:lang w:val="en-GB"/>
        </w:rPr>
        <w:id w:val="-1201394667"/>
        <w:docPartObj>
          <w:docPartGallery w:val="Table of Contents"/>
          <w:docPartUnique/>
        </w:docPartObj>
      </w:sdtPr>
      <w:sdtEndPr>
        <w:rPr>
          <w:b/>
          <w:bCs/>
          <w:noProof/>
        </w:rPr>
      </w:sdtEndPr>
      <w:sdtContent>
        <w:p w14:paraId="3D0E5624" w14:textId="6962D87C" w:rsidR="001571D2" w:rsidRPr="00432E46" w:rsidRDefault="001571D2">
          <w:pPr>
            <w:pStyle w:val="TOCHeading"/>
            <w:rPr>
              <w:lang w:val="en-GB"/>
            </w:rPr>
          </w:pPr>
          <w:r w:rsidRPr="00432E46">
            <w:rPr>
              <w:lang w:val="en-GB"/>
            </w:rPr>
            <w:t>Contents</w:t>
          </w:r>
        </w:p>
        <w:p w14:paraId="4AB41C9D" w14:textId="5E342F5C" w:rsidR="000650E4" w:rsidRPr="00432E46" w:rsidRDefault="001571D2">
          <w:pPr>
            <w:pStyle w:val="TOC1"/>
            <w:tabs>
              <w:tab w:val="right" w:leader="dot" w:pos="9016"/>
            </w:tabs>
            <w:rPr>
              <w:rFonts w:asciiTheme="minorHAnsi" w:eastAsiaTheme="minorEastAsia" w:hAnsiTheme="minorHAnsi" w:cstheme="minorBidi"/>
              <w:noProof/>
              <w:kern w:val="2"/>
              <w:szCs w:val="24"/>
              <w:lang w:val="en-US"/>
              <w14:ligatures w14:val="standardContextual"/>
            </w:rPr>
          </w:pPr>
          <w:r w:rsidRPr="00432E46">
            <w:fldChar w:fldCharType="begin"/>
          </w:r>
          <w:r w:rsidRPr="00432E46">
            <w:instrText xml:space="preserve"> TOC \o "1-3" \h \z \u </w:instrText>
          </w:r>
          <w:r w:rsidRPr="00432E46">
            <w:fldChar w:fldCharType="separate"/>
          </w:r>
          <w:hyperlink w:anchor="_Toc237102636" w:history="1">
            <w:r w:rsidR="000650E4" w:rsidRPr="00432E46">
              <w:rPr>
                <w:rStyle w:val="Hyperlink"/>
                <w:noProof/>
              </w:rPr>
              <w:t>1. Introduction</w:t>
            </w:r>
            <w:r w:rsidR="000650E4" w:rsidRPr="00432E46">
              <w:rPr>
                <w:noProof/>
                <w:webHidden/>
              </w:rPr>
              <w:tab/>
            </w:r>
            <w:r w:rsidR="000650E4" w:rsidRPr="00432E46">
              <w:rPr>
                <w:noProof/>
                <w:webHidden/>
              </w:rPr>
              <w:fldChar w:fldCharType="begin"/>
            </w:r>
            <w:r w:rsidR="000650E4" w:rsidRPr="00432E46">
              <w:rPr>
                <w:noProof/>
                <w:webHidden/>
              </w:rPr>
              <w:instrText xml:space="preserve"> PAGEREF _Toc237102636 \h </w:instrText>
            </w:r>
            <w:r w:rsidR="000650E4" w:rsidRPr="00432E46">
              <w:rPr>
                <w:noProof/>
                <w:webHidden/>
              </w:rPr>
            </w:r>
            <w:r w:rsidR="000650E4" w:rsidRPr="00432E46">
              <w:rPr>
                <w:noProof/>
                <w:webHidden/>
              </w:rPr>
              <w:fldChar w:fldCharType="separate"/>
            </w:r>
            <w:r w:rsidR="000650E4" w:rsidRPr="00432E46">
              <w:rPr>
                <w:noProof/>
                <w:webHidden/>
              </w:rPr>
              <w:t>3</w:t>
            </w:r>
            <w:r w:rsidR="000650E4" w:rsidRPr="00432E46">
              <w:rPr>
                <w:noProof/>
                <w:webHidden/>
              </w:rPr>
              <w:fldChar w:fldCharType="end"/>
            </w:r>
          </w:hyperlink>
        </w:p>
        <w:p w14:paraId="7ABA9F74" w14:textId="76293F71" w:rsidR="000650E4" w:rsidRPr="00432E46" w:rsidRDefault="00BA41BC">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7102637" w:history="1">
            <w:r w:rsidR="000650E4" w:rsidRPr="00432E46">
              <w:rPr>
                <w:rStyle w:val="Hyperlink"/>
                <w:noProof/>
              </w:rPr>
              <w:t>2. Importance of effective communication</w:t>
            </w:r>
            <w:r w:rsidR="000650E4" w:rsidRPr="00432E46">
              <w:rPr>
                <w:noProof/>
                <w:webHidden/>
              </w:rPr>
              <w:tab/>
            </w:r>
            <w:r w:rsidR="000650E4" w:rsidRPr="00432E46">
              <w:rPr>
                <w:noProof/>
                <w:webHidden/>
              </w:rPr>
              <w:fldChar w:fldCharType="begin"/>
            </w:r>
            <w:r w:rsidR="000650E4" w:rsidRPr="00432E46">
              <w:rPr>
                <w:noProof/>
                <w:webHidden/>
              </w:rPr>
              <w:instrText xml:space="preserve"> PAGEREF _Toc237102637 \h </w:instrText>
            </w:r>
            <w:r w:rsidR="000650E4" w:rsidRPr="00432E46">
              <w:rPr>
                <w:noProof/>
                <w:webHidden/>
              </w:rPr>
            </w:r>
            <w:r w:rsidR="000650E4" w:rsidRPr="00432E46">
              <w:rPr>
                <w:noProof/>
                <w:webHidden/>
              </w:rPr>
              <w:fldChar w:fldCharType="separate"/>
            </w:r>
            <w:r w:rsidR="000650E4" w:rsidRPr="00432E46">
              <w:rPr>
                <w:noProof/>
                <w:webHidden/>
              </w:rPr>
              <w:t>3</w:t>
            </w:r>
            <w:r w:rsidR="000650E4" w:rsidRPr="00432E46">
              <w:rPr>
                <w:noProof/>
                <w:webHidden/>
              </w:rPr>
              <w:fldChar w:fldCharType="end"/>
            </w:r>
          </w:hyperlink>
        </w:p>
        <w:p w14:paraId="64841EF9" w14:textId="1E75FA78" w:rsidR="000650E4" w:rsidRPr="00432E46" w:rsidRDefault="00BA41BC">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7102638" w:history="1">
            <w:r w:rsidR="000650E4" w:rsidRPr="00432E46">
              <w:rPr>
                <w:rStyle w:val="Hyperlink"/>
                <w:noProof/>
              </w:rPr>
              <w:t>3. Importance of good administrative skills</w:t>
            </w:r>
            <w:r w:rsidR="000650E4" w:rsidRPr="00432E46">
              <w:rPr>
                <w:noProof/>
                <w:webHidden/>
              </w:rPr>
              <w:tab/>
            </w:r>
            <w:r w:rsidR="000650E4" w:rsidRPr="00432E46">
              <w:rPr>
                <w:noProof/>
                <w:webHidden/>
              </w:rPr>
              <w:fldChar w:fldCharType="begin"/>
            </w:r>
            <w:r w:rsidR="000650E4" w:rsidRPr="00432E46">
              <w:rPr>
                <w:noProof/>
                <w:webHidden/>
              </w:rPr>
              <w:instrText xml:space="preserve"> PAGEREF _Toc237102638 \h </w:instrText>
            </w:r>
            <w:r w:rsidR="000650E4" w:rsidRPr="00432E46">
              <w:rPr>
                <w:noProof/>
                <w:webHidden/>
              </w:rPr>
            </w:r>
            <w:r w:rsidR="000650E4" w:rsidRPr="00432E46">
              <w:rPr>
                <w:noProof/>
                <w:webHidden/>
              </w:rPr>
              <w:fldChar w:fldCharType="separate"/>
            </w:r>
            <w:r w:rsidR="000650E4" w:rsidRPr="00432E46">
              <w:rPr>
                <w:noProof/>
                <w:webHidden/>
              </w:rPr>
              <w:t>4</w:t>
            </w:r>
            <w:r w:rsidR="000650E4" w:rsidRPr="00432E46">
              <w:rPr>
                <w:noProof/>
                <w:webHidden/>
              </w:rPr>
              <w:fldChar w:fldCharType="end"/>
            </w:r>
          </w:hyperlink>
        </w:p>
        <w:p w14:paraId="3BA51DC9" w14:textId="113C54DB" w:rsidR="000650E4" w:rsidRPr="00432E46" w:rsidRDefault="00BA41BC">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7102639" w:history="1">
            <w:r w:rsidR="000650E4" w:rsidRPr="00432E46">
              <w:rPr>
                <w:rStyle w:val="Hyperlink"/>
                <w:noProof/>
              </w:rPr>
              <w:t>4. Importance of working collaboratively</w:t>
            </w:r>
            <w:r w:rsidR="000650E4" w:rsidRPr="00432E46">
              <w:rPr>
                <w:noProof/>
                <w:webHidden/>
              </w:rPr>
              <w:tab/>
            </w:r>
            <w:r w:rsidR="000650E4" w:rsidRPr="00432E46">
              <w:rPr>
                <w:noProof/>
                <w:webHidden/>
              </w:rPr>
              <w:fldChar w:fldCharType="begin"/>
            </w:r>
            <w:r w:rsidR="000650E4" w:rsidRPr="00432E46">
              <w:rPr>
                <w:noProof/>
                <w:webHidden/>
              </w:rPr>
              <w:instrText xml:space="preserve"> PAGEREF _Toc237102639 \h </w:instrText>
            </w:r>
            <w:r w:rsidR="000650E4" w:rsidRPr="00432E46">
              <w:rPr>
                <w:noProof/>
                <w:webHidden/>
              </w:rPr>
            </w:r>
            <w:r w:rsidR="000650E4" w:rsidRPr="00432E46">
              <w:rPr>
                <w:noProof/>
                <w:webHidden/>
              </w:rPr>
              <w:fldChar w:fldCharType="separate"/>
            </w:r>
            <w:r w:rsidR="000650E4" w:rsidRPr="00432E46">
              <w:rPr>
                <w:noProof/>
                <w:webHidden/>
              </w:rPr>
              <w:t>6</w:t>
            </w:r>
            <w:r w:rsidR="000650E4" w:rsidRPr="00432E46">
              <w:rPr>
                <w:noProof/>
                <w:webHidden/>
              </w:rPr>
              <w:fldChar w:fldCharType="end"/>
            </w:r>
          </w:hyperlink>
        </w:p>
        <w:p w14:paraId="48746E01" w14:textId="7B89467F" w:rsidR="000650E4" w:rsidRPr="00432E46" w:rsidRDefault="00BA41BC">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7102640" w:history="1">
            <w:r w:rsidR="000650E4" w:rsidRPr="00432E46">
              <w:rPr>
                <w:rStyle w:val="Hyperlink"/>
                <w:noProof/>
              </w:rPr>
              <w:t>5. Conclusion</w:t>
            </w:r>
            <w:r w:rsidR="000650E4" w:rsidRPr="00432E46">
              <w:rPr>
                <w:noProof/>
                <w:webHidden/>
              </w:rPr>
              <w:tab/>
            </w:r>
            <w:r w:rsidR="000650E4" w:rsidRPr="00432E46">
              <w:rPr>
                <w:noProof/>
                <w:webHidden/>
              </w:rPr>
              <w:fldChar w:fldCharType="begin"/>
            </w:r>
            <w:r w:rsidR="000650E4" w:rsidRPr="00432E46">
              <w:rPr>
                <w:noProof/>
                <w:webHidden/>
              </w:rPr>
              <w:instrText xml:space="preserve"> PAGEREF _Toc237102640 \h </w:instrText>
            </w:r>
            <w:r w:rsidR="000650E4" w:rsidRPr="00432E46">
              <w:rPr>
                <w:noProof/>
                <w:webHidden/>
              </w:rPr>
            </w:r>
            <w:r w:rsidR="000650E4" w:rsidRPr="00432E46">
              <w:rPr>
                <w:noProof/>
                <w:webHidden/>
              </w:rPr>
              <w:fldChar w:fldCharType="separate"/>
            </w:r>
            <w:r w:rsidR="000650E4" w:rsidRPr="00432E46">
              <w:rPr>
                <w:noProof/>
                <w:webHidden/>
              </w:rPr>
              <w:t>6</w:t>
            </w:r>
            <w:r w:rsidR="000650E4" w:rsidRPr="00432E46">
              <w:rPr>
                <w:noProof/>
                <w:webHidden/>
              </w:rPr>
              <w:fldChar w:fldCharType="end"/>
            </w:r>
          </w:hyperlink>
        </w:p>
        <w:p w14:paraId="35ACE8DE" w14:textId="493A4FBA" w:rsidR="000650E4" w:rsidRPr="00432E46" w:rsidRDefault="00BA41BC">
          <w:pPr>
            <w:pStyle w:val="TOC1"/>
            <w:tabs>
              <w:tab w:val="right" w:leader="dot" w:pos="9016"/>
            </w:tabs>
            <w:rPr>
              <w:rFonts w:asciiTheme="minorHAnsi" w:eastAsiaTheme="minorEastAsia" w:hAnsiTheme="minorHAnsi" w:cstheme="minorBidi"/>
              <w:noProof/>
              <w:kern w:val="2"/>
              <w:szCs w:val="24"/>
              <w:lang w:val="en-US"/>
              <w14:ligatures w14:val="standardContextual"/>
            </w:rPr>
          </w:pPr>
          <w:hyperlink w:anchor="_Toc237102641" w:history="1">
            <w:r w:rsidR="000650E4" w:rsidRPr="00432E46">
              <w:rPr>
                <w:rStyle w:val="Hyperlink"/>
                <w:noProof/>
              </w:rPr>
              <w:t>References</w:t>
            </w:r>
            <w:r w:rsidR="000650E4" w:rsidRPr="00432E46">
              <w:rPr>
                <w:noProof/>
                <w:webHidden/>
              </w:rPr>
              <w:tab/>
            </w:r>
            <w:r w:rsidR="000650E4" w:rsidRPr="00432E46">
              <w:rPr>
                <w:noProof/>
                <w:webHidden/>
              </w:rPr>
              <w:fldChar w:fldCharType="begin"/>
            </w:r>
            <w:r w:rsidR="000650E4" w:rsidRPr="00432E46">
              <w:rPr>
                <w:noProof/>
                <w:webHidden/>
              </w:rPr>
              <w:instrText xml:space="preserve"> PAGEREF _Toc237102641 \h </w:instrText>
            </w:r>
            <w:r w:rsidR="000650E4" w:rsidRPr="00432E46">
              <w:rPr>
                <w:noProof/>
                <w:webHidden/>
              </w:rPr>
            </w:r>
            <w:r w:rsidR="000650E4" w:rsidRPr="00432E46">
              <w:rPr>
                <w:noProof/>
                <w:webHidden/>
              </w:rPr>
              <w:fldChar w:fldCharType="separate"/>
            </w:r>
            <w:r w:rsidR="000650E4" w:rsidRPr="00432E46">
              <w:rPr>
                <w:noProof/>
                <w:webHidden/>
              </w:rPr>
              <w:t>7</w:t>
            </w:r>
            <w:r w:rsidR="000650E4" w:rsidRPr="00432E46">
              <w:rPr>
                <w:noProof/>
                <w:webHidden/>
              </w:rPr>
              <w:fldChar w:fldCharType="end"/>
            </w:r>
          </w:hyperlink>
        </w:p>
        <w:p w14:paraId="6A0B8083" w14:textId="456E5195" w:rsidR="001571D2" w:rsidRPr="00432E46" w:rsidRDefault="001571D2">
          <w:r w:rsidRPr="00432E46">
            <w:rPr>
              <w:b/>
              <w:bCs/>
              <w:noProof/>
            </w:rPr>
            <w:fldChar w:fldCharType="end"/>
          </w:r>
        </w:p>
      </w:sdtContent>
    </w:sdt>
    <w:p w14:paraId="6C031E9C" w14:textId="77777777" w:rsidR="001571D2" w:rsidRPr="00432E46" w:rsidRDefault="001571D2" w:rsidP="001571D2">
      <w:pPr>
        <w:rPr>
          <w:color w:val="0A2F41" w:themeColor="accent1" w:themeShade="80"/>
          <w:sz w:val="32"/>
          <w:szCs w:val="32"/>
        </w:rPr>
      </w:pPr>
      <w:r w:rsidRPr="00432E46">
        <w:br w:type="page"/>
      </w:r>
    </w:p>
    <w:p w14:paraId="0298E842" w14:textId="0AFB76A4" w:rsidR="00727764" w:rsidRPr="00432E46" w:rsidRDefault="00BA41BC">
      <w:pPr>
        <w:pStyle w:val="Heading1"/>
        <w:rPr>
          <w:lang w:val="en-GB"/>
        </w:rPr>
      </w:pPr>
      <w:bookmarkStart w:id="1" w:name="_Toc237102636"/>
      <w:r w:rsidRPr="00432E46">
        <w:rPr>
          <w:lang w:val="en-GB"/>
        </w:rPr>
        <w:lastRenderedPageBreak/>
        <w:t>1. Introduction</w:t>
      </w:r>
      <w:bookmarkEnd w:id="1"/>
    </w:p>
    <w:p w14:paraId="3F12E3F3" w14:textId="083713B1" w:rsidR="00727764" w:rsidRPr="00432E46" w:rsidRDefault="005954EA">
      <w:pPr>
        <w:spacing w:after="200"/>
      </w:pPr>
      <w:r w:rsidRPr="00432E46">
        <w:t xml:space="preserve">This report looks at Mrs Thompson, an </w:t>
      </w:r>
      <w:r w:rsidR="00376691" w:rsidRPr="00432E46">
        <w:t>84-year-old</w:t>
      </w:r>
      <w:r w:rsidRPr="00432E46">
        <w:t xml:space="preserve"> woman with mild dementia who has recently been discharged from hospital after suffering from pneumonia and is now helped by </w:t>
      </w:r>
      <w:r w:rsidR="00376691" w:rsidRPr="00432E46">
        <w:t>homecare</w:t>
      </w:r>
      <w:r w:rsidRPr="00432E46">
        <w:t xml:space="preserve"> twice a day. There have been 2 incidents recently relating to the missed medication regime – this has led to an increased level of </w:t>
      </w:r>
      <w:r w:rsidR="00376691" w:rsidRPr="00432E46">
        <w:t>confusion,</w:t>
      </w:r>
      <w:r w:rsidRPr="00432E46">
        <w:t xml:space="preserve"> and the other incident was when a person was found out of doors in </w:t>
      </w:r>
      <w:r w:rsidR="00376691" w:rsidRPr="00432E46">
        <w:t>chilly weather</w:t>
      </w:r>
      <w:r w:rsidRPr="00432E46">
        <w:t xml:space="preserve"> without adequate clothing. This has led to a safeguarding review and a medication review. This report addresses three strands of good practice which are inter-related and underpin the provision of safe and person-centred care in this scenario: effective communication with Mrs Thompson and her family; good administration and record keeping by the GP; and multi-agency working between the GP, community </w:t>
      </w:r>
      <w:r w:rsidR="00376691" w:rsidRPr="00432E46">
        <w:t>nurse,</w:t>
      </w:r>
      <w:r w:rsidRPr="00432E46">
        <w:t xml:space="preserve"> and domiciliary care staff. Where relevant, reference will be made to relevant legislation (such as the Equality Act 2010, the Data Protection Act </w:t>
      </w:r>
      <w:r w:rsidR="00376691" w:rsidRPr="00432E46">
        <w:t>2018,</w:t>
      </w:r>
      <w:r w:rsidRPr="00432E46">
        <w:t xml:space="preserve"> and the Care Act 2014) and professional and regulatory guidance to illustrate how legal and policy frameworks are applied in real-life decisions to promote Mrs Thompson's wellbeing, </w:t>
      </w:r>
      <w:r w:rsidR="00376691" w:rsidRPr="00432E46">
        <w:t>dignity,</w:t>
      </w:r>
      <w:r w:rsidRPr="00432E46">
        <w:t xml:space="preserve"> and safety.</w:t>
      </w:r>
    </w:p>
    <w:p w14:paraId="52BFAF0E" w14:textId="77777777" w:rsidR="00727764" w:rsidRPr="00432E46" w:rsidRDefault="00BA41BC">
      <w:pPr>
        <w:pStyle w:val="Heading1"/>
        <w:rPr>
          <w:lang w:val="en-GB"/>
        </w:rPr>
      </w:pPr>
      <w:bookmarkStart w:id="2" w:name="_Toc237102637"/>
      <w:r w:rsidRPr="00432E46">
        <w:rPr>
          <w:lang w:val="en-GB"/>
        </w:rPr>
        <w:t>2. Importance of effective communication</w:t>
      </w:r>
      <w:bookmarkEnd w:id="2"/>
    </w:p>
    <w:p w14:paraId="27E84A48" w14:textId="77777777" w:rsidR="005954EA" w:rsidRPr="00432E46" w:rsidRDefault="005954EA" w:rsidP="005954EA">
      <w:pPr>
        <w:spacing w:after="200"/>
      </w:pPr>
      <w:r w:rsidRPr="00432E46">
        <w:t>With Mrs Thompson's mild dementia and recent illness, communication is a key factor for her in safe care as she is more susceptible to misunderstanding and is less able to communicate issues. Staff need to adjust their communication style, for example giving more time to communicate, using simple short sentences, clarifying what they have said by asking her to repeat it, and responding to any non-verbal communication (e.g. agitation) which may indicate pain or distress but not be expressed verbally (Social Care Institute for Excellence, 2015). Staff should not ignore the fact that she missed the medication as well as her increased confusion was a way of communicating.</w:t>
      </w:r>
    </w:p>
    <w:p w14:paraId="15766421" w14:textId="11EF9DAD" w:rsidR="005954EA" w:rsidRPr="00432E46" w:rsidRDefault="005954EA" w:rsidP="005954EA">
      <w:pPr>
        <w:spacing w:after="200"/>
      </w:pPr>
      <w:r w:rsidRPr="00432E46">
        <w:t xml:space="preserve">There is a direct link to the Equality Act 2010. It defines protected characteristics, including age, and disability, and imposes a duty on providers to avoid discriminating against and to make reasonable adjustments for individuals who are aged, or disabled, like Mrs Thompson (Equality Act 2010, c.15). This will ensure that because of her dementia and age she is not spoken over or information about her care and the regular review is not withheld from her unless a capacity assessment under the Mental Capacity Act 2005 indicates she may not be able to make a particular decision. </w:t>
      </w:r>
      <w:r w:rsidRPr="00432E46">
        <w:lastRenderedPageBreak/>
        <w:t xml:space="preserve">Reasonable adjustments could include memory devices, visual </w:t>
      </w:r>
      <w:r w:rsidR="00376691" w:rsidRPr="00432E46">
        <w:t>prompts,</w:t>
      </w:r>
      <w:r w:rsidRPr="00432E46">
        <w:t xml:space="preserve"> or summarised documents that she can refer to, and an independent advocate either in case she is unable to communicate her wishes during the safeguarding process or to provide support to her during the process (Social Care Institute for Excellence, 2015).</w:t>
      </w:r>
    </w:p>
    <w:p w14:paraId="79EC13C3" w14:textId="77777777" w:rsidR="005954EA" w:rsidRPr="00432E46" w:rsidRDefault="005954EA" w:rsidP="005954EA">
      <w:pPr>
        <w:spacing w:after="200"/>
      </w:pPr>
      <w:r w:rsidRPr="00432E46">
        <w:t>Professionals must be open to Mrs Thompson's family whilst respecting her right to confidentiality when communicating with them. Family can provide information about her normal behaviour and any changes that signify deterioration, but any information should be shared with her consent and/or a clear best interest or safeguarding reason, as per the common law duty of confidentiality and Caldicott principles that govern information sharing in health and social care (Royal College of Nursing, 2023). The family ought to be kept informed on the outcome of the medication review and protection, but without ignoring her.</w:t>
      </w:r>
    </w:p>
    <w:p w14:paraId="5F41E008" w14:textId="5AF101C8" w:rsidR="00727764" w:rsidRPr="00432E46" w:rsidRDefault="005954EA" w:rsidP="005954EA">
      <w:pPr>
        <w:spacing w:after="200"/>
      </w:pPr>
      <w:r w:rsidRPr="00432E46">
        <w:t xml:space="preserve">The communications cycle described by Argyle (1972) is helpful in making sense of these interactions. In the model, communication is an endless circle of six steps: an idea is developed, translated into a message, sent, received, </w:t>
      </w:r>
      <w:r w:rsidR="00376691" w:rsidRPr="00432E46">
        <w:t>decoded,</w:t>
      </w:r>
      <w:r w:rsidRPr="00432E46">
        <w:t xml:space="preserve"> and understood, and the feedback from the receiver will influence the next message (Argyle, 1972). Always, when you are putting into place a change for Mrs Thompson, a domiciliary care worker who is going to be taking on a different time of her medication, you are going to have to encode the message clearly and slowly, watch her verbal and non-verbal feedback to see if the message has been decoded correctly and if not, you are going to have to adjust your approach before you consider that you have done the right thing. The cycle illustrates the importance of checking comprehension as dementia can slow or distort the decoding process and why it is necessary to keep her safe, not just provide information.</w:t>
      </w:r>
    </w:p>
    <w:p w14:paraId="7D3C6A1F" w14:textId="77777777" w:rsidR="00727764" w:rsidRPr="00432E46" w:rsidRDefault="00BA41BC">
      <w:pPr>
        <w:pStyle w:val="Heading1"/>
        <w:rPr>
          <w:lang w:val="en-GB"/>
        </w:rPr>
      </w:pPr>
      <w:bookmarkStart w:id="3" w:name="_Toc237102638"/>
      <w:r w:rsidRPr="00432E46">
        <w:rPr>
          <w:lang w:val="en-GB"/>
        </w:rPr>
        <w:t>3. Importance of good admini</w:t>
      </w:r>
      <w:r w:rsidRPr="00432E46">
        <w:rPr>
          <w:lang w:val="en-GB"/>
        </w:rPr>
        <w:t>strative skills</w:t>
      </w:r>
      <w:bookmarkEnd w:id="3"/>
    </w:p>
    <w:p w14:paraId="474831F0" w14:textId="6F1E7607" w:rsidR="005954EA" w:rsidRPr="00432E46" w:rsidRDefault="005954EA" w:rsidP="005954EA">
      <w:pPr>
        <w:spacing w:after="200"/>
      </w:pPr>
      <w:r w:rsidRPr="00432E46">
        <w:t xml:space="preserve">Mrs Thompson's safety and the council review's integrity of the council review </w:t>
      </w:r>
      <w:r w:rsidR="00376691" w:rsidRPr="00432E46">
        <w:t>depend</w:t>
      </w:r>
      <w:r w:rsidRPr="00432E46">
        <w:t xml:space="preserve"> on good administrative practice, especially the keeping of accurate and timely records. The missed-medication incident, along with her being found outside in inadequate clothing, was recorded as part of the incident reporting process – it would be hard to show that a pattern was being established or show what action was taken if there were no clear, contemporaneous records (Care Quality Commission, 2022). Records must be factual, dated, timed and without subjective judgements, and should not be based </w:t>
      </w:r>
      <w:r w:rsidRPr="00432E46">
        <w:lastRenderedPageBreak/>
        <w:t>on assumptions, to allow the GP doing the medicine review to make accurate statements about what happened.</w:t>
      </w:r>
    </w:p>
    <w:p w14:paraId="37B0A3CC" w14:textId="580E1384" w:rsidR="005954EA" w:rsidRPr="00432E46" w:rsidRDefault="005954EA" w:rsidP="005954EA">
      <w:pPr>
        <w:spacing w:after="200"/>
      </w:pPr>
      <w:r w:rsidRPr="00432E46">
        <w:t xml:space="preserve">The UK GDPR has been incorporated into the Data Protection Act 2018 which outlines the principles that govern the way in which Mrs Thompson's records are created, </w:t>
      </w:r>
      <w:r w:rsidR="00376691" w:rsidRPr="00432E46">
        <w:t>stored,</w:t>
      </w:r>
      <w:r w:rsidRPr="00432E46">
        <w:t xml:space="preserve"> and shared. Personal information and special category data (including her dementia diagnosis) should be processed legally, </w:t>
      </w:r>
      <w:r w:rsidR="00376691" w:rsidRPr="00432E46">
        <w:t>fairly,</w:t>
      </w:r>
      <w:r w:rsidRPr="00432E46">
        <w:t xml:space="preserve"> and transparently, for specified purposes, accurately, for no longer than necessary, and secured against unauthorised access (Care Learning, 2025; Royal College of Nursing, 2023). Records of her care and safeguarding notes should only be available to those providing her care and should be kept up to date and shared with the GP or the community nurse or the review team of the council only when necessary and proportionate. If the information is entered late or insufficiently, post the missed medication incident entry, the evidence in support of the review would be undermined and it could also be a failing in safety.</w:t>
      </w:r>
    </w:p>
    <w:p w14:paraId="0E889A43" w14:textId="77777777" w:rsidR="005954EA" w:rsidRPr="00432E46" w:rsidRDefault="005954EA" w:rsidP="005954EA">
      <w:pPr>
        <w:spacing w:after="200"/>
      </w:pPr>
      <w:r w:rsidRPr="00432E46">
        <w:t>As well as legislation, there is administrative rigour to support the accountability that is expected of regulated providers. Under the Care Act 2014 (c.23), local authorities are under legal obligations to carry out enquiries about an adult with care and support needs if they consider that the person may be at risk of suffering harm, and the use of robust records enables an enquiry under the Act to collect facts, rather than relying on the memory of the individual.</w:t>
      </w:r>
    </w:p>
    <w:p w14:paraId="1412E79C" w14:textId="2992A4F4" w:rsidR="00727764" w:rsidRPr="00432E46" w:rsidRDefault="005954EA" w:rsidP="005954EA">
      <w:pPr>
        <w:spacing w:after="200"/>
      </w:pPr>
      <w:r w:rsidRPr="00432E46">
        <w:t>Structured approaches which include shared care plans, multi-disciplinary meetings and agreed points of contact are used to ensure effective collaboration, with both the GP and the community nurse and domiciliary care workers working from the same up-to-date information and not duplicating or contradicting one another (Skills for Care, 2021). Some of the common problems are different priorities for organisations, inconsistent systems for recording, and lack of clarity for who is responsible for following up, allowing warning signs to be missed. These can be dealt with in the following ways: through agreed information sharing protocols, by having one key worker who co-ordinates how the information is shared, and by regular review meetings where the team are brought together to agree consistent actions following the medication review and safeguarding enquiry.</w:t>
      </w:r>
    </w:p>
    <w:p w14:paraId="344C104F" w14:textId="77777777" w:rsidR="00727764" w:rsidRPr="00432E46" w:rsidRDefault="00BA41BC">
      <w:pPr>
        <w:pStyle w:val="Heading1"/>
        <w:rPr>
          <w:lang w:val="en-GB"/>
        </w:rPr>
      </w:pPr>
      <w:bookmarkStart w:id="4" w:name="_Toc237102639"/>
      <w:r w:rsidRPr="00432E46">
        <w:rPr>
          <w:lang w:val="en-GB"/>
        </w:rPr>
        <w:lastRenderedPageBreak/>
        <w:t>4. Importance of working collaboratively</w:t>
      </w:r>
      <w:bookmarkEnd w:id="4"/>
    </w:p>
    <w:p w14:paraId="1EC77316" w14:textId="08503FD1" w:rsidR="005954EA" w:rsidRPr="00432E46" w:rsidRDefault="005954EA" w:rsidP="005954EA">
      <w:pPr>
        <w:spacing w:after="200"/>
      </w:pPr>
      <w:r w:rsidRPr="00432E46">
        <w:t xml:space="preserve">The care of Mrs Thompson requires the collaboration of several professionals and not just one. Her GP has overall responsibility for her medicines and making sure they are used properly, and to check if there are any underlying issues that could lead to further confusion for her; her community nurse will see her most when she is ill with pneumonia and will notice signs of deterioration early, and will be the first to notice changes in her mood, mobility or self-care issues, and observe whether she's taken her medicines or not (Skills for Care, 2021). No single professional has the full </w:t>
      </w:r>
      <w:r w:rsidR="00376691" w:rsidRPr="00432E46">
        <w:t>picture,</w:t>
      </w:r>
      <w:r w:rsidRPr="00432E46">
        <w:t xml:space="preserve"> and it is through working together, with accurate and common records, that these individual observations can be pieced together to form a coordinated activity – maybe changing the time or form of her medication; perhaps suggesting additional support.</w:t>
      </w:r>
    </w:p>
    <w:p w14:paraId="4135A8AC" w14:textId="3961F3B1" w:rsidR="00727764" w:rsidRPr="00432E46" w:rsidRDefault="005954EA" w:rsidP="005954EA">
      <w:pPr>
        <w:spacing w:after="200"/>
      </w:pPr>
      <w:r w:rsidRPr="00432E46">
        <w:t xml:space="preserve">The Care Act 2014 and statutory guidance to local authorities and partner organisations further requires the authorities to work together to identify and respond to adults who are at risk of suffering significant harm both when outside and in the cold (Care Act 2014, c.23). If collaborating initiatives are not in </w:t>
      </w:r>
      <w:r w:rsidR="00376691" w:rsidRPr="00432E46">
        <w:t>place,</w:t>
      </w:r>
      <w:r w:rsidRPr="00432E46">
        <w:t xml:space="preserve"> then the individual incident might be perceived as a single occurrence rather than a series of incidents that could be a result of her dementia and/or illness and prolong the delay in getting support that may put her at risk for safety and wellbeing.</w:t>
      </w:r>
    </w:p>
    <w:p w14:paraId="4294A5C7" w14:textId="77777777" w:rsidR="00727764" w:rsidRPr="00432E46" w:rsidRDefault="00BA41BC">
      <w:pPr>
        <w:pStyle w:val="Heading1"/>
        <w:rPr>
          <w:lang w:val="en-GB"/>
        </w:rPr>
      </w:pPr>
      <w:bookmarkStart w:id="5" w:name="_Toc237102640"/>
      <w:r w:rsidRPr="00432E46">
        <w:rPr>
          <w:lang w:val="en-GB"/>
        </w:rPr>
        <w:t>5. Conclusion</w:t>
      </w:r>
      <w:bookmarkEnd w:id="5"/>
    </w:p>
    <w:p w14:paraId="5BA88E38" w14:textId="5AB61C6D" w:rsidR="00727764" w:rsidRPr="00432E46" w:rsidRDefault="005954EA">
      <w:pPr>
        <w:spacing w:after="200"/>
      </w:pPr>
      <w:r w:rsidRPr="00432E46">
        <w:t xml:space="preserve">In this report Mrs Thompson's case has been discussed in the context of communication, administrative </w:t>
      </w:r>
      <w:r w:rsidR="00376691" w:rsidRPr="00432E46">
        <w:t>practice,</w:t>
      </w:r>
      <w:r w:rsidRPr="00432E46">
        <w:t xml:space="preserve"> and collaborative working. Communication techniques that cater for her dementia, the principles of the Equality Act 2010, and a structured approach like Argyle's communication cycle support her to be informed and involved in care decisions. The Data Protection Act 2018 ensures robust data practices and robust systems of keeping records in place, the community nurse and domiciliary care workers work collaboratively underpinned by the Care Act 2014 with the GP to ensure that individual observations are collated and coordinated into a timely response to the medication review and safeguarding enquiry. These three aspects of practice are all important in enabling professionals to identify and respond to warning signs, including when someone has missed a medication, or found them outside, when they are not adequately dressed, helping to ensure Mrs Thompson's health, </w:t>
      </w:r>
      <w:r w:rsidR="00376691" w:rsidRPr="00432E46">
        <w:t>dignity,</w:t>
      </w:r>
      <w:r w:rsidRPr="00432E46">
        <w:t xml:space="preserve"> and independence.</w:t>
      </w:r>
    </w:p>
    <w:p w14:paraId="6C64ECC2" w14:textId="2B23B923" w:rsidR="00727764" w:rsidRPr="00432E46" w:rsidRDefault="00BA41BC">
      <w:pPr>
        <w:pStyle w:val="Heading1"/>
        <w:rPr>
          <w:lang w:val="en-GB"/>
        </w:rPr>
      </w:pPr>
      <w:bookmarkStart w:id="6" w:name="_Toc237102641"/>
      <w:r w:rsidRPr="00432E46">
        <w:rPr>
          <w:lang w:val="en-GB"/>
        </w:rPr>
        <w:lastRenderedPageBreak/>
        <w:t>References</w:t>
      </w:r>
      <w:bookmarkEnd w:id="6"/>
    </w:p>
    <w:p w14:paraId="76DBB653" w14:textId="77777777" w:rsidR="00727764" w:rsidRPr="00432E46" w:rsidRDefault="00BA41BC" w:rsidP="005E534E">
      <w:pPr>
        <w:pStyle w:val="ListParagraph"/>
        <w:numPr>
          <w:ilvl w:val="0"/>
          <w:numId w:val="2"/>
        </w:numPr>
        <w:rPr>
          <w:lang w:val="en-GB"/>
        </w:rPr>
      </w:pPr>
      <w:r w:rsidRPr="00432E46">
        <w:rPr>
          <w:lang w:val="en-GB"/>
        </w:rPr>
        <w:t>Argyle, M. (1972) The Psychology of Interpersonal Behaviour. Harmondsworth: Penguin Books.</w:t>
      </w:r>
    </w:p>
    <w:p w14:paraId="65EE8510" w14:textId="77777777" w:rsidR="00727764" w:rsidRPr="00432E46" w:rsidRDefault="00BA41BC" w:rsidP="005E534E">
      <w:pPr>
        <w:pStyle w:val="ListParagraph"/>
        <w:numPr>
          <w:ilvl w:val="0"/>
          <w:numId w:val="2"/>
        </w:numPr>
        <w:rPr>
          <w:lang w:val="en-GB"/>
        </w:rPr>
      </w:pPr>
      <w:r w:rsidRPr="00432E46">
        <w:rPr>
          <w:lang w:val="en-GB"/>
        </w:rPr>
        <w:t>Care Act 2014, c.23. Available at: https://www.legislatio</w:t>
      </w:r>
      <w:r w:rsidRPr="00432E46">
        <w:rPr>
          <w:lang w:val="en-GB"/>
        </w:rPr>
        <w:t>n.gov.uk/ukpga/2014/23/contents (Accessed: 6 August 2026).</w:t>
      </w:r>
    </w:p>
    <w:p w14:paraId="0A739AD8" w14:textId="77777777" w:rsidR="00727764" w:rsidRPr="00432E46" w:rsidRDefault="00BA41BC" w:rsidP="005E534E">
      <w:pPr>
        <w:pStyle w:val="ListParagraph"/>
        <w:numPr>
          <w:ilvl w:val="0"/>
          <w:numId w:val="2"/>
        </w:numPr>
        <w:rPr>
          <w:lang w:val="en-GB"/>
        </w:rPr>
      </w:pPr>
      <w:r w:rsidRPr="00432E46">
        <w:rPr>
          <w:lang w:val="en-GB"/>
        </w:rPr>
        <w:t>Care Learning (2025) A Guide to the Data Protection Act 2018 in Health and Social Care. Available at: https://carelearning.org.uk/blog/data-protection-and-gdpr/data-protection-act-2018-in-health-an</w:t>
      </w:r>
      <w:r w:rsidRPr="00432E46">
        <w:rPr>
          <w:lang w:val="en-GB"/>
        </w:rPr>
        <w:t>d-social-care/ (Accessed: 6 August 2026).</w:t>
      </w:r>
    </w:p>
    <w:p w14:paraId="100816C1" w14:textId="77777777" w:rsidR="00727764" w:rsidRPr="00432E46" w:rsidRDefault="00BA41BC" w:rsidP="005E534E">
      <w:pPr>
        <w:pStyle w:val="ListParagraph"/>
        <w:numPr>
          <w:ilvl w:val="0"/>
          <w:numId w:val="2"/>
        </w:numPr>
        <w:rPr>
          <w:lang w:val="en-GB"/>
        </w:rPr>
      </w:pPr>
      <w:r w:rsidRPr="00432E46">
        <w:rPr>
          <w:lang w:val="en-GB"/>
        </w:rPr>
        <w:t>Care Quality Commission (2022) Regulation 17: Good Governance. Available at: https://www.cqc.org.uk/guidance-providers/regulations/regulation-17-good-governance (Accessed: 6 August 2026).</w:t>
      </w:r>
    </w:p>
    <w:p w14:paraId="215DAC21" w14:textId="77777777" w:rsidR="00727764" w:rsidRPr="00432E46" w:rsidRDefault="00BA41BC" w:rsidP="005E534E">
      <w:pPr>
        <w:pStyle w:val="ListParagraph"/>
        <w:numPr>
          <w:ilvl w:val="0"/>
          <w:numId w:val="2"/>
        </w:numPr>
        <w:rPr>
          <w:lang w:val="en-GB"/>
        </w:rPr>
      </w:pPr>
      <w:r w:rsidRPr="00432E46">
        <w:rPr>
          <w:lang w:val="en-GB"/>
        </w:rPr>
        <w:t xml:space="preserve">Data Protection Act 2018, </w:t>
      </w:r>
      <w:r w:rsidRPr="00432E46">
        <w:rPr>
          <w:lang w:val="en-GB"/>
        </w:rPr>
        <w:t>c.12. Available at: https://www.legislation.gov.uk/ukpga/2018/12/contents (Accessed: 6 August 2026).</w:t>
      </w:r>
    </w:p>
    <w:p w14:paraId="21A12271" w14:textId="77777777" w:rsidR="00727764" w:rsidRPr="00432E46" w:rsidRDefault="00BA41BC" w:rsidP="005E534E">
      <w:pPr>
        <w:pStyle w:val="ListParagraph"/>
        <w:numPr>
          <w:ilvl w:val="0"/>
          <w:numId w:val="2"/>
        </w:numPr>
        <w:rPr>
          <w:lang w:val="en-GB"/>
        </w:rPr>
      </w:pPr>
      <w:r w:rsidRPr="00432E46">
        <w:rPr>
          <w:lang w:val="en-GB"/>
        </w:rPr>
        <w:t>Equality Act 2010, c.15. Available at: https://www.legislation.gov.uk/ukpga/2010/15/contents (Accessed: 6 August 2026).</w:t>
      </w:r>
    </w:p>
    <w:p w14:paraId="3DB30239" w14:textId="77777777" w:rsidR="00727764" w:rsidRPr="00432E46" w:rsidRDefault="00BA41BC" w:rsidP="005E534E">
      <w:pPr>
        <w:pStyle w:val="ListParagraph"/>
        <w:numPr>
          <w:ilvl w:val="0"/>
          <w:numId w:val="2"/>
        </w:numPr>
        <w:rPr>
          <w:lang w:val="en-GB"/>
        </w:rPr>
      </w:pPr>
      <w:r w:rsidRPr="00432E46">
        <w:rPr>
          <w:lang w:val="en-GB"/>
        </w:rPr>
        <w:t>Mental Capacity Act 2005, c.9. Avai</w:t>
      </w:r>
      <w:r w:rsidRPr="00432E46">
        <w:rPr>
          <w:lang w:val="en-GB"/>
        </w:rPr>
        <w:t>lable at: https://www.legislation.gov.uk/ukpga/2005/9/contents (Accessed: 6 August 2026).</w:t>
      </w:r>
    </w:p>
    <w:p w14:paraId="17690EE4" w14:textId="77777777" w:rsidR="00727764" w:rsidRPr="00432E46" w:rsidRDefault="00BA41BC" w:rsidP="005E534E">
      <w:pPr>
        <w:pStyle w:val="ListParagraph"/>
        <w:numPr>
          <w:ilvl w:val="0"/>
          <w:numId w:val="2"/>
        </w:numPr>
        <w:rPr>
          <w:lang w:val="en-GB"/>
        </w:rPr>
      </w:pPr>
      <w:r w:rsidRPr="00432E46">
        <w:rPr>
          <w:lang w:val="en-GB"/>
        </w:rPr>
        <w:t>Royal College of Nursing (2023) Data Protection and Monitoring at Work. Available at: https://www.rcn.org.uk/Get-Help/RCN-advice/data-protection (Accessed: 6 August 2</w:t>
      </w:r>
      <w:r w:rsidRPr="00432E46">
        <w:rPr>
          <w:lang w:val="en-GB"/>
        </w:rPr>
        <w:t>026).</w:t>
      </w:r>
    </w:p>
    <w:p w14:paraId="346CED90" w14:textId="77777777" w:rsidR="00727764" w:rsidRPr="00432E46" w:rsidRDefault="00BA41BC" w:rsidP="005E534E">
      <w:pPr>
        <w:pStyle w:val="ListParagraph"/>
        <w:numPr>
          <w:ilvl w:val="0"/>
          <w:numId w:val="2"/>
        </w:numPr>
        <w:rPr>
          <w:lang w:val="en-GB"/>
        </w:rPr>
      </w:pPr>
      <w:r w:rsidRPr="00432E46">
        <w:rPr>
          <w:lang w:val="en-GB"/>
        </w:rPr>
        <w:t>Skills for Care (2021) Working Together: A Guide to Effective Multi-Agency Working in Adult Social Care. Leeds: Skills for Care.</w:t>
      </w:r>
    </w:p>
    <w:p w14:paraId="51E271A5" w14:textId="77777777" w:rsidR="00727764" w:rsidRPr="00432E46" w:rsidRDefault="00BA41BC" w:rsidP="005E534E">
      <w:pPr>
        <w:pStyle w:val="ListParagraph"/>
        <w:numPr>
          <w:ilvl w:val="0"/>
          <w:numId w:val="2"/>
        </w:numPr>
        <w:rPr>
          <w:lang w:val="en-GB"/>
        </w:rPr>
      </w:pPr>
      <w:r w:rsidRPr="00432E46">
        <w:rPr>
          <w:lang w:val="en-GB"/>
        </w:rPr>
        <w:t>Social Care Institute for Excellence (2015) Dementia: Supporting People with Dementia and Their Carers. Available at: htt</w:t>
      </w:r>
      <w:r w:rsidRPr="00432E46">
        <w:rPr>
          <w:lang w:val="en-GB"/>
        </w:rPr>
        <w:t>ps://www.scie.org.uk/dementia (Accessed: 6 August 2026).</w:t>
      </w:r>
    </w:p>
    <w:sectPr w:rsidR="00727764" w:rsidRPr="00432E46">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22B241" w14:textId="77777777" w:rsidR="00BA41BC" w:rsidRDefault="00BA41BC" w:rsidP="000650E4">
      <w:pPr>
        <w:spacing w:line="240" w:lineRule="auto"/>
      </w:pPr>
      <w:r>
        <w:separator/>
      </w:r>
    </w:p>
  </w:endnote>
  <w:endnote w:type="continuationSeparator" w:id="0">
    <w:p w14:paraId="16877AC6" w14:textId="77777777" w:rsidR="00BA41BC" w:rsidRDefault="00BA41BC" w:rsidP="000650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699442"/>
      <w:docPartObj>
        <w:docPartGallery w:val="Page Numbers (Bottom of Page)"/>
        <w:docPartUnique/>
      </w:docPartObj>
    </w:sdtPr>
    <w:sdtEndPr>
      <w:rPr>
        <w:color w:val="7F7F7F" w:themeColor="background1" w:themeShade="7F"/>
        <w:spacing w:val="60"/>
      </w:rPr>
    </w:sdtEndPr>
    <w:sdtContent>
      <w:p w14:paraId="60F7ECFD" w14:textId="3D5A3DB2" w:rsidR="000650E4" w:rsidRDefault="000650E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625C8" w:rsidRPr="007625C8">
          <w:rPr>
            <w:b/>
            <w:bCs/>
            <w:noProof/>
          </w:rPr>
          <w:t>7</w:t>
        </w:r>
        <w:r>
          <w:rPr>
            <w:b/>
            <w:bCs/>
            <w:noProof/>
          </w:rPr>
          <w:fldChar w:fldCharType="end"/>
        </w:r>
        <w:r>
          <w:rPr>
            <w:b/>
            <w:bCs/>
          </w:rPr>
          <w:t xml:space="preserve"> | </w:t>
        </w:r>
        <w:r>
          <w:rPr>
            <w:color w:val="7F7F7F" w:themeColor="background1" w:themeShade="7F"/>
            <w:spacing w:val="60"/>
          </w:rPr>
          <w:t>Page</w:t>
        </w:r>
      </w:p>
    </w:sdtContent>
  </w:sdt>
  <w:p w14:paraId="27E2BDB6" w14:textId="77777777" w:rsidR="000650E4" w:rsidRDefault="00065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E1AF4F" w14:textId="77777777" w:rsidR="00BA41BC" w:rsidRDefault="00BA41BC" w:rsidP="000650E4">
      <w:pPr>
        <w:spacing w:line="240" w:lineRule="auto"/>
      </w:pPr>
      <w:r>
        <w:separator/>
      </w:r>
    </w:p>
  </w:footnote>
  <w:footnote w:type="continuationSeparator" w:id="0">
    <w:p w14:paraId="2E9430E0" w14:textId="77777777" w:rsidR="00BA41BC" w:rsidRDefault="00BA41BC" w:rsidP="000650E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70D8B"/>
    <w:multiLevelType w:val="hybridMultilevel"/>
    <w:tmpl w:val="6F8604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144CB7"/>
    <w:multiLevelType w:val="hybridMultilevel"/>
    <w:tmpl w:val="7186B648"/>
    <w:lvl w:ilvl="0" w:tplc="5E6E1D7C">
      <w:start w:val="1"/>
      <w:numFmt w:val="bullet"/>
      <w:lvlText w:val="●"/>
      <w:lvlJc w:val="left"/>
      <w:pPr>
        <w:ind w:left="720" w:hanging="360"/>
      </w:pPr>
    </w:lvl>
    <w:lvl w:ilvl="1" w:tplc="6574A1C8">
      <w:start w:val="1"/>
      <w:numFmt w:val="bullet"/>
      <w:lvlText w:val="○"/>
      <w:lvlJc w:val="left"/>
      <w:pPr>
        <w:ind w:left="1440" w:hanging="360"/>
      </w:pPr>
    </w:lvl>
    <w:lvl w:ilvl="2" w:tplc="E878E668">
      <w:start w:val="1"/>
      <w:numFmt w:val="bullet"/>
      <w:lvlText w:val="■"/>
      <w:lvlJc w:val="left"/>
      <w:pPr>
        <w:ind w:left="2160" w:hanging="360"/>
      </w:pPr>
    </w:lvl>
    <w:lvl w:ilvl="3" w:tplc="C9B4A76A">
      <w:start w:val="1"/>
      <w:numFmt w:val="bullet"/>
      <w:lvlText w:val="●"/>
      <w:lvlJc w:val="left"/>
      <w:pPr>
        <w:ind w:left="2880" w:hanging="360"/>
      </w:pPr>
    </w:lvl>
    <w:lvl w:ilvl="4" w:tplc="2BB41202">
      <w:start w:val="1"/>
      <w:numFmt w:val="bullet"/>
      <w:lvlText w:val="○"/>
      <w:lvlJc w:val="left"/>
      <w:pPr>
        <w:ind w:left="3600" w:hanging="360"/>
      </w:pPr>
    </w:lvl>
    <w:lvl w:ilvl="5" w:tplc="3798131E">
      <w:start w:val="1"/>
      <w:numFmt w:val="bullet"/>
      <w:lvlText w:val="■"/>
      <w:lvlJc w:val="left"/>
      <w:pPr>
        <w:ind w:left="4320" w:hanging="360"/>
      </w:pPr>
    </w:lvl>
    <w:lvl w:ilvl="6" w:tplc="B1FCB636">
      <w:start w:val="1"/>
      <w:numFmt w:val="bullet"/>
      <w:lvlText w:val="●"/>
      <w:lvlJc w:val="left"/>
      <w:pPr>
        <w:ind w:left="5040" w:hanging="360"/>
      </w:pPr>
    </w:lvl>
    <w:lvl w:ilvl="7" w:tplc="CDB41762">
      <w:start w:val="1"/>
      <w:numFmt w:val="bullet"/>
      <w:lvlText w:val="●"/>
      <w:lvlJc w:val="left"/>
      <w:pPr>
        <w:ind w:left="5760" w:hanging="360"/>
      </w:pPr>
    </w:lvl>
    <w:lvl w:ilvl="8" w:tplc="6BAAD182">
      <w:start w:val="1"/>
      <w:numFmt w:val="bullet"/>
      <w:lvlText w:val="●"/>
      <w:lvlJc w:val="left"/>
      <w:pPr>
        <w:ind w:left="6480" w:hanging="360"/>
      </w:pPr>
    </w:lvl>
  </w:abstractNum>
  <w:num w:numId="1">
    <w:abstractNumId w:val="1"/>
    <w:lvlOverride w:ilvl="0">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764"/>
    <w:rsid w:val="000650E4"/>
    <w:rsid w:val="001571D2"/>
    <w:rsid w:val="00274E23"/>
    <w:rsid w:val="00376691"/>
    <w:rsid w:val="00432E46"/>
    <w:rsid w:val="005954EA"/>
    <w:rsid w:val="005E534E"/>
    <w:rsid w:val="00727764"/>
    <w:rsid w:val="007625C8"/>
    <w:rsid w:val="00B25B08"/>
    <w:rsid w:val="00BA41BC"/>
    <w:rsid w:val="00D80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9A360"/>
  <w15:docId w15:val="{713B0C48-C95D-4FDE-B1E8-3B81A351F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50E4"/>
    <w:pPr>
      <w:spacing w:line="360" w:lineRule="auto"/>
      <w:jc w:val="both"/>
    </w:pPr>
    <w:rPr>
      <w:rFonts w:ascii="Arial" w:hAnsi="Arial"/>
      <w:sz w:val="24"/>
      <w:lang w:val="en-GB"/>
    </w:rPr>
  </w:style>
  <w:style w:type="paragraph" w:styleId="Heading1">
    <w:name w:val="heading 1"/>
    <w:uiPriority w:val="9"/>
    <w:qFormat/>
    <w:rsid w:val="000650E4"/>
    <w:pPr>
      <w:outlineLvl w:val="0"/>
    </w:pPr>
    <w:rPr>
      <w:rFonts w:ascii="Arial" w:hAnsi="Arial"/>
      <w:b/>
      <w:color w:val="0A2F41" w:themeColor="accent1" w:themeShade="80"/>
      <w:sz w:val="32"/>
      <w:szCs w:val="32"/>
    </w:rPr>
  </w:style>
  <w:style w:type="paragraph" w:styleId="Heading2">
    <w:name w:val="heading 2"/>
    <w:uiPriority w:val="9"/>
    <w:semiHidden/>
    <w:unhideWhenUsed/>
    <w:qFormat/>
    <w:rsid w:val="001571D2"/>
    <w:pPr>
      <w:outlineLvl w:val="1"/>
    </w:pPr>
    <w:rPr>
      <w:b/>
      <w:color w:val="0A2F41" w:themeColor="accent1" w:themeShade="80"/>
      <w:sz w:val="28"/>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rsid w:val="000650E4"/>
    <w:pPr>
      <w:spacing w:line="360" w:lineRule="auto"/>
      <w:jc w:val="both"/>
    </w:pPr>
    <w:rPr>
      <w:rFonts w:ascii="Arial" w:hAnsi="Arial"/>
      <w:sz w:val="24"/>
    </w:r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1571D2"/>
    <w:pPr>
      <w:keepNext/>
      <w:keepLines/>
      <w:spacing w:before="240" w:line="259" w:lineRule="auto"/>
      <w:outlineLvl w:val="9"/>
    </w:pPr>
    <w:rPr>
      <w:rFonts w:asciiTheme="majorHAnsi" w:eastAsiaTheme="majorEastAsia" w:hAnsiTheme="majorHAnsi" w:cstheme="majorBidi"/>
      <w:b w:val="0"/>
      <w:color w:val="0F4761" w:themeColor="accent1" w:themeShade="BF"/>
    </w:rPr>
  </w:style>
  <w:style w:type="paragraph" w:styleId="TOC1">
    <w:name w:val="toc 1"/>
    <w:basedOn w:val="Normal"/>
    <w:next w:val="Normal"/>
    <w:autoRedefine/>
    <w:uiPriority w:val="39"/>
    <w:unhideWhenUsed/>
    <w:rsid w:val="001571D2"/>
    <w:pPr>
      <w:spacing w:after="100"/>
    </w:pPr>
  </w:style>
  <w:style w:type="paragraph" w:styleId="Header">
    <w:name w:val="header"/>
    <w:basedOn w:val="Normal"/>
    <w:link w:val="HeaderChar"/>
    <w:uiPriority w:val="99"/>
    <w:unhideWhenUsed/>
    <w:rsid w:val="000650E4"/>
    <w:pPr>
      <w:tabs>
        <w:tab w:val="center" w:pos="4680"/>
        <w:tab w:val="right" w:pos="9360"/>
      </w:tabs>
      <w:spacing w:line="240" w:lineRule="auto"/>
    </w:pPr>
  </w:style>
  <w:style w:type="character" w:customStyle="1" w:styleId="HeaderChar">
    <w:name w:val="Header Char"/>
    <w:basedOn w:val="DefaultParagraphFont"/>
    <w:link w:val="Header"/>
    <w:uiPriority w:val="99"/>
    <w:rsid w:val="000650E4"/>
    <w:rPr>
      <w:sz w:val="24"/>
      <w:lang w:val="en-GB"/>
    </w:rPr>
  </w:style>
  <w:style w:type="paragraph" w:styleId="Footer">
    <w:name w:val="footer"/>
    <w:basedOn w:val="Normal"/>
    <w:link w:val="FooterChar"/>
    <w:uiPriority w:val="99"/>
    <w:unhideWhenUsed/>
    <w:rsid w:val="000650E4"/>
    <w:pPr>
      <w:tabs>
        <w:tab w:val="center" w:pos="4680"/>
        <w:tab w:val="right" w:pos="9360"/>
      </w:tabs>
      <w:spacing w:line="240" w:lineRule="auto"/>
    </w:pPr>
  </w:style>
  <w:style w:type="character" w:customStyle="1" w:styleId="FooterChar">
    <w:name w:val="Footer Char"/>
    <w:basedOn w:val="DefaultParagraphFont"/>
    <w:link w:val="Footer"/>
    <w:uiPriority w:val="99"/>
    <w:rsid w:val="000650E4"/>
    <w:rPr>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8A3E3-E6AF-4DA5-A995-AF265BC80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1813</Words>
  <Characters>10335</Characters>
  <Application>Microsoft Office Word</Application>
  <DocSecurity>0</DocSecurity>
  <Lines>86</Lines>
  <Paragraphs>24</Paragraphs>
  <ScaleCrop>false</ScaleCrop>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Sarwar Ahmed Shafi</cp:lastModifiedBy>
  <cp:revision>21</cp:revision>
  <dcterms:created xsi:type="dcterms:W3CDTF">2026-08-08T11:15:00Z</dcterms:created>
  <dcterms:modified xsi:type="dcterms:W3CDTF">2026-08-21T11:24:00Z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e2135918-a067-4c2b-9c13-7f452fdf63f4</vt:lpwstr>
  </property>
</Properties>
</file>