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8D6B4" w14:textId="6392C7DC" w:rsidR="003B1A78" w:rsidRPr="00507945" w:rsidRDefault="002F1C6F" w:rsidP="003B1A78">
      <w:pPr>
        <w:spacing w:before="120" w:after="120"/>
        <w:jc w:val="center"/>
        <w:rPr>
          <w:rFonts w:ascii="Cambria body" w:hAnsi="Cambria body" w:cs="Arial"/>
        </w:rPr>
      </w:pPr>
      <w:r w:rsidRPr="00507945">
        <w:rPr>
          <w:rFonts w:ascii="Arial" w:eastAsia="Arial" w:hAnsi="Arial" w:cs="Arial"/>
        </w:rPr>
        <w:t>Component 2</w:t>
      </w:r>
      <w:r w:rsidR="003B1A78" w:rsidRPr="00507945">
        <w:rPr>
          <w:rFonts w:ascii="Arial" w:eastAsia="Arial" w:hAnsi="Arial" w:cs="Arial"/>
        </w:rPr>
        <w:t xml:space="preserve">- Module </w:t>
      </w:r>
      <w:r w:rsidR="003B1A78" w:rsidRPr="008A7C6D">
        <w:rPr>
          <w:rFonts w:ascii="Arial" w:hAnsi="Arial" w:cs="Arial"/>
        </w:rPr>
        <w:t>Marketing Fundamentals</w:t>
      </w:r>
      <w:r w:rsidR="003B1A78" w:rsidRPr="00507945">
        <w:rPr>
          <w:rFonts w:ascii="Cambria body" w:hAnsi="Cambria body" w:cs="Arial"/>
        </w:rPr>
        <w:t xml:space="preserve"> </w:t>
      </w:r>
    </w:p>
    <w:p w14:paraId="71F08C47" w14:textId="5AF93CA3" w:rsidR="002F1C6F" w:rsidRPr="00507945" w:rsidRDefault="00623E87" w:rsidP="003B1A78">
      <w:pPr>
        <w:spacing w:line="257" w:lineRule="auto"/>
        <w:jc w:val="center"/>
        <w:rPr>
          <w:rFonts w:ascii="Arial" w:eastAsia="Arial" w:hAnsi="Arial" w:cs="Arial"/>
        </w:rPr>
      </w:pPr>
      <w:r w:rsidRPr="00507945">
        <w:rPr>
          <w:rFonts w:ascii="Arial" w:hAnsi="Arial" w:cs="Arial"/>
        </w:rPr>
        <w:t>Individual Report: Globalisation</w:t>
      </w:r>
    </w:p>
    <w:p w14:paraId="34428205" w14:textId="77777777" w:rsidR="002F1C6F" w:rsidRPr="00507945" w:rsidRDefault="002F1C6F" w:rsidP="002F1C6F">
      <w:pPr>
        <w:spacing w:line="257" w:lineRule="auto"/>
        <w:jc w:val="center"/>
        <w:rPr>
          <w:rFonts w:ascii="Arial" w:eastAsia="Arial" w:hAnsi="Arial" w:cs="Arial"/>
        </w:rPr>
      </w:pPr>
      <w:r w:rsidRPr="00507945">
        <w:rPr>
          <w:rFonts w:ascii="Arial" w:eastAsia="Arial" w:hAnsi="Arial" w:cs="Arial"/>
        </w:rPr>
        <w:t>Student Name: Tanya Georgieva</w:t>
      </w:r>
    </w:p>
    <w:p w14:paraId="7682C7F7" w14:textId="77777777" w:rsidR="002F1C6F" w:rsidRPr="00507945" w:rsidRDefault="002F1C6F" w:rsidP="002F1C6F">
      <w:pPr>
        <w:spacing w:line="257" w:lineRule="auto"/>
        <w:jc w:val="center"/>
        <w:rPr>
          <w:rFonts w:ascii="Arial" w:eastAsia="Arial" w:hAnsi="Arial" w:cs="Arial"/>
        </w:rPr>
      </w:pPr>
      <w:r w:rsidRPr="00507945">
        <w:rPr>
          <w:rFonts w:ascii="Arial" w:eastAsia="Arial" w:hAnsi="Arial" w:cs="Arial"/>
        </w:rPr>
        <w:t>Student Number:2028228</w:t>
      </w:r>
    </w:p>
    <w:p w14:paraId="7424DB0A" w14:textId="7EAED787" w:rsidR="00E04F31" w:rsidRPr="00507945" w:rsidRDefault="002F1C6F" w:rsidP="00B46138">
      <w:pPr>
        <w:jc w:val="center"/>
        <w:rPr>
          <w:rFonts w:ascii="Arial" w:hAnsi="Arial" w:cs="Arial"/>
        </w:rPr>
      </w:pPr>
      <w:r w:rsidRPr="00507945">
        <w:rPr>
          <w:rFonts w:ascii="Arial" w:eastAsia="Arial" w:hAnsi="Arial" w:cs="Arial"/>
        </w:rPr>
        <w:t>Lecturer Name</w:t>
      </w:r>
      <w:r w:rsidR="00B46138" w:rsidRPr="00507945">
        <w:rPr>
          <w:rFonts w:ascii="Arial" w:eastAsia="Arial" w:hAnsi="Arial" w:cs="Arial"/>
        </w:rPr>
        <w:t>:</w:t>
      </w:r>
      <w:r w:rsidR="00B46138" w:rsidRPr="00507945">
        <w:rPr>
          <w:rFonts w:ascii="Arial" w:hAnsi="Arial" w:cs="Arial"/>
        </w:rPr>
        <w:t xml:space="preserve"> </w:t>
      </w:r>
      <w:r w:rsidR="00440A91" w:rsidRPr="00507945">
        <w:rPr>
          <w:rFonts w:ascii="Arial" w:hAnsi="Arial" w:cs="Arial"/>
        </w:rPr>
        <w:t>Efua Adams</w:t>
      </w:r>
    </w:p>
    <w:p w14:paraId="568587BE" w14:textId="77777777" w:rsidR="00440A91" w:rsidRPr="00BB6928" w:rsidRDefault="00440A91" w:rsidP="00B46138">
      <w:pPr>
        <w:jc w:val="center"/>
        <w:rPr>
          <w:rFonts w:ascii="Arial" w:hAnsi="Arial" w:cs="Arial"/>
          <w:b/>
          <w:bCs/>
        </w:rPr>
      </w:pPr>
    </w:p>
    <w:p w14:paraId="5AF53564" w14:textId="77777777" w:rsidR="00440A91" w:rsidRPr="00BB6928" w:rsidRDefault="00440A91" w:rsidP="00B46138">
      <w:pPr>
        <w:jc w:val="center"/>
        <w:rPr>
          <w:rFonts w:ascii="Arial" w:hAnsi="Arial" w:cs="Arial"/>
          <w:b/>
          <w:bCs/>
        </w:rPr>
      </w:pPr>
    </w:p>
    <w:p w14:paraId="162DE0AE" w14:textId="77777777" w:rsidR="00440A91" w:rsidRPr="00BB6928" w:rsidRDefault="00440A91" w:rsidP="00B46138">
      <w:pPr>
        <w:jc w:val="center"/>
        <w:rPr>
          <w:rFonts w:ascii="Arial" w:hAnsi="Arial" w:cs="Arial"/>
          <w:b/>
          <w:bCs/>
        </w:rPr>
      </w:pPr>
    </w:p>
    <w:p w14:paraId="244205E0" w14:textId="77777777" w:rsidR="00440A91" w:rsidRPr="00BB6928" w:rsidRDefault="00440A91" w:rsidP="00B46138">
      <w:pPr>
        <w:jc w:val="center"/>
        <w:rPr>
          <w:rFonts w:ascii="Arial" w:hAnsi="Arial" w:cs="Arial"/>
          <w:b/>
          <w:bCs/>
        </w:rPr>
      </w:pPr>
    </w:p>
    <w:p w14:paraId="4D21B542" w14:textId="77777777" w:rsidR="00440A91" w:rsidRPr="00BB6928" w:rsidRDefault="00440A91" w:rsidP="00B46138">
      <w:pPr>
        <w:jc w:val="center"/>
        <w:rPr>
          <w:rFonts w:ascii="Arial" w:hAnsi="Arial" w:cs="Arial"/>
          <w:b/>
          <w:bCs/>
        </w:rPr>
      </w:pPr>
    </w:p>
    <w:p w14:paraId="51105887" w14:textId="77777777" w:rsidR="00440A91" w:rsidRPr="00BB6928" w:rsidRDefault="00440A91" w:rsidP="00B46138">
      <w:pPr>
        <w:jc w:val="center"/>
        <w:rPr>
          <w:rFonts w:ascii="Arial" w:hAnsi="Arial" w:cs="Arial"/>
          <w:b/>
          <w:bCs/>
        </w:rPr>
      </w:pPr>
    </w:p>
    <w:p w14:paraId="3CDE5873" w14:textId="77777777" w:rsidR="00440A91" w:rsidRPr="00BB6928" w:rsidRDefault="00440A91" w:rsidP="00B46138">
      <w:pPr>
        <w:jc w:val="center"/>
        <w:rPr>
          <w:rFonts w:ascii="Arial" w:hAnsi="Arial" w:cs="Arial"/>
          <w:b/>
          <w:bCs/>
        </w:rPr>
      </w:pPr>
    </w:p>
    <w:p w14:paraId="02F25826" w14:textId="77777777" w:rsidR="00440A91" w:rsidRPr="00BB6928" w:rsidRDefault="00440A91" w:rsidP="00B46138">
      <w:pPr>
        <w:jc w:val="center"/>
        <w:rPr>
          <w:rFonts w:ascii="Arial" w:hAnsi="Arial" w:cs="Arial"/>
          <w:b/>
          <w:bCs/>
        </w:rPr>
      </w:pPr>
    </w:p>
    <w:p w14:paraId="0CE13D68" w14:textId="77777777" w:rsidR="00440A91" w:rsidRPr="00BB6928" w:rsidRDefault="00440A91" w:rsidP="00B46138">
      <w:pPr>
        <w:jc w:val="center"/>
        <w:rPr>
          <w:rFonts w:ascii="Arial" w:hAnsi="Arial" w:cs="Arial"/>
          <w:b/>
          <w:bCs/>
        </w:rPr>
      </w:pPr>
    </w:p>
    <w:p w14:paraId="11123FC8" w14:textId="77777777" w:rsidR="00440A91" w:rsidRPr="00BB6928" w:rsidRDefault="00440A91" w:rsidP="00B46138">
      <w:pPr>
        <w:jc w:val="center"/>
        <w:rPr>
          <w:rFonts w:ascii="Arial" w:hAnsi="Arial" w:cs="Arial"/>
          <w:b/>
          <w:bCs/>
        </w:rPr>
      </w:pPr>
    </w:p>
    <w:p w14:paraId="307DB6B0" w14:textId="77777777" w:rsidR="00440A91" w:rsidRPr="00BB6928" w:rsidRDefault="00440A91" w:rsidP="00B46138">
      <w:pPr>
        <w:jc w:val="center"/>
        <w:rPr>
          <w:rFonts w:ascii="Arial" w:hAnsi="Arial" w:cs="Arial"/>
          <w:b/>
          <w:bCs/>
        </w:rPr>
      </w:pPr>
    </w:p>
    <w:p w14:paraId="755CF132" w14:textId="77777777" w:rsidR="00440A91" w:rsidRPr="00BB6928" w:rsidRDefault="00440A91" w:rsidP="00B46138">
      <w:pPr>
        <w:jc w:val="center"/>
        <w:rPr>
          <w:rFonts w:ascii="Arial" w:hAnsi="Arial" w:cs="Arial"/>
          <w:b/>
          <w:bCs/>
        </w:rPr>
      </w:pPr>
    </w:p>
    <w:p w14:paraId="0FED3DE6" w14:textId="77777777" w:rsidR="00440A91" w:rsidRPr="00BB6928" w:rsidRDefault="00440A91" w:rsidP="00B46138">
      <w:pPr>
        <w:jc w:val="center"/>
        <w:rPr>
          <w:rFonts w:ascii="Arial" w:hAnsi="Arial" w:cs="Arial"/>
          <w:b/>
          <w:bCs/>
        </w:rPr>
      </w:pPr>
    </w:p>
    <w:p w14:paraId="2930826E" w14:textId="77777777" w:rsidR="00440A91" w:rsidRPr="00BB6928" w:rsidRDefault="00440A91" w:rsidP="00B46138">
      <w:pPr>
        <w:jc w:val="center"/>
        <w:rPr>
          <w:rFonts w:ascii="Arial" w:hAnsi="Arial" w:cs="Arial"/>
          <w:b/>
          <w:bCs/>
        </w:rPr>
      </w:pPr>
    </w:p>
    <w:p w14:paraId="70798B92" w14:textId="77777777" w:rsidR="00440A91" w:rsidRPr="00BB6928" w:rsidRDefault="00440A91" w:rsidP="00B46138">
      <w:pPr>
        <w:jc w:val="center"/>
        <w:rPr>
          <w:rFonts w:ascii="Arial" w:hAnsi="Arial" w:cs="Arial"/>
          <w:b/>
          <w:bCs/>
        </w:rPr>
      </w:pPr>
    </w:p>
    <w:p w14:paraId="61A2B9F6" w14:textId="77777777" w:rsidR="00440A91" w:rsidRPr="00BB6928" w:rsidRDefault="00440A91" w:rsidP="00B46138">
      <w:pPr>
        <w:jc w:val="center"/>
        <w:rPr>
          <w:rFonts w:ascii="Arial" w:hAnsi="Arial" w:cs="Arial"/>
          <w:b/>
          <w:bCs/>
        </w:rPr>
      </w:pPr>
    </w:p>
    <w:p w14:paraId="2F5EB92A" w14:textId="77777777" w:rsidR="00440A91" w:rsidRPr="00BB6928" w:rsidRDefault="00440A91" w:rsidP="00B46138">
      <w:pPr>
        <w:jc w:val="center"/>
        <w:rPr>
          <w:rFonts w:ascii="Arial" w:hAnsi="Arial" w:cs="Arial"/>
          <w:b/>
          <w:bCs/>
        </w:rPr>
      </w:pPr>
    </w:p>
    <w:p w14:paraId="6C3B67FF" w14:textId="77777777" w:rsidR="00440A91" w:rsidRPr="00BB6928" w:rsidRDefault="00440A91" w:rsidP="00B46138">
      <w:pPr>
        <w:jc w:val="center"/>
        <w:rPr>
          <w:rFonts w:ascii="Arial" w:hAnsi="Arial" w:cs="Arial"/>
          <w:b/>
          <w:bCs/>
        </w:rPr>
      </w:pPr>
    </w:p>
    <w:p w14:paraId="450D4BC4" w14:textId="77777777" w:rsidR="00440A91" w:rsidRPr="00BB6928" w:rsidRDefault="00440A91" w:rsidP="00B46138">
      <w:pPr>
        <w:jc w:val="center"/>
        <w:rPr>
          <w:rFonts w:ascii="Arial" w:hAnsi="Arial" w:cs="Arial"/>
          <w:b/>
          <w:bCs/>
        </w:rPr>
      </w:pPr>
    </w:p>
    <w:p w14:paraId="3C1CDEFC" w14:textId="77777777" w:rsidR="00440A91" w:rsidRPr="00BB6928" w:rsidRDefault="00440A91" w:rsidP="00B46138">
      <w:pPr>
        <w:jc w:val="center"/>
        <w:rPr>
          <w:rFonts w:ascii="Arial" w:hAnsi="Arial" w:cs="Arial"/>
          <w:b/>
          <w:bCs/>
        </w:rPr>
      </w:pPr>
    </w:p>
    <w:p w14:paraId="251D95F9" w14:textId="77777777" w:rsidR="00440A91" w:rsidRPr="00BB6928" w:rsidRDefault="00440A91" w:rsidP="00B46138">
      <w:pPr>
        <w:jc w:val="center"/>
        <w:rPr>
          <w:rFonts w:ascii="Arial" w:hAnsi="Arial" w:cs="Arial"/>
          <w:b/>
          <w:bCs/>
        </w:rPr>
      </w:pPr>
    </w:p>
    <w:p w14:paraId="1394E21F" w14:textId="77777777" w:rsidR="00440A91" w:rsidRPr="00BB6928" w:rsidRDefault="00440A91" w:rsidP="00B46138">
      <w:pPr>
        <w:jc w:val="center"/>
        <w:rPr>
          <w:rFonts w:ascii="Arial" w:hAnsi="Arial" w:cs="Arial"/>
          <w:b/>
          <w:bCs/>
        </w:rPr>
      </w:pPr>
    </w:p>
    <w:p w14:paraId="6F0E6E42" w14:textId="77777777" w:rsidR="00440A91" w:rsidRPr="00BB6928" w:rsidRDefault="00440A91" w:rsidP="00B46138">
      <w:pPr>
        <w:jc w:val="center"/>
        <w:rPr>
          <w:rFonts w:ascii="Arial" w:hAnsi="Arial" w:cs="Arial"/>
          <w:b/>
          <w:bCs/>
        </w:rPr>
      </w:pPr>
    </w:p>
    <w:p w14:paraId="4006D3A7" w14:textId="77777777" w:rsidR="00440A91" w:rsidRPr="00BB6928" w:rsidRDefault="00440A91" w:rsidP="00B46138">
      <w:pPr>
        <w:jc w:val="center"/>
        <w:rPr>
          <w:rFonts w:ascii="Arial" w:hAnsi="Arial" w:cs="Arial"/>
          <w:b/>
          <w:bCs/>
        </w:rPr>
      </w:pPr>
    </w:p>
    <w:p w14:paraId="538D34AA" w14:textId="77777777" w:rsidR="00440A91" w:rsidRPr="00BB6928" w:rsidRDefault="00440A91" w:rsidP="00B46138">
      <w:pPr>
        <w:jc w:val="center"/>
        <w:rPr>
          <w:rFonts w:ascii="Arial" w:hAnsi="Arial" w:cs="Arial"/>
          <w:b/>
          <w:bCs/>
        </w:rPr>
      </w:pPr>
    </w:p>
    <w:p w14:paraId="4F614635" w14:textId="77777777" w:rsidR="00440A91" w:rsidRPr="00BB6928" w:rsidRDefault="00440A91" w:rsidP="00B46138">
      <w:pPr>
        <w:jc w:val="center"/>
        <w:rPr>
          <w:rFonts w:ascii="Arial" w:hAnsi="Arial" w:cs="Arial"/>
          <w:b/>
          <w:bCs/>
        </w:rPr>
      </w:pPr>
    </w:p>
    <w:p w14:paraId="67C248E3" w14:textId="77777777" w:rsidR="00440A91" w:rsidRPr="00BB6928" w:rsidRDefault="00440A91" w:rsidP="00B46138">
      <w:pPr>
        <w:jc w:val="center"/>
        <w:rPr>
          <w:rFonts w:ascii="Arial" w:hAnsi="Arial" w:cs="Arial"/>
          <w:b/>
          <w:bCs/>
        </w:rPr>
      </w:pPr>
    </w:p>
    <w:p w14:paraId="107A9C5A" w14:textId="77777777" w:rsidR="00440A91" w:rsidRPr="00BB6928" w:rsidRDefault="00440A91" w:rsidP="00B46138">
      <w:pPr>
        <w:jc w:val="center"/>
        <w:rPr>
          <w:rFonts w:ascii="Arial" w:hAnsi="Arial" w:cs="Arial"/>
          <w:b/>
          <w:bCs/>
        </w:rPr>
      </w:pPr>
    </w:p>
    <w:p w14:paraId="33F2E9F2" w14:textId="2742067B" w:rsidR="00440A91" w:rsidRPr="00507945" w:rsidRDefault="005C4590" w:rsidP="005C4590">
      <w:pPr>
        <w:jc w:val="center"/>
        <w:rPr>
          <w:rFonts w:ascii="Arial" w:hAnsi="Arial" w:cs="Arial"/>
        </w:rPr>
      </w:pPr>
      <w:r w:rsidRPr="00507945">
        <w:rPr>
          <w:rFonts w:ascii="Arial" w:hAnsi="Arial" w:cs="Arial"/>
        </w:rPr>
        <w:t>Component page</w:t>
      </w:r>
    </w:p>
    <w:p w14:paraId="21F1ECB4" w14:textId="77777777" w:rsidR="005C4590" w:rsidRPr="00BB6928" w:rsidRDefault="005C4590" w:rsidP="005C4590">
      <w:pPr>
        <w:jc w:val="center"/>
        <w:rPr>
          <w:rFonts w:ascii="Arial" w:hAnsi="Arial" w:cs="Arial"/>
          <w:b/>
          <w:bCs/>
        </w:rPr>
      </w:pPr>
    </w:p>
    <w:p w14:paraId="745D8063" w14:textId="77777777" w:rsidR="004D1F59" w:rsidRPr="00BB6928" w:rsidRDefault="004D1F59" w:rsidP="005C4590">
      <w:pPr>
        <w:jc w:val="center"/>
        <w:rPr>
          <w:rFonts w:ascii="Arial" w:hAnsi="Arial" w:cs="Arial"/>
          <w:b/>
          <w:bCs/>
        </w:rPr>
      </w:pPr>
    </w:p>
    <w:p w14:paraId="799B8FD9" w14:textId="77777777" w:rsidR="004D1F59" w:rsidRPr="00BB6928" w:rsidRDefault="004D1F59" w:rsidP="005C4590">
      <w:pPr>
        <w:jc w:val="center"/>
        <w:rPr>
          <w:rFonts w:ascii="Arial" w:hAnsi="Arial" w:cs="Arial"/>
          <w:b/>
          <w:bCs/>
        </w:rPr>
      </w:pPr>
    </w:p>
    <w:p w14:paraId="4233D5C5" w14:textId="77777777" w:rsidR="004D1F59" w:rsidRPr="00BB6928" w:rsidRDefault="004D1F59" w:rsidP="005C4590">
      <w:pPr>
        <w:jc w:val="center"/>
        <w:rPr>
          <w:rFonts w:ascii="Arial" w:hAnsi="Arial" w:cs="Arial"/>
          <w:b/>
          <w:bCs/>
        </w:rPr>
      </w:pPr>
    </w:p>
    <w:p w14:paraId="6F34B471" w14:textId="77777777" w:rsidR="004D1F59" w:rsidRPr="00BB6928" w:rsidRDefault="004D1F59" w:rsidP="003B1A78">
      <w:pPr>
        <w:rPr>
          <w:rFonts w:ascii="Arial" w:hAnsi="Arial" w:cs="Arial"/>
          <w:b/>
          <w:bCs/>
        </w:rPr>
      </w:pPr>
    </w:p>
    <w:p w14:paraId="67184B70" w14:textId="77777777" w:rsidR="004D1F59" w:rsidRPr="00BB6928" w:rsidRDefault="004D1F59" w:rsidP="005C4590">
      <w:pPr>
        <w:jc w:val="center"/>
        <w:rPr>
          <w:rFonts w:ascii="Arial" w:hAnsi="Arial" w:cs="Arial"/>
          <w:b/>
          <w:bCs/>
        </w:rPr>
      </w:pPr>
    </w:p>
    <w:p w14:paraId="322EE089" w14:textId="77777777" w:rsidR="004D1F59" w:rsidRPr="00BB6928" w:rsidRDefault="004D1F59" w:rsidP="005C4590">
      <w:pPr>
        <w:jc w:val="center"/>
        <w:rPr>
          <w:rFonts w:ascii="Arial" w:hAnsi="Arial" w:cs="Arial"/>
          <w:b/>
          <w:bCs/>
        </w:rPr>
      </w:pPr>
    </w:p>
    <w:p w14:paraId="092C59A3" w14:textId="77777777" w:rsidR="004D1F59" w:rsidRPr="00BB6928" w:rsidRDefault="004D1F59" w:rsidP="005C4590">
      <w:pPr>
        <w:jc w:val="center"/>
        <w:rPr>
          <w:rFonts w:ascii="Arial" w:hAnsi="Arial" w:cs="Arial"/>
          <w:b/>
          <w:bCs/>
        </w:rPr>
      </w:pPr>
    </w:p>
    <w:p w14:paraId="53947157" w14:textId="77777777" w:rsidR="004D1F59" w:rsidRPr="00BB6928" w:rsidRDefault="004D1F59" w:rsidP="005C4590">
      <w:pPr>
        <w:jc w:val="center"/>
        <w:rPr>
          <w:rFonts w:ascii="Arial" w:hAnsi="Arial" w:cs="Arial"/>
          <w:b/>
          <w:bCs/>
        </w:rPr>
      </w:pPr>
    </w:p>
    <w:p w14:paraId="54EE4C05" w14:textId="77777777" w:rsidR="004D1F59" w:rsidRPr="00BB6928" w:rsidRDefault="004D1F59" w:rsidP="005C4590">
      <w:pPr>
        <w:jc w:val="center"/>
        <w:rPr>
          <w:rFonts w:ascii="Arial" w:hAnsi="Arial" w:cs="Arial"/>
          <w:b/>
          <w:bCs/>
        </w:rPr>
      </w:pPr>
    </w:p>
    <w:p w14:paraId="46415CD0" w14:textId="77777777" w:rsidR="004D1F59" w:rsidRPr="00BB6928" w:rsidRDefault="004D1F59" w:rsidP="005C4590">
      <w:pPr>
        <w:jc w:val="center"/>
        <w:rPr>
          <w:rFonts w:ascii="Arial" w:hAnsi="Arial" w:cs="Arial"/>
          <w:b/>
          <w:bCs/>
        </w:rPr>
      </w:pPr>
    </w:p>
    <w:p w14:paraId="104097AA" w14:textId="77777777" w:rsidR="004D1F59" w:rsidRPr="00BB6928" w:rsidRDefault="004D1F59" w:rsidP="005C4590">
      <w:pPr>
        <w:jc w:val="center"/>
        <w:rPr>
          <w:rFonts w:ascii="Arial" w:hAnsi="Arial" w:cs="Arial"/>
          <w:b/>
          <w:bCs/>
        </w:rPr>
      </w:pPr>
    </w:p>
    <w:p w14:paraId="3D77BB9C" w14:textId="77777777" w:rsidR="004D1F59" w:rsidRPr="00BB6928" w:rsidRDefault="004D1F59" w:rsidP="005C4590">
      <w:pPr>
        <w:jc w:val="center"/>
        <w:rPr>
          <w:rFonts w:ascii="Arial" w:hAnsi="Arial" w:cs="Arial"/>
          <w:b/>
          <w:bCs/>
        </w:rPr>
      </w:pPr>
    </w:p>
    <w:p w14:paraId="01A93E4A" w14:textId="77777777" w:rsidR="004D1F59" w:rsidRPr="00BB6928" w:rsidRDefault="004D1F59" w:rsidP="005C4590">
      <w:pPr>
        <w:jc w:val="center"/>
        <w:rPr>
          <w:rFonts w:ascii="Arial" w:hAnsi="Arial" w:cs="Arial"/>
          <w:b/>
          <w:bCs/>
        </w:rPr>
      </w:pPr>
    </w:p>
    <w:p w14:paraId="7AEA478B" w14:textId="77777777" w:rsidR="004D1F59" w:rsidRPr="00BB6928" w:rsidRDefault="004D1F59" w:rsidP="005C4590">
      <w:pPr>
        <w:jc w:val="center"/>
        <w:rPr>
          <w:rFonts w:ascii="Arial" w:hAnsi="Arial" w:cs="Arial"/>
          <w:b/>
          <w:bCs/>
        </w:rPr>
      </w:pPr>
    </w:p>
    <w:p w14:paraId="6CD08D26" w14:textId="77777777" w:rsidR="004D1F59" w:rsidRPr="00BB6928" w:rsidRDefault="004D1F59" w:rsidP="005C4590">
      <w:pPr>
        <w:jc w:val="center"/>
        <w:rPr>
          <w:rFonts w:ascii="Arial" w:hAnsi="Arial" w:cs="Arial"/>
          <w:b/>
          <w:bCs/>
        </w:rPr>
      </w:pPr>
    </w:p>
    <w:p w14:paraId="50B42DB7" w14:textId="77777777" w:rsidR="004D1F59" w:rsidRPr="00BB6928" w:rsidRDefault="004D1F59" w:rsidP="005C4590">
      <w:pPr>
        <w:jc w:val="center"/>
        <w:rPr>
          <w:rFonts w:ascii="Arial" w:hAnsi="Arial" w:cs="Arial"/>
          <w:b/>
          <w:bCs/>
        </w:rPr>
      </w:pPr>
    </w:p>
    <w:p w14:paraId="678A0D13" w14:textId="77777777" w:rsidR="004D1F59" w:rsidRPr="00BB6928" w:rsidRDefault="004D1F59" w:rsidP="005C4590">
      <w:pPr>
        <w:jc w:val="center"/>
        <w:rPr>
          <w:rFonts w:ascii="Arial" w:hAnsi="Arial" w:cs="Arial"/>
          <w:b/>
          <w:bCs/>
        </w:rPr>
      </w:pPr>
    </w:p>
    <w:p w14:paraId="2F01014A" w14:textId="77777777" w:rsidR="004D1F59" w:rsidRPr="00BB6928" w:rsidRDefault="004D1F59" w:rsidP="005C4590">
      <w:pPr>
        <w:jc w:val="center"/>
        <w:rPr>
          <w:rFonts w:ascii="Arial" w:hAnsi="Arial" w:cs="Arial"/>
          <w:b/>
          <w:bCs/>
        </w:rPr>
      </w:pPr>
    </w:p>
    <w:p w14:paraId="650A237D" w14:textId="77777777" w:rsidR="004D1F59" w:rsidRPr="00BB6928" w:rsidRDefault="004D1F59" w:rsidP="005C4590">
      <w:pPr>
        <w:jc w:val="center"/>
        <w:rPr>
          <w:rFonts w:ascii="Arial" w:hAnsi="Arial" w:cs="Arial"/>
          <w:b/>
          <w:bCs/>
        </w:rPr>
      </w:pPr>
    </w:p>
    <w:p w14:paraId="174E38D3" w14:textId="77777777" w:rsidR="004D1F59" w:rsidRPr="00BB6928" w:rsidRDefault="004D1F59" w:rsidP="005C4590">
      <w:pPr>
        <w:jc w:val="center"/>
        <w:rPr>
          <w:rFonts w:ascii="Arial" w:hAnsi="Arial" w:cs="Arial"/>
          <w:b/>
          <w:bCs/>
        </w:rPr>
      </w:pPr>
    </w:p>
    <w:p w14:paraId="64278DFE" w14:textId="77777777" w:rsidR="004D1F59" w:rsidRPr="00BB6928" w:rsidRDefault="004D1F59" w:rsidP="005C4590">
      <w:pPr>
        <w:jc w:val="center"/>
        <w:rPr>
          <w:rFonts w:ascii="Arial" w:hAnsi="Arial" w:cs="Arial"/>
          <w:b/>
          <w:bCs/>
        </w:rPr>
      </w:pPr>
    </w:p>
    <w:p w14:paraId="1658AB5B" w14:textId="77777777" w:rsidR="004D1F59" w:rsidRPr="00BB6928" w:rsidRDefault="004D1F59" w:rsidP="005C4590">
      <w:pPr>
        <w:jc w:val="center"/>
        <w:rPr>
          <w:rFonts w:ascii="Arial" w:hAnsi="Arial" w:cs="Arial"/>
          <w:b/>
          <w:bCs/>
        </w:rPr>
      </w:pPr>
    </w:p>
    <w:p w14:paraId="725F856E" w14:textId="77777777" w:rsidR="004D1F59" w:rsidRPr="00BB6928" w:rsidRDefault="004D1F59" w:rsidP="005C4590">
      <w:pPr>
        <w:jc w:val="center"/>
        <w:rPr>
          <w:rFonts w:ascii="Arial" w:hAnsi="Arial" w:cs="Arial"/>
          <w:b/>
          <w:bCs/>
        </w:rPr>
      </w:pPr>
    </w:p>
    <w:p w14:paraId="6310EE0A" w14:textId="77777777" w:rsidR="004D1F59" w:rsidRPr="00BB6928" w:rsidRDefault="004D1F59" w:rsidP="005C4590">
      <w:pPr>
        <w:jc w:val="center"/>
        <w:rPr>
          <w:rFonts w:ascii="Arial" w:hAnsi="Arial" w:cs="Arial"/>
          <w:b/>
          <w:bCs/>
        </w:rPr>
      </w:pPr>
    </w:p>
    <w:p w14:paraId="6D0D29C9" w14:textId="77777777" w:rsidR="004D1F59" w:rsidRPr="00BB6928" w:rsidRDefault="004D1F59" w:rsidP="005C4590">
      <w:pPr>
        <w:jc w:val="center"/>
        <w:rPr>
          <w:rFonts w:ascii="Arial" w:hAnsi="Arial" w:cs="Arial"/>
          <w:b/>
          <w:bCs/>
        </w:rPr>
      </w:pPr>
    </w:p>
    <w:p w14:paraId="4E24AE2E" w14:textId="77777777" w:rsidR="004D1F59" w:rsidRPr="00BB6928" w:rsidRDefault="004D1F59" w:rsidP="005C4590">
      <w:pPr>
        <w:jc w:val="center"/>
        <w:rPr>
          <w:rFonts w:ascii="Arial" w:hAnsi="Arial" w:cs="Arial"/>
          <w:b/>
          <w:bCs/>
        </w:rPr>
      </w:pPr>
    </w:p>
    <w:p w14:paraId="21B32C2A" w14:textId="77777777" w:rsidR="004D1F59" w:rsidRPr="00BB6928" w:rsidRDefault="004D1F59" w:rsidP="005C4590">
      <w:pPr>
        <w:jc w:val="center"/>
        <w:rPr>
          <w:rFonts w:ascii="Arial" w:hAnsi="Arial" w:cs="Arial"/>
          <w:b/>
          <w:bCs/>
        </w:rPr>
      </w:pPr>
    </w:p>
    <w:p w14:paraId="545A0B0E" w14:textId="77777777" w:rsidR="004D1F59" w:rsidRPr="00BB6928" w:rsidRDefault="004D1F59" w:rsidP="005C4590">
      <w:pPr>
        <w:jc w:val="center"/>
        <w:rPr>
          <w:rFonts w:ascii="Arial" w:hAnsi="Arial" w:cs="Arial"/>
          <w:b/>
          <w:bCs/>
        </w:rPr>
      </w:pPr>
    </w:p>
    <w:p w14:paraId="10D1E8FB" w14:textId="77777777" w:rsidR="004D1F59" w:rsidRPr="00BB6928" w:rsidRDefault="004D1F59" w:rsidP="005C4590">
      <w:pPr>
        <w:jc w:val="center"/>
        <w:rPr>
          <w:rFonts w:ascii="Arial" w:hAnsi="Arial" w:cs="Arial"/>
          <w:b/>
          <w:bCs/>
        </w:rPr>
      </w:pPr>
    </w:p>
    <w:p w14:paraId="3A39137F" w14:textId="77777777" w:rsidR="004D1F59" w:rsidRPr="00BB6928" w:rsidRDefault="004D1F59" w:rsidP="005C4590">
      <w:pPr>
        <w:jc w:val="center"/>
        <w:rPr>
          <w:rFonts w:ascii="Arial" w:hAnsi="Arial" w:cs="Arial"/>
          <w:b/>
          <w:bCs/>
        </w:rPr>
      </w:pPr>
    </w:p>
    <w:p w14:paraId="383D6DE8" w14:textId="77777777" w:rsidR="004D1F59" w:rsidRPr="00BB6928" w:rsidRDefault="004D1F59" w:rsidP="005C4590">
      <w:pPr>
        <w:jc w:val="center"/>
        <w:rPr>
          <w:rFonts w:ascii="Arial" w:hAnsi="Arial" w:cs="Arial"/>
          <w:b/>
          <w:bCs/>
        </w:rPr>
      </w:pPr>
    </w:p>
    <w:p w14:paraId="6099BC89" w14:textId="77777777" w:rsidR="004D1F59" w:rsidRPr="00BB6928" w:rsidRDefault="004D1F59" w:rsidP="005C4590">
      <w:pPr>
        <w:jc w:val="center"/>
        <w:rPr>
          <w:rFonts w:ascii="Arial" w:hAnsi="Arial" w:cs="Arial"/>
          <w:b/>
          <w:bCs/>
        </w:rPr>
      </w:pPr>
    </w:p>
    <w:p w14:paraId="0BBFD695" w14:textId="69C5F1FA" w:rsidR="004D1F59" w:rsidRPr="00507945" w:rsidRDefault="0035710A" w:rsidP="005C4590">
      <w:pPr>
        <w:jc w:val="center"/>
        <w:rPr>
          <w:rFonts w:ascii="Arial" w:hAnsi="Arial" w:cs="Arial"/>
        </w:rPr>
      </w:pPr>
      <w:r w:rsidRPr="00507945">
        <w:rPr>
          <w:rFonts w:ascii="Arial" w:hAnsi="Arial" w:cs="Arial"/>
        </w:rPr>
        <w:t xml:space="preserve">Introduction </w:t>
      </w:r>
    </w:p>
    <w:p w14:paraId="78670BB8" w14:textId="77777777" w:rsidR="0035710A" w:rsidRPr="00507945" w:rsidRDefault="0035710A" w:rsidP="00B67EE9">
      <w:pPr>
        <w:rPr>
          <w:rFonts w:ascii="Arial" w:hAnsi="Arial" w:cs="Arial"/>
        </w:rPr>
      </w:pPr>
    </w:p>
    <w:p w14:paraId="4EF55012" w14:textId="77777777" w:rsidR="0035710A" w:rsidRPr="00507945" w:rsidRDefault="0035710A" w:rsidP="005C4590">
      <w:pPr>
        <w:jc w:val="center"/>
        <w:rPr>
          <w:rFonts w:ascii="Arial" w:hAnsi="Arial" w:cs="Arial"/>
        </w:rPr>
      </w:pPr>
    </w:p>
    <w:p w14:paraId="08A82D40" w14:textId="77777777" w:rsidR="0035710A" w:rsidRPr="00507945" w:rsidRDefault="0035710A" w:rsidP="005C4590">
      <w:pPr>
        <w:jc w:val="center"/>
        <w:rPr>
          <w:rFonts w:ascii="Arial" w:hAnsi="Arial" w:cs="Arial"/>
        </w:rPr>
      </w:pPr>
    </w:p>
    <w:p w14:paraId="4AF4B78F" w14:textId="077295FC" w:rsidR="0035710A" w:rsidRPr="00507945" w:rsidRDefault="00A12DCF" w:rsidP="00A12DCF">
      <w:pPr>
        <w:rPr>
          <w:rFonts w:ascii="Arial" w:hAnsi="Arial" w:cs="Arial"/>
        </w:rPr>
      </w:pPr>
      <w:r w:rsidRPr="00507945">
        <w:rPr>
          <w:rFonts w:ascii="Arial" w:hAnsi="Arial" w:cs="Arial"/>
        </w:rPr>
        <w:t xml:space="preserve">The </w:t>
      </w:r>
      <w:r w:rsidR="006B1E00" w:rsidRPr="00507945">
        <w:rPr>
          <w:rFonts w:ascii="Arial" w:hAnsi="Arial" w:cs="Arial"/>
        </w:rPr>
        <w:t>objective</w:t>
      </w:r>
      <w:r w:rsidR="007F7758" w:rsidRPr="00507945">
        <w:rPr>
          <w:rFonts w:ascii="Arial" w:hAnsi="Arial" w:cs="Arial"/>
        </w:rPr>
        <w:t xml:space="preserve"> of</w:t>
      </w:r>
      <w:r w:rsidRPr="00507945">
        <w:rPr>
          <w:rFonts w:ascii="Arial" w:hAnsi="Arial" w:cs="Arial"/>
        </w:rPr>
        <w:t xml:space="preserve"> </w:t>
      </w:r>
      <w:r w:rsidR="007F7758" w:rsidRPr="00507945">
        <w:rPr>
          <w:rFonts w:ascii="Arial" w:hAnsi="Arial" w:cs="Arial"/>
        </w:rPr>
        <w:t xml:space="preserve">the </w:t>
      </w:r>
      <w:r w:rsidR="00547455" w:rsidRPr="00507945">
        <w:rPr>
          <w:rFonts w:ascii="Arial" w:hAnsi="Arial" w:cs="Arial"/>
        </w:rPr>
        <w:t xml:space="preserve">section is </w:t>
      </w:r>
      <w:r w:rsidR="00401AC1" w:rsidRPr="00507945">
        <w:rPr>
          <w:rFonts w:ascii="Arial" w:hAnsi="Arial" w:cs="Arial"/>
        </w:rPr>
        <w:t>Globalisation</w:t>
      </w:r>
      <w:r w:rsidR="006B1E00" w:rsidRPr="00507945">
        <w:rPr>
          <w:rFonts w:ascii="Arial" w:hAnsi="Arial" w:cs="Arial"/>
        </w:rPr>
        <w:t xml:space="preserve"> to Shell </w:t>
      </w:r>
      <w:r w:rsidR="00B9401B" w:rsidRPr="00507945">
        <w:rPr>
          <w:rFonts w:ascii="Arial" w:hAnsi="Arial" w:cs="Arial"/>
        </w:rPr>
        <w:t>Company</w:t>
      </w:r>
      <w:r w:rsidR="006B1E00" w:rsidRPr="00507945">
        <w:rPr>
          <w:rFonts w:ascii="Arial" w:hAnsi="Arial" w:cs="Arial"/>
        </w:rPr>
        <w:t>.</w:t>
      </w:r>
    </w:p>
    <w:p w14:paraId="4ABB3B15" w14:textId="5523665D" w:rsidR="00CA22F9" w:rsidRPr="00507945" w:rsidRDefault="00CA22F9" w:rsidP="00CA22F9">
      <w:pPr>
        <w:rPr>
          <w:rFonts w:ascii="Arial" w:hAnsi="Arial" w:cs="Arial"/>
        </w:rPr>
      </w:pPr>
      <w:r w:rsidRPr="00507945">
        <w:rPr>
          <w:rFonts w:ascii="Arial" w:hAnsi="Arial" w:cs="Arial"/>
        </w:rPr>
        <w:t xml:space="preserve">Shell, </w:t>
      </w:r>
      <w:r w:rsidR="00A8617C">
        <w:rPr>
          <w:rFonts w:ascii="Arial" w:hAnsi="Arial" w:cs="Arial"/>
        </w:rPr>
        <w:t xml:space="preserve">occasionally </w:t>
      </w:r>
      <w:r w:rsidR="00A8617C" w:rsidRPr="00507945">
        <w:rPr>
          <w:rFonts w:ascii="Arial" w:hAnsi="Arial" w:cs="Arial"/>
        </w:rPr>
        <w:t>referred</w:t>
      </w:r>
      <w:r w:rsidRPr="00507945">
        <w:rPr>
          <w:rFonts w:ascii="Arial" w:hAnsi="Arial" w:cs="Arial"/>
        </w:rPr>
        <w:t xml:space="preserve"> to as just Royal Dutch Shell is </w:t>
      </w:r>
      <w:r w:rsidR="002841A5" w:rsidRPr="00507945">
        <w:rPr>
          <w:rFonts w:ascii="Arial" w:hAnsi="Arial" w:cs="Arial"/>
        </w:rPr>
        <w:t>a renowned</w:t>
      </w:r>
      <w:r w:rsidRPr="00507945">
        <w:rPr>
          <w:rFonts w:ascii="Arial" w:hAnsi="Arial" w:cs="Arial"/>
        </w:rPr>
        <w:t xml:space="preserve"> multinational energy corporation renowned for its extensive range of energy-related activities, which includes fuel, gas from natural sources, solar power, and petrochemicals. Shell, established in 1907 as a result of the amalgamation of the Royal Dutch Petroleum Company </w:t>
      </w:r>
      <w:r w:rsidR="002841A5" w:rsidRPr="00507945">
        <w:rPr>
          <w:rFonts w:ascii="Arial" w:hAnsi="Arial" w:cs="Arial"/>
        </w:rPr>
        <w:t>and the</w:t>
      </w:r>
      <w:r w:rsidRPr="00507945">
        <w:rPr>
          <w:rFonts w:ascii="Arial" w:hAnsi="Arial" w:cs="Arial"/>
        </w:rPr>
        <w:t xml:space="preserve"> Shell Transport and </w:t>
      </w:r>
      <w:r w:rsidR="002841A5" w:rsidRPr="00507945">
        <w:rPr>
          <w:rFonts w:ascii="Arial" w:hAnsi="Arial" w:cs="Arial"/>
        </w:rPr>
        <w:t>Trading</w:t>
      </w:r>
      <w:r w:rsidRPr="00507945">
        <w:rPr>
          <w:rFonts w:ascii="Arial" w:hAnsi="Arial" w:cs="Arial"/>
        </w:rPr>
        <w:t xml:space="preserve"> </w:t>
      </w:r>
      <w:r w:rsidR="002841A5" w:rsidRPr="00507945">
        <w:rPr>
          <w:rFonts w:ascii="Arial" w:hAnsi="Arial" w:cs="Arial"/>
        </w:rPr>
        <w:t>Company,</w:t>
      </w:r>
      <w:r w:rsidRPr="00507945">
        <w:rPr>
          <w:rFonts w:ascii="Arial" w:hAnsi="Arial" w:cs="Arial"/>
        </w:rPr>
        <w:t xml:space="preserve"> has seen substantial growth and now holds a prominent position as one of the biggest </w:t>
      </w:r>
      <w:r w:rsidR="00602B71" w:rsidRPr="00507945">
        <w:rPr>
          <w:rFonts w:ascii="Arial" w:hAnsi="Arial" w:cs="Arial"/>
        </w:rPr>
        <w:t>publicly traded</w:t>
      </w:r>
      <w:r w:rsidRPr="00507945">
        <w:rPr>
          <w:rFonts w:ascii="Arial" w:hAnsi="Arial" w:cs="Arial"/>
        </w:rPr>
        <w:t xml:space="preserve"> organisations globally. The corporation is based in The Hague, a Dutch city, and is legally registered in the United Kingdom. It conducts operations in over 70 countries, maintaining a notable presence in both established and developing markets.</w:t>
      </w:r>
    </w:p>
    <w:p w14:paraId="1D604CC8" w14:textId="43A14E96" w:rsidR="002841A5" w:rsidRPr="00507945" w:rsidRDefault="00CA22F9" w:rsidP="002841A5">
      <w:pPr>
        <w:rPr>
          <w:rFonts w:ascii="Arial" w:hAnsi="Arial" w:cs="Arial"/>
        </w:rPr>
      </w:pPr>
      <w:r w:rsidRPr="00507945">
        <w:rPr>
          <w:rFonts w:ascii="Arial" w:hAnsi="Arial" w:cs="Arial"/>
        </w:rPr>
        <w:t xml:space="preserve">Shell, as a worldwide firm, encounters a multitude of difficulties and possibilities within a dynamic energy market. The company's operational activities are influenced by geopolitical circumstances, the volatility of prices for natural gas and oil, environmental considerations, and the worldwide transition onto environmentally friendly and renewable energy alternatives. </w:t>
      </w:r>
      <w:r w:rsidR="00FF5B9D" w:rsidRPr="00507945">
        <w:rPr>
          <w:rFonts w:ascii="Arial" w:hAnsi="Arial" w:cs="Arial"/>
        </w:rPr>
        <w:t>Considering</w:t>
      </w:r>
      <w:r w:rsidRPr="00507945">
        <w:rPr>
          <w:rFonts w:ascii="Arial" w:hAnsi="Arial" w:cs="Arial"/>
        </w:rPr>
        <w:t xml:space="preserve"> these problems, Shell has proactively engaged in the development of its energy transition plan, allocating resources towards clean energy projects, and executing various programmes aimed at mitigating its carbon emissions.</w:t>
      </w:r>
    </w:p>
    <w:p w14:paraId="747556E7" w14:textId="2BACB3B5" w:rsidR="00CA22F9" w:rsidRPr="00507945" w:rsidRDefault="00CA22F9" w:rsidP="002841A5">
      <w:pPr>
        <w:rPr>
          <w:rFonts w:ascii="Arial" w:hAnsi="Arial" w:cs="Arial"/>
        </w:rPr>
      </w:pPr>
      <w:r w:rsidRPr="00507945">
        <w:rPr>
          <w:rFonts w:ascii="Arial" w:hAnsi="Arial" w:cs="Arial"/>
        </w:rPr>
        <w:t xml:space="preserve">This introductory analysis of Shell offers a comprehensive examination of its historical importance, worldwide reach, and the intricate energy environment within which it functions. </w:t>
      </w:r>
      <w:r w:rsidR="002841A5" w:rsidRPr="00507945">
        <w:rPr>
          <w:rFonts w:ascii="Arial" w:hAnsi="Arial" w:cs="Arial"/>
        </w:rPr>
        <w:t>Considering</w:t>
      </w:r>
      <w:r w:rsidRPr="00507945">
        <w:rPr>
          <w:rFonts w:ascii="Arial" w:hAnsi="Arial" w:cs="Arial"/>
        </w:rPr>
        <w:t xml:space="preserve"> ongoing global developments, Shell's capacity to adapt and its unwavering dedication to confronting forthcoming obstacles will significantly influence its achievements within the energy sector.</w:t>
      </w:r>
    </w:p>
    <w:p w14:paraId="5493E2CA" w14:textId="77777777" w:rsidR="00CA22F9" w:rsidRPr="00507945" w:rsidRDefault="00CA22F9" w:rsidP="00CA22F9">
      <w:pPr>
        <w:jc w:val="center"/>
        <w:rPr>
          <w:rFonts w:ascii="Arial" w:hAnsi="Arial" w:cs="Arial"/>
        </w:rPr>
      </w:pPr>
    </w:p>
    <w:p w14:paraId="4870376C" w14:textId="77777777" w:rsidR="00CA22F9" w:rsidRPr="00BB6928" w:rsidRDefault="00CA22F9" w:rsidP="00CA22F9">
      <w:pPr>
        <w:jc w:val="center"/>
        <w:rPr>
          <w:rFonts w:ascii="Arial" w:hAnsi="Arial" w:cs="Arial"/>
          <w:b/>
          <w:bCs/>
        </w:rPr>
      </w:pPr>
    </w:p>
    <w:p w14:paraId="140B147C" w14:textId="77777777" w:rsidR="00CA22F9" w:rsidRPr="00BB6928" w:rsidRDefault="00CA22F9" w:rsidP="00CA22F9">
      <w:pPr>
        <w:jc w:val="center"/>
        <w:rPr>
          <w:rFonts w:ascii="Arial" w:hAnsi="Arial" w:cs="Arial"/>
          <w:b/>
          <w:bCs/>
        </w:rPr>
      </w:pPr>
    </w:p>
    <w:p w14:paraId="081DA241" w14:textId="77777777" w:rsidR="00CA22F9" w:rsidRPr="00BB6928" w:rsidRDefault="00CA22F9" w:rsidP="00CA22F9">
      <w:pPr>
        <w:jc w:val="center"/>
        <w:rPr>
          <w:rFonts w:ascii="Arial" w:hAnsi="Arial" w:cs="Arial"/>
          <w:b/>
          <w:bCs/>
        </w:rPr>
      </w:pPr>
    </w:p>
    <w:p w14:paraId="73E65CD8" w14:textId="77777777" w:rsidR="00CA22F9" w:rsidRPr="00BB6928" w:rsidRDefault="00CA22F9" w:rsidP="00720B48">
      <w:pPr>
        <w:rPr>
          <w:rFonts w:ascii="Arial" w:hAnsi="Arial" w:cs="Arial"/>
          <w:b/>
          <w:bCs/>
        </w:rPr>
      </w:pPr>
    </w:p>
    <w:p w14:paraId="1A00522F" w14:textId="77777777" w:rsidR="008D6045" w:rsidRDefault="008D6045" w:rsidP="00720B48">
      <w:pPr>
        <w:rPr>
          <w:rFonts w:ascii="Arial" w:hAnsi="Arial" w:cs="Arial"/>
          <w:u w:val="single"/>
        </w:rPr>
      </w:pPr>
    </w:p>
    <w:p w14:paraId="76FB4074" w14:textId="77777777" w:rsidR="008A7C6D" w:rsidRDefault="008A7C6D" w:rsidP="00720B48">
      <w:pPr>
        <w:rPr>
          <w:rFonts w:ascii="Arial" w:hAnsi="Arial" w:cs="Arial"/>
        </w:rPr>
      </w:pPr>
    </w:p>
    <w:p w14:paraId="1E327E61" w14:textId="77777777" w:rsidR="008A7C6D" w:rsidRDefault="008A7C6D" w:rsidP="00720B48">
      <w:pPr>
        <w:rPr>
          <w:rFonts w:ascii="Arial" w:hAnsi="Arial" w:cs="Arial"/>
        </w:rPr>
      </w:pPr>
    </w:p>
    <w:p w14:paraId="7D639ADD" w14:textId="77777777" w:rsidR="008A7C6D" w:rsidRDefault="008A7C6D" w:rsidP="00720B48">
      <w:pPr>
        <w:rPr>
          <w:rFonts w:ascii="Arial" w:hAnsi="Arial" w:cs="Arial"/>
        </w:rPr>
      </w:pPr>
    </w:p>
    <w:p w14:paraId="36A1ACEB" w14:textId="77777777" w:rsidR="008A7C6D" w:rsidRDefault="008A7C6D" w:rsidP="00720B48">
      <w:pPr>
        <w:rPr>
          <w:rFonts w:ascii="Arial" w:hAnsi="Arial" w:cs="Arial"/>
        </w:rPr>
      </w:pPr>
    </w:p>
    <w:p w14:paraId="1309B78C" w14:textId="713919DA" w:rsidR="00720B48" w:rsidRPr="008D6045" w:rsidRDefault="00720B48" w:rsidP="00720B48">
      <w:pPr>
        <w:rPr>
          <w:rFonts w:ascii="Arial" w:hAnsi="Arial" w:cs="Arial"/>
        </w:rPr>
      </w:pPr>
      <w:r w:rsidRPr="008D6045">
        <w:rPr>
          <w:rFonts w:ascii="Arial" w:hAnsi="Arial" w:cs="Arial"/>
        </w:rPr>
        <w:lastRenderedPageBreak/>
        <w:t>Global Challenges Shell Encounters in the Post-COVID-</w:t>
      </w:r>
      <w:r w:rsidR="00507945" w:rsidRPr="008D6045">
        <w:rPr>
          <w:rFonts w:ascii="Arial" w:hAnsi="Arial" w:cs="Arial"/>
        </w:rPr>
        <w:t>19</w:t>
      </w:r>
    </w:p>
    <w:p w14:paraId="2B6A2609" w14:textId="570199B3" w:rsidR="007876CF" w:rsidRPr="00BB6928" w:rsidRDefault="007876CF" w:rsidP="007876CF">
      <w:pPr>
        <w:rPr>
          <w:rFonts w:ascii="Arial" w:hAnsi="Arial" w:cs="Arial"/>
          <w:b/>
          <w:bCs/>
        </w:rPr>
      </w:pPr>
      <w:r w:rsidRPr="00507945">
        <w:rPr>
          <w:rFonts w:ascii="Arial" w:hAnsi="Arial" w:cs="Arial"/>
        </w:rPr>
        <w:t>Shell Corporation, recognised as one of the leading global entities in the oil and gas industry. This analysis aims to critically examine and assess the worldwide issues that Shell, a multinational corporation, encounters, as well as the significant trends that influence its marketing operations in the aftermath of the COVID</w:t>
      </w:r>
      <w:r w:rsidRPr="00BB6928">
        <w:rPr>
          <w:rFonts w:ascii="Arial" w:hAnsi="Arial" w:cs="Arial"/>
          <w:b/>
          <w:bCs/>
        </w:rPr>
        <w:t>-</w:t>
      </w:r>
      <w:r w:rsidRPr="00507945">
        <w:rPr>
          <w:rFonts w:ascii="Arial" w:hAnsi="Arial" w:cs="Arial"/>
        </w:rPr>
        <w:t>19 epidemic.</w:t>
      </w:r>
    </w:p>
    <w:p w14:paraId="0F974839" w14:textId="77777777" w:rsidR="007876CF" w:rsidRPr="00507945" w:rsidRDefault="007876CF" w:rsidP="007876CF">
      <w:pPr>
        <w:rPr>
          <w:rFonts w:ascii="Arial" w:hAnsi="Arial" w:cs="Arial"/>
        </w:rPr>
      </w:pPr>
      <w:r w:rsidRPr="00507945">
        <w:rPr>
          <w:rFonts w:ascii="Arial" w:hAnsi="Arial" w:cs="Arial"/>
        </w:rPr>
        <w:t>The period after the COVID-19 pandemic has seen an increased emphasis on sustainability in the environment and the reduction of carbon emissions, leading to a shift in energy sources and practises. Shell has difficulties in connecting its corporate structure with the worldwide transition onto energy from renewable sources and the need to diminish its carbon emissions.</w:t>
      </w:r>
    </w:p>
    <w:p w14:paraId="422225E3" w14:textId="77777777" w:rsidR="007876CF" w:rsidRPr="00507945" w:rsidRDefault="007876CF" w:rsidP="007876CF">
      <w:pPr>
        <w:rPr>
          <w:rFonts w:ascii="Arial" w:hAnsi="Arial" w:cs="Arial"/>
        </w:rPr>
      </w:pPr>
      <w:r w:rsidRPr="00507945">
        <w:rPr>
          <w:rFonts w:ascii="Arial" w:hAnsi="Arial" w:cs="Arial"/>
        </w:rPr>
        <w:t>The worldwide energy consumption was significantly affected by the epidemic, resulting in fluctuating prices of oil and gas. Shell is required to adjust its operations in response to the volatility of prices, while simultaneously assuring financial viability and effectively overseeing the investments it makes in both production and exploration.</w:t>
      </w:r>
    </w:p>
    <w:p w14:paraId="2F583C4F" w14:textId="77777777" w:rsidR="007876CF" w:rsidRPr="00507945" w:rsidRDefault="007876CF" w:rsidP="007876CF">
      <w:pPr>
        <w:rPr>
          <w:rFonts w:ascii="Arial" w:hAnsi="Arial" w:cs="Arial"/>
        </w:rPr>
      </w:pPr>
      <w:r w:rsidRPr="00507945">
        <w:rPr>
          <w:rFonts w:ascii="Arial" w:hAnsi="Arial" w:cs="Arial"/>
        </w:rPr>
        <w:t>Governments throughout the globe are enacting more stringent climate laws and regulations in response to the pressing need to address climate change. Shell has difficulties in adhering to dynamic environmental regulations and ensuring that its activities are in line with these principles.</w:t>
      </w:r>
    </w:p>
    <w:p w14:paraId="2EC18EDA" w14:textId="199E66A8" w:rsidR="007876CF" w:rsidRPr="00507945" w:rsidRDefault="007876CF" w:rsidP="007876CF">
      <w:pPr>
        <w:rPr>
          <w:rFonts w:ascii="Arial" w:hAnsi="Arial" w:cs="Arial"/>
        </w:rPr>
      </w:pPr>
      <w:r w:rsidRPr="00507945">
        <w:rPr>
          <w:rFonts w:ascii="Arial" w:hAnsi="Arial" w:cs="Arial"/>
        </w:rPr>
        <w:t xml:space="preserve">Transitioning to Cleaner Technologies: </w:t>
      </w:r>
      <w:r w:rsidR="00424043" w:rsidRPr="00507945">
        <w:rPr>
          <w:rFonts w:ascii="Arial" w:hAnsi="Arial" w:cs="Arial"/>
        </w:rPr>
        <w:t>Considering</w:t>
      </w:r>
      <w:r w:rsidRPr="00507945">
        <w:rPr>
          <w:rFonts w:ascii="Arial" w:hAnsi="Arial" w:cs="Arial"/>
        </w:rPr>
        <w:t xml:space="preserve"> the global shift to cleaner energy solutions, it is imperative for Shell to allocate resources towards the investment and promotion of cleaner technologies, including electric cars, hydrogen, and biofuels, in order to maintain competitiveness within the energy market.</w:t>
      </w:r>
    </w:p>
    <w:p w14:paraId="4AB69358" w14:textId="77777777" w:rsidR="007876CF" w:rsidRPr="00507945" w:rsidRDefault="007876CF" w:rsidP="007876CF">
      <w:pPr>
        <w:rPr>
          <w:rFonts w:ascii="Arial" w:hAnsi="Arial" w:cs="Arial"/>
        </w:rPr>
      </w:pPr>
      <w:r w:rsidRPr="00507945">
        <w:rPr>
          <w:rFonts w:ascii="Arial" w:hAnsi="Arial" w:cs="Arial"/>
        </w:rPr>
        <w:t>The presence of geopolitical uncertainties may have significant ramifications for Shell's activities in many locations, exerting influence on supply chains, market accessibility, and overall company stability.</w:t>
      </w:r>
    </w:p>
    <w:p w14:paraId="258A3F9A" w14:textId="77777777" w:rsidR="007876CF" w:rsidRPr="00507945" w:rsidRDefault="007876CF" w:rsidP="007876CF">
      <w:pPr>
        <w:rPr>
          <w:rFonts w:ascii="Arial" w:hAnsi="Arial" w:cs="Arial"/>
        </w:rPr>
      </w:pPr>
      <w:r w:rsidRPr="00507945">
        <w:rPr>
          <w:rFonts w:ascii="Arial" w:hAnsi="Arial" w:cs="Arial"/>
        </w:rPr>
        <w:t>The global health crisis sped up modernization and data analytics in several sectors. In order to get a deeper understanding of client behaviour, improve the customization of their services, and optimise their marketing strategies, Shell should effectively use statistical analysis and digital marketing techniques.</w:t>
      </w:r>
    </w:p>
    <w:p w14:paraId="4B791C55" w14:textId="77777777" w:rsidR="008D6045" w:rsidRDefault="007876CF" w:rsidP="007876CF">
      <w:pPr>
        <w:rPr>
          <w:rFonts w:ascii="Arial" w:hAnsi="Arial" w:cs="Arial"/>
        </w:rPr>
      </w:pPr>
      <w:r w:rsidRPr="00507945">
        <w:rPr>
          <w:rFonts w:ascii="Arial" w:hAnsi="Arial" w:cs="Arial"/>
        </w:rPr>
        <w:t>The rise in popularity of electric cars (EVs) has presented Shell with the task of adjusting its marketing strategy to meet the expanding need for infrastructure to charge electric vehicles and renewable energy options for EVs.</w:t>
      </w:r>
    </w:p>
    <w:p w14:paraId="6784C460" w14:textId="112B213F" w:rsidR="00CA22F9" w:rsidRPr="00507945" w:rsidRDefault="007876CF" w:rsidP="007876CF">
      <w:pPr>
        <w:rPr>
          <w:rFonts w:ascii="Arial" w:hAnsi="Arial" w:cs="Arial"/>
        </w:rPr>
      </w:pPr>
      <w:r w:rsidRPr="00507945">
        <w:rPr>
          <w:rFonts w:ascii="Arial" w:hAnsi="Arial" w:cs="Arial"/>
        </w:rPr>
        <w:t xml:space="preserve">Circular Economy efforts: It is expected by consumers that corporations such as Shell actively engage in circular economy efforts, therefore advocating for recycling, waste reduction, and material reuse. Shell's marketing strategy should emphasise the company's commitment to promoting a circular </w:t>
      </w:r>
      <w:r w:rsidR="00720B48" w:rsidRPr="00507945">
        <w:rPr>
          <w:rFonts w:ascii="Arial" w:hAnsi="Arial" w:cs="Arial"/>
        </w:rPr>
        <w:t>economy. In</w:t>
      </w:r>
      <w:r w:rsidRPr="00507945">
        <w:rPr>
          <w:rFonts w:ascii="Arial" w:hAnsi="Arial" w:cs="Arial"/>
        </w:rPr>
        <w:t xml:space="preserve"> brief, Shell has substantial obstacles in effectively managing the worldwide energy transition and adapting to the evolving market dynamics after the COVID-19 outbreak. The long-term viability of renewable energy solutions hinges upon the ability to effectively adapt to them, satisfy the demands of regulators, and address environmental </w:t>
      </w:r>
      <w:r w:rsidR="00A8617C" w:rsidRPr="00507945">
        <w:rPr>
          <w:rFonts w:ascii="Arial" w:hAnsi="Arial" w:cs="Arial"/>
        </w:rPr>
        <w:t>issues.</w:t>
      </w:r>
    </w:p>
    <w:p w14:paraId="30A274CA" w14:textId="77777777" w:rsidR="00A8617C" w:rsidRDefault="00A8617C" w:rsidP="001C44B9">
      <w:pPr>
        <w:rPr>
          <w:rFonts w:ascii="Arial" w:hAnsi="Arial" w:cs="Arial"/>
        </w:rPr>
      </w:pPr>
    </w:p>
    <w:p w14:paraId="0AFDD9B8" w14:textId="77777777" w:rsidR="00A8617C" w:rsidRDefault="00A8617C" w:rsidP="001C44B9">
      <w:pPr>
        <w:rPr>
          <w:rFonts w:ascii="Arial" w:hAnsi="Arial" w:cs="Arial"/>
        </w:rPr>
      </w:pPr>
    </w:p>
    <w:p w14:paraId="6615B9C7" w14:textId="77777777" w:rsidR="00A8617C" w:rsidRDefault="00A8617C" w:rsidP="001C44B9">
      <w:pPr>
        <w:rPr>
          <w:rFonts w:ascii="Arial" w:hAnsi="Arial" w:cs="Arial"/>
        </w:rPr>
      </w:pPr>
    </w:p>
    <w:p w14:paraId="552BF5ED" w14:textId="479624FC" w:rsidR="001C44B9" w:rsidRPr="001C44B9" w:rsidRDefault="001C44B9" w:rsidP="001C44B9">
      <w:pPr>
        <w:rPr>
          <w:rFonts w:ascii="Arial" w:hAnsi="Arial" w:cs="Arial"/>
        </w:rPr>
      </w:pPr>
      <w:r w:rsidRPr="001C44B9">
        <w:rPr>
          <w:rFonts w:ascii="Arial" w:hAnsi="Arial" w:cs="Arial"/>
        </w:rPr>
        <w:lastRenderedPageBreak/>
        <w:t>Presented here is a comprehensive SWOT assessment of Shell, including an evaluation of its inherent strengths, weaknesses, potential opportunities, and prevailing threats.</w:t>
      </w:r>
    </w:p>
    <w:p w14:paraId="49C0DA2B" w14:textId="77777777" w:rsidR="001C44B9" w:rsidRPr="001C44B9" w:rsidRDefault="001C44B9" w:rsidP="001C44B9">
      <w:pPr>
        <w:rPr>
          <w:rFonts w:ascii="Arial" w:hAnsi="Arial" w:cs="Arial"/>
        </w:rPr>
      </w:pPr>
      <w:r w:rsidRPr="001C44B9">
        <w:rPr>
          <w:rFonts w:ascii="Arial" w:hAnsi="Arial" w:cs="Arial"/>
        </w:rPr>
        <w:t>Strengths:</w:t>
      </w:r>
    </w:p>
    <w:p w14:paraId="3C7AB6BB" w14:textId="77777777" w:rsidR="001C44B9" w:rsidRPr="001C44B9" w:rsidRDefault="001C44B9" w:rsidP="00890970">
      <w:pPr>
        <w:jc w:val="both"/>
        <w:rPr>
          <w:rFonts w:ascii="Arial" w:hAnsi="Arial" w:cs="Arial"/>
        </w:rPr>
      </w:pPr>
      <w:r w:rsidRPr="001C44B9">
        <w:rPr>
          <w:rFonts w:ascii="Arial" w:hAnsi="Arial" w:cs="Arial"/>
        </w:rPr>
        <w:t>Shell has a robust presence across the whole of the energy value chain, including diverse and integrated operations such as exploration, production, refining, distribution, and marketing. The integration of several components results in enhanced operational efficiency and the establishment of a revenue stream that is diverse.</w:t>
      </w:r>
    </w:p>
    <w:p w14:paraId="6883EA38" w14:textId="77777777" w:rsidR="001C44B9" w:rsidRPr="001C44B9" w:rsidRDefault="001C44B9" w:rsidP="001C44B9">
      <w:pPr>
        <w:rPr>
          <w:rFonts w:ascii="Arial" w:hAnsi="Arial" w:cs="Arial"/>
        </w:rPr>
      </w:pPr>
      <w:r w:rsidRPr="001C44B9">
        <w:rPr>
          <w:rFonts w:ascii="Arial" w:hAnsi="Arial" w:cs="Arial"/>
        </w:rPr>
        <w:t>Shell has established its operations in more than 70 countries, so acquiring a substantial worldwide presence and gaining access to a wide range of markets. The company's worldwide reach enables it to effectively respond to local market dynamics and changes in demand.</w:t>
      </w:r>
    </w:p>
    <w:p w14:paraId="39E8D2B7" w14:textId="77777777" w:rsidR="008D6045" w:rsidRDefault="001C44B9" w:rsidP="001C44B9">
      <w:pPr>
        <w:rPr>
          <w:rFonts w:ascii="Arial" w:hAnsi="Arial" w:cs="Arial"/>
        </w:rPr>
      </w:pPr>
      <w:r w:rsidRPr="001C44B9">
        <w:rPr>
          <w:rFonts w:ascii="Arial" w:hAnsi="Arial" w:cs="Arial"/>
        </w:rPr>
        <w:t>Weaknesses:</w:t>
      </w:r>
    </w:p>
    <w:p w14:paraId="2E0F57FA" w14:textId="3EB52FE6" w:rsidR="001C44B9" w:rsidRPr="001C44B9" w:rsidRDefault="001C44B9" w:rsidP="001C44B9">
      <w:pPr>
        <w:rPr>
          <w:rFonts w:ascii="Arial" w:hAnsi="Arial" w:cs="Arial"/>
        </w:rPr>
      </w:pPr>
      <w:r w:rsidRPr="001C44B9">
        <w:rPr>
          <w:rFonts w:ascii="Arial" w:hAnsi="Arial" w:cs="Arial"/>
        </w:rPr>
        <w:t xml:space="preserve">The dependence of Shell, a prominent participant in the petroleum and gas industry, on fossil fuels presents potential hazards </w:t>
      </w:r>
      <w:r w:rsidR="00440434" w:rsidRPr="001C44B9">
        <w:rPr>
          <w:rFonts w:ascii="Arial" w:hAnsi="Arial" w:cs="Arial"/>
        </w:rPr>
        <w:t>considering</w:t>
      </w:r>
      <w:r w:rsidRPr="001C44B9">
        <w:rPr>
          <w:rFonts w:ascii="Arial" w:hAnsi="Arial" w:cs="Arial"/>
        </w:rPr>
        <w:t xml:space="preserve"> the escalating need for more environmentally friendly energy alternatives and the growing apprehensions about the environment.</w:t>
      </w:r>
    </w:p>
    <w:p w14:paraId="7A260E52" w14:textId="4FC03616" w:rsidR="001C44B9" w:rsidRPr="001C44B9" w:rsidRDefault="001C44B9" w:rsidP="001C44B9">
      <w:pPr>
        <w:rPr>
          <w:rFonts w:ascii="Arial" w:hAnsi="Arial" w:cs="Arial"/>
        </w:rPr>
      </w:pPr>
      <w:r w:rsidRPr="001C44B9">
        <w:rPr>
          <w:rFonts w:ascii="Arial" w:hAnsi="Arial" w:cs="Arial"/>
        </w:rPr>
        <w:t>The energy business has a high level of capital intensity, necessitating significant inputs of capital. Shell's financial performance may be influenced by swings in energy costs or market circumstances.</w:t>
      </w:r>
    </w:p>
    <w:p w14:paraId="702EFCAB" w14:textId="77777777" w:rsidR="00622719" w:rsidRDefault="001C44B9" w:rsidP="001C44B9">
      <w:pPr>
        <w:rPr>
          <w:rFonts w:ascii="Arial" w:hAnsi="Arial" w:cs="Arial"/>
        </w:rPr>
      </w:pPr>
      <w:r w:rsidRPr="001C44B9">
        <w:rPr>
          <w:rFonts w:ascii="Arial" w:hAnsi="Arial" w:cs="Arial"/>
        </w:rPr>
        <w:t>The worldwide migration to clean energy offers Shell the potential to expand its involvement in renewable energy sectors, including solar, wind, biofuels, and hydrogen.</w:t>
      </w:r>
    </w:p>
    <w:p w14:paraId="4FD8467C" w14:textId="452D269C" w:rsidR="001C44B9" w:rsidRPr="001C44B9" w:rsidRDefault="001C44B9" w:rsidP="001C44B9">
      <w:pPr>
        <w:rPr>
          <w:rFonts w:ascii="Arial" w:hAnsi="Arial" w:cs="Arial"/>
        </w:rPr>
      </w:pPr>
      <w:r w:rsidRPr="001C44B9">
        <w:rPr>
          <w:rFonts w:ascii="Arial" w:hAnsi="Arial" w:cs="Arial"/>
        </w:rPr>
        <w:t xml:space="preserve">Shell </w:t>
      </w:r>
      <w:r w:rsidR="00F60ACE" w:rsidRPr="001C44B9">
        <w:rPr>
          <w:rFonts w:ascii="Arial" w:hAnsi="Arial" w:cs="Arial"/>
        </w:rPr>
        <w:t>could</w:t>
      </w:r>
      <w:r w:rsidRPr="001C44B9">
        <w:rPr>
          <w:rFonts w:ascii="Arial" w:hAnsi="Arial" w:cs="Arial"/>
        </w:rPr>
        <w:t xml:space="preserve"> leverage the increasing market demand for electric cars by strategically extending its infrastructure for charging electric vehicles and making substantial investments in complementary technologies.</w:t>
      </w:r>
    </w:p>
    <w:p w14:paraId="360626AA" w14:textId="77777777" w:rsidR="001C44B9" w:rsidRPr="001C44B9" w:rsidRDefault="001C44B9" w:rsidP="001C44B9">
      <w:pPr>
        <w:rPr>
          <w:rFonts w:ascii="Arial" w:hAnsi="Arial" w:cs="Arial"/>
        </w:rPr>
      </w:pPr>
      <w:r w:rsidRPr="001C44B9">
        <w:rPr>
          <w:rFonts w:ascii="Arial" w:hAnsi="Arial" w:cs="Arial"/>
        </w:rPr>
        <w:t>Shell's proficiency in CCS, or carbon capture and storage, technology has the potential to establish its leadership in assisting industries in mitigating carbon emissions, therefore contributing to the achievement of sustainability objectives.</w:t>
      </w:r>
    </w:p>
    <w:p w14:paraId="75D0ECEF" w14:textId="77777777" w:rsidR="001C44B9" w:rsidRPr="001C44B9" w:rsidRDefault="001C44B9" w:rsidP="001C44B9">
      <w:pPr>
        <w:rPr>
          <w:rFonts w:ascii="Arial" w:hAnsi="Arial" w:cs="Arial"/>
        </w:rPr>
      </w:pPr>
      <w:r w:rsidRPr="001C44B9">
        <w:rPr>
          <w:rFonts w:ascii="Arial" w:hAnsi="Arial" w:cs="Arial"/>
        </w:rPr>
        <w:t>The growing emphasis on sustainability and the incorporation of ESG (environment, society, and governance) standards provide an opportunity for Shell to appeal to investors that prioritise environmental considerations.</w:t>
      </w:r>
    </w:p>
    <w:p w14:paraId="0D32016F" w14:textId="77777777" w:rsidR="001C44B9" w:rsidRPr="001C44B9" w:rsidRDefault="001C44B9" w:rsidP="001C44B9">
      <w:pPr>
        <w:rPr>
          <w:rFonts w:ascii="Arial" w:hAnsi="Arial" w:cs="Arial"/>
        </w:rPr>
      </w:pPr>
      <w:r w:rsidRPr="001C44B9">
        <w:rPr>
          <w:rFonts w:ascii="Arial" w:hAnsi="Arial" w:cs="Arial"/>
        </w:rPr>
        <w:t>Threats:</w:t>
      </w:r>
    </w:p>
    <w:p w14:paraId="582E9496" w14:textId="77777777" w:rsidR="001C44B9" w:rsidRPr="001C44B9" w:rsidRDefault="001C44B9" w:rsidP="001C44B9">
      <w:pPr>
        <w:rPr>
          <w:rFonts w:ascii="Arial" w:hAnsi="Arial" w:cs="Arial"/>
        </w:rPr>
      </w:pPr>
      <w:r w:rsidRPr="001C44B9">
        <w:rPr>
          <w:rFonts w:ascii="Arial" w:hAnsi="Arial" w:cs="Arial"/>
        </w:rPr>
        <w:t>Competition within the energy business is characterised by a significant level of competitiveness, with a multitude of worldwide and regional participants. The presence of intense rivalry has the potential to have influence on both pricing strategies and market share.</w:t>
      </w:r>
    </w:p>
    <w:p w14:paraId="45B55314" w14:textId="77777777" w:rsidR="001C44B9" w:rsidRPr="001C44B9" w:rsidRDefault="001C44B9" w:rsidP="001C44B9">
      <w:pPr>
        <w:rPr>
          <w:rFonts w:ascii="Arial" w:hAnsi="Arial" w:cs="Arial"/>
        </w:rPr>
      </w:pPr>
      <w:r w:rsidRPr="001C44B9">
        <w:rPr>
          <w:rFonts w:ascii="Arial" w:hAnsi="Arial" w:cs="Arial"/>
        </w:rPr>
        <w:t>The dynamic nature of environmental legislation and policies may provide difficulties for Shell's operations, necessitating significant financial commitments to ensure compliance.</w:t>
      </w:r>
    </w:p>
    <w:p w14:paraId="437CF479" w14:textId="20E03DFF" w:rsidR="007D7134" w:rsidRDefault="001C44B9" w:rsidP="001C44B9">
      <w:pPr>
        <w:rPr>
          <w:rFonts w:ascii="Arial" w:hAnsi="Arial" w:cs="Arial"/>
        </w:rPr>
      </w:pPr>
      <w:r w:rsidRPr="001C44B9">
        <w:rPr>
          <w:rFonts w:ascii="Arial" w:hAnsi="Arial" w:cs="Arial"/>
        </w:rPr>
        <w:t xml:space="preserve">Public apprehensions throughout climate change and its associated environmental consequences have the potential to engender reputational hazards and influence consumer attitudes towards the utilisation of fossil </w:t>
      </w:r>
      <w:r w:rsidR="00B81C07" w:rsidRPr="001C44B9">
        <w:rPr>
          <w:rFonts w:ascii="Arial" w:hAnsi="Arial" w:cs="Arial"/>
        </w:rPr>
        <w:t>fuels. It</w:t>
      </w:r>
      <w:r w:rsidR="00C65FBD" w:rsidRPr="001C44B9">
        <w:rPr>
          <w:rFonts w:ascii="Arial" w:hAnsi="Arial" w:cs="Arial"/>
        </w:rPr>
        <w:t xml:space="preserve"> </w:t>
      </w:r>
      <w:r w:rsidR="00C65FBD">
        <w:rPr>
          <w:rFonts w:ascii="Arial" w:hAnsi="Arial" w:cs="Arial"/>
        </w:rPr>
        <w:t>is</w:t>
      </w:r>
      <w:r w:rsidRPr="001C44B9">
        <w:rPr>
          <w:rFonts w:ascii="Arial" w:hAnsi="Arial" w:cs="Arial"/>
        </w:rPr>
        <w:t xml:space="preserve"> important to acknowledge that the evaluation of SWOT is subject to potential changes over time as a result of developing </w:t>
      </w:r>
      <w:r w:rsidRPr="001C44B9">
        <w:rPr>
          <w:rFonts w:ascii="Arial" w:hAnsi="Arial" w:cs="Arial"/>
        </w:rPr>
        <w:lastRenderedPageBreak/>
        <w:t>market dynamics and corporate strategy. To get the most</w:t>
      </w:r>
      <w:r w:rsidR="00C65FBD">
        <w:rPr>
          <w:rFonts w:ascii="Arial" w:hAnsi="Arial" w:cs="Arial"/>
        </w:rPr>
        <w:t xml:space="preserve"> </w:t>
      </w:r>
      <w:r w:rsidRPr="001C44B9">
        <w:rPr>
          <w:rFonts w:ascii="Arial" w:hAnsi="Arial" w:cs="Arial"/>
        </w:rPr>
        <w:t>up-to-date analysis, it is advisable to consult Shell's official publications or recent industry evaluations.</w:t>
      </w:r>
    </w:p>
    <w:p w14:paraId="06F16CB6" w14:textId="1EA53ACB" w:rsidR="00F827F1" w:rsidRPr="00F827F1" w:rsidRDefault="00F827F1" w:rsidP="00F827F1">
      <w:pPr>
        <w:rPr>
          <w:rFonts w:ascii="Arial" w:hAnsi="Arial" w:cs="Arial"/>
        </w:rPr>
      </w:pPr>
      <w:r w:rsidRPr="00F827F1">
        <w:rPr>
          <w:rFonts w:ascii="Arial" w:hAnsi="Arial" w:cs="Arial"/>
        </w:rPr>
        <w:t xml:space="preserve">The Shell Terminology, </w:t>
      </w:r>
      <w:r w:rsidR="00DA246B">
        <w:rPr>
          <w:rFonts w:ascii="Arial" w:hAnsi="Arial" w:cs="Arial"/>
        </w:rPr>
        <w:t xml:space="preserve">frequently </w:t>
      </w:r>
      <w:r w:rsidRPr="00F827F1">
        <w:rPr>
          <w:rFonts w:ascii="Arial" w:hAnsi="Arial" w:cs="Arial"/>
        </w:rPr>
        <w:t xml:space="preserve">referred to using the "Four Ps," is a model for marketing that was first proposed by </w:t>
      </w:r>
      <w:r w:rsidR="00AD342E" w:rsidRPr="00F827F1">
        <w:rPr>
          <w:rFonts w:ascii="Arial" w:hAnsi="Arial" w:cs="Arial"/>
        </w:rPr>
        <w:t>B</w:t>
      </w:r>
      <w:r w:rsidR="00AD342E">
        <w:rPr>
          <w:rFonts w:ascii="Arial" w:hAnsi="Arial" w:cs="Arial"/>
        </w:rPr>
        <w:t>o</w:t>
      </w:r>
      <w:r w:rsidR="00AD342E" w:rsidRPr="00F827F1">
        <w:rPr>
          <w:rFonts w:ascii="Arial" w:hAnsi="Arial" w:cs="Arial"/>
        </w:rPr>
        <w:t>rden,</w:t>
      </w:r>
      <w:r w:rsidR="00AD342E">
        <w:rPr>
          <w:rFonts w:ascii="Arial" w:hAnsi="Arial" w:cs="Arial"/>
        </w:rPr>
        <w:t xml:space="preserve"> (</w:t>
      </w:r>
      <w:r w:rsidR="00440434">
        <w:rPr>
          <w:rFonts w:ascii="Arial" w:hAnsi="Arial" w:cs="Arial"/>
        </w:rPr>
        <w:t>1964).</w:t>
      </w:r>
      <w:r w:rsidRPr="00F827F1">
        <w:rPr>
          <w:rFonts w:ascii="Arial" w:hAnsi="Arial" w:cs="Arial"/>
        </w:rPr>
        <w:t xml:space="preserve"> who</w:t>
      </w:r>
      <w:r w:rsidR="00440434">
        <w:rPr>
          <w:rFonts w:ascii="Arial" w:hAnsi="Arial" w:cs="Arial"/>
        </w:rPr>
        <w:t xml:space="preserve"> developed t</w:t>
      </w:r>
      <w:r w:rsidRPr="00F827F1">
        <w:rPr>
          <w:rFonts w:ascii="Arial" w:hAnsi="Arial" w:cs="Arial"/>
        </w:rPr>
        <w:t>he framework serves as a fundamental structure used to delineate the essential components of a marketing plan. The term "Four Ps" refers to the four fundamental elements of marketing, namely Product, Price, Place, and Promotion.</w:t>
      </w:r>
    </w:p>
    <w:p w14:paraId="2AC3A715" w14:textId="77777777" w:rsidR="00F827F1" w:rsidRPr="00F827F1" w:rsidRDefault="00F827F1" w:rsidP="00F827F1">
      <w:pPr>
        <w:rPr>
          <w:rFonts w:ascii="Arial" w:hAnsi="Arial" w:cs="Arial"/>
        </w:rPr>
      </w:pPr>
      <w:r w:rsidRPr="00F827F1">
        <w:rPr>
          <w:rFonts w:ascii="Arial" w:hAnsi="Arial" w:cs="Arial"/>
        </w:rPr>
        <w:t>The term "product" refers to the physical or non-physical entities, including products and services, that a corporation provides to its intended customer base. The product encompasses several aspects such as its design, capabilities, quality, and packaging.</w:t>
      </w:r>
    </w:p>
    <w:p w14:paraId="7DB8FA32" w14:textId="77777777" w:rsidR="00774ABB" w:rsidRPr="00774ABB" w:rsidRDefault="00774ABB" w:rsidP="00774ABB">
      <w:pPr>
        <w:rPr>
          <w:rFonts w:ascii="Arial" w:hAnsi="Arial" w:cs="Arial"/>
        </w:rPr>
      </w:pPr>
      <w:r w:rsidRPr="00774ABB">
        <w:rPr>
          <w:rFonts w:ascii="Arial" w:hAnsi="Arial" w:cs="Arial"/>
        </w:rPr>
        <w:t>Nevertheless, it is crucial to acknowledge that corporations such as Shell often use diverse marketing tactics that incorporate the fundamental components of the marketing mix, which comprise product, price, venue, promotion, people, process, and physical proof.</w:t>
      </w:r>
    </w:p>
    <w:p w14:paraId="5D8115D9" w14:textId="270051F5" w:rsidR="00774ABB" w:rsidRPr="00774ABB" w:rsidRDefault="00774ABB" w:rsidP="00774ABB">
      <w:pPr>
        <w:rPr>
          <w:rFonts w:ascii="Arial" w:hAnsi="Arial" w:cs="Arial"/>
        </w:rPr>
      </w:pPr>
      <w:r w:rsidRPr="00774ABB">
        <w:rPr>
          <w:rFonts w:ascii="Arial" w:hAnsi="Arial" w:cs="Arial"/>
        </w:rPr>
        <w:t xml:space="preserve">Shell formulates price plans for its petroleum products by </w:t>
      </w:r>
      <w:r w:rsidR="00BB415A" w:rsidRPr="00774ABB">
        <w:rPr>
          <w:rFonts w:ascii="Arial" w:hAnsi="Arial" w:cs="Arial"/>
        </w:rPr>
        <w:t>considering</w:t>
      </w:r>
      <w:r w:rsidRPr="00774ABB">
        <w:rPr>
          <w:rFonts w:ascii="Arial" w:hAnsi="Arial" w:cs="Arial"/>
        </w:rPr>
        <w:t xml:space="preserve"> several elements such as prevailing market circumstances, competitive dynamics, and cost considerations. In order to attract consumers and foster loyalty, the company may use competitive pricing strategies at its petrol stations and implement incentives programmes.</w:t>
      </w:r>
    </w:p>
    <w:p w14:paraId="62E2DE38" w14:textId="77777777" w:rsidR="009810F7" w:rsidRDefault="00774ABB" w:rsidP="00774ABB">
      <w:pPr>
        <w:rPr>
          <w:rFonts w:ascii="Arial" w:hAnsi="Arial" w:cs="Arial"/>
        </w:rPr>
      </w:pPr>
      <w:r w:rsidRPr="00774ABB">
        <w:rPr>
          <w:rFonts w:ascii="Arial" w:hAnsi="Arial" w:cs="Arial"/>
        </w:rPr>
        <w:t>Shell intentionally selects the locations of its petrol stations and distribution centres in order to optimise client accessibility.</w:t>
      </w:r>
    </w:p>
    <w:p w14:paraId="60C94344" w14:textId="77777777" w:rsidR="00774ABB" w:rsidRPr="00774ABB" w:rsidRDefault="00774ABB" w:rsidP="00774ABB">
      <w:pPr>
        <w:rPr>
          <w:rFonts w:ascii="Arial" w:hAnsi="Arial" w:cs="Arial"/>
        </w:rPr>
      </w:pPr>
      <w:r w:rsidRPr="00774ABB">
        <w:rPr>
          <w:rFonts w:ascii="Arial" w:hAnsi="Arial" w:cs="Arial"/>
        </w:rPr>
        <w:t>Promotion: Shell employs a range of promotional strategies, including marketing purposes, online campaigns, and sponsorships, in order to enhance brand exposure and inform consumers about its goods and programmes.</w:t>
      </w:r>
    </w:p>
    <w:p w14:paraId="520D4054" w14:textId="355B3830" w:rsidR="00774ABB" w:rsidRPr="00774ABB" w:rsidRDefault="00774ABB" w:rsidP="00774ABB">
      <w:pPr>
        <w:rPr>
          <w:rFonts w:ascii="Arial" w:hAnsi="Arial" w:cs="Arial"/>
        </w:rPr>
      </w:pPr>
      <w:r w:rsidRPr="00774ABB">
        <w:rPr>
          <w:rFonts w:ascii="Arial" w:hAnsi="Arial" w:cs="Arial"/>
        </w:rPr>
        <w:t>Individuals: The personnel employed at Shell's petrol stations play a crucial role in ensuring a favourable customer experience. Training programmes and efforts to improve customer service may be implemented in order to guarantee that personnel possess the necessary information and exhibit polite behaviour.</w:t>
      </w:r>
    </w:p>
    <w:p w14:paraId="4DD7F921" w14:textId="2AF9B420" w:rsidR="00774ABB" w:rsidRDefault="00774ABB" w:rsidP="00774ABB">
      <w:pPr>
        <w:rPr>
          <w:rFonts w:ascii="Arial" w:hAnsi="Arial" w:cs="Arial"/>
        </w:rPr>
      </w:pPr>
      <w:r w:rsidRPr="00774ABB">
        <w:rPr>
          <w:rFonts w:ascii="Arial" w:hAnsi="Arial" w:cs="Arial"/>
        </w:rPr>
        <w:t xml:space="preserve">Although the precise execution of </w:t>
      </w:r>
      <w:r w:rsidR="00BB415A" w:rsidRPr="00774ABB">
        <w:rPr>
          <w:rFonts w:ascii="Arial" w:hAnsi="Arial" w:cs="Arial"/>
        </w:rPr>
        <w:t>the seventh</w:t>
      </w:r>
      <w:r w:rsidRPr="00774ABB">
        <w:rPr>
          <w:rFonts w:ascii="Arial" w:hAnsi="Arial" w:cs="Arial"/>
        </w:rPr>
        <w:t xml:space="preserve"> Ps may differ based on a company's marketing objectives, industry dynamics, and geographical considerations, the fundamental concepts of the Seven Ps may be used in many ways to build impactful marketing strategies. For obtaining the most up-to-date and precise insights into Shell's marketing practises and plans, it is advisable to use official business announcements, promotional materials, and reports.</w:t>
      </w:r>
    </w:p>
    <w:p w14:paraId="75BC6C03" w14:textId="0DB9CD95" w:rsidR="00E975CD" w:rsidRPr="00722753" w:rsidRDefault="00E975CD" w:rsidP="00BB6928">
      <w:pPr>
        <w:rPr>
          <w:rFonts w:ascii="Arial" w:hAnsi="Arial" w:cs="Arial"/>
        </w:rPr>
      </w:pPr>
      <w:r w:rsidRPr="00722753">
        <w:rPr>
          <w:rFonts w:ascii="Arial" w:hAnsi="Arial" w:cs="Arial"/>
        </w:rPr>
        <w:t>Nevertheless, it is important to acknowledge that several corporations and institutions, such as Shell, have integrated Covey's ideals into their programmes for cultivating effective leadership and implementing training endeavours. The concepts, which prioritise proactive behaviour, time management, interaction, and synergy, provide significant value within the business sphere. Many corporations often apply the principles outlined in "The 7 Habits" to enhance employee productivity, foster successful cooperation, and increase overall organisational efficacy.</w:t>
      </w:r>
    </w:p>
    <w:p w14:paraId="7A549C35" w14:textId="4B614576" w:rsidR="00334C46" w:rsidRPr="00334C46" w:rsidRDefault="00334C46" w:rsidP="00334C46">
      <w:pPr>
        <w:rPr>
          <w:rFonts w:ascii="Arial" w:hAnsi="Arial" w:cs="Arial"/>
        </w:rPr>
      </w:pPr>
      <w:r w:rsidRPr="00722753">
        <w:rPr>
          <w:rFonts w:ascii="Arial" w:hAnsi="Arial" w:cs="Arial"/>
        </w:rPr>
        <w:t>Shell, like several other prominent organisations, use the PESTEL analysis framework as a strategic instrument to evaluate and comprehend the external macro-environmental</w:t>
      </w:r>
      <w:r w:rsidRPr="00334C46">
        <w:rPr>
          <w:rFonts w:ascii="Arial" w:hAnsi="Arial" w:cs="Arial"/>
        </w:rPr>
        <w:t xml:space="preserve"> elements that might potentially influence its commercial activities. The acronym PESTEL represents the following factors: Economic, Technological, Environmental, Political, and Legal. This investigation aims to examine how Shell may potentially use each element of the PESTEL framework.</w:t>
      </w:r>
    </w:p>
    <w:p w14:paraId="714BEF04" w14:textId="77777777" w:rsidR="00334C46" w:rsidRPr="00334C46" w:rsidRDefault="00334C46" w:rsidP="00334C46">
      <w:pPr>
        <w:rPr>
          <w:rFonts w:ascii="Arial" w:hAnsi="Arial" w:cs="Arial"/>
        </w:rPr>
      </w:pPr>
      <w:r w:rsidRPr="00334C46">
        <w:rPr>
          <w:rFonts w:ascii="Arial" w:hAnsi="Arial" w:cs="Arial"/>
        </w:rPr>
        <w:lastRenderedPageBreak/>
        <w:t>Shell conducts an analysis of the political environment in the nations where it conducts its operations. The factors included under this category are the stability of the government, regulatory policies, tax legislation, trade limitations, and geopolitical hazards. The comprehension of political aspects enables Shell to proactively anticipate future alterations in legislation or policies that may have an influence on its operations, investment choices, and market entry.</w:t>
      </w:r>
    </w:p>
    <w:p w14:paraId="4571824C" w14:textId="77777777" w:rsidR="00334C46" w:rsidRPr="00334C46" w:rsidRDefault="00334C46" w:rsidP="00334C46">
      <w:pPr>
        <w:rPr>
          <w:rFonts w:ascii="Arial" w:hAnsi="Arial" w:cs="Arial"/>
        </w:rPr>
      </w:pPr>
      <w:r w:rsidRPr="00334C46">
        <w:rPr>
          <w:rFonts w:ascii="Arial" w:hAnsi="Arial" w:cs="Arial"/>
        </w:rPr>
        <w:t>Economic factors have a substantial influence on Shell's business operations, including several aspects such as the increase of Gross Domestic Product (GDP), inflation rates, currency rates, and interest rates. The use of economic analysis aids Shell in evaluating the general well-being of the markets in which it conducts its operations, predicting the demand for energy goods, and formulating financial choices pertaining to investment and cost management.</w:t>
      </w:r>
    </w:p>
    <w:p w14:paraId="5DBCE0D1" w14:textId="77777777" w:rsidR="00334C46" w:rsidRPr="00334C46" w:rsidRDefault="00334C46" w:rsidP="00334C46">
      <w:pPr>
        <w:rPr>
          <w:rFonts w:ascii="Arial" w:hAnsi="Arial" w:cs="Arial"/>
        </w:rPr>
      </w:pPr>
      <w:r w:rsidRPr="00334C46">
        <w:rPr>
          <w:rFonts w:ascii="Arial" w:hAnsi="Arial" w:cs="Arial"/>
        </w:rPr>
        <w:t>Shell conducts an analysis of social factors, including social trends, demography, cultural preferences, and customer behaviour. The comprehension of social aspects empowers Shell to customise its marketing tactics, product offers, and sustainability activities in order to conform to the tastes and demands of its target demographics.</w:t>
      </w:r>
    </w:p>
    <w:p w14:paraId="3700E4CF" w14:textId="77777777" w:rsidR="00334C46" w:rsidRPr="00334C46" w:rsidRDefault="00334C46" w:rsidP="00334C46">
      <w:pPr>
        <w:rPr>
          <w:rFonts w:ascii="Arial" w:hAnsi="Arial" w:cs="Arial"/>
        </w:rPr>
      </w:pPr>
      <w:r w:rsidRPr="00334C46">
        <w:rPr>
          <w:rFonts w:ascii="Arial" w:hAnsi="Arial" w:cs="Arial"/>
        </w:rPr>
        <w:t>Technological factors have a significant effect on the energy business. Shell diligently monitors emerging technologies, including renewable energy, electric cars, and digital advances, which have the potential to either disrupt or improve its operational activities. The use of technology may enhance Shell's competitive position and foster innovation within the industry.</w:t>
      </w:r>
    </w:p>
    <w:p w14:paraId="725E69F2" w14:textId="3FC14C17" w:rsidR="00334C46" w:rsidRPr="00334C46" w:rsidRDefault="00334C46" w:rsidP="00334C46">
      <w:pPr>
        <w:rPr>
          <w:rFonts w:ascii="Arial" w:hAnsi="Arial" w:cs="Arial"/>
        </w:rPr>
      </w:pPr>
      <w:r w:rsidRPr="00334C46">
        <w:rPr>
          <w:rFonts w:ascii="Arial" w:hAnsi="Arial" w:cs="Arial"/>
        </w:rPr>
        <w:t xml:space="preserve">Environmental Factors: Shell, as an energy corporation, demonstrates a strong awareness of the environmental consequences associated with its operations. The use of environmental analysis enables Shell to effectively anticipate prospective risks and possibilities pertaining to global warming, environmental legislation, and emerging trends in renewable energy. The </w:t>
      </w:r>
      <w:r w:rsidR="003F310B" w:rsidRPr="00334C46">
        <w:rPr>
          <w:rFonts w:ascii="Arial" w:hAnsi="Arial" w:cs="Arial"/>
        </w:rPr>
        <w:t>statement</w:t>
      </w:r>
      <w:r w:rsidRPr="00334C46">
        <w:rPr>
          <w:rFonts w:ascii="Arial" w:hAnsi="Arial" w:cs="Arial"/>
        </w:rPr>
        <w:t xml:space="preserve"> outlines the role of this guiding principle in directing the company's efforts to embrace sustainable practises and shift towards more environmentally friendly energy options.</w:t>
      </w:r>
    </w:p>
    <w:p w14:paraId="2313514E" w14:textId="77777777" w:rsidR="00334C46" w:rsidRPr="00334C46" w:rsidRDefault="00334C46" w:rsidP="00334C46">
      <w:pPr>
        <w:rPr>
          <w:rFonts w:ascii="Arial" w:hAnsi="Arial" w:cs="Arial"/>
        </w:rPr>
      </w:pPr>
      <w:r w:rsidRPr="00334C46">
        <w:rPr>
          <w:rFonts w:ascii="Arial" w:hAnsi="Arial" w:cs="Arial"/>
        </w:rPr>
        <w:t>Legal factors include the comprehensive evaluation of rules and regulations that pertain to the energy industry, including environmental restrictions, health and safety requirements, and labour legislation. Adhering to these rules is crucial for Shell's operational activities and corporate standing.</w:t>
      </w:r>
    </w:p>
    <w:p w14:paraId="208BC2E0" w14:textId="097B16E2" w:rsidR="00334C46" w:rsidRDefault="00334C46" w:rsidP="00BB6928">
      <w:pPr>
        <w:rPr>
          <w:rFonts w:ascii="Arial" w:hAnsi="Arial" w:cs="Arial"/>
        </w:rPr>
      </w:pPr>
      <w:r w:rsidRPr="00334C46">
        <w:rPr>
          <w:rFonts w:ascii="Arial" w:hAnsi="Arial" w:cs="Arial"/>
        </w:rPr>
        <w:t xml:space="preserve">Through the implementation of a thorough PESTEL study, Shell may get valuable information pertaining to the external variables that are influencing and moulding its operational surroundings. </w:t>
      </w:r>
    </w:p>
    <w:p w14:paraId="551F92DA" w14:textId="6A536469" w:rsidR="00BB6928" w:rsidRPr="00B725D7" w:rsidRDefault="00BB6928" w:rsidP="00BB6928">
      <w:pPr>
        <w:rPr>
          <w:rFonts w:ascii="Arial" w:hAnsi="Arial" w:cs="Arial"/>
        </w:rPr>
      </w:pPr>
      <w:r w:rsidRPr="00BB6928">
        <w:rPr>
          <w:rFonts w:ascii="Arial" w:hAnsi="Arial" w:cs="Arial"/>
        </w:rPr>
        <w:t>Customers have a pivotal role as a critical stakeholder inside an organisation. The marketing operations of Shell are directly influenced by the preferences, demands, and input of its stakeholders. The comprehension of consumer behaviour and expectations enables Shell to customise its marketin</w:t>
      </w:r>
      <w:r w:rsidRPr="00B725D7">
        <w:rPr>
          <w:rFonts w:ascii="Arial" w:hAnsi="Arial" w:cs="Arial"/>
        </w:rPr>
        <w:t>g techniques in order to efficiently convey the advantages of its products, successfully target the appropriate audience, and establish robust customer connections. The importance of customer happiness and loyalty cannot be overstated in their impact on sales and the overall reputation of a business.</w:t>
      </w:r>
    </w:p>
    <w:p w14:paraId="3EFAB36E" w14:textId="760C4FAC" w:rsidR="00EF7C6D" w:rsidRPr="00B725D7" w:rsidRDefault="007967EB" w:rsidP="0086648F">
      <w:pPr>
        <w:rPr>
          <w:rFonts w:ascii="Arial" w:hAnsi="Arial" w:cs="Arial"/>
        </w:rPr>
      </w:pPr>
      <w:r w:rsidRPr="00B725D7">
        <w:rPr>
          <w:rFonts w:ascii="Arial" w:hAnsi="Arial" w:cs="Arial"/>
        </w:rPr>
        <w:t xml:space="preserve"> </w:t>
      </w:r>
      <w:r w:rsidR="00EF7C6D" w:rsidRPr="00B725D7">
        <w:rPr>
          <w:rFonts w:ascii="Arial" w:hAnsi="Arial" w:cs="Arial"/>
        </w:rPr>
        <w:t>Considerable to other</w:t>
      </w:r>
      <w:r w:rsidR="0086648F" w:rsidRPr="00B725D7">
        <w:rPr>
          <w:rFonts w:ascii="Arial" w:hAnsi="Arial" w:cs="Arial"/>
        </w:rPr>
        <w:t xml:space="preserve"> organisations, corporations </w:t>
      </w:r>
      <w:r w:rsidR="00322290" w:rsidRPr="00B725D7">
        <w:rPr>
          <w:rFonts w:ascii="Arial" w:hAnsi="Arial" w:cs="Arial"/>
        </w:rPr>
        <w:t>can</w:t>
      </w:r>
      <w:r w:rsidR="0086648F" w:rsidRPr="00B725D7">
        <w:rPr>
          <w:rFonts w:ascii="Arial" w:hAnsi="Arial" w:cs="Arial"/>
        </w:rPr>
        <w:t xml:space="preserve"> apply Porter's Five Forces method as a strategic instrument for evaluating the competitive forces present within the energy sector. This study aids in assessing the appeal and profitability of the marketplaces in which they </w:t>
      </w:r>
      <w:r w:rsidR="0086648F" w:rsidRPr="00B725D7">
        <w:rPr>
          <w:rFonts w:ascii="Arial" w:hAnsi="Arial" w:cs="Arial"/>
        </w:rPr>
        <w:lastRenderedPageBreak/>
        <w:t xml:space="preserve">operate. The Porter's Five factors model delineates five fundamental factors that have effect on the level of competition within an </w:t>
      </w:r>
      <w:r w:rsidR="00EF7C6D" w:rsidRPr="00B725D7">
        <w:rPr>
          <w:rFonts w:ascii="Arial" w:hAnsi="Arial" w:cs="Arial"/>
        </w:rPr>
        <w:t xml:space="preserve">industry: </w:t>
      </w:r>
    </w:p>
    <w:p w14:paraId="40A54B87" w14:textId="77777777" w:rsidR="0056637E" w:rsidRPr="00B725D7" w:rsidRDefault="0056637E" w:rsidP="0056637E">
      <w:pPr>
        <w:rPr>
          <w:rFonts w:ascii="Arial" w:hAnsi="Arial" w:cs="Arial"/>
        </w:rPr>
      </w:pPr>
      <w:r w:rsidRPr="00B725D7">
        <w:rPr>
          <w:rFonts w:ascii="Arial" w:hAnsi="Arial" w:cs="Arial"/>
        </w:rPr>
        <w:t>The market analysis of SHELL's marketing strategy reveals several challenges faced by industries operating through shells. These challenges encompass government regulations, reliance on non-renewable energy sources, price volatility, fluctuations in exchange rates, evolving consumer lifestyles, escalating raw material costs, and resource limitations.</w:t>
      </w:r>
    </w:p>
    <w:p w14:paraId="0B0FA3CC" w14:textId="2CA9ECD4" w:rsidR="0086648F" w:rsidRPr="00B725D7" w:rsidRDefault="0086648F" w:rsidP="0086648F">
      <w:pPr>
        <w:rPr>
          <w:rFonts w:ascii="Arial" w:hAnsi="Arial" w:cs="Arial"/>
        </w:rPr>
      </w:pPr>
      <w:r w:rsidRPr="00B725D7">
        <w:rPr>
          <w:rFonts w:ascii="Arial" w:hAnsi="Arial" w:cs="Arial"/>
        </w:rPr>
        <w:t xml:space="preserve">The assessment of buyer bargaining power is conducted by Shell, including a range of client segments such as industrial purchasers, governmental entities, and individual consumers. </w:t>
      </w:r>
      <w:r w:rsidR="00663B94" w:rsidRPr="00B725D7">
        <w:rPr>
          <w:rFonts w:ascii="Arial" w:hAnsi="Arial" w:cs="Arial"/>
        </w:rPr>
        <w:t>If</w:t>
      </w:r>
      <w:r w:rsidRPr="00B725D7">
        <w:rPr>
          <w:rFonts w:ascii="Arial" w:hAnsi="Arial" w:cs="Arial"/>
        </w:rPr>
        <w:t xml:space="preserve"> purchasers possess significant negotiating power, they possess the ability to exert pressure on Shell to cut prices or enhance the quality of their goods and services. This has the potential to influence Shell's profit margins. The study conducted may serve as a basis for Shell to prioritise customer happiness, distinctiveness, and the provision of value-added services as strategies for customer retention and the cultivation of loyalty.</w:t>
      </w:r>
    </w:p>
    <w:p w14:paraId="11199816" w14:textId="43D42A3E" w:rsidR="00663B94" w:rsidRPr="00B725D7" w:rsidRDefault="0086648F" w:rsidP="0086648F">
      <w:pPr>
        <w:rPr>
          <w:rFonts w:ascii="Arial" w:hAnsi="Arial" w:cs="Arial"/>
        </w:rPr>
      </w:pPr>
      <w:r w:rsidRPr="00B725D7">
        <w:rPr>
          <w:rFonts w:ascii="Arial" w:hAnsi="Arial" w:cs="Arial"/>
        </w:rPr>
        <w:t>Shell evaluates the level of competitive rivalry among established participants in the energy industry. Competitive rivalry is influenced by several factors, including the quantity and magnitude of competitors, pricing tactics, and the distribution of market share. The study presented here may be used by Shell to distinguish its goods, boost operational efficiency, and find new opportunities for cooperation or mergers in order to strengthen its competitive standing.</w:t>
      </w:r>
    </w:p>
    <w:p w14:paraId="67B002C8" w14:textId="77777777" w:rsidR="002F4455" w:rsidRPr="00B725D7" w:rsidRDefault="0086648F" w:rsidP="00BB6928">
      <w:pPr>
        <w:rPr>
          <w:rFonts w:ascii="Arial" w:hAnsi="Arial" w:cs="Arial"/>
        </w:rPr>
      </w:pPr>
      <w:r w:rsidRPr="00B725D7">
        <w:rPr>
          <w:rFonts w:ascii="Arial" w:hAnsi="Arial" w:cs="Arial"/>
        </w:rPr>
        <w:t>By using Porter's Five Forces research, Shell may get valuable insights into the whole sector's framework and competitive dynamics. This study facilitates the identification of advantages, disadvantages, and opportunities within the company's market</w:t>
      </w:r>
      <w:r w:rsidR="002F4455" w:rsidRPr="00B725D7">
        <w:rPr>
          <w:rFonts w:ascii="Arial" w:hAnsi="Arial" w:cs="Arial"/>
        </w:rPr>
        <w:t>.</w:t>
      </w:r>
    </w:p>
    <w:p w14:paraId="0CE5E645" w14:textId="23ED750C" w:rsidR="00BB6928" w:rsidRPr="00B725D7" w:rsidRDefault="00BB6928" w:rsidP="00BB6928">
      <w:pPr>
        <w:rPr>
          <w:rFonts w:ascii="Arial" w:hAnsi="Arial" w:cs="Arial"/>
        </w:rPr>
      </w:pPr>
      <w:r w:rsidRPr="00B725D7">
        <w:rPr>
          <w:rFonts w:ascii="Arial" w:hAnsi="Arial" w:cs="Arial"/>
        </w:rPr>
        <w:t>Shareholders and investors exhibit a keen interest in the company's financial performance and its potential for expansion. The investing choices of individuals are impacted by the marketing methods used by Shell. Marketing activities that have a positive impact on revenue and profit are likely to generate greater investor interest and contribute to the appreciation of the stock's value. Conversely, suboptimal marketing strategies may engender apprehension among investors and have a detrimental influence on the company's overall worth.</w:t>
      </w:r>
    </w:p>
    <w:p w14:paraId="5199D1B2" w14:textId="77777777" w:rsidR="00BB6928" w:rsidRPr="00B725D7" w:rsidRDefault="00BB6928" w:rsidP="00BB6928">
      <w:pPr>
        <w:rPr>
          <w:rFonts w:ascii="Arial" w:hAnsi="Arial" w:cs="Arial"/>
        </w:rPr>
      </w:pPr>
      <w:r w:rsidRPr="00B725D7">
        <w:rPr>
          <w:rFonts w:ascii="Arial" w:hAnsi="Arial" w:cs="Arial"/>
        </w:rPr>
        <w:t>Employees, as internal stakeholders, have a crucial role in effectively implementing marketing initiatives. Employees who possess a comprehensive understanding of the marketing goals of the organisation and exhibit high levels of motivation to provide great customer service have the potential to have a positive influence on the brand image. Moreover, soliciting comments and ideas from employees may contribute to the enhancement of marketing strategies and offers.</w:t>
      </w:r>
    </w:p>
    <w:p w14:paraId="24EFE3D3" w14:textId="77777777" w:rsidR="008166C0" w:rsidRPr="00B725D7" w:rsidRDefault="00BB6928" w:rsidP="00BB6928">
      <w:pPr>
        <w:rPr>
          <w:rFonts w:ascii="Arial" w:hAnsi="Arial" w:cs="Arial"/>
        </w:rPr>
      </w:pPr>
      <w:r w:rsidRPr="00B725D7">
        <w:rPr>
          <w:rFonts w:ascii="Arial" w:hAnsi="Arial" w:cs="Arial"/>
        </w:rPr>
        <w:t>Suppliers and partners play a crucial role in facilitating Shell's marketing operations. The organisation depends on an ecosystem of vendors to get essential resources, goods, and services.</w:t>
      </w:r>
    </w:p>
    <w:p w14:paraId="29EACAD1" w14:textId="77777777" w:rsidR="00BB6928" w:rsidRPr="00B725D7" w:rsidRDefault="00BB6928" w:rsidP="00BB6928">
      <w:pPr>
        <w:rPr>
          <w:rFonts w:ascii="Arial" w:hAnsi="Arial" w:cs="Arial"/>
        </w:rPr>
      </w:pPr>
      <w:r w:rsidRPr="00B725D7">
        <w:rPr>
          <w:rFonts w:ascii="Arial" w:hAnsi="Arial" w:cs="Arial"/>
        </w:rPr>
        <w:t>Compliance with rules holds utmost importance for Shell's marketing endeavours, necessitating adherence to regulatory authorities and governmental bodies. The effect of government rules and regulations pertaining to ecological, health, and safety factors on marketing tactics and product offers is noteworthy. Furthermore, alterations in taxes and trade rules have the potential to influence the business's financial performance and pricing strategies.</w:t>
      </w:r>
    </w:p>
    <w:p w14:paraId="52D1BCC2" w14:textId="77777777" w:rsidR="00BB6928" w:rsidRPr="00B725D7" w:rsidRDefault="00BB6928" w:rsidP="00BB6928">
      <w:pPr>
        <w:rPr>
          <w:rFonts w:ascii="Arial" w:hAnsi="Arial" w:cs="Arial"/>
        </w:rPr>
      </w:pPr>
      <w:r w:rsidRPr="00B725D7">
        <w:rPr>
          <w:rFonts w:ascii="Arial" w:hAnsi="Arial" w:cs="Arial"/>
        </w:rPr>
        <w:lastRenderedPageBreak/>
        <w:t>Competitors have a significant role as external stakeholders. The comprehension of rivals' tactics and market positioning enables Shell to adjust its marketing endeavours in order to get a competitive edge. The monitoring of market trends and developments may have an impact on Shell's manufacturing and advertising strategies.</w:t>
      </w:r>
    </w:p>
    <w:p w14:paraId="148FAB74" w14:textId="774C910F" w:rsidR="007D5E01" w:rsidRPr="00B725D7" w:rsidRDefault="007D5E01" w:rsidP="007D5E01">
      <w:pPr>
        <w:rPr>
          <w:rFonts w:ascii="Arial" w:hAnsi="Arial" w:cs="Arial"/>
        </w:rPr>
      </w:pPr>
      <w:bookmarkStart w:id="0" w:name="_Hlk141377635"/>
      <w:r w:rsidRPr="00B725D7">
        <w:rPr>
          <w:rFonts w:ascii="Arial" w:hAnsi="Arial" w:cs="Arial"/>
        </w:rPr>
        <w:t>The marketing strategy used by SHELL encompasses the concepts of regenerate segmentation, targeting, and positioning.</w:t>
      </w:r>
    </w:p>
    <w:p w14:paraId="66B14FBD" w14:textId="6B8A781B" w:rsidR="007D5E01" w:rsidRPr="00B725D7" w:rsidRDefault="007D5E01" w:rsidP="007D5E01">
      <w:pPr>
        <w:rPr>
          <w:rFonts w:ascii="Arial" w:hAnsi="Arial" w:cs="Arial"/>
        </w:rPr>
      </w:pPr>
      <w:r w:rsidRPr="00B725D7">
        <w:rPr>
          <w:rFonts w:ascii="Arial" w:hAnsi="Arial" w:cs="Arial"/>
        </w:rPr>
        <w:t>Shell employs several regional segmentation tactics to establish collaborative partnerships with its clients. As a corporation operating within the oil sector, they provide a highly sought</w:t>
      </w:r>
      <w:r w:rsidR="009A3FCA">
        <w:rPr>
          <w:rFonts w:ascii="Arial" w:hAnsi="Arial" w:cs="Arial"/>
        </w:rPr>
        <w:t xml:space="preserve"> </w:t>
      </w:r>
      <w:r w:rsidRPr="00B725D7">
        <w:rPr>
          <w:rFonts w:ascii="Arial" w:hAnsi="Arial" w:cs="Arial"/>
        </w:rPr>
        <w:t>after product that has significant popularity and global demand. Consequently, it is essential for them to concentrate on certain geographic locations in order to market and distribute their goods effectively.</w:t>
      </w:r>
    </w:p>
    <w:p w14:paraId="682D1EC1" w14:textId="707C6212" w:rsidR="007D5E01" w:rsidRPr="00B725D7" w:rsidRDefault="007D5E01" w:rsidP="007D5E01">
      <w:pPr>
        <w:rPr>
          <w:rFonts w:ascii="Arial" w:hAnsi="Arial" w:cs="Arial"/>
        </w:rPr>
      </w:pPr>
      <w:r w:rsidRPr="00B725D7">
        <w:rPr>
          <w:rFonts w:ascii="Arial" w:hAnsi="Arial" w:cs="Arial"/>
        </w:rPr>
        <w:t>The vision statement of SHELL is to address the energy requirements of society in a manner that is economically, socially, and ecologically sustainable both now and in the future.</w:t>
      </w:r>
    </w:p>
    <w:p w14:paraId="2B3C89A6" w14:textId="77777777" w:rsidR="007D5E01" w:rsidRPr="00B725D7" w:rsidRDefault="007D5E01" w:rsidP="007D5E01">
      <w:pPr>
        <w:rPr>
          <w:rFonts w:ascii="Arial" w:hAnsi="Arial" w:cs="Arial"/>
        </w:rPr>
      </w:pPr>
      <w:r w:rsidRPr="00B725D7">
        <w:rPr>
          <w:rFonts w:ascii="Arial" w:hAnsi="Arial" w:cs="Arial"/>
        </w:rPr>
        <w:t>The tagline of the Shell company.</w:t>
      </w:r>
    </w:p>
    <w:p w14:paraId="4C796571" w14:textId="77777777" w:rsidR="007D5E01" w:rsidRPr="00B725D7" w:rsidRDefault="007D5E01" w:rsidP="007D5E01">
      <w:pPr>
        <w:rPr>
          <w:rFonts w:ascii="Arial" w:hAnsi="Arial" w:cs="Arial"/>
        </w:rPr>
      </w:pPr>
      <w:r w:rsidRPr="00B725D7">
        <w:rPr>
          <w:rFonts w:ascii="Arial" w:hAnsi="Arial" w:cs="Arial"/>
        </w:rPr>
        <w:t>One may have confidence in the reliability of Shell.</w:t>
      </w:r>
    </w:p>
    <w:p w14:paraId="5C2129C6" w14:textId="77777777" w:rsidR="007D5E01" w:rsidRPr="00B725D7" w:rsidRDefault="007D5E01" w:rsidP="007D5E01">
      <w:pPr>
        <w:rPr>
          <w:rFonts w:ascii="Arial" w:hAnsi="Arial" w:cs="Arial"/>
        </w:rPr>
      </w:pPr>
      <w:r w:rsidRPr="00B725D7">
        <w:rPr>
          <w:rFonts w:ascii="Arial" w:hAnsi="Arial" w:cs="Arial"/>
        </w:rPr>
        <w:t>The company's expenditures on research and development in 2016 exceeded 1050 million. The organisation conducts research via technological centres situated in many countries, including Germany, Canada, China, India, Norway, for example, Netherlands, Oman as well, Qatar, and the USA. Shell has over 12,000 patents that have been awarded and are now in the process of pending applications.</w:t>
      </w:r>
    </w:p>
    <w:p w14:paraId="3258315A" w14:textId="57CDB9FE" w:rsidR="007D5E01" w:rsidRPr="00B725D7" w:rsidRDefault="007D5E01" w:rsidP="007D5E01">
      <w:pPr>
        <w:rPr>
          <w:rFonts w:ascii="Arial" w:hAnsi="Arial" w:cs="Arial"/>
        </w:rPr>
      </w:pPr>
      <w:r w:rsidRPr="00B725D7">
        <w:rPr>
          <w:rFonts w:ascii="Arial" w:hAnsi="Arial" w:cs="Arial"/>
        </w:rPr>
        <w:t xml:space="preserve">Strategic partnerships and alliances have played a pivotal role in facilitating collaborations and enabling the organisation to acquire experience in many economies, while also expanding its technological capabilities and enhancing service delivery proficiency. Several successful partnerships have been established, such as Chine Nationwide Energy, Intel, for example, Digital </w:t>
      </w:r>
      <w:r w:rsidR="00B81C07" w:rsidRPr="00B725D7">
        <w:rPr>
          <w:rFonts w:ascii="Arial" w:hAnsi="Arial" w:cs="Arial"/>
        </w:rPr>
        <w:t xml:space="preserve">Hawk’s, </w:t>
      </w:r>
      <w:r w:rsidR="00FC5886" w:rsidRPr="00B725D7">
        <w:rPr>
          <w:rFonts w:ascii="Arial" w:hAnsi="Arial" w:cs="Arial"/>
        </w:rPr>
        <w:t>(1999</w:t>
      </w:r>
      <w:r w:rsidR="00F9082D" w:rsidRPr="00B725D7">
        <w:rPr>
          <w:rFonts w:ascii="Arial" w:hAnsi="Arial" w:cs="Arial"/>
        </w:rPr>
        <w:t>), Gordon</w:t>
      </w:r>
      <w:r w:rsidRPr="00B725D7">
        <w:rPr>
          <w:rFonts w:ascii="Arial" w:hAnsi="Arial" w:cs="Arial"/>
        </w:rPr>
        <w:t xml:space="preserve"> Murray Design </w:t>
      </w:r>
      <w:r w:rsidR="006C4A81" w:rsidRPr="00B725D7">
        <w:rPr>
          <w:rFonts w:ascii="Arial" w:hAnsi="Arial" w:cs="Arial"/>
        </w:rPr>
        <w:t>(</w:t>
      </w:r>
      <w:r w:rsidR="00D36A35" w:rsidRPr="00B725D7">
        <w:rPr>
          <w:rFonts w:ascii="Arial" w:hAnsi="Arial" w:cs="Arial"/>
        </w:rPr>
        <w:t>2003) Geo</w:t>
      </w:r>
      <w:r w:rsidRPr="00B725D7">
        <w:rPr>
          <w:rFonts w:ascii="Arial" w:hAnsi="Arial" w:cs="Arial"/>
        </w:rPr>
        <w:t xml:space="preserve"> technology, Gazprom, and other more.</w:t>
      </w:r>
    </w:p>
    <w:p w14:paraId="02667815" w14:textId="77777777" w:rsidR="007D5E01" w:rsidRPr="00B725D7" w:rsidRDefault="007D5E01" w:rsidP="007D5E01">
      <w:pPr>
        <w:rPr>
          <w:rFonts w:ascii="Arial" w:hAnsi="Arial" w:cs="Arial"/>
        </w:rPr>
      </w:pPr>
      <w:r w:rsidRPr="00B725D7">
        <w:rPr>
          <w:rFonts w:ascii="Arial" w:hAnsi="Arial" w:cs="Arial"/>
        </w:rPr>
        <w:t>A portfolio consisting of a diverse range of products. The inclusion of a portfolio in a company's operations serves as a valuable tool for diversifying its business ventures, so assisting in the reduction of risk associated with price swings and exchange rate variations.</w:t>
      </w:r>
    </w:p>
    <w:p w14:paraId="5C81FA0F" w14:textId="77777777" w:rsidR="007D5E01" w:rsidRPr="00B725D7" w:rsidRDefault="007D5E01" w:rsidP="007D5E01">
      <w:pPr>
        <w:rPr>
          <w:rFonts w:ascii="Arial" w:hAnsi="Arial" w:cs="Arial"/>
        </w:rPr>
      </w:pPr>
      <w:r w:rsidRPr="00B725D7">
        <w:rPr>
          <w:rFonts w:ascii="Arial" w:hAnsi="Arial" w:cs="Arial"/>
        </w:rPr>
        <w:t>The concepts of constancy and confidence are significant factors in several domains of human behaviour and psychology. Shell has gained the trust of its customers by its consistent provision of high-quality products and services over an extended duration. Indeed, a significant number of consumers choose for the Shell establishment in comparison to other options.</w:t>
      </w:r>
    </w:p>
    <w:p w14:paraId="4A98CB2D" w14:textId="77777777" w:rsidR="007D5E01" w:rsidRPr="00B725D7" w:rsidRDefault="007D5E01" w:rsidP="007D5E01">
      <w:pPr>
        <w:rPr>
          <w:rFonts w:ascii="Arial" w:hAnsi="Arial" w:cs="Arial"/>
        </w:rPr>
      </w:pPr>
      <w:r w:rsidRPr="00B725D7">
        <w:rPr>
          <w:rFonts w:ascii="Arial" w:hAnsi="Arial" w:cs="Arial"/>
        </w:rPr>
        <w:t>The BCG Matrix is a strategic tool used by SHELL to analyse and evaluate their marketing strategy.</w:t>
      </w:r>
    </w:p>
    <w:p w14:paraId="62B75709" w14:textId="77777777" w:rsidR="007D5E01" w:rsidRPr="00B725D7" w:rsidRDefault="007D5E01" w:rsidP="007D5E01">
      <w:pPr>
        <w:rPr>
          <w:rFonts w:ascii="Arial" w:hAnsi="Arial" w:cs="Arial"/>
        </w:rPr>
      </w:pPr>
      <w:r w:rsidRPr="00B725D7">
        <w:rPr>
          <w:rFonts w:ascii="Arial" w:hAnsi="Arial" w:cs="Arial"/>
        </w:rPr>
        <w:t>Shell is a multinational corporation engaged in several sectors of the energy industry, including downstream, upstream and Projects and Technology, as well as Consolidated Gas and Modern Energies divisions.</w:t>
      </w:r>
    </w:p>
    <w:p w14:paraId="61B32CCF" w14:textId="77777777" w:rsidR="003B2E33" w:rsidRDefault="007D5E01" w:rsidP="007D5E01">
      <w:pPr>
        <w:rPr>
          <w:rFonts w:ascii="Arial" w:hAnsi="Arial" w:cs="Arial"/>
        </w:rPr>
      </w:pPr>
      <w:r w:rsidRPr="00B725D7">
        <w:rPr>
          <w:rFonts w:ascii="Arial" w:hAnsi="Arial" w:cs="Arial"/>
        </w:rPr>
        <w:t xml:space="preserve">The interaction between the downstream and upward business of BCG's matrix </w:t>
      </w:r>
      <w:r w:rsidR="0056637E">
        <w:rPr>
          <w:rFonts w:ascii="Arial" w:hAnsi="Arial" w:cs="Arial"/>
        </w:rPr>
        <w:t xml:space="preserve">and </w:t>
      </w:r>
      <w:r w:rsidR="00B26303">
        <w:rPr>
          <w:rFonts w:ascii="Arial" w:hAnsi="Arial" w:cs="Arial"/>
        </w:rPr>
        <w:t>Boston Matrix</w:t>
      </w:r>
      <w:r w:rsidR="0056637E">
        <w:rPr>
          <w:rFonts w:ascii="Arial" w:hAnsi="Arial" w:cs="Arial"/>
        </w:rPr>
        <w:t xml:space="preserve"> </w:t>
      </w:r>
      <w:r w:rsidRPr="00B725D7">
        <w:rPr>
          <w:rFonts w:ascii="Arial" w:hAnsi="Arial" w:cs="Arial"/>
        </w:rPr>
        <w:t>is a notable aspect. The inclusion of Programmes and Technologies, as well as Comprehensive Petroleum &amp; Modern Energies business, inside the BCG matrix is a matter of concern, given these sectors are within the purview of British Oil and other entities operating in the same industry.</w:t>
      </w:r>
    </w:p>
    <w:p w14:paraId="65710D2B" w14:textId="6EFFAD95" w:rsidR="007D5E01" w:rsidRPr="00B725D7" w:rsidRDefault="007D5E01" w:rsidP="007D5E01">
      <w:pPr>
        <w:rPr>
          <w:rFonts w:ascii="Arial" w:hAnsi="Arial" w:cs="Arial"/>
        </w:rPr>
      </w:pPr>
      <w:r w:rsidRPr="00B725D7">
        <w:rPr>
          <w:rFonts w:ascii="Arial" w:hAnsi="Arial" w:cs="Arial"/>
        </w:rPr>
        <w:lastRenderedPageBreak/>
        <w:t>The distribution strategy used by SHELL is a key component of their overall marketing strategy.</w:t>
      </w:r>
    </w:p>
    <w:p w14:paraId="3D131E3C" w14:textId="77777777" w:rsidR="007D5E01" w:rsidRPr="00B725D7" w:rsidRDefault="007D5E01" w:rsidP="007D5E01">
      <w:pPr>
        <w:rPr>
          <w:rFonts w:ascii="Arial" w:hAnsi="Arial" w:cs="Arial"/>
        </w:rPr>
      </w:pPr>
      <w:r w:rsidRPr="00B725D7">
        <w:rPr>
          <w:rFonts w:ascii="Arial" w:hAnsi="Arial" w:cs="Arial"/>
        </w:rPr>
        <w:t>The company's combined and collaborating economical value delivery system facilitates the global distribution of its services and goods, so enabling it to maintain a competitive advantage over its rivals.</w:t>
      </w:r>
    </w:p>
    <w:p w14:paraId="24B675EA" w14:textId="77777777" w:rsidR="007D5E01" w:rsidRPr="00B725D7" w:rsidRDefault="007D5E01" w:rsidP="007D5E01">
      <w:pPr>
        <w:rPr>
          <w:rFonts w:ascii="Arial" w:hAnsi="Arial" w:cs="Arial"/>
        </w:rPr>
      </w:pPr>
      <w:r w:rsidRPr="00B725D7">
        <w:rPr>
          <w:rFonts w:ascii="Arial" w:hAnsi="Arial" w:cs="Arial"/>
        </w:rPr>
        <w:t>The organisation integrates many functions to provide real-time communication, enabling the identification of highly promising future markets and ensuring client accessibility to the product via nearby refineries or third-party production facilities.</w:t>
      </w:r>
    </w:p>
    <w:p w14:paraId="537E8CE7" w14:textId="77777777" w:rsidR="007D5E01" w:rsidRPr="00B725D7" w:rsidRDefault="007D5E01" w:rsidP="007D5E01">
      <w:pPr>
        <w:rPr>
          <w:rFonts w:ascii="Arial" w:hAnsi="Arial" w:cs="Arial"/>
        </w:rPr>
      </w:pPr>
      <w:r w:rsidRPr="00B725D7">
        <w:rPr>
          <w:rFonts w:ascii="Arial" w:hAnsi="Arial" w:cs="Arial"/>
        </w:rPr>
        <w:t>The topic of discussion is the brand equity of SHELL and its corresponding marketing strategy.</w:t>
      </w:r>
    </w:p>
    <w:p w14:paraId="38F052A2" w14:textId="77777777" w:rsidR="007D5E01" w:rsidRPr="00B725D7" w:rsidRDefault="007D5E01" w:rsidP="007D5E01">
      <w:pPr>
        <w:rPr>
          <w:rFonts w:ascii="Arial" w:hAnsi="Arial" w:cs="Arial"/>
        </w:rPr>
      </w:pPr>
      <w:r w:rsidRPr="00B725D7">
        <w:rPr>
          <w:rFonts w:ascii="Arial" w:hAnsi="Arial" w:cs="Arial"/>
        </w:rPr>
        <w:t>According to the Forbes magazine, Shell has the 50th position on the compilation of the top 2000 worldwide brands. According to the market capitalization approach as of May 2016, Shell's valuation amounts to 210 billion dollars.</w:t>
      </w:r>
    </w:p>
    <w:p w14:paraId="49FA55D5" w14:textId="77777777" w:rsidR="007D5E01" w:rsidRPr="00B725D7" w:rsidRDefault="007D5E01" w:rsidP="007D5E01">
      <w:pPr>
        <w:rPr>
          <w:rFonts w:ascii="Arial" w:hAnsi="Arial" w:cs="Arial"/>
        </w:rPr>
      </w:pPr>
      <w:r w:rsidRPr="00B725D7">
        <w:rPr>
          <w:rFonts w:ascii="Arial" w:hAnsi="Arial" w:cs="Arial"/>
        </w:rPr>
        <w:t>The growing notoriety of the brand may be attributed to its strong affiliation with sporting events, including Formula One and numerous racing competitions, as well as its striking and dynamic logo.</w:t>
      </w:r>
    </w:p>
    <w:p w14:paraId="7414DF49" w14:textId="77777777" w:rsidR="007D5E01" w:rsidRPr="00B725D7" w:rsidRDefault="007D5E01" w:rsidP="007D5E01">
      <w:pPr>
        <w:rPr>
          <w:rFonts w:ascii="Arial" w:hAnsi="Arial" w:cs="Arial"/>
        </w:rPr>
      </w:pPr>
      <w:r w:rsidRPr="00B725D7">
        <w:rPr>
          <w:rFonts w:ascii="Arial" w:hAnsi="Arial" w:cs="Arial"/>
        </w:rPr>
        <w:t>A Comparative Analysis of SHELL's Marketing Strategy</w:t>
      </w:r>
    </w:p>
    <w:p w14:paraId="5FC6DFCA" w14:textId="77777777" w:rsidR="007D5E01" w:rsidRPr="00B725D7" w:rsidRDefault="007D5E01" w:rsidP="007D5E01">
      <w:pPr>
        <w:rPr>
          <w:rFonts w:ascii="Arial" w:hAnsi="Arial" w:cs="Arial"/>
        </w:rPr>
      </w:pPr>
      <w:r w:rsidRPr="00B725D7">
        <w:rPr>
          <w:rFonts w:ascii="Arial" w:hAnsi="Arial" w:cs="Arial"/>
        </w:rPr>
        <w:t>The marketplace within the area is characterised by a limited number of enterprises, mostly owing to the substantial financial investments required for technology advancements and infrastructure development necessary to create and operate a company in this sector. Moreover, the obstacles in gaining access for this enterprise are very high. However, the survival of a firm in the market is contingent upon its ability to maintain a substantial volume, hence intensifying the degree of competition.</w:t>
      </w:r>
    </w:p>
    <w:p w14:paraId="49D95715" w14:textId="22EFAD85" w:rsidR="007D5E01" w:rsidRPr="00B725D7" w:rsidRDefault="007D5E01" w:rsidP="007D5E01">
      <w:pPr>
        <w:rPr>
          <w:rFonts w:ascii="Arial" w:hAnsi="Arial" w:cs="Arial"/>
        </w:rPr>
      </w:pPr>
      <w:r w:rsidRPr="00B725D7">
        <w:rPr>
          <w:rFonts w:ascii="Arial" w:hAnsi="Arial" w:cs="Arial"/>
        </w:rPr>
        <w:t xml:space="preserve">The rivals of the company in question involve British Petroleum, Z Energies, OMP, Exxon, and other similar entities. The businesses within this </w:t>
      </w:r>
      <w:r w:rsidR="00F219EF" w:rsidRPr="00B725D7">
        <w:rPr>
          <w:rFonts w:ascii="Arial" w:hAnsi="Arial" w:cs="Arial"/>
        </w:rPr>
        <w:t>industry</w:t>
      </w:r>
      <w:r w:rsidRPr="00B725D7">
        <w:rPr>
          <w:rFonts w:ascii="Arial" w:hAnsi="Arial" w:cs="Arial"/>
        </w:rPr>
        <w:t xml:space="preserve"> engage in collaborative partnerships with non-competing enterprises, rather than direct competitors, in order to enhance their operations.</w:t>
      </w:r>
    </w:p>
    <w:p w14:paraId="24A80A7A" w14:textId="77777777" w:rsidR="007D5E01" w:rsidRPr="00B725D7" w:rsidRDefault="007D5E01" w:rsidP="007D5E01">
      <w:pPr>
        <w:rPr>
          <w:rFonts w:ascii="Arial" w:hAnsi="Arial" w:cs="Arial"/>
        </w:rPr>
      </w:pPr>
      <w:r w:rsidRPr="00B725D7">
        <w:rPr>
          <w:rFonts w:ascii="Arial" w:hAnsi="Arial" w:cs="Arial"/>
        </w:rPr>
        <w:t>The presence of these factors is impeding the growth of enterprises operating in the sector, however the adoption of both forward and backward integration strategies is facilitating the ability businesses that operate in the sector to effectively respond to the changing needs and preferences of consumers.</w:t>
      </w:r>
    </w:p>
    <w:p w14:paraId="5BEF2D8E" w14:textId="77777777" w:rsidR="007D5E01" w:rsidRPr="00B725D7" w:rsidRDefault="007D5E01" w:rsidP="007D5E01">
      <w:pPr>
        <w:rPr>
          <w:rFonts w:ascii="Arial" w:hAnsi="Arial" w:cs="Arial"/>
        </w:rPr>
      </w:pPr>
      <w:r w:rsidRPr="00B725D7">
        <w:rPr>
          <w:rFonts w:ascii="Arial" w:hAnsi="Arial" w:cs="Arial"/>
        </w:rPr>
        <w:t>Analysis of Customer Behaviour – Marketing Strategy of SHELL In this report, we will conduct an in-depth examination of customer behaviour as it relates to the marketing strategy used by SHELL. The aim of this analysis is to get a comprehensive understanding of the factors that influence customer decision-making and to</w:t>
      </w:r>
    </w:p>
    <w:p w14:paraId="01B392B5" w14:textId="050A8734" w:rsidR="007D5E01" w:rsidRPr="00B725D7" w:rsidRDefault="007D5E01" w:rsidP="007D5E01">
      <w:pPr>
        <w:rPr>
          <w:rFonts w:ascii="Arial" w:hAnsi="Arial" w:cs="Arial"/>
        </w:rPr>
      </w:pPr>
      <w:r w:rsidRPr="00B725D7">
        <w:rPr>
          <w:rFonts w:ascii="Arial" w:hAnsi="Arial" w:cs="Arial"/>
        </w:rPr>
        <w:t xml:space="preserve">The clientele of </w:t>
      </w:r>
      <w:r w:rsidR="00F219EF" w:rsidRPr="00B725D7">
        <w:rPr>
          <w:rFonts w:ascii="Arial" w:hAnsi="Arial" w:cs="Arial"/>
        </w:rPr>
        <w:t>Shell encompasses</w:t>
      </w:r>
      <w:r w:rsidRPr="00B725D7">
        <w:rPr>
          <w:rFonts w:ascii="Arial" w:hAnsi="Arial" w:cs="Arial"/>
        </w:rPr>
        <w:t xml:space="preserve"> both privately-owned and government-owned entities operating in th</w:t>
      </w:r>
      <w:r w:rsidR="00F219EF" w:rsidRPr="00B725D7">
        <w:rPr>
          <w:rFonts w:ascii="Arial" w:hAnsi="Arial" w:cs="Arial"/>
        </w:rPr>
        <w:t xml:space="preserve">e </w:t>
      </w:r>
      <w:r w:rsidRPr="00B725D7">
        <w:rPr>
          <w:rFonts w:ascii="Arial" w:hAnsi="Arial" w:cs="Arial"/>
        </w:rPr>
        <w:t>business-to-business (B2B) sector, specialising in the global trade of energy, oil products, and other commodities.</w:t>
      </w:r>
    </w:p>
    <w:p w14:paraId="36932A09" w14:textId="32427CF6" w:rsidR="007D5E01" w:rsidRPr="007D5E01" w:rsidRDefault="007D5E01" w:rsidP="007D5E01">
      <w:pPr>
        <w:rPr>
          <w:rFonts w:ascii="Arial" w:hAnsi="Arial" w:cs="Arial"/>
        </w:rPr>
      </w:pPr>
      <w:r w:rsidRPr="00B725D7">
        <w:rPr>
          <w:rFonts w:ascii="Arial" w:hAnsi="Arial" w:cs="Arial"/>
        </w:rPr>
        <w:t>The Businesses to Business (B2B) sector offers several essential products and services to companies. These include transportation fuel, electricity for illumination and heating purposes, lubricants that serve both as raw materials for other products and as agents for</w:t>
      </w:r>
      <w:r w:rsidR="00B26303">
        <w:rPr>
          <w:rFonts w:ascii="Arial" w:hAnsi="Arial" w:cs="Arial"/>
        </w:rPr>
        <w:t xml:space="preserve"> </w:t>
      </w:r>
      <w:r w:rsidRPr="00B725D7">
        <w:rPr>
          <w:rFonts w:ascii="Arial" w:hAnsi="Arial" w:cs="Arial"/>
        </w:rPr>
        <w:t>maintaining optimal engine performance, as well as petrochemicals necessary for the manufacturing of ordinary consumer</w:t>
      </w:r>
      <w:r w:rsidRPr="007D5E01">
        <w:rPr>
          <w:rFonts w:ascii="Arial" w:hAnsi="Arial" w:cs="Arial"/>
        </w:rPr>
        <w:t xml:space="preserve"> goods.</w:t>
      </w:r>
    </w:p>
    <w:bookmarkEnd w:id="0"/>
    <w:p w14:paraId="198A3594" w14:textId="77777777" w:rsidR="00D22AC3" w:rsidRDefault="00D22AC3" w:rsidP="00BB6928">
      <w:pPr>
        <w:rPr>
          <w:rFonts w:ascii="Arial" w:hAnsi="Arial" w:cs="Arial"/>
        </w:rPr>
      </w:pPr>
    </w:p>
    <w:p w14:paraId="49CBC828" w14:textId="77777777" w:rsidR="00D22AC3" w:rsidRDefault="00D22AC3" w:rsidP="00BB6928">
      <w:pPr>
        <w:rPr>
          <w:rFonts w:ascii="Arial" w:hAnsi="Arial" w:cs="Arial"/>
        </w:rPr>
      </w:pPr>
    </w:p>
    <w:p w14:paraId="5BFFE1CC" w14:textId="66363CEA" w:rsidR="007D5E01" w:rsidRDefault="00D22AC3" w:rsidP="00BB6928">
      <w:pPr>
        <w:rPr>
          <w:rFonts w:ascii="Arial" w:hAnsi="Arial" w:cs="Arial"/>
        </w:rPr>
      </w:pPr>
      <w:r w:rsidRPr="00D22AC3">
        <w:rPr>
          <w:rFonts w:ascii="Arial" w:hAnsi="Arial" w:cs="Arial"/>
        </w:rPr>
        <w:t>In conclusion, Shell demonstrates a commitment to responding to the dynamic energy environment via its emphasis on creativity, environmental responsibility, and customer-centric value creation. Shell's strategic objective is to maintain its position as a frontrunner in the energy sector by effectively responding to the complexities associated with the energy transition. This entails addressing the worldwide need for environmentally friendly energy alternatives.</w:t>
      </w:r>
    </w:p>
    <w:p w14:paraId="14057DCF" w14:textId="77777777" w:rsidR="00AA3BCB" w:rsidRDefault="00AA3BCB" w:rsidP="00BB6928">
      <w:pPr>
        <w:rPr>
          <w:rFonts w:ascii="Arial" w:hAnsi="Arial" w:cs="Arial"/>
        </w:rPr>
      </w:pPr>
    </w:p>
    <w:p w14:paraId="003B7829" w14:textId="77777777" w:rsidR="00AA3BCB" w:rsidRDefault="00AA3BCB" w:rsidP="00BB6928">
      <w:pPr>
        <w:rPr>
          <w:rFonts w:ascii="Arial" w:hAnsi="Arial" w:cs="Arial"/>
        </w:rPr>
      </w:pPr>
    </w:p>
    <w:p w14:paraId="5C6C3140" w14:textId="77777777" w:rsidR="00AA3BCB" w:rsidRDefault="00AA3BCB" w:rsidP="00BB6928">
      <w:pPr>
        <w:rPr>
          <w:rFonts w:ascii="Arial" w:hAnsi="Arial" w:cs="Arial"/>
        </w:rPr>
      </w:pPr>
    </w:p>
    <w:p w14:paraId="2362BC06" w14:textId="77777777" w:rsidR="00975B6A" w:rsidRDefault="00975B6A" w:rsidP="0038540A">
      <w:pPr>
        <w:rPr>
          <w:rFonts w:ascii="Arial" w:hAnsi="Arial" w:cs="Arial"/>
        </w:rPr>
      </w:pPr>
    </w:p>
    <w:p w14:paraId="6720B88D" w14:textId="77777777" w:rsidR="00975B6A" w:rsidRDefault="00975B6A" w:rsidP="0038540A">
      <w:pPr>
        <w:rPr>
          <w:rFonts w:ascii="Arial" w:hAnsi="Arial" w:cs="Arial"/>
        </w:rPr>
      </w:pPr>
    </w:p>
    <w:p w14:paraId="6E900C2D" w14:textId="77777777" w:rsidR="00975B6A" w:rsidRDefault="00975B6A" w:rsidP="0038540A">
      <w:pPr>
        <w:rPr>
          <w:rFonts w:ascii="Arial" w:hAnsi="Arial" w:cs="Arial"/>
        </w:rPr>
      </w:pPr>
    </w:p>
    <w:p w14:paraId="76E299BB" w14:textId="77777777" w:rsidR="00975B6A" w:rsidRDefault="00975B6A" w:rsidP="0038540A">
      <w:pPr>
        <w:rPr>
          <w:rFonts w:ascii="Arial" w:hAnsi="Arial" w:cs="Arial"/>
        </w:rPr>
      </w:pPr>
    </w:p>
    <w:p w14:paraId="59B97FAA" w14:textId="77777777" w:rsidR="00975B6A" w:rsidRDefault="00975B6A" w:rsidP="0038540A">
      <w:pPr>
        <w:rPr>
          <w:rFonts w:ascii="Arial" w:hAnsi="Arial" w:cs="Arial"/>
        </w:rPr>
      </w:pPr>
    </w:p>
    <w:p w14:paraId="516FFEBB" w14:textId="77777777" w:rsidR="00975B6A" w:rsidRDefault="00975B6A" w:rsidP="0038540A">
      <w:pPr>
        <w:rPr>
          <w:rFonts w:ascii="Arial" w:hAnsi="Arial" w:cs="Arial"/>
        </w:rPr>
      </w:pPr>
    </w:p>
    <w:p w14:paraId="2F3B0471" w14:textId="77777777" w:rsidR="00975B6A" w:rsidRDefault="00975B6A" w:rsidP="0038540A">
      <w:pPr>
        <w:rPr>
          <w:rFonts w:ascii="Arial" w:hAnsi="Arial" w:cs="Arial"/>
        </w:rPr>
      </w:pPr>
    </w:p>
    <w:p w14:paraId="03CCCA93" w14:textId="77777777" w:rsidR="00975B6A" w:rsidRDefault="00975B6A" w:rsidP="0038540A">
      <w:pPr>
        <w:rPr>
          <w:rFonts w:ascii="Arial" w:hAnsi="Arial" w:cs="Arial"/>
        </w:rPr>
      </w:pPr>
    </w:p>
    <w:p w14:paraId="7FA588CE" w14:textId="77777777" w:rsidR="00975B6A" w:rsidRDefault="00975B6A" w:rsidP="0038540A">
      <w:pPr>
        <w:rPr>
          <w:rFonts w:ascii="Arial" w:hAnsi="Arial" w:cs="Arial"/>
        </w:rPr>
      </w:pPr>
    </w:p>
    <w:p w14:paraId="640D95A7" w14:textId="77777777" w:rsidR="00975B6A" w:rsidRDefault="00975B6A" w:rsidP="0038540A">
      <w:pPr>
        <w:rPr>
          <w:rFonts w:ascii="Arial" w:hAnsi="Arial" w:cs="Arial"/>
        </w:rPr>
      </w:pPr>
    </w:p>
    <w:p w14:paraId="5B29233B" w14:textId="77777777" w:rsidR="00975B6A" w:rsidRDefault="00975B6A" w:rsidP="0038540A">
      <w:pPr>
        <w:rPr>
          <w:rFonts w:ascii="Arial" w:hAnsi="Arial" w:cs="Arial"/>
        </w:rPr>
      </w:pPr>
    </w:p>
    <w:p w14:paraId="38A45FA3" w14:textId="77777777" w:rsidR="00975B6A" w:rsidRDefault="00975B6A" w:rsidP="0038540A">
      <w:pPr>
        <w:rPr>
          <w:rFonts w:ascii="Arial" w:hAnsi="Arial" w:cs="Arial"/>
        </w:rPr>
      </w:pPr>
    </w:p>
    <w:p w14:paraId="34C84796" w14:textId="77777777" w:rsidR="00975B6A" w:rsidRDefault="00975B6A" w:rsidP="0038540A">
      <w:pPr>
        <w:rPr>
          <w:rFonts w:ascii="Arial" w:hAnsi="Arial" w:cs="Arial"/>
        </w:rPr>
      </w:pPr>
    </w:p>
    <w:p w14:paraId="7A4BA5FB" w14:textId="77777777" w:rsidR="00975B6A" w:rsidRDefault="00975B6A" w:rsidP="0038540A">
      <w:pPr>
        <w:rPr>
          <w:rFonts w:ascii="Arial" w:hAnsi="Arial" w:cs="Arial"/>
        </w:rPr>
      </w:pPr>
    </w:p>
    <w:p w14:paraId="78C8D739" w14:textId="77777777" w:rsidR="00975B6A" w:rsidRDefault="00975B6A" w:rsidP="0038540A">
      <w:pPr>
        <w:rPr>
          <w:rFonts w:ascii="Arial" w:hAnsi="Arial" w:cs="Arial"/>
        </w:rPr>
      </w:pPr>
    </w:p>
    <w:p w14:paraId="295813EA" w14:textId="77777777" w:rsidR="00975B6A" w:rsidRDefault="00975B6A" w:rsidP="0038540A">
      <w:pPr>
        <w:rPr>
          <w:rFonts w:ascii="Arial" w:hAnsi="Arial" w:cs="Arial"/>
        </w:rPr>
      </w:pPr>
    </w:p>
    <w:p w14:paraId="4EEE588B" w14:textId="77777777" w:rsidR="003B2E33" w:rsidRDefault="003B2E33" w:rsidP="0038540A">
      <w:pPr>
        <w:rPr>
          <w:rFonts w:ascii="Arial" w:hAnsi="Arial" w:cs="Arial"/>
        </w:rPr>
      </w:pPr>
    </w:p>
    <w:p w14:paraId="11641EF7" w14:textId="77777777" w:rsidR="003B2E33" w:rsidRDefault="003B2E33" w:rsidP="0038540A">
      <w:pPr>
        <w:rPr>
          <w:rFonts w:ascii="Arial" w:hAnsi="Arial" w:cs="Arial"/>
        </w:rPr>
      </w:pPr>
    </w:p>
    <w:p w14:paraId="51C7C3A6" w14:textId="77777777" w:rsidR="003B2E33" w:rsidRDefault="003B2E33" w:rsidP="0038540A">
      <w:pPr>
        <w:rPr>
          <w:rFonts w:ascii="Arial" w:hAnsi="Arial" w:cs="Arial"/>
        </w:rPr>
      </w:pPr>
    </w:p>
    <w:p w14:paraId="3FD8C29D" w14:textId="77777777" w:rsidR="003B2E33" w:rsidRDefault="003B2E33" w:rsidP="0038540A">
      <w:pPr>
        <w:rPr>
          <w:rFonts w:ascii="Arial" w:hAnsi="Arial" w:cs="Arial"/>
        </w:rPr>
      </w:pPr>
    </w:p>
    <w:p w14:paraId="42AB2515" w14:textId="77777777" w:rsidR="003B2E33" w:rsidRDefault="003B2E33" w:rsidP="0038540A">
      <w:pPr>
        <w:rPr>
          <w:rFonts w:ascii="Arial" w:hAnsi="Arial" w:cs="Arial"/>
        </w:rPr>
      </w:pPr>
    </w:p>
    <w:p w14:paraId="1F456893" w14:textId="77777777" w:rsidR="003B2E33" w:rsidRDefault="003B2E33" w:rsidP="0038540A">
      <w:pPr>
        <w:rPr>
          <w:rFonts w:ascii="Arial" w:hAnsi="Arial" w:cs="Arial"/>
        </w:rPr>
      </w:pPr>
    </w:p>
    <w:p w14:paraId="06494E64" w14:textId="77777777" w:rsidR="003B2E33" w:rsidRDefault="003B2E33" w:rsidP="0038540A">
      <w:pPr>
        <w:rPr>
          <w:rFonts w:ascii="Arial" w:hAnsi="Arial" w:cs="Arial"/>
        </w:rPr>
      </w:pPr>
    </w:p>
    <w:p w14:paraId="73C86CD5" w14:textId="44C9A199" w:rsidR="0038540A" w:rsidRPr="0038540A" w:rsidRDefault="00AA3BCB" w:rsidP="0038540A">
      <w:pPr>
        <w:rPr>
          <w:rFonts w:ascii="Arial" w:hAnsi="Arial" w:cs="Arial"/>
        </w:rPr>
      </w:pPr>
      <w:r>
        <w:rPr>
          <w:rFonts w:ascii="Arial" w:hAnsi="Arial" w:cs="Arial"/>
        </w:rPr>
        <w:lastRenderedPageBreak/>
        <w:t>Reference:</w:t>
      </w:r>
    </w:p>
    <w:p w14:paraId="4AAE56F5" w14:textId="2DF214C9" w:rsidR="00AA3BCB" w:rsidRDefault="0038540A" w:rsidP="0038540A">
      <w:pPr>
        <w:rPr>
          <w:rFonts w:ascii="Arial" w:hAnsi="Arial" w:cs="Arial"/>
        </w:rPr>
      </w:pPr>
      <w:r w:rsidRPr="0038540A">
        <w:rPr>
          <w:rFonts w:ascii="Arial" w:hAnsi="Arial" w:cs="Arial"/>
        </w:rPr>
        <w:t xml:space="preserve">  McKellar, S. (2003) Surgical limits: the life of Gordon Murray. Toronto, [Ontario]; University of Toronto Press. Available at: </w:t>
      </w:r>
      <w:hyperlink r:id="rId8" w:history="1">
        <w:r w:rsidR="002D7B10" w:rsidRPr="00260DD2">
          <w:rPr>
            <w:rStyle w:val="Hyperlink"/>
            <w:rFonts w:ascii="Arial" w:hAnsi="Arial" w:cs="Arial"/>
          </w:rPr>
          <w:t>https://doi.org/10.3138/9781442680265</w:t>
        </w:r>
      </w:hyperlink>
      <w:r w:rsidRPr="0038540A">
        <w:rPr>
          <w:rFonts w:ascii="Arial" w:hAnsi="Arial" w:cs="Arial"/>
        </w:rPr>
        <w:t>.</w:t>
      </w:r>
    </w:p>
    <w:p w14:paraId="76D66D7C" w14:textId="0A939B7D" w:rsidR="002D7B10" w:rsidRDefault="002D7B10" w:rsidP="002D7B10">
      <w:pPr>
        <w:rPr>
          <w:rFonts w:ascii="Arial" w:hAnsi="Arial" w:cs="Arial"/>
        </w:rPr>
      </w:pPr>
      <w:r w:rsidRPr="002D7B10">
        <w:rPr>
          <w:rFonts w:ascii="Arial" w:hAnsi="Arial" w:cs="Arial"/>
        </w:rPr>
        <w:t xml:space="preserve">  Kanellopoulos, D.N. (2013) Intelligent multimedia techologies for networking applications techniques and tools. Hershey, Pa: IGI Global. Available at: </w:t>
      </w:r>
      <w:hyperlink r:id="rId9" w:history="1">
        <w:r w:rsidR="00CD1432" w:rsidRPr="00260DD2">
          <w:rPr>
            <w:rStyle w:val="Hyperlink"/>
            <w:rFonts w:ascii="Arial" w:hAnsi="Arial" w:cs="Arial"/>
          </w:rPr>
          <w:t>https://doi.org/10.4018/978-1-4666-2833-5</w:t>
        </w:r>
      </w:hyperlink>
      <w:r w:rsidRPr="002D7B10">
        <w:rPr>
          <w:rFonts w:ascii="Arial" w:hAnsi="Arial" w:cs="Arial"/>
        </w:rPr>
        <w:t>.</w:t>
      </w:r>
    </w:p>
    <w:p w14:paraId="689FCB66" w14:textId="1F21CC3C" w:rsidR="00CD1432" w:rsidRDefault="00CD1432" w:rsidP="00CD1432">
      <w:pPr>
        <w:rPr>
          <w:rFonts w:ascii="Arial" w:hAnsi="Arial" w:cs="Arial"/>
        </w:rPr>
      </w:pPr>
      <w:r w:rsidRPr="00CD1432">
        <w:rPr>
          <w:rFonts w:ascii="Arial" w:hAnsi="Arial" w:cs="Arial"/>
        </w:rPr>
        <w:t xml:space="preserve"> Yang, S. et al. (2022) ‘Improving self-organizing recursive fuzzy neural network’s performance with Boston matrix’, Journal of intelligent &amp; fuzzy systems, 43(3), pp. 3239–3249. Available at: </w:t>
      </w:r>
      <w:hyperlink r:id="rId10" w:history="1">
        <w:r w:rsidR="004917EB" w:rsidRPr="00260DD2">
          <w:rPr>
            <w:rStyle w:val="Hyperlink"/>
            <w:rFonts w:ascii="Arial" w:hAnsi="Arial" w:cs="Arial"/>
          </w:rPr>
          <w:t>https://doi.org/10.3233/JIFS-213461</w:t>
        </w:r>
      </w:hyperlink>
      <w:r w:rsidRPr="00CD1432">
        <w:rPr>
          <w:rFonts w:ascii="Arial" w:hAnsi="Arial" w:cs="Arial"/>
        </w:rPr>
        <w:t>.</w:t>
      </w:r>
    </w:p>
    <w:p w14:paraId="46BB6B70" w14:textId="387E7265" w:rsidR="004917EB" w:rsidRDefault="004917EB" w:rsidP="004917EB">
      <w:pPr>
        <w:rPr>
          <w:rFonts w:ascii="Arial" w:hAnsi="Arial" w:cs="Arial"/>
        </w:rPr>
      </w:pPr>
      <w:r w:rsidRPr="004917EB">
        <w:rPr>
          <w:rFonts w:ascii="Arial" w:hAnsi="Arial" w:cs="Arial"/>
        </w:rPr>
        <w:t xml:space="preserve">  Forbes global. (1992). London: Forbes Global Inc.</w:t>
      </w:r>
    </w:p>
    <w:p w14:paraId="0B3250ED" w14:textId="19E6826C" w:rsidR="00D579B5" w:rsidRDefault="00D579B5" w:rsidP="00D579B5">
      <w:pPr>
        <w:rPr>
          <w:rFonts w:ascii="Arial" w:hAnsi="Arial" w:cs="Arial"/>
        </w:rPr>
      </w:pPr>
      <w:r w:rsidRPr="00D579B5">
        <w:rPr>
          <w:rFonts w:ascii="Arial" w:hAnsi="Arial" w:cs="Arial"/>
        </w:rPr>
        <w:t xml:space="preserve">  Weise, S. (2022) Market Research: B2B. Carpenteria, CA: linkedin.com.</w:t>
      </w:r>
    </w:p>
    <w:p w14:paraId="166403C9" w14:textId="2441CBB7" w:rsidR="00841AC3" w:rsidRDefault="00841AC3" w:rsidP="00841AC3">
      <w:pPr>
        <w:rPr>
          <w:rFonts w:ascii="Arial" w:hAnsi="Arial" w:cs="Arial"/>
        </w:rPr>
      </w:pPr>
      <w:r w:rsidRPr="00841AC3">
        <w:rPr>
          <w:rFonts w:ascii="Arial" w:hAnsi="Arial" w:cs="Arial"/>
        </w:rPr>
        <w:t xml:space="preserve"> Dillard, D. (Dudley E.. (1950) The economics of John Maynard Keynes : the theory of a monetary economy. London: Lockwood.</w:t>
      </w:r>
    </w:p>
    <w:p w14:paraId="7CB7F520" w14:textId="310AF082" w:rsidR="00785517" w:rsidRDefault="00785517" w:rsidP="00785517">
      <w:pPr>
        <w:rPr>
          <w:rFonts w:ascii="Arial" w:hAnsi="Arial" w:cs="Arial"/>
        </w:rPr>
      </w:pPr>
      <w:r w:rsidRPr="00785517">
        <w:rPr>
          <w:rFonts w:ascii="Arial" w:hAnsi="Arial" w:cs="Arial"/>
        </w:rPr>
        <w:t xml:space="preserve">  Roos, J.E. (2019) Why Not Default? : The Political Economy of Sovereign Debt. Princeton, NJ: Princeton University Press,. Available at: </w:t>
      </w:r>
      <w:hyperlink r:id="rId11" w:history="1">
        <w:r w:rsidR="00185EB2" w:rsidRPr="00260DD2">
          <w:rPr>
            <w:rStyle w:val="Hyperlink"/>
            <w:rFonts w:ascii="Arial" w:hAnsi="Arial" w:cs="Arial"/>
          </w:rPr>
          <w:t>https://doi.org/10.1515/9780691184937</w:t>
        </w:r>
      </w:hyperlink>
      <w:r w:rsidRPr="00785517">
        <w:rPr>
          <w:rFonts w:ascii="Arial" w:hAnsi="Arial" w:cs="Arial"/>
        </w:rPr>
        <w:t>.</w:t>
      </w:r>
    </w:p>
    <w:p w14:paraId="59E5CF79" w14:textId="37B58F37" w:rsidR="00185EB2" w:rsidRDefault="00DA032D" w:rsidP="00DA032D">
      <w:pPr>
        <w:rPr>
          <w:rFonts w:ascii="Arial" w:hAnsi="Arial" w:cs="Arial"/>
        </w:rPr>
      </w:pPr>
      <w:r w:rsidRPr="00DA032D">
        <w:rPr>
          <w:rFonts w:ascii="Arial" w:hAnsi="Arial" w:cs="Arial"/>
        </w:rPr>
        <w:t xml:space="preserve">  Wood, J.P. (1963) ‘Leaders in Marketing: Neil H. Borden’, Journal of marketing, 27(1), p. 75–.</w:t>
      </w:r>
    </w:p>
    <w:p w14:paraId="14841DB4" w14:textId="578C94BA" w:rsidR="00975B6A" w:rsidRDefault="00975B6A" w:rsidP="00975B6A">
      <w:pPr>
        <w:rPr>
          <w:rFonts w:ascii="Arial" w:hAnsi="Arial" w:cs="Arial"/>
        </w:rPr>
      </w:pPr>
      <w:r w:rsidRPr="00975B6A">
        <w:rPr>
          <w:rFonts w:ascii="Arial" w:hAnsi="Arial" w:cs="Arial"/>
        </w:rPr>
        <w:t xml:space="preserve"> Ulutas, A. et al. (2022) Optimization and decision-making in the renewable energy industry. Edited by A. Ulutas et al. Hershey, Pennsylvania: Engineering Science Reference. Available at: </w:t>
      </w:r>
      <w:hyperlink r:id="rId12" w:history="1">
        <w:r w:rsidR="00F35F89" w:rsidRPr="00260DD2">
          <w:rPr>
            <w:rStyle w:val="Hyperlink"/>
            <w:rFonts w:ascii="Arial" w:hAnsi="Arial" w:cs="Arial"/>
          </w:rPr>
          <w:t>https://doi.org/10.4018/978-1-6684-2472-8</w:t>
        </w:r>
      </w:hyperlink>
      <w:r w:rsidRPr="00975B6A">
        <w:rPr>
          <w:rFonts w:ascii="Arial" w:hAnsi="Arial" w:cs="Arial"/>
        </w:rPr>
        <w:t>.</w:t>
      </w:r>
    </w:p>
    <w:p w14:paraId="5D9A54B7" w14:textId="4581E2B8" w:rsidR="00F35F89" w:rsidRPr="00EE4164" w:rsidRDefault="00F35F89" w:rsidP="00F35F89">
      <w:pPr>
        <w:rPr>
          <w:rFonts w:ascii="Arial" w:hAnsi="Arial" w:cs="Arial"/>
        </w:rPr>
      </w:pPr>
      <w:r w:rsidRPr="00F35F89">
        <w:rPr>
          <w:rFonts w:ascii="Arial" w:hAnsi="Arial" w:cs="Arial"/>
        </w:rPr>
        <w:t xml:space="preserve">  Johnson, G. et al. (2014) Exploring </w:t>
      </w:r>
      <w:r w:rsidR="00210563" w:rsidRPr="00F35F89">
        <w:rPr>
          <w:rFonts w:ascii="Arial" w:hAnsi="Arial" w:cs="Arial"/>
        </w:rPr>
        <w:t>strategy:</w:t>
      </w:r>
      <w:r w:rsidRPr="00F35F89">
        <w:rPr>
          <w:rFonts w:ascii="Arial" w:hAnsi="Arial" w:cs="Arial"/>
        </w:rPr>
        <w:t xml:space="preserve"> text &amp; cases. 10th edition. Harlow, England: Pearson.</w:t>
      </w:r>
    </w:p>
    <w:sectPr w:rsidR="00F35F89" w:rsidRPr="00EE41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68A48" w14:textId="77777777" w:rsidR="00886398" w:rsidRDefault="00886398" w:rsidP="00720B48">
      <w:pPr>
        <w:spacing w:after="0" w:line="240" w:lineRule="auto"/>
      </w:pPr>
      <w:r>
        <w:separator/>
      </w:r>
    </w:p>
  </w:endnote>
  <w:endnote w:type="continuationSeparator" w:id="0">
    <w:p w14:paraId="0DE7B678" w14:textId="77777777" w:rsidR="00886398" w:rsidRDefault="00886398" w:rsidP="00720B48">
      <w:pPr>
        <w:spacing w:after="0" w:line="240" w:lineRule="auto"/>
      </w:pPr>
      <w:r>
        <w:continuationSeparator/>
      </w:r>
    </w:p>
  </w:endnote>
  <w:endnote w:type="continuationNotice" w:id="1">
    <w:p w14:paraId="7F44B020" w14:textId="77777777" w:rsidR="00F35EE9" w:rsidRDefault="00F35E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body">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971B6" w14:textId="77777777" w:rsidR="00886398" w:rsidRDefault="00886398" w:rsidP="00720B48">
      <w:pPr>
        <w:spacing w:after="0" w:line="240" w:lineRule="auto"/>
      </w:pPr>
      <w:r>
        <w:separator/>
      </w:r>
    </w:p>
  </w:footnote>
  <w:footnote w:type="continuationSeparator" w:id="0">
    <w:p w14:paraId="09F27F73" w14:textId="77777777" w:rsidR="00886398" w:rsidRDefault="00886398" w:rsidP="00720B48">
      <w:pPr>
        <w:spacing w:after="0" w:line="240" w:lineRule="auto"/>
      </w:pPr>
      <w:r>
        <w:continuationSeparator/>
      </w:r>
    </w:p>
  </w:footnote>
  <w:footnote w:type="continuationNotice" w:id="1">
    <w:p w14:paraId="6960F7E0" w14:textId="77777777" w:rsidR="00F35EE9" w:rsidRDefault="00F35E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57AC1"/>
    <w:multiLevelType w:val="multilevel"/>
    <w:tmpl w:val="369A3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5683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164"/>
    <w:rsid w:val="000409C2"/>
    <w:rsid w:val="000755DE"/>
    <w:rsid w:val="0012461F"/>
    <w:rsid w:val="00133BD3"/>
    <w:rsid w:val="001529F6"/>
    <w:rsid w:val="00185EB2"/>
    <w:rsid w:val="001C44B9"/>
    <w:rsid w:val="001D38A6"/>
    <w:rsid w:val="001F61E7"/>
    <w:rsid w:val="00210563"/>
    <w:rsid w:val="00236249"/>
    <w:rsid w:val="002841A5"/>
    <w:rsid w:val="002D7B10"/>
    <w:rsid w:val="002F1C6F"/>
    <w:rsid w:val="002F37A2"/>
    <w:rsid w:val="002F4455"/>
    <w:rsid w:val="00322290"/>
    <w:rsid w:val="00334C46"/>
    <w:rsid w:val="0035710A"/>
    <w:rsid w:val="0038540A"/>
    <w:rsid w:val="003B1A78"/>
    <w:rsid w:val="003B2E33"/>
    <w:rsid w:val="003F310B"/>
    <w:rsid w:val="00400717"/>
    <w:rsid w:val="00401AC1"/>
    <w:rsid w:val="00424043"/>
    <w:rsid w:val="00440434"/>
    <w:rsid w:val="00440A91"/>
    <w:rsid w:val="004917EB"/>
    <w:rsid w:val="004D1F59"/>
    <w:rsid w:val="004D5A31"/>
    <w:rsid w:val="00507945"/>
    <w:rsid w:val="00547455"/>
    <w:rsid w:val="0056637E"/>
    <w:rsid w:val="00575080"/>
    <w:rsid w:val="00582894"/>
    <w:rsid w:val="005C4590"/>
    <w:rsid w:val="005C5ABA"/>
    <w:rsid w:val="00602B71"/>
    <w:rsid w:val="00622719"/>
    <w:rsid w:val="00623E87"/>
    <w:rsid w:val="00647189"/>
    <w:rsid w:val="00663B94"/>
    <w:rsid w:val="00667DE3"/>
    <w:rsid w:val="00670BAB"/>
    <w:rsid w:val="006B1E00"/>
    <w:rsid w:val="006C4A81"/>
    <w:rsid w:val="006C7D48"/>
    <w:rsid w:val="006E02E8"/>
    <w:rsid w:val="006E5821"/>
    <w:rsid w:val="0071647B"/>
    <w:rsid w:val="00720B48"/>
    <w:rsid w:val="00722753"/>
    <w:rsid w:val="007379BB"/>
    <w:rsid w:val="00774ABB"/>
    <w:rsid w:val="00785517"/>
    <w:rsid w:val="007876CF"/>
    <w:rsid w:val="007967EB"/>
    <w:rsid w:val="007D5E01"/>
    <w:rsid w:val="007D7134"/>
    <w:rsid w:val="007F7758"/>
    <w:rsid w:val="008064DB"/>
    <w:rsid w:val="008166C0"/>
    <w:rsid w:val="00841AC3"/>
    <w:rsid w:val="0086648F"/>
    <w:rsid w:val="00886398"/>
    <w:rsid w:val="00890970"/>
    <w:rsid w:val="008A7C6D"/>
    <w:rsid w:val="008D6045"/>
    <w:rsid w:val="00975B6A"/>
    <w:rsid w:val="009810F7"/>
    <w:rsid w:val="00991267"/>
    <w:rsid w:val="00993335"/>
    <w:rsid w:val="009A3FCA"/>
    <w:rsid w:val="009A3FD8"/>
    <w:rsid w:val="009A627B"/>
    <w:rsid w:val="00A12DCF"/>
    <w:rsid w:val="00A64849"/>
    <w:rsid w:val="00A8617C"/>
    <w:rsid w:val="00AA3BCB"/>
    <w:rsid w:val="00AB4B42"/>
    <w:rsid w:val="00AD342E"/>
    <w:rsid w:val="00B26303"/>
    <w:rsid w:val="00B33200"/>
    <w:rsid w:val="00B45124"/>
    <w:rsid w:val="00B46138"/>
    <w:rsid w:val="00B6051A"/>
    <w:rsid w:val="00B67EE9"/>
    <w:rsid w:val="00B725D7"/>
    <w:rsid w:val="00B81C07"/>
    <w:rsid w:val="00B9401B"/>
    <w:rsid w:val="00BB415A"/>
    <w:rsid w:val="00BB6928"/>
    <w:rsid w:val="00C54DD3"/>
    <w:rsid w:val="00C65FBD"/>
    <w:rsid w:val="00CA22F9"/>
    <w:rsid w:val="00CD1432"/>
    <w:rsid w:val="00CF0B17"/>
    <w:rsid w:val="00D14CB0"/>
    <w:rsid w:val="00D22AC3"/>
    <w:rsid w:val="00D36A35"/>
    <w:rsid w:val="00D51DCE"/>
    <w:rsid w:val="00D579B5"/>
    <w:rsid w:val="00DA032D"/>
    <w:rsid w:val="00DA246B"/>
    <w:rsid w:val="00E04F31"/>
    <w:rsid w:val="00E14A1D"/>
    <w:rsid w:val="00E15839"/>
    <w:rsid w:val="00E17E8F"/>
    <w:rsid w:val="00E975CD"/>
    <w:rsid w:val="00EC3C87"/>
    <w:rsid w:val="00EE4164"/>
    <w:rsid w:val="00EF62FA"/>
    <w:rsid w:val="00EF7C6D"/>
    <w:rsid w:val="00F219EF"/>
    <w:rsid w:val="00F254E3"/>
    <w:rsid w:val="00F35EE9"/>
    <w:rsid w:val="00F35F89"/>
    <w:rsid w:val="00F60ACE"/>
    <w:rsid w:val="00F659A8"/>
    <w:rsid w:val="00F75536"/>
    <w:rsid w:val="00F827F1"/>
    <w:rsid w:val="00F9082D"/>
    <w:rsid w:val="00FC5886"/>
    <w:rsid w:val="00FF5B9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94E8"/>
  <w15:chartTrackingRefBased/>
  <w15:docId w15:val="{0F5CDEE3-0868-AE48-A87A-1FEC70D2C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37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B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B48"/>
    <w:rPr>
      <w:lang w:val="en-GB"/>
    </w:rPr>
  </w:style>
  <w:style w:type="paragraph" w:styleId="Footer">
    <w:name w:val="footer"/>
    <w:basedOn w:val="Normal"/>
    <w:link w:val="FooterChar"/>
    <w:uiPriority w:val="99"/>
    <w:unhideWhenUsed/>
    <w:rsid w:val="00720B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B48"/>
    <w:rPr>
      <w:lang w:val="en-GB"/>
    </w:rPr>
  </w:style>
  <w:style w:type="paragraph" w:styleId="NormalWeb">
    <w:name w:val="Normal (Web)"/>
    <w:basedOn w:val="Normal"/>
    <w:uiPriority w:val="99"/>
    <w:semiHidden/>
    <w:unhideWhenUsed/>
    <w:rsid w:val="00722753"/>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Hyperlink">
    <w:name w:val="Hyperlink"/>
    <w:basedOn w:val="DefaultParagraphFont"/>
    <w:uiPriority w:val="99"/>
    <w:unhideWhenUsed/>
    <w:rsid w:val="002D7B10"/>
    <w:rPr>
      <w:color w:val="0563C1" w:themeColor="hyperlink"/>
      <w:u w:val="single"/>
    </w:rPr>
  </w:style>
  <w:style w:type="character" w:styleId="UnresolvedMention">
    <w:name w:val="Unresolved Mention"/>
    <w:basedOn w:val="DefaultParagraphFont"/>
    <w:uiPriority w:val="99"/>
    <w:semiHidden/>
    <w:unhideWhenUsed/>
    <w:rsid w:val="002D7B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330392">
      <w:bodyDiv w:val="1"/>
      <w:marLeft w:val="0"/>
      <w:marRight w:val="0"/>
      <w:marTop w:val="0"/>
      <w:marBottom w:val="0"/>
      <w:divBdr>
        <w:top w:val="none" w:sz="0" w:space="0" w:color="auto"/>
        <w:left w:val="none" w:sz="0" w:space="0" w:color="auto"/>
        <w:bottom w:val="none" w:sz="0" w:space="0" w:color="auto"/>
        <w:right w:val="none" w:sz="0" w:space="0" w:color="auto"/>
      </w:divBdr>
    </w:div>
    <w:div w:id="149745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38/978144268026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4018/978-1-6684-247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15/9780691184937" TargetMode="External"/><Relationship Id="rId5" Type="http://schemas.openxmlformats.org/officeDocument/2006/relationships/webSettings" Target="webSettings.xml"/><Relationship Id="rId10" Type="http://schemas.openxmlformats.org/officeDocument/2006/relationships/hyperlink" Target="https://doi.org/10.3233/JIFS-213461" TargetMode="External"/><Relationship Id="rId4" Type="http://schemas.openxmlformats.org/officeDocument/2006/relationships/settings" Target="settings.xml"/><Relationship Id="rId9" Type="http://schemas.openxmlformats.org/officeDocument/2006/relationships/hyperlink" Target="https://doi.org/10.4018/978-1-4666-2833-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176CD-A0B6-4B2E-8F8D-CE44ECD7D4A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4084</Words>
  <Characters>23280</Characters>
  <Application>Microsoft Office Word</Application>
  <DocSecurity>0</DocSecurity>
  <Lines>194</Lines>
  <Paragraphs>54</Paragraphs>
  <ScaleCrop>false</ScaleCrop>
  <Company/>
  <LinksUpToDate>false</LinksUpToDate>
  <CharactersWithSpaces>27310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 (2028228)</dc:creator>
  <cp:keywords/>
  <dc:description/>
  <cp:lastModifiedBy>Tanya Georgieva (2028228)</cp:lastModifiedBy>
  <cp:revision>2</cp:revision>
  <dcterms:created xsi:type="dcterms:W3CDTF">2023-07-27T21:06:00Z</dcterms:created>
  <dcterms:modified xsi:type="dcterms:W3CDTF">2023-07-27T21:06:00Z</dcterms:modified>
</cp:coreProperties>
</file>