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56743" w14:textId="6906D88B" w:rsidR="00230F35" w:rsidRDefault="00610841" w:rsidP="00230F35">
      <w:pPr>
        <w:pStyle w:val="NormalWeb"/>
        <w:spacing w:before="0" w:beforeAutospacing="0" w:after="0" w:afterAutospacing="0"/>
        <w:ind w:left="-180" w:right="-334"/>
      </w:pPr>
      <w:r>
        <w:rPr>
          <w:noProof/>
        </w:rPr>
        <w:drawing>
          <wp:inline distT="0" distB="0" distL="0" distR="0" wp14:anchorId="282E690F" wp14:editId="14179DA1">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1C76462" w14:textId="77777777" w:rsidR="00230F35" w:rsidRDefault="00230F35" w:rsidP="00230F35">
      <w:pPr>
        <w:pStyle w:val="NormalWeb"/>
        <w:spacing w:before="0" w:beforeAutospacing="0" w:after="0" w:afterAutospacing="0"/>
        <w:ind w:left="-180" w:right="-334"/>
      </w:pPr>
    </w:p>
    <w:p w14:paraId="3962E4EF" w14:textId="77777777" w:rsidR="00A745B6" w:rsidRDefault="00A745B6" w:rsidP="00230F35">
      <w:pPr>
        <w:pStyle w:val="NormalWeb"/>
        <w:spacing w:before="0" w:beforeAutospacing="0" w:after="0" w:afterAutospacing="0"/>
        <w:ind w:left="-180" w:right="-334"/>
      </w:pPr>
    </w:p>
    <w:p w14:paraId="21F57CCB"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61C134A9"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C0E2B15" w14:textId="77777777" w:rsidR="002E67CE" w:rsidRPr="00230F35" w:rsidRDefault="002E67CE" w:rsidP="002E67CE">
      <w:pPr>
        <w:rPr>
          <w:rFonts w:ascii="Arial" w:hAnsi="Arial" w:cs="Arial"/>
          <w:sz w:val="28"/>
          <w:szCs w:val="28"/>
          <w:lang w:val="cy-GB"/>
        </w:rPr>
      </w:pPr>
    </w:p>
    <w:p w14:paraId="5697AFDA"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4421544"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3501C2FD" w14:textId="77777777" w:rsidTr="00A745B6">
        <w:trPr>
          <w:trHeight w:val="614"/>
        </w:trPr>
        <w:tc>
          <w:tcPr>
            <w:tcW w:w="8856" w:type="dxa"/>
            <w:gridSpan w:val="5"/>
          </w:tcPr>
          <w:p w14:paraId="463687BA"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08925CC" w14:textId="77777777" w:rsidTr="00A745B6">
        <w:trPr>
          <w:trHeight w:val="718"/>
        </w:trPr>
        <w:tc>
          <w:tcPr>
            <w:tcW w:w="8856" w:type="dxa"/>
            <w:gridSpan w:val="5"/>
          </w:tcPr>
          <w:p w14:paraId="1FA22447" w14:textId="76A6A10B"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355D9">
              <w:rPr>
                <w:rFonts w:ascii="Arial" w:hAnsi="Arial" w:cs="Arial"/>
                <w:sz w:val="22"/>
                <w:szCs w:val="22"/>
              </w:rPr>
              <w:t xml:space="preserve">  Kevin House</w:t>
            </w:r>
          </w:p>
          <w:p w14:paraId="2A566C65"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00286A20" w14:textId="77777777" w:rsidTr="00A745B6">
        <w:trPr>
          <w:trHeight w:val="849"/>
        </w:trPr>
        <w:tc>
          <w:tcPr>
            <w:tcW w:w="4788" w:type="dxa"/>
          </w:tcPr>
          <w:p w14:paraId="387BEB69" w14:textId="0101442F"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355D9">
              <w:rPr>
                <w:rFonts w:ascii="Arial" w:hAnsi="Arial" w:cs="Arial"/>
                <w:sz w:val="22"/>
                <w:szCs w:val="22"/>
              </w:rPr>
              <w:t xml:space="preserve">  HPCA 7027</w:t>
            </w:r>
          </w:p>
          <w:p w14:paraId="0502EEF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C974390" w14:textId="69DD17F3"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355D9">
              <w:rPr>
                <w:rFonts w:ascii="Arial" w:hAnsi="Arial" w:cs="Arial"/>
                <w:sz w:val="22"/>
                <w:szCs w:val="22"/>
              </w:rPr>
              <w:t xml:space="preserve"> Cosmology, Magic, and Divination</w:t>
            </w:r>
          </w:p>
          <w:p w14:paraId="3207DB7B" w14:textId="77777777" w:rsidR="00A745B6" w:rsidRDefault="00A745B6" w:rsidP="002F467C">
            <w:pPr>
              <w:pStyle w:val="NormalWeb"/>
              <w:spacing w:before="0" w:beforeAutospacing="0" w:after="0" w:afterAutospacing="0"/>
              <w:ind w:right="34"/>
              <w:rPr>
                <w:rFonts w:ascii="Arial" w:hAnsi="Arial" w:cs="Arial"/>
                <w:sz w:val="22"/>
                <w:szCs w:val="22"/>
              </w:rPr>
            </w:pPr>
          </w:p>
          <w:p w14:paraId="727BD44C"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38C66EA" w14:textId="394F8514"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A355D9">
              <w:rPr>
                <w:rFonts w:ascii="Arial" w:hAnsi="Arial" w:cs="Arial"/>
                <w:sz w:val="22"/>
                <w:szCs w:val="22"/>
              </w:rPr>
              <w:t xml:space="preserve">  2006521</w:t>
            </w:r>
          </w:p>
        </w:tc>
        <w:tc>
          <w:tcPr>
            <w:tcW w:w="1802" w:type="dxa"/>
          </w:tcPr>
          <w:p w14:paraId="0C54E9DD"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09C885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A355D9">
              <w:rPr>
                <w:rFonts w:ascii="Arial" w:hAnsi="Arial" w:cs="Arial"/>
                <w:b/>
                <w:bCs/>
                <w:sz w:val="22"/>
                <w:szCs w:val="22"/>
                <w:u w:val="single"/>
              </w:rPr>
              <w:t>No</w:t>
            </w:r>
          </w:p>
        </w:tc>
      </w:tr>
      <w:tr w:rsidR="00CE3B79" w:rsidRPr="00230F35" w14:paraId="53C3E098" w14:textId="77777777" w:rsidTr="00A745B6">
        <w:trPr>
          <w:trHeight w:val="1139"/>
        </w:trPr>
        <w:tc>
          <w:tcPr>
            <w:tcW w:w="8856" w:type="dxa"/>
            <w:gridSpan w:val="5"/>
          </w:tcPr>
          <w:p w14:paraId="297BF749" w14:textId="0766E87B"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A355D9">
              <w:rPr>
                <w:rFonts w:ascii="Arial" w:hAnsi="Arial" w:cs="Arial"/>
                <w:sz w:val="22"/>
                <w:szCs w:val="22"/>
              </w:rPr>
              <w:t xml:space="preserve">  </w:t>
            </w:r>
            <w:proofErr w:type="spellStart"/>
            <w:r w:rsidR="00A355D9">
              <w:rPr>
                <w:rFonts w:ascii="Arial" w:hAnsi="Arial" w:cs="Arial"/>
                <w:sz w:val="22"/>
                <w:szCs w:val="22"/>
              </w:rPr>
              <w:t>Dr.</w:t>
            </w:r>
            <w:proofErr w:type="spellEnd"/>
            <w:r w:rsidR="00A355D9">
              <w:rPr>
                <w:rFonts w:ascii="Arial" w:hAnsi="Arial" w:cs="Arial"/>
                <w:sz w:val="22"/>
                <w:szCs w:val="22"/>
              </w:rPr>
              <w:t xml:space="preserve"> Dorian Greenbaum, </w:t>
            </w:r>
            <w:proofErr w:type="spellStart"/>
            <w:r w:rsidR="00A355D9">
              <w:rPr>
                <w:rFonts w:ascii="Arial" w:hAnsi="Arial" w:cs="Arial"/>
                <w:sz w:val="22"/>
                <w:szCs w:val="22"/>
              </w:rPr>
              <w:t>Dr.</w:t>
            </w:r>
            <w:proofErr w:type="spellEnd"/>
            <w:r w:rsidR="00A355D9">
              <w:rPr>
                <w:rFonts w:ascii="Arial" w:hAnsi="Arial" w:cs="Arial"/>
                <w:sz w:val="22"/>
                <w:szCs w:val="22"/>
              </w:rPr>
              <w:t xml:space="preserve"> Crystal </w:t>
            </w:r>
            <w:proofErr w:type="spellStart"/>
            <w:r w:rsidR="00A355D9">
              <w:rPr>
                <w:rFonts w:ascii="Arial" w:hAnsi="Arial" w:cs="Arial"/>
                <w:sz w:val="22"/>
                <w:szCs w:val="22"/>
              </w:rPr>
              <w:t>Addey</w:t>
            </w:r>
            <w:proofErr w:type="spellEnd"/>
            <w:r w:rsidR="00A355D9">
              <w:rPr>
                <w:rFonts w:ascii="Arial" w:hAnsi="Arial" w:cs="Arial"/>
                <w:sz w:val="22"/>
                <w:szCs w:val="22"/>
              </w:rPr>
              <w:t xml:space="preserve">, </w:t>
            </w:r>
            <w:proofErr w:type="spellStart"/>
            <w:r w:rsidR="00A355D9">
              <w:rPr>
                <w:rFonts w:ascii="Arial" w:hAnsi="Arial" w:cs="Arial"/>
                <w:sz w:val="22"/>
                <w:szCs w:val="22"/>
              </w:rPr>
              <w:t>Dr.</w:t>
            </w:r>
            <w:proofErr w:type="spellEnd"/>
            <w:r w:rsidR="00A355D9">
              <w:rPr>
                <w:rFonts w:ascii="Arial" w:hAnsi="Arial" w:cs="Arial"/>
                <w:sz w:val="22"/>
                <w:szCs w:val="22"/>
              </w:rPr>
              <w:t xml:space="preserve"> Dawn Collins</w:t>
            </w:r>
          </w:p>
          <w:p w14:paraId="13CA851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B5F7AFF" w14:textId="77777777" w:rsidR="00230F35" w:rsidRDefault="00230F35" w:rsidP="002F467C">
            <w:pPr>
              <w:pStyle w:val="NormalWeb"/>
              <w:spacing w:before="0" w:beforeAutospacing="0" w:after="0" w:afterAutospacing="0"/>
              <w:ind w:right="34"/>
              <w:rPr>
                <w:rFonts w:ascii="Arial" w:hAnsi="Arial" w:cs="Arial"/>
                <w:sz w:val="22"/>
                <w:szCs w:val="22"/>
              </w:rPr>
            </w:pPr>
          </w:p>
          <w:p w14:paraId="78FE6DB6" w14:textId="08B275B3"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355D9">
              <w:rPr>
                <w:rFonts w:ascii="Arial" w:hAnsi="Arial" w:cs="Arial"/>
                <w:sz w:val="22"/>
                <w:szCs w:val="22"/>
              </w:rPr>
              <w:t xml:space="preserve">  2 May 2022</w:t>
            </w:r>
          </w:p>
        </w:tc>
      </w:tr>
      <w:tr w:rsidR="00230F35" w:rsidRPr="00230F35" w14:paraId="0605EBEB" w14:textId="77777777" w:rsidTr="00A745B6">
        <w:trPr>
          <w:trHeight w:val="978"/>
        </w:trPr>
        <w:tc>
          <w:tcPr>
            <w:tcW w:w="8856" w:type="dxa"/>
            <w:gridSpan w:val="5"/>
            <w:tcBorders>
              <w:bottom w:val="single" w:sz="4" w:space="0" w:color="000000"/>
            </w:tcBorders>
          </w:tcPr>
          <w:p w14:paraId="1C8BFC44"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41597666" w14:textId="77777777" w:rsidR="00F75EB5" w:rsidRDefault="00F75EB5" w:rsidP="00F75EB5">
            <w:pPr>
              <w:rPr>
                <w:rFonts w:ascii="Arial" w:hAnsi="Arial" w:cs="Arial"/>
                <w:sz w:val="22"/>
                <w:szCs w:val="22"/>
              </w:rPr>
            </w:pPr>
          </w:p>
          <w:p w14:paraId="201FFBA7" w14:textId="78AEB1E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A355D9">
              <w:rPr>
                <w:rFonts w:ascii="Arial" w:hAnsi="Arial" w:cs="Arial"/>
                <w:sz w:val="22"/>
                <w:szCs w:val="22"/>
              </w:rPr>
              <w:fldChar w:fldCharType="begin">
                <w:ffData>
                  <w:name w:val="Check14"/>
                  <w:enabled/>
                  <w:calcOnExit w:val="0"/>
                  <w:checkBox>
                    <w:sizeAuto/>
                    <w:default w:val="1"/>
                  </w:checkBox>
                </w:ffData>
              </w:fldChar>
            </w:r>
            <w:bookmarkStart w:id="1" w:name="Check14"/>
            <w:r w:rsidR="00A355D9">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00A355D9">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A598F">
              <w:rPr>
                <w:rFonts w:ascii="Arial" w:hAnsi="Arial" w:cs="Arial"/>
                <w:sz w:val="22"/>
                <w:szCs w:val="22"/>
              </w:rPr>
            </w:r>
            <w:r w:rsidR="005A598F">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1AF9A3CD" w14:textId="77777777" w:rsidTr="00A745B6">
        <w:trPr>
          <w:trHeight w:val="978"/>
        </w:trPr>
        <w:tc>
          <w:tcPr>
            <w:tcW w:w="8856" w:type="dxa"/>
            <w:gridSpan w:val="5"/>
            <w:shd w:val="clear" w:color="auto" w:fill="D9D9D9"/>
          </w:tcPr>
          <w:p w14:paraId="2C385D54"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96139E2" w14:textId="670C926A"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355D9" w:rsidRPr="00A355D9">
              <w:rPr>
                <w:rFonts w:ascii="Baguet Script" w:hAnsi="Baguet Script" w:cs="Arial"/>
                <w:sz w:val="28"/>
                <w:szCs w:val="28"/>
              </w:rPr>
              <w:t>Kevin House</w:t>
            </w:r>
            <w:r w:rsidR="00AE3217" w:rsidRPr="00230F35">
              <w:rPr>
                <w:rFonts w:ascii="Arial" w:hAnsi="Arial" w:cs="Arial"/>
                <w:sz w:val="22"/>
                <w:szCs w:val="22"/>
              </w:rPr>
              <w:t>…</w:t>
            </w:r>
          </w:p>
          <w:p w14:paraId="71F648D3" w14:textId="60EBD803"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A355D9">
              <w:rPr>
                <w:rFonts w:ascii="Calibri" w:hAnsi="Calibri" w:cs="Calibri"/>
                <w:b/>
                <w:sz w:val="44"/>
                <w:szCs w:val="44"/>
              </w:rPr>
              <w:t>X</w:t>
            </w:r>
          </w:p>
          <w:p w14:paraId="1054A99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133376C1" w14:textId="77777777" w:rsidTr="00A745B6">
        <w:trPr>
          <w:trHeight w:val="3972"/>
        </w:trPr>
        <w:tc>
          <w:tcPr>
            <w:tcW w:w="8856" w:type="dxa"/>
            <w:gridSpan w:val="5"/>
          </w:tcPr>
          <w:p w14:paraId="760DA292" w14:textId="77777777" w:rsidR="00A745B6" w:rsidRDefault="00A745B6" w:rsidP="00A745B6">
            <w:pPr>
              <w:rPr>
                <w:rFonts w:ascii="Arial" w:hAnsi="Arial"/>
                <w:b/>
              </w:rPr>
            </w:pPr>
          </w:p>
          <w:p w14:paraId="0422B69A"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391D45B7" w14:textId="77777777" w:rsidTr="00022345">
              <w:tc>
                <w:tcPr>
                  <w:tcW w:w="6970" w:type="dxa"/>
                </w:tcPr>
                <w:p w14:paraId="42C3D34A" w14:textId="77777777" w:rsidR="00A745B6" w:rsidRPr="00116CE6" w:rsidRDefault="00A745B6" w:rsidP="009C1A08">
                  <w:pPr>
                    <w:rPr>
                      <w:rFonts w:ascii="Arial" w:hAnsi="Arial"/>
                      <w:sz w:val="20"/>
                      <w:szCs w:val="20"/>
                    </w:rPr>
                  </w:pPr>
                </w:p>
                <w:p w14:paraId="6D8D913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B085121" w14:textId="77777777" w:rsidR="00A745B6" w:rsidRPr="00116CE6" w:rsidRDefault="00A745B6" w:rsidP="009C1A08">
                  <w:pPr>
                    <w:rPr>
                      <w:rFonts w:ascii="Arial" w:hAnsi="Arial"/>
                      <w:sz w:val="20"/>
                      <w:szCs w:val="20"/>
                    </w:rPr>
                  </w:pPr>
                </w:p>
              </w:tc>
            </w:tr>
            <w:tr w:rsidR="00A745B6" w:rsidRPr="00116CE6" w14:paraId="5EEA0372" w14:textId="77777777" w:rsidTr="00022345">
              <w:tc>
                <w:tcPr>
                  <w:tcW w:w="6970" w:type="dxa"/>
                </w:tcPr>
                <w:p w14:paraId="33085885" w14:textId="77777777" w:rsidR="00A745B6" w:rsidRPr="00116CE6" w:rsidRDefault="00A745B6" w:rsidP="009C1A08">
                  <w:pPr>
                    <w:rPr>
                      <w:rFonts w:ascii="Arial" w:hAnsi="Arial"/>
                      <w:sz w:val="20"/>
                      <w:szCs w:val="20"/>
                    </w:rPr>
                  </w:pPr>
                </w:p>
                <w:p w14:paraId="6238B464"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346D4482" w14:textId="77777777" w:rsidR="00A745B6" w:rsidRPr="00116CE6" w:rsidRDefault="00A745B6" w:rsidP="009C1A08">
                  <w:pPr>
                    <w:rPr>
                      <w:rFonts w:ascii="Arial" w:hAnsi="Arial"/>
                      <w:sz w:val="20"/>
                      <w:szCs w:val="20"/>
                    </w:rPr>
                  </w:pPr>
                </w:p>
              </w:tc>
            </w:tr>
            <w:tr w:rsidR="00963B31" w:rsidRPr="00116CE6" w14:paraId="188C73FB" w14:textId="77777777" w:rsidTr="00022345">
              <w:tc>
                <w:tcPr>
                  <w:tcW w:w="6970" w:type="dxa"/>
                </w:tcPr>
                <w:p w14:paraId="52930C8C" w14:textId="77777777"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14:paraId="6E55326B" w14:textId="77777777" w:rsidR="00963B31" w:rsidRPr="00E14D2E" w:rsidRDefault="00963B31" w:rsidP="009C1A08">
                  <w:pPr>
                    <w:rPr>
                      <w:rFonts w:ascii="Arial" w:hAnsi="Arial"/>
                      <w:sz w:val="20"/>
                      <w:szCs w:val="20"/>
                      <w:highlight w:val="yellow"/>
                    </w:rPr>
                  </w:pPr>
                </w:p>
              </w:tc>
              <w:tc>
                <w:tcPr>
                  <w:tcW w:w="1660" w:type="dxa"/>
                </w:tcPr>
                <w:p w14:paraId="557C31B9" w14:textId="77777777" w:rsidR="00963B31" w:rsidRPr="00E14D2E" w:rsidRDefault="00963B31" w:rsidP="009C1A08">
                  <w:pPr>
                    <w:rPr>
                      <w:rFonts w:ascii="Arial" w:hAnsi="Arial"/>
                      <w:sz w:val="20"/>
                      <w:szCs w:val="20"/>
                      <w:highlight w:val="yellow"/>
                    </w:rPr>
                  </w:pPr>
                </w:p>
              </w:tc>
            </w:tr>
            <w:tr w:rsidR="00A745B6" w:rsidRPr="00116CE6" w14:paraId="303354A6" w14:textId="77777777" w:rsidTr="00022345">
              <w:tc>
                <w:tcPr>
                  <w:tcW w:w="6970" w:type="dxa"/>
                </w:tcPr>
                <w:p w14:paraId="5F4A1BA1" w14:textId="77777777" w:rsidR="00A745B6" w:rsidRPr="00116CE6" w:rsidRDefault="00A745B6" w:rsidP="009C1A08">
                  <w:pPr>
                    <w:rPr>
                      <w:rFonts w:ascii="Arial" w:hAnsi="Arial"/>
                      <w:sz w:val="20"/>
                      <w:szCs w:val="20"/>
                    </w:rPr>
                  </w:pPr>
                </w:p>
                <w:p w14:paraId="3912D936"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323D1C6" w14:textId="77777777" w:rsidR="00A745B6" w:rsidRPr="00116CE6" w:rsidRDefault="00A745B6" w:rsidP="009C1A08">
                  <w:pPr>
                    <w:rPr>
                      <w:rFonts w:ascii="Arial" w:hAnsi="Arial"/>
                      <w:sz w:val="20"/>
                      <w:szCs w:val="20"/>
                    </w:rPr>
                  </w:pPr>
                </w:p>
              </w:tc>
            </w:tr>
            <w:tr w:rsidR="00A745B6" w:rsidRPr="00116CE6" w14:paraId="1B9C90BD" w14:textId="77777777" w:rsidTr="00022345">
              <w:tc>
                <w:tcPr>
                  <w:tcW w:w="6970" w:type="dxa"/>
                </w:tcPr>
                <w:p w14:paraId="3C43353A" w14:textId="77777777" w:rsidR="00A745B6" w:rsidRDefault="00A745B6" w:rsidP="009C1A08">
                  <w:pPr>
                    <w:rPr>
                      <w:rFonts w:ascii="Arial" w:hAnsi="Arial"/>
                      <w:sz w:val="20"/>
                      <w:szCs w:val="20"/>
                    </w:rPr>
                  </w:pPr>
                </w:p>
                <w:p w14:paraId="795DD280"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F616FF0" w14:textId="77777777" w:rsidR="00A745B6" w:rsidRPr="00116CE6" w:rsidRDefault="00A745B6" w:rsidP="009C1A08">
                  <w:pPr>
                    <w:rPr>
                      <w:rFonts w:ascii="Arial" w:hAnsi="Arial"/>
                      <w:sz w:val="20"/>
                      <w:szCs w:val="20"/>
                    </w:rPr>
                  </w:pPr>
                </w:p>
              </w:tc>
              <w:tc>
                <w:tcPr>
                  <w:tcW w:w="1660" w:type="dxa"/>
                </w:tcPr>
                <w:p w14:paraId="78101257" w14:textId="77777777" w:rsidR="00A745B6" w:rsidRPr="00116CE6" w:rsidRDefault="00A745B6" w:rsidP="009C1A08">
                  <w:pPr>
                    <w:rPr>
                      <w:rFonts w:ascii="Arial" w:hAnsi="Arial"/>
                      <w:sz w:val="20"/>
                      <w:szCs w:val="20"/>
                    </w:rPr>
                  </w:pPr>
                </w:p>
              </w:tc>
            </w:tr>
          </w:tbl>
          <w:p w14:paraId="6069635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61437A0"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0A6D21D" w14:textId="77777777" w:rsidR="00B462B1" w:rsidRDefault="00B462B1" w:rsidP="002F467C">
            <w:pPr>
              <w:pStyle w:val="NormalWeb"/>
              <w:spacing w:before="0" w:beforeAutospacing="0" w:after="0" w:afterAutospacing="0"/>
              <w:rPr>
                <w:rFonts w:ascii="Arial" w:hAnsi="Arial" w:cs="Arial"/>
                <w:b/>
                <w:sz w:val="22"/>
                <w:szCs w:val="22"/>
              </w:rPr>
            </w:pPr>
          </w:p>
          <w:p w14:paraId="6AD765F8" w14:textId="77777777" w:rsidR="00F75EB5" w:rsidRDefault="00F75EB5" w:rsidP="002F467C">
            <w:pPr>
              <w:pStyle w:val="NormalWeb"/>
              <w:spacing w:before="0" w:beforeAutospacing="0" w:after="0" w:afterAutospacing="0"/>
              <w:rPr>
                <w:rFonts w:ascii="Arial" w:hAnsi="Arial" w:cs="Arial"/>
                <w:b/>
                <w:sz w:val="22"/>
                <w:szCs w:val="22"/>
              </w:rPr>
            </w:pPr>
          </w:p>
          <w:p w14:paraId="646FC737" w14:textId="77777777" w:rsidR="00F75EB5" w:rsidRDefault="00F75EB5" w:rsidP="002F467C">
            <w:pPr>
              <w:pStyle w:val="NormalWeb"/>
              <w:spacing w:before="0" w:beforeAutospacing="0" w:after="0" w:afterAutospacing="0"/>
              <w:rPr>
                <w:rFonts w:ascii="Arial" w:hAnsi="Arial" w:cs="Arial"/>
                <w:b/>
                <w:sz w:val="22"/>
                <w:szCs w:val="22"/>
              </w:rPr>
            </w:pPr>
          </w:p>
          <w:p w14:paraId="2F3A6704" w14:textId="77777777" w:rsidR="00B462B1" w:rsidRDefault="00B462B1" w:rsidP="002F467C">
            <w:pPr>
              <w:pStyle w:val="NormalWeb"/>
              <w:spacing w:before="0" w:beforeAutospacing="0" w:after="0" w:afterAutospacing="0"/>
              <w:rPr>
                <w:rFonts w:ascii="Arial" w:hAnsi="Arial" w:cs="Arial"/>
                <w:b/>
                <w:sz w:val="22"/>
                <w:szCs w:val="22"/>
              </w:rPr>
            </w:pPr>
          </w:p>
          <w:p w14:paraId="6E8EDCB7"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79B657A1"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4CC521" w14:textId="77777777" w:rsidR="00B56E7B" w:rsidRPr="00001C3B" w:rsidRDefault="00B56E7B" w:rsidP="00043549">
            <w:pPr>
              <w:pStyle w:val="NormalWeb"/>
              <w:rPr>
                <w:rFonts w:ascii="Arial" w:hAnsi="Arial" w:cs="Arial"/>
                <w:sz w:val="22"/>
                <w:szCs w:val="22"/>
              </w:rPr>
            </w:pPr>
          </w:p>
        </w:tc>
      </w:tr>
      <w:tr w:rsidR="00EC7546" w:rsidRPr="00230F35" w14:paraId="3E9411E6" w14:textId="77777777" w:rsidTr="00A745B6">
        <w:trPr>
          <w:trHeight w:val="492"/>
        </w:trPr>
        <w:tc>
          <w:tcPr>
            <w:tcW w:w="6768" w:type="dxa"/>
            <w:gridSpan w:val="3"/>
          </w:tcPr>
          <w:p w14:paraId="385F95F1"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608117F"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6DC21C4" w14:textId="77777777" w:rsidTr="002F467C">
        <w:tc>
          <w:tcPr>
            <w:tcW w:w="8856" w:type="dxa"/>
            <w:gridSpan w:val="5"/>
          </w:tcPr>
          <w:p w14:paraId="517F7973"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26302E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B730E64"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17FBEE3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6ED9BC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47EE4A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17E5E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2A30EDB" w14:textId="77777777" w:rsidTr="008D674F">
        <w:trPr>
          <w:trHeight w:val="720"/>
        </w:trPr>
        <w:tc>
          <w:tcPr>
            <w:tcW w:w="5211" w:type="dxa"/>
            <w:gridSpan w:val="2"/>
          </w:tcPr>
          <w:p w14:paraId="26083B4A"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4D74C9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30FF824C" w14:textId="77777777" w:rsidTr="009C1A08">
        <w:trPr>
          <w:trHeight w:val="720"/>
        </w:trPr>
        <w:tc>
          <w:tcPr>
            <w:tcW w:w="8856" w:type="dxa"/>
            <w:gridSpan w:val="5"/>
          </w:tcPr>
          <w:p w14:paraId="747DD001"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19A1BEA9" w14:textId="77777777" w:rsidR="00963B31" w:rsidRPr="006367FD" w:rsidRDefault="00963B31" w:rsidP="00230F35">
            <w:pPr>
              <w:rPr>
                <w:rFonts w:ascii="Arial" w:hAnsi="Arial" w:cs="Arial"/>
                <w:b/>
                <w:sz w:val="22"/>
                <w:szCs w:val="22"/>
              </w:rPr>
            </w:pPr>
          </w:p>
          <w:p w14:paraId="6D1C1C74"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6A7C7DC8" w14:textId="77777777" w:rsidR="000F1DE6" w:rsidRDefault="000F1DE6" w:rsidP="00230F35">
            <w:pPr>
              <w:rPr>
                <w:rFonts w:ascii="Arial" w:hAnsi="Arial" w:cs="Arial"/>
                <w:b/>
                <w:sz w:val="22"/>
                <w:szCs w:val="22"/>
              </w:rPr>
            </w:pPr>
          </w:p>
          <w:p w14:paraId="44F2545F" w14:textId="77777777" w:rsidR="000F1DE6" w:rsidRDefault="000F1DE6" w:rsidP="00230F35">
            <w:pPr>
              <w:rPr>
                <w:rFonts w:ascii="Arial" w:hAnsi="Arial" w:cs="Arial"/>
                <w:b/>
                <w:sz w:val="22"/>
                <w:szCs w:val="22"/>
              </w:rPr>
            </w:pPr>
          </w:p>
          <w:p w14:paraId="1F9B9DE0" w14:textId="77777777" w:rsidR="00D00BDC" w:rsidRDefault="00D00BDC" w:rsidP="00230F35">
            <w:pPr>
              <w:rPr>
                <w:rFonts w:ascii="Arial" w:hAnsi="Arial" w:cs="Arial"/>
                <w:b/>
                <w:sz w:val="22"/>
                <w:szCs w:val="22"/>
              </w:rPr>
            </w:pPr>
          </w:p>
          <w:p w14:paraId="30045A4A" w14:textId="77777777" w:rsidR="00D00BDC" w:rsidRDefault="00D00BDC" w:rsidP="00230F35">
            <w:pPr>
              <w:rPr>
                <w:rFonts w:ascii="Arial" w:hAnsi="Arial" w:cs="Arial"/>
                <w:b/>
                <w:sz w:val="22"/>
                <w:szCs w:val="22"/>
              </w:rPr>
            </w:pPr>
          </w:p>
          <w:p w14:paraId="3208A066" w14:textId="77777777" w:rsidR="00D00BDC" w:rsidRDefault="00D00BDC" w:rsidP="00230F35">
            <w:pPr>
              <w:rPr>
                <w:rFonts w:ascii="Arial" w:hAnsi="Arial" w:cs="Arial"/>
                <w:b/>
                <w:sz w:val="22"/>
                <w:szCs w:val="22"/>
              </w:rPr>
            </w:pPr>
          </w:p>
          <w:p w14:paraId="0FFE48E4" w14:textId="77777777" w:rsidR="000F1DE6" w:rsidRDefault="000F1DE6" w:rsidP="00230F35">
            <w:pPr>
              <w:rPr>
                <w:rFonts w:ascii="Arial" w:hAnsi="Arial" w:cs="Arial"/>
                <w:b/>
                <w:sz w:val="22"/>
                <w:szCs w:val="22"/>
              </w:rPr>
            </w:pPr>
          </w:p>
          <w:p w14:paraId="293F1285" w14:textId="77777777" w:rsidR="00963B31" w:rsidRDefault="00963B31" w:rsidP="00230F35">
            <w:pPr>
              <w:rPr>
                <w:rFonts w:ascii="Arial" w:hAnsi="Arial" w:cs="Arial"/>
                <w:b/>
                <w:sz w:val="22"/>
                <w:szCs w:val="22"/>
              </w:rPr>
            </w:pPr>
          </w:p>
          <w:p w14:paraId="73B63AED" w14:textId="77777777" w:rsidR="00963B31" w:rsidRPr="00B34964" w:rsidRDefault="00963B31" w:rsidP="00230F35">
            <w:pPr>
              <w:rPr>
                <w:rFonts w:ascii="Arial" w:hAnsi="Arial" w:cs="Arial"/>
                <w:b/>
                <w:sz w:val="22"/>
                <w:szCs w:val="22"/>
              </w:rPr>
            </w:pPr>
          </w:p>
        </w:tc>
      </w:tr>
      <w:tr w:rsidR="00230F35" w:rsidRPr="002F467C" w14:paraId="49F92D57" w14:textId="77777777" w:rsidTr="009C1A08">
        <w:trPr>
          <w:trHeight w:val="720"/>
        </w:trPr>
        <w:tc>
          <w:tcPr>
            <w:tcW w:w="8856" w:type="dxa"/>
            <w:gridSpan w:val="5"/>
          </w:tcPr>
          <w:p w14:paraId="55365C2C"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17AF787" w14:textId="77777777" w:rsidR="00230F35" w:rsidRDefault="00230F35" w:rsidP="002F467C">
            <w:pPr>
              <w:pStyle w:val="NormalWeb"/>
              <w:spacing w:before="0" w:beforeAutospacing="0" w:after="0" w:afterAutospacing="0"/>
              <w:ind w:right="-334"/>
              <w:rPr>
                <w:rFonts w:ascii="Arial" w:hAnsi="Arial" w:cs="Arial"/>
                <w:bCs/>
                <w:sz w:val="22"/>
                <w:szCs w:val="22"/>
              </w:rPr>
            </w:pPr>
          </w:p>
          <w:p w14:paraId="0576ACF8" w14:textId="77777777" w:rsidR="00D00BDC" w:rsidRDefault="00D00BDC" w:rsidP="002F467C">
            <w:pPr>
              <w:pStyle w:val="NormalWeb"/>
              <w:spacing w:before="0" w:beforeAutospacing="0" w:after="0" w:afterAutospacing="0"/>
              <w:ind w:right="-334"/>
              <w:rPr>
                <w:rFonts w:ascii="Arial" w:hAnsi="Arial" w:cs="Arial"/>
                <w:bCs/>
                <w:sz w:val="22"/>
                <w:szCs w:val="22"/>
              </w:rPr>
            </w:pPr>
          </w:p>
          <w:p w14:paraId="34D65F0A" w14:textId="77777777" w:rsidR="00D00BDC" w:rsidRDefault="00D00BDC" w:rsidP="002F467C">
            <w:pPr>
              <w:pStyle w:val="NormalWeb"/>
              <w:spacing w:before="0" w:beforeAutospacing="0" w:after="0" w:afterAutospacing="0"/>
              <w:ind w:right="-334"/>
              <w:rPr>
                <w:rFonts w:ascii="Arial" w:hAnsi="Arial" w:cs="Arial"/>
                <w:bCs/>
                <w:sz w:val="22"/>
                <w:szCs w:val="22"/>
              </w:rPr>
            </w:pPr>
          </w:p>
          <w:p w14:paraId="1F08DE46" w14:textId="77777777" w:rsidR="00D00BDC" w:rsidRDefault="00D00BDC" w:rsidP="002F467C">
            <w:pPr>
              <w:pStyle w:val="NormalWeb"/>
              <w:spacing w:before="0" w:beforeAutospacing="0" w:after="0" w:afterAutospacing="0"/>
              <w:ind w:right="-334"/>
              <w:rPr>
                <w:rFonts w:ascii="Arial" w:hAnsi="Arial" w:cs="Arial"/>
                <w:bCs/>
                <w:sz w:val="22"/>
                <w:szCs w:val="22"/>
              </w:rPr>
            </w:pPr>
          </w:p>
          <w:p w14:paraId="3243DC87"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706FEA4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07A96D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48ABD090" w14:textId="77777777" w:rsidTr="00230F35">
        <w:trPr>
          <w:trHeight w:val="720"/>
        </w:trPr>
        <w:tc>
          <w:tcPr>
            <w:tcW w:w="5211" w:type="dxa"/>
            <w:gridSpan w:val="2"/>
          </w:tcPr>
          <w:p w14:paraId="774D32C7" w14:textId="77777777"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7A1E3C4"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26CEF8B" w14:textId="7D5199C9" w:rsidR="00EC7546" w:rsidRDefault="00EC7546" w:rsidP="00FA07E9">
      <w:pPr>
        <w:pStyle w:val="NormalWeb"/>
        <w:spacing w:before="0" w:beforeAutospacing="0" w:after="0" w:afterAutospacing="0"/>
        <w:ind w:right="-334"/>
        <w:rPr>
          <w:rFonts w:ascii="Trebuchet MS" w:hAnsi="Trebuchet MS" w:cs="Tahoma"/>
          <w:bCs/>
          <w:sz w:val="24"/>
          <w:szCs w:val="24"/>
        </w:rPr>
      </w:pPr>
    </w:p>
    <w:p w14:paraId="3E85A8FC" w14:textId="201BB188" w:rsidR="00A355D9" w:rsidRDefault="00A355D9" w:rsidP="00FA07E9">
      <w:pPr>
        <w:pStyle w:val="NormalWeb"/>
        <w:spacing w:before="0" w:beforeAutospacing="0" w:after="0" w:afterAutospacing="0"/>
        <w:ind w:right="-334"/>
        <w:rPr>
          <w:rFonts w:ascii="Trebuchet MS" w:hAnsi="Trebuchet MS" w:cs="Tahoma"/>
          <w:bCs/>
          <w:sz w:val="24"/>
          <w:szCs w:val="24"/>
        </w:rPr>
      </w:pPr>
    </w:p>
    <w:p w14:paraId="61765FC8" w14:textId="15457066" w:rsidR="00A355D9" w:rsidRDefault="00A355D9" w:rsidP="00FA07E9">
      <w:pPr>
        <w:pStyle w:val="NormalWeb"/>
        <w:spacing w:before="0" w:beforeAutospacing="0" w:after="0" w:afterAutospacing="0"/>
        <w:ind w:right="-334"/>
        <w:rPr>
          <w:rFonts w:ascii="Trebuchet MS" w:hAnsi="Trebuchet MS" w:cs="Tahoma"/>
          <w:bCs/>
          <w:sz w:val="24"/>
          <w:szCs w:val="24"/>
        </w:rPr>
      </w:pPr>
    </w:p>
    <w:p w14:paraId="23F5AC62" w14:textId="22E2EF57" w:rsidR="00A355D9" w:rsidRDefault="00A355D9" w:rsidP="00FA07E9">
      <w:pPr>
        <w:pStyle w:val="NormalWeb"/>
        <w:spacing w:before="0" w:beforeAutospacing="0" w:after="0" w:afterAutospacing="0"/>
        <w:ind w:right="-334"/>
        <w:rPr>
          <w:rFonts w:ascii="Trebuchet MS" w:hAnsi="Trebuchet MS" w:cs="Tahoma"/>
          <w:bCs/>
          <w:sz w:val="24"/>
          <w:szCs w:val="24"/>
        </w:rPr>
      </w:pPr>
    </w:p>
    <w:p w14:paraId="770497DF" w14:textId="064339DB" w:rsidR="00A355D9" w:rsidRDefault="00A355D9" w:rsidP="00FA07E9">
      <w:pPr>
        <w:pStyle w:val="NormalWeb"/>
        <w:spacing w:before="0" w:beforeAutospacing="0" w:after="0" w:afterAutospacing="0"/>
        <w:ind w:right="-334"/>
        <w:rPr>
          <w:rFonts w:ascii="Trebuchet MS" w:hAnsi="Trebuchet MS" w:cs="Tahoma"/>
          <w:bCs/>
          <w:sz w:val="24"/>
          <w:szCs w:val="24"/>
        </w:rPr>
      </w:pPr>
    </w:p>
    <w:p w14:paraId="5C0F3324" w14:textId="4E29C8D7" w:rsidR="00A355D9" w:rsidRDefault="00A355D9" w:rsidP="00FA07E9">
      <w:pPr>
        <w:pStyle w:val="NormalWeb"/>
        <w:spacing w:before="0" w:beforeAutospacing="0" w:after="0" w:afterAutospacing="0"/>
        <w:ind w:right="-334"/>
        <w:rPr>
          <w:rFonts w:ascii="Trebuchet MS" w:hAnsi="Trebuchet MS" w:cs="Tahoma"/>
          <w:bCs/>
          <w:sz w:val="24"/>
          <w:szCs w:val="24"/>
        </w:rPr>
      </w:pPr>
    </w:p>
    <w:p w14:paraId="340AB500" w14:textId="1C885354"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4F177E3" w14:textId="2E91060C"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0CA1D83F" w14:textId="37F1B337"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4E752603" w14:textId="7F40238B"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5AA07F42" w14:textId="5A3EF93E"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CEC9970" w14:textId="5BC73654"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047C09CA" w14:textId="2590329F"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27F2C5FF" w14:textId="27A27F03"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FEF527C" w14:textId="3B3C21F5"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0CEF95B7" w14:textId="5E4F3B8F"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20ACD1FD" w14:textId="2100A61D"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0F159CA" w14:textId="360E5727"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5F32328E" w14:textId="23CA650D"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26937A0B" w14:textId="02BDB511"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42D80213" w14:textId="73D475E2"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8BB4DEC" w14:textId="04A92317"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67B3E05A" w14:textId="7AB2C2F8"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6EEA1F9" w14:textId="7BC8AD49"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5CACD5EF" w14:textId="6D981AF2"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7F4EB00B" w14:textId="08C49933"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7935EF19" w14:textId="25228D6A"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997F4C0" w14:textId="15952A0B"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67A95A1" w14:textId="77CB0CB7"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43B3B068" w14:textId="5F835D39"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4D9C2C92" w14:textId="7B66C736"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0F54B38" w14:textId="4D536CB3"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47DE233" w14:textId="3C5B89D5"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EC378E9" w14:textId="4C0255E4"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0A5DE1A" w14:textId="46464FDB"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272582F" w14:textId="47ADAB76"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6C97A408" w14:textId="107CC2C4"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1D48966C" w14:textId="04BF7013"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F3B3D47" w14:textId="5EAAA55B"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539688B9" w14:textId="5107F3ED"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3925B951" w14:textId="774339AE"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6908BF92" w14:textId="0FAA2B85"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7D64F3AE" w14:textId="24E54283" w:rsidR="00A355D9" w:rsidRDefault="00A355D9" w:rsidP="00A355D9">
      <w:pPr>
        <w:pStyle w:val="NormalWeb"/>
        <w:spacing w:before="0" w:beforeAutospacing="0" w:after="0" w:afterAutospacing="0"/>
        <w:ind w:right="-334"/>
        <w:jc w:val="center"/>
        <w:rPr>
          <w:rFonts w:ascii="Times New Roman" w:hAnsi="Times New Roman"/>
          <w:bCs/>
          <w:sz w:val="22"/>
          <w:szCs w:val="22"/>
        </w:rPr>
      </w:pPr>
    </w:p>
    <w:p w14:paraId="0A356F70" w14:textId="0B6E8F1A" w:rsidR="00A355D9" w:rsidRDefault="00A355D9" w:rsidP="00A355D9">
      <w:pPr>
        <w:pStyle w:val="NormalWeb"/>
        <w:spacing w:before="0" w:beforeAutospacing="0" w:after="0" w:afterAutospacing="0"/>
        <w:ind w:right="-334"/>
        <w:jc w:val="center"/>
        <w:rPr>
          <w:rFonts w:ascii="Times New Roman" w:hAnsi="Times New Roman"/>
          <w:bCs/>
          <w:sz w:val="22"/>
          <w:szCs w:val="22"/>
        </w:rPr>
      </w:pPr>
      <w:r>
        <w:rPr>
          <w:rFonts w:ascii="Times New Roman" w:hAnsi="Times New Roman"/>
          <w:b/>
          <w:sz w:val="22"/>
          <w:szCs w:val="22"/>
        </w:rPr>
        <w:lastRenderedPageBreak/>
        <w:t>Analys</w:t>
      </w:r>
      <w:r w:rsidR="003022E8">
        <w:rPr>
          <w:rFonts w:ascii="Times New Roman" w:hAnsi="Times New Roman"/>
          <w:b/>
          <w:sz w:val="22"/>
          <w:szCs w:val="22"/>
        </w:rPr>
        <w:t>ing</w:t>
      </w:r>
      <w:r>
        <w:rPr>
          <w:rFonts w:ascii="Times New Roman" w:hAnsi="Times New Roman"/>
          <w:b/>
          <w:sz w:val="22"/>
          <w:szCs w:val="22"/>
        </w:rPr>
        <w:t xml:space="preserve"> the </w:t>
      </w:r>
      <w:r w:rsidR="003022E8">
        <w:rPr>
          <w:rFonts w:ascii="Times New Roman" w:hAnsi="Times New Roman"/>
          <w:b/>
          <w:sz w:val="22"/>
          <w:szCs w:val="22"/>
        </w:rPr>
        <w:t>R</w:t>
      </w:r>
      <w:r>
        <w:rPr>
          <w:rFonts w:ascii="Times New Roman" w:hAnsi="Times New Roman"/>
          <w:b/>
          <w:sz w:val="22"/>
          <w:szCs w:val="22"/>
        </w:rPr>
        <w:t xml:space="preserve">oles of, and </w:t>
      </w:r>
      <w:r w:rsidR="003022E8">
        <w:rPr>
          <w:rFonts w:ascii="Times New Roman" w:hAnsi="Times New Roman"/>
          <w:b/>
          <w:sz w:val="22"/>
          <w:szCs w:val="22"/>
        </w:rPr>
        <w:t>R</w:t>
      </w:r>
      <w:r>
        <w:rPr>
          <w:rFonts w:ascii="Times New Roman" w:hAnsi="Times New Roman"/>
          <w:b/>
          <w:sz w:val="22"/>
          <w:szCs w:val="22"/>
        </w:rPr>
        <w:t xml:space="preserve">elationship </w:t>
      </w:r>
      <w:r w:rsidR="003022E8">
        <w:rPr>
          <w:rFonts w:ascii="Times New Roman" w:hAnsi="Times New Roman"/>
          <w:b/>
          <w:sz w:val="22"/>
          <w:szCs w:val="22"/>
        </w:rPr>
        <w:t>between, Cosmology and Divination in Ancient Mesopotamia</w:t>
      </w:r>
    </w:p>
    <w:p w14:paraId="15D839D7" w14:textId="467E7CC6" w:rsidR="003022E8" w:rsidRDefault="003022E8" w:rsidP="00A355D9">
      <w:pPr>
        <w:pStyle w:val="NormalWeb"/>
        <w:spacing w:before="0" w:beforeAutospacing="0" w:after="0" w:afterAutospacing="0"/>
        <w:ind w:right="-334"/>
        <w:jc w:val="center"/>
        <w:rPr>
          <w:rFonts w:ascii="Times New Roman" w:hAnsi="Times New Roman"/>
          <w:bCs/>
          <w:sz w:val="22"/>
          <w:szCs w:val="22"/>
        </w:rPr>
      </w:pPr>
    </w:p>
    <w:p w14:paraId="7D8595A9" w14:textId="692D72F2" w:rsidR="003022E8" w:rsidRDefault="003022E8"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t xml:space="preserve">Within the studies of cosmology and divination, ancient Mesopotamia should be one of the first civilizations to come to mind.  Being one of the oldest civilizations in history, Mesopotamia is </w:t>
      </w:r>
      <w:r w:rsidR="00D25998">
        <w:rPr>
          <w:rFonts w:ascii="Times New Roman" w:hAnsi="Times New Roman"/>
          <w:bCs/>
          <w:sz w:val="22"/>
          <w:szCs w:val="22"/>
        </w:rPr>
        <w:t xml:space="preserve">an important foundation for both cosmology and divination.  The purpose of this paper is to address the various aspects of these studies within ancient Mesopotamia, beginning with an overview of the subject and how it developed within history.  Next, this paper will address </w:t>
      </w:r>
      <w:r w:rsidR="00EF7091">
        <w:rPr>
          <w:rFonts w:ascii="Times New Roman" w:hAnsi="Times New Roman"/>
          <w:bCs/>
          <w:sz w:val="22"/>
          <w:szCs w:val="22"/>
        </w:rPr>
        <w:t>the relationship between cosmology and divination, mainly how they both feed into one another and are thoroughly connected during this ancient period.  Finally, it will look at how both studies are connected in the minds of the people of ancient Mesopotamia</w:t>
      </w:r>
      <w:r w:rsidR="00FE7A0E">
        <w:rPr>
          <w:rFonts w:ascii="Times New Roman" w:hAnsi="Times New Roman"/>
          <w:bCs/>
          <w:sz w:val="22"/>
          <w:szCs w:val="22"/>
        </w:rPr>
        <w:t xml:space="preserve"> through the roles both have within these societies.</w:t>
      </w:r>
    </w:p>
    <w:p w14:paraId="0F9F9F6F" w14:textId="5DA39E5D" w:rsidR="00FE7A0E" w:rsidRDefault="00FE7A0E"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CE5436">
        <w:rPr>
          <w:rFonts w:ascii="Times New Roman" w:hAnsi="Times New Roman"/>
          <w:bCs/>
          <w:sz w:val="22"/>
          <w:szCs w:val="22"/>
        </w:rPr>
        <w:t>Cosmological</w:t>
      </w:r>
      <w:r w:rsidR="00276ABC">
        <w:rPr>
          <w:rFonts w:ascii="Times New Roman" w:hAnsi="Times New Roman"/>
          <w:bCs/>
          <w:sz w:val="22"/>
          <w:szCs w:val="22"/>
        </w:rPr>
        <w:t xml:space="preserve"> (or celestial, or astral)</w:t>
      </w:r>
      <w:r w:rsidR="00CE5436">
        <w:rPr>
          <w:rFonts w:ascii="Times New Roman" w:hAnsi="Times New Roman"/>
          <w:bCs/>
          <w:sz w:val="22"/>
          <w:szCs w:val="22"/>
        </w:rPr>
        <w:t xml:space="preserve"> divination relied on the premise that on certain occasions the gods would give people information through signs, that could indicate either good or evil to occur, giving an answer to a question, or foretelling future events.</w:t>
      </w:r>
      <w:r w:rsidR="00CE5436">
        <w:rPr>
          <w:rStyle w:val="FootnoteReference"/>
          <w:rFonts w:ascii="Times New Roman" w:hAnsi="Times New Roman"/>
          <w:bCs/>
          <w:sz w:val="22"/>
          <w:szCs w:val="22"/>
        </w:rPr>
        <w:footnoteReference w:id="1"/>
      </w:r>
      <w:r w:rsidR="00C323A2">
        <w:rPr>
          <w:rFonts w:ascii="Times New Roman" w:hAnsi="Times New Roman"/>
          <w:bCs/>
          <w:sz w:val="22"/>
          <w:szCs w:val="22"/>
        </w:rPr>
        <w:t xml:space="preserve">  This concept can be traced within Mesopotamia to the 3</w:t>
      </w:r>
      <w:r w:rsidR="00C323A2" w:rsidRPr="00C323A2">
        <w:rPr>
          <w:rFonts w:ascii="Times New Roman" w:hAnsi="Times New Roman"/>
          <w:bCs/>
          <w:sz w:val="22"/>
          <w:szCs w:val="22"/>
          <w:vertAlign w:val="superscript"/>
        </w:rPr>
        <w:t>rd</w:t>
      </w:r>
      <w:r w:rsidR="00C323A2">
        <w:rPr>
          <w:rFonts w:ascii="Times New Roman" w:hAnsi="Times New Roman"/>
          <w:bCs/>
          <w:sz w:val="22"/>
          <w:szCs w:val="22"/>
        </w:rPr>
        <w:t xml:space="preserve"> millennium BC in ancient Sumer.</w:t>
      </w:r>
      <w:r w:rsidR="00C323A2">
        <w:rPr>
          <w:rStyle w:val="FootnoteReference"/>
          <w:rFonts w:ascii="Times New Roman" w:hAnsi="Times New Roman"/>
          <w:bCs/>
          <w:sz w:val="22"/>
          <w:szCs w:val="22"/>
        </w:rPr>
        <w:footnoteReference w:id="2"/>
      </w:r>
      <w:r w:rsidR="008C4689">
        <w:rPr>
          <w:rFonts w:ascii="Times New Roman" w:hAnsi="Times New Roman"/>
          <w:bCs/>
          <w:sz w:val="22"/>
          <w:szCs w:val="22"/>
        </w:rPr>
        <w:t xml:space="preserve">  The term Mesopotamia does not simply refer to Sumer, nor the time period mentioned, but to the entire area surrounding the Tigris and Euphrates Rivers and a period of time spanning thousands of years.</w:t>
      </w:r>
      <w:r w:rsidR="008C4689">
        <w:rPr>
          <w:rStyle w:val="FootnoteReference"/>
          <w:rFonts w:ascii="Times New Roman" w:hAnsi="Times New Roman"/>
          <w:bCs/>
          <w:sz w:val="22"/>
          <w:szCs w:val="22"/>
        </w:rPr>
        <w:footnoteReference w:id="3"/>
      </w:r>
      <w:r w:rsidR="008C4689">
        <w:rPr>
          <w:rFonts w:ascii="Times New Roman" w:hAnsi="Times New Roman"/>
          <w:bCs/>
          <w:sz w:val="22"/>
          <w:szCs w:val="22"/>
        </w:rPr>
        <w:t xml:space="preserve">  The information</w:t>
      </w:r>
      <w:r w:rsidR="00276ABC">
        <w:rPr>
          <w:rFonts w:ascii="Times New Roman" w:hAnsi="Times New Roman"/>
          <w:bCs/>
          <w:sz w:val="22"/>
          <w:szCs w:val="22"/>
        </w:rPr>
        <w:t xml:space="preserve"> concerning cosmological divination is broken into several periods:  Sumerian (3</w:t>
      </w:r>
      <w:r w:rsidR="00276ABC" w:rsidRPr="00276ABC">
        <w:rPr>
          <w:rFonts w:ascii="Times New Roman" w:hAnsi="Times New Roman"/>
          <w:bCs/>
          <w:sz w:val="22"/>
          <w:szCs w:val="22"/>
          <w:vertAlign w:val="superscript"/>
        </w:rPr>
        <w:t>rd</w:t>
      </w:r>
      <w:r w:rsidR="00276ABC">
        <w:rPr>
          <w:rFonts w:ascii="Times New Roman" w:hAnsi="Times New Roman"/>
          <w:bCs/>
          <w:sz w:val="22"/>
          <w:szCs w:val="22"/>
        </w:rPr>
        <w:t xml:space="preserve"> millennium BC), Old Akkadian (c. 2350 – 2150 BC), Old Babylonian (c. 2000 – 1600 BC), Middle Babylonian / Assyrian (c. 1600 – 1000 BC), Neo-Assyrian (c. 1000 – 600 BC), and Late Babylonian (c. 1000 – 1 BC).</w:t>
      </w:r>
      <w:r w:rsidR="00276ABC">
        <w:rPr>
          <w:rStyle w:val="FootnoteReference"/>
          <w:rFonts w:ascii="Times New Roman" w:hAnsi="Times New Roman"/>
          <w:bCs/>
          <w:sz w:val="22"/>
          <w:szCs w:val="22"/>
        </w:rPr>
        <w:footnoteReference w:id="4"/>
      </w:r>
      <w:r w:rsidR="00276ABC">
        <w:rPr>
          <w:rFonts w:ascii="Times New Roman" w:hAnsi="Times New Roman"/>
          <w:bCs/>
          <w:sz w:val="22"/>
          <w:szCs w:val="22"/>
        </w:rPr>
        <w:t xml:space="preserve">  While there are traces of using celestial divination within the earlier periods, most of the information that is available comes from the Neo-Assyrian </w:t>
      </w:r>
      <w:r w:rsidR="009D2ED5">
        <w:rPr>
          <w:rFonts w:ascii="Times New Roman" w:hAnsi="Times New Roman"/>
          <w:bCs/>
          <w:sz w:val="22"/>
          <w:szCs w:val="22"/>
        </w:rPr>
        <w:t>period through the immense libraries of Assur, Nimrud, and, especially, Nineveh.</w:t>
      </w:r>
      <w:r w:rsidR="009D2ED5">
        <w:rPr>
          <w:rStyle w:val="FootnoteReference"/>
          <w:rFonts w:ascii="Times New Roman" w:hAnsi="Times New Roman"/>
          <w:bCs/>
          <w:sz w:val="22"/>
          <w:szCs w:val="22"/>
        </w:rPr>
        <w:footnoteReference w:id="5"/>
      </w:r>
      <w:r w:rsidR="009D2ED5">
        <w:rPr>
          <w:rFonts w:ascii="Times New Roman" w:hAnsi="Times New Roman"/>
          <w:bCs/>
          <w:sz w:val="22"/>
          <w:szCs w:val="22"/>
        </w:rPr>
        <w:t xml:space="preserve">  Nineveh not only provides the core tablet series, but also reports and letters showing how the monarchs and government used divination in everyday life.</w:t>
      </w:r>
      <w:r w:rsidR="009D2ED5">
        <w:rPr>
          <w:rStyle w:val="FootnoteReference"/>
          <w:rFonts w:ascii="Times New Roman" w:hAnsi="Times New Roman"/>
          <w:bCs/>
          <w:sz w:val="22"/>
          <w:szCs w:val="22"/>
        </w:rPr>
        <w:footnoteReference w:id="6"/>
      </w:r>
      <w:r w:rsidR="009D2ED5">
        <w:rPr>
          <w:rFonts w:ascii="Times New Roman" w:hAnsi="Times New Roman"/>
          <w:bCs/>
          <w:sz w:val="22"/>
          <w:szCs w:val="22"/>
        </w:rPr>
        <w:t xml:space="preserve">  Within the Late Babylonian period, </w:t>
      </w:r>
      <w:r w:rsidR="000A5BA5">
        <w:rPr>
          <w:rFonts w:ascii="Times New Roman" w:hAnsi="Times New Roman"/>
          <w:bCs/>
          <w:sz w:val="22"/>
          <w:szCs w:val="22"/>
        </w:rPr>
        <w:t>more refinement and innovation occurred as the texts were recopied and elaborated on by commentators.</w:t>
      </w:r>
      <w:r w:rsidR="000A5BA5">
        <w:rPr>
          <w:rStyle w:val="FootnoteReference"/>
          <w:rFonts w:ascii="Times New Roman" w:hAnsi="Times New Roman"/>
          <w:bCs/>
          <w:sz w:val="22"/>
          <w:szCs w:val="22"/>
        </w:rPr>
        <w:footnoteReference w:id="7"/>
      </w:r>
    </w:p>
    <w:p w14:paraId="68FF49D9" w14:textId="7DBCE971" w:rsidR="000A5BA5" w:rsidRDefault="000A5BA5"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t>There are several texts that have been recovered that deal with celestial divination, the primary text being the Enuma Anu Enlil</w:t>
      </w:r>
      <w:r w:rsidR="0004042B">
        <w:rPr>
          <w:rFonts w:ascii="Times New Roman" w:hAnsi="Times New Roman"/>
          <w:bCs/>
          <w:sz w:val="22"/>
          <w:szCs w:val="22"/>
        </w:rPr>
        <w:t xml:space="preserve"> (</w:t>
      </w:r>
      <w:r w:rsidR="0004042B" w:rsidRPr="00126F6F">
        <w:rPr>
          <w:rFonts w:ascii="Times New Roman" w:hAnsi="Times New Roman"/>
          <w:bCs/>
          <w:sz w:val="22"/>
          <w:szCs w:val="22"/>
        </w:rPr>
        <w:t>EAE</w:t>
      </w:r>
      <w:r w:rsidR="0004042B">
        <w:rPr>
          <w:rFonts w:ascii="Times New Roman" w:hAnsi="Times New Roman"/>
          <w:bCs/>
          <w:sz w:val="22"/>
          <w:szCs w:val="22"/>
        </w:rPr>
        <w:t>)</w:t>
      </w:r>
      <w:r>
        <w:rPr>
          <w:rFonts w:ascii="Times New Roman" w:hAnsi="Times New Roman"/>
          <w:bCs/>
          <w:sz w:val="22"/>
          <w:szCs w:val="22"/>
        </w:rPr>
        <w:t>.</w:t>
      </w:r>
      <w:r w:rsidR="00603DF3">
        <w:rPr>
          <w:rStyle w:val="FootnoteReference"/>
          <w:rFonts w:ascii="Times New Roman" w:hAnsi="Times New Roman"/>
          <w:bCs/>
          <w:sz w:val="22"/>
          <w:szCs w:val="22"/>
        </w:rPr>
        <w:footnoteReference w:id="8"/>
      </w:r>
      <w:r w:rsidR="00603DF3">
        <w:rPr>
          <w:rFonts w:ascii="Times New Roman" w:hAnsi="Times New Roman"/>
          <w:bCs/>
          <w:sz w:val="22"/>
          <w:szCs w:val="22"/>
        </w:rPr>
        <w:t xml:space="preserve"> This text is known from the Old Babylonian and Middle Babylonian / Assyrian periods, but the most complete form coming from the Neo-Assyrian.</w:t>
      </w:r>
      <w:r w:rsidR="00603DF3">
        <w:rPr>
          <w:rStyle w:val="FootnoteReference"/>
          <w:rFonts w:ascii="Times New Roman" w:hAnsi="Times New Roman"/>
          <w:bCs/>
          <w:sz w:val="22"/>
          <w:szCs w:val="22"/>
        </w:rPr>
        <w:footnoteReference w:id="9"/>
      </w:r>
      <w:r w:rsidR="00BB555C">
        <w:rPr>
          <w:rFonts w:ascii="Times New Roman" w:hAnsi="Times New Roman"/>
          <w:bCs/>
          <w:sz w:val="22"/>
          <w:szCs w:val="22"/>
        </w:rPr>
        <w:t xml:space="preserve">  This collection deals with omens surrounding phenomena seen in the sk</w:t>
      </w:r>
      <w:r w:rsidR="00947CA8">
        <w:rPr>
          <w:rFonts w:ascii="Times New Roman" w:hAnsi="Times New Roman"/>
          <w:bCs/>
          <w:sz w:val="22"/>
          <w:szCs w:val="22"/>
        </w:rPr>
        <w:t>y.</w:t>
      </w:r>
      <w:r w:rsidR="00947CA8">
        <w:rPr>
          <w:rStyle w:val="FootnoteReference"/>
          <w:rFonts w:ascii="Times New Roman" w:hAnsi="Times New Roman"/>
          <w:bCs/>
          <w:sz w:val="22"/>
          <w:szCs w:val="22"/>
        </w:rPr>
        <w:footnoteReference w:id="10"/>
      </w:r>
      <w:r w:rsidR="00947CA8">
        <w:rPr>
          <w:rFonts w:ascii="Times New Roman" w:hAnsi="Times New Roman"/>
          <w:bCs/>
          <w:sz w:val="22"/>
          <w:szCs w:val="22"/>
        </w:rPr>
        <w:t xml:space="preserve">  Greater detail into this series of omens will be discussed later in this paper.  There are also </w:t>
      </w:r>
      <w:r w:rsidR="0004042B">
        <w:rPr>
          <w:rFonts w:ascii="Times New Roman" w:hAnsi="Times New Roman"/>
          <w:bCs/>
          <w:sz w:val="22"/>
          <w:szCs w:val="22"/>
        </w:rPr>
        <w:t xml:space="preserve">spin-off texts that include commentaries on the </w:t>
      </w:r>
      <w:r w:rsidR="00541C8D" w:rsidRPr="00126F6F">
        <w:rPr>
          <w:rFonts w:ascii="Times New Roman" w:hAnsi="Times New Roman"/>
          <w:bCs/>
          <w:sz w:val="22"/>
          <w:szCs w:val="22"/>
        </w:rPr>
        <w:t>EAE</w:t>
      </w:r>
      <w:r w:rsidR="0004042B">
        <w:rPr>
          <w:rFonts w:ascii="Times New Roman" w:hAnsi="Times New Roman"/>
          <w:bCs/>
          <w:sz w:val="22"/>
          <w:szCs w:val="22"/>
        </w:rPr>
        <w:t>, reports and letters sent by scholars to the monarchs of Neo-Assyrian Nineveh discussing celestial phenomena and their meanings, astronomical diaries which recorded data seen in the skies, and astronomical texts.</w:t>
      </w:r>
      <w:r w:rsidR="0004042B">
        <w:rPr>
          <w:rStyle w:val="FootnoteReference"/>
          <w:rFonts w:ascii="Times New Roman" w:hAnsi="Times New Roman"/>
          <w:bCs/>
          <w:sz w:val="22"/>
          <w:szCs w:val="22"/>
        </w:rPr>
        <w:footnoteReference w:id="11"/>
      </w:r>
      <w:r w:rsidR="0004042B">
        <w:rPr>
          <w:rFonts w:ascii="Times New Roman" w:hAnsi="Times New Roman"/>
          <w:bCs/>
          <w:sz w:val="22"/>
          <w:szCs w:val="22"/>
        </w:rPr>
        <w:t xml:space="preserve">  The astronomical diaries recorded daily what was observed and </w:t>
      </w:r>
      <w:r w:rsidR="00541C8D">
        <w:rPr>
          <w:rFonts w:ascii="Times New Roman" w:hAnsi="Times New Roman"/>
          <w:bCs/>
          <w:sz w:val="22"/>
          <w:szCs w:val="22"/>
        </w:rPr>
        <w:t>“provide raw material from which astronomical predictions were made.”</w:t>
      </w:r>
      <w:r w:rsidR="00541C8D">
        <w:rPr>
          <w:rStyle w:val="FootnoteReference"/>
          <w:rFonts w:ascii="Times New Roman" w:hAnsi="Times New Roman"/>
          <w:bCs/>
          <w:sz w:val="22"/>
          <w:szCs w:val="22"/>
        </w:rPr>
        <w:footnoteReference w:id="12"/>
      </w:r>
      <w:r w:rsidR="00541C8D">
        <w:rPr>
          <w:rFonts w:ascii="Times New Roman" w:hAnsi="Times New Roman"/>
          <w:bCs/>
          <w:sz w:val="22"/>
          <w:szCs w:val="22"/>
        </w:rPr>
        <w:t xml:space="preserve"> These diaries were considered to provide a continuous database of ominous phenomena and led to the creation of “parameters which characterized the temporal and spatial intervals between celestial phenomena of the same type, and thereby paved the way for astronomy.”</w:t>
      </w:r>
      <w:r w:rsidR="00541C8D">
        <w:rPr>
          <w:rStyle w:val="FootnoteReference"/>
          <w:rFonts w:ascii="Times New Roman" w:hAnsi="Times New Roman"/>
          <w:bCs/>
          <w:sz w:val="22"/>
          <w:szCs w:val="22"/>
        </w:rPr>
        <w:footnoteReference w:id="13"/>
      </w:r>
      <w:r w:rsidR="00541C8D">
        <w:rPr>
          <w:rFonts w:ascii="Times New Roman" w:hAnsi="Times New Roman"/>
          <w:bCs/>
          <w:sz w:val="22"/>
          <w:szCs w:val="22"/>
        </w:rPr>
        <w:t xml:space="preserve">  The astrological texts, being similar to the diaries, </w:t>
      </w:r>
      <w:r w:rsidR="000B54CD">
        <w:rPr>
          <w:rFonts w:ascii="Times New Roman" w:hAnsi="Times New Roman"/>
          <w:bCs/>
          <w:sz w:val="22"/>
          <w:szCs w:val="22"/>
        </w:rPr>
        <w:t xml:space="preserve">noted the specific dates of when phenomena would occur, relying fully on </w:t>
      </w:r>
      <w:r w:rsidR="000B54CD">
        <w:rPr>
          <w:rFonts w:ascii="Times New Roman" w:hAnsi="Times New Roman"/>
          <w:bCs/>
          <w:sz w:val="22"/>
          <w:szCs w:val="22"/>
        </w:rPr>
        <w:lastRenderedPageBreak/>
        <w:t>mathematics, and led to the creation of the zodiac and astrology.</w:t>
      </w:r>
      <w:r w:rsidR="000B54CD">
        <w:rPr>
          <w:rStyle w:val="FootnoteReference"/>
          <w:rFonts w:ascii="Times New Roman" w:hAnsi="Times New Roman"/>
          <w:bCs/>
          <w:sz w:val="22"/>
          <w:szCs w:val="22"/>
        </w:rPr>
        <w:footnoteReference w:id="14"/>
      </w:r>
      <w:r w:rsidR="000B54CD">
        <w:rPr>
          <w:rFonts w:ascii="Times New Roman" w:hAnsi="Times New Roman"/>
          <w:bCs/>
          <w:sz w:val="22"/>
          <w:szCs w:val="22"/>
        </w:rPr>
        <w:t xml:space="preserve">  </w:t>
      </w:r>
      <w:r w:rsidR="00126F6F">
        <w:rPr>
          <w:rFonts w:ascii="Times New Roman" w:hAnsi="Times New Roman"/>
          <w:bCs/>
          <w:sz w:val="22"/>
          <w:szCs w:val="22"/>
        </w:rPr>
        <w:t>The</w:t>
      </w:r>
      <w:r w:rsidR="000B54CD">
        <w:rPr>
          <w:rFonts w:ascii="Times New Roman" w:hAnsi="Times New Roman"/>
          <w:bCs/>
          <w:sz w:val="22"/>
          <w:szCs w:val="22"/>
        </w:rPr>
        <w:t xml:space="preserve"> associated texts that include calendars relating to months, years, and watches of the night, ideal schemes that broke these periods into systematic periods, and texts giving the names of stars in Sumerian</w:t>
      </w:r>
      <w:r w:rsidR="00B30A90">
        <w:rPr>
          <w:rFonts w:ascii="Times New Roman" w:hAnsi="Times New Roman"/>
          <w:bCs/>
          <w:sz w:val="22"/>
          <w:szCs w:val="22"/>
        </w:rPr>
        <w:t>.</w:t>
      </w:r>
      <w:r w:rsidR="00B30A90">
        <w:rPr>
          <w:rStyle w:val="FootnoteReference"/>
          <w:rFonts w:ascii="Times New Roman" w:hAnsi="Times New Roman"/>
          <w:bCs/>
          <w:sz w:val="22"/>
          <w:szCs w:val="22"/>
        </w:rPr>
        <w:footnoteReference w:id="15"/>
      </w:r>
      <w:r w:rsidR="00126F6F">
        <w:rPr>
          <w:rFonts w:ascii="Times New Roman" w:hAnsi="Times New Roman"/>
          <w:bCs/>
          <w:sz w:val="22"/>
          <w:szCs w:val="22"/>
        </w:rPr>
        <w:t xml:space="preserve">  Another text that needs to be mentioned is the Enuma Elish, a creation epic that describes the origins of the gods and their creation of humanity.</w:t>
      </w:r>
      <w:r w:rsidR="00126F6F">
        <w:rPr>
          <w:rStyle w:val="FootnoteReference"/>
          <w:rFonts w:ascii="Times New Roman" w:hAnsi="Times New Roman"/>
          <w:bCs/>
          <w:sz w:val="22"/>
          <w:szCs w:val="22"/>
        </w:rPr>
        <w:footnoteReference w:id="16"/>
      </w:r>
      <w:r w:rsidR="00D9782A">
        <w:rPr>
          <w:rFonts w:ascii="Times New Roman" w:hAnsi="Times New Roman"/>
          <w:bCs/>
          <w:sz w:val="22"/>
          <w:szCs w:val="22"/>
        </w:rPr>
        <w:t xml:space="preserve"> This text is important in that it </w:t>
      </w:r>
      <w:r w:rsidR="00ED2D63">
        <w:rPr>
          <w:rFonts w:ascii="Times New Roman" w:hAnsi="Times New Roman"/>
          <w:bCs/>
          <w:sz w:val="22"/>
          <w:szCs w:val="22"/>
        </w:rPr>
        <w:t>creates political authority within Mesopotamia and sets the role of celestial divination in these societies.</w:t>
      </w:r>
      <w:r w:rsidR="00ED2D63">
        <w:rPr>
          <w:rStyle w:val="FootnoteReference"/>
          <w:rFonts w:ascii="Times New Roman" w:hAnsi="Times New Roman"/>
          <w:bCs/>
          <w:sz w:val="22"/>
          <w:szCs w:val="22"/>
        </w:rPr>
        <w:footnoteReference w:id="17"/>
      </w:r>
    </w:p>
    <w:p w14:paraId="4917E448" w14:textId="0D298B3D" w:rsidR="00B30A90" w:rsidRDefault="00B30A90" w:rsidP="003022E8">
      <w:pPr>
        <w:pStyle w:val="NormalWeb"/>
        <w:spacing w:before="0" w:beforeAutospacing="0" w:after="0" w:afterAutospacing="0"/>
        <w:ind w:right="-334"/>
        <w:rPr>
          <w:rFonts w:ascii="Times New Roman" w:hAnsi="Times New Roman"/>
          <w:b/>
          <w:sz w:val="22"/>
          <w:szCs w:val="22"/>
          <w:u w:val="single"/>
        </w:rPr>
      </w:pPr>
      <w:r>
        <w:rPr>
          <w:rFonts w:ascii="Times New Roman" w:hAnsi="Times New Roman"/>
          <w:bCs/>
          <w:sz w:val="22"/>
          <w:szCs w:val="22"/>
        </w:rPr>
        <w:tab/>
        <w:t xml:space="preserve">All the above-mentioned texts were used by experts in the Neo-Assyrian period who were known as the “scribe of </w:t>
      </w:r>
      <w:r w:rsidRPr="00126F6F">
        <w:rPr>
          <w:rFonts w:ascii="Times New Roman" w:hAnsi="Times New Roman"/>
          <w:bCs/>
          <w:sz w:val="22"/>
          <w:szCs w:val="22"/>
        </w:rPr>
        <w:t>EAE</w:t>
      </w:r>
      <w:r>
        <w:rPr>
          <w:rFonts w:ascii="Times New Roman" w:hAnsi="Times New Roman"/>
          <w:bCs/>
          <w:sz w:val="22"/>
          <w:szCs w:val="22"/>
        </w:rPr>
        <w:t>.”</w:t>
      </w:r>
      <w:r>
        <w:rPr>
          <w:rStyle w:val="FootnoteReference"/>
          <w:rFonts w:ascii="Times New Roman" w:hAnsi="Times New Roman"/>
          <w:bCs/>
          <w:sz w:val="22"/>
          <w:szCs w:val="22"/>
        </w:rPr>
        <w:footnoteReference w:id="18"/>
      </w:r>
      <w:r>
        <w:rPr>
          <w:rFonts w:ascii="Times New Roman" w:hAnsi="Times New Roman"/>
          <w:bCs/>
          <w:sz w:val="22"/>
          <w:szCs w:val="22"/>
        </w:rPr>
        <w:t xml:space="preserve"> This title was reserved for scholars of high status and were considered celestial diviners, knowing they were experienced with the basic premises of </w:t>
      </w:r>
      <w:r w:rsidRPr="00126F6F">
        <w:rPr>
          <w:rFonts w:ascii="Times New Roman" w:hAnsi="Times New Roman"/>
          <w:bCs/>
          <w:sz w:val="22"/>
          <w:szCs w:val="22"/>
        </w:rPr>
        <w:t>EAE</w:t>
      </w:r>
      <w:r>
        <w:rPr>
          <w:rFonts w:ascii="Times New Roman" w:hAnsi="Times New Roman"/>
          <w:bCs/>
          <w:sz w:val="22"/>
          <w:szCs w:val="22"/>
        </w:rPr>
        <w:t>.</w:t>
      </w:r>
      <w:r>
        <w:rPr>
          <w:rStyle w:val="FootnoteReference"/>
          <w:rFonts w:ascii="Times New Roman" w:hAnsi="Times New Roman"/>
          <w:bCs/>
          <w:sz w:val="22"/>
          <w:szCs w:val="22"/>
        </w:rPr>
        <w:footnoteReference w:id="19"/>
      </w:r>
      <w:r w:rsidR="00D0258C">
        <w:rPr>
          <w:rFonts w:ascii="Times New Roman" w:hAnsi="Times New Roman"/>
          <w:bCs/>
          <w:sz w:val="22"/>
          <w:szCs w:val="22"/>
        </w:rPr>
        <w:t xml:space="preserve">  These scholars helped to create the commentaries and other spin-off texts to give more insight into what the phenomena and omens meant throughout the </w:t>
      </w:r>
      <w:r w:rsidR="00D0258C" w:rsidRPr="00126F6F">
        <w:rPr>
          <w:rFonts w:ascii="Times New Roman" w:hAnsi="Times New Roman"/>
          <w:bCs/>
          <w:sz w:val="22"/>
          <w:szCs w:val="22"/>
        </w:rPr>
        <w:t>EAE</w:t>
      </w:r>
      <w:r w:rsidR="00D0258C">
        <w:rPr>
          <w:rFonts w:ascii="Times New Roman" w:hAnsi="Times New Roman"/>
          <w:bCs/>
          <w:i/>
          <w:iCs/>
          <w:sz w:val="22"/>
          <w:szCs w:val="22"/>
        </w:rPr>
        <w:t xml:space="preserve"> </w:t>
      </w:r>
      <w:r w:rsidR="00D0258C">
        <w:rPr>
          <w:rFonts w:ascii="Times New Roman" w:hAnsi="Times New Roman"/>
          <w:bCs/>
          <w:sz w:val="22"/>
          <w:szCs w:val="22"/>
        </w:rPr>
        <w:t>and also provide information of their work.</w:t>
      </w:r>
      <w:r w:rsidR="00D0258C">
        <w:rPr>
          <w:rStyle w:val="FootnoteReference"/>
          <w:rFonts w:ascii="Times New Roman" w:hAnsi="Times New Roman"/>
          <w:bCs/>
          <w:sz w:val="22"/>
          <w:szCs w:val="22"/>
        </w:rPr>
        <w:footnoteReference w:id="20"/>
      </w:r>
      <w:r w:rsidR="00D0258C">
        <w:rPr>
          <w:rFonts w:ascii="Times New Roman" w:hAnsi="Times New Roman"/>
          <w:bCs/>
          <w:sz w:val="22"/>
          <w:szCs w:val="22"/>
        </w:rPr>
        <w:t xml:space="preserve"> </w:t>
      </w:r>
      <w:r w:rsidR="00D0258C" w:rsidRPr="005D179B">
        <w:rPr>
          <w:rFonts w:ascii="Times New Roman" w:hAnsi="Times New Roman"/>
          <w:bCs/>
          <w:sz w:val="22"/>
          <w:szCs w:val="22"/>
        </w:rPr>
        <w:t>More will be discussed later of the overall role these scholars played in ancient Mesopotamian society.</w:t>
      </w:r>
    </w:p>
    <w:p w14:paraId="0DCF4841" w14:textId="6D68B2E2" w:rsidR="00D0258C" w:rsidRDefault="00D0258C"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t xml:space="preserve">The relationship that was developed between cosmology and divination stems from the belief that the gods and goddess </w:t>
      </w:r>
      <w:r w:rsidR="00126F6F">
        <w:rPr>
          <w:rFonts w:ascii="Times New Roman" w:hAnsi="Times New Roman"/>
          <w:bCs/>
          <w:sz w:val="22"/>
          <w:szCs w:val="22"/>
        </w:rPr>
        <w:t xml:space="preserve">interacted with </w:t>
      </w:r>
      <w:r w:rsidR="00ED2D63">
        <w:rPr>
          <w:rFonts w:ascii="Times New Roman" w:hAnsi="Times New Roman"/>
          <w:bCs/>
          <w:sz w:val="22"/>
          <w:szCs w:val="22"/>
        </w:rPr>
        <w:t>their human creations through various signs and wonders found in the sky.</w:t>
      </w:r>
      <w:r w:rsidR="0089611E">
        <w:rPr>
          <w:rStyle w:val="FootnoteReference"/>
          <w:rFonts w:ascii="Times New Roman" w:hAnsi="Times New Roman"/>
          <w:bCs/>
          <w:sz w:val="22"/>
          <w:szCs w:val="22"/>
        </w:rPr>
        <w:footnoteReference w:id="21"/>
      </w:r>
      <w:r w:rsidR="00143055">
        <w:rPr>
          <w:rFonts w:ascii="Times New Roman" w:hAnsi="Times New Roman"/>
          <w:bCs/>
          <w:sz w:val="22"/>
          <w:szCs w:val="22"/>
        </w:rPr>
        <w:t xml:space="preserve">  </w:t>
      </w:r>
      <w:r w:rsidR="004C3968">
        <w:rPr>
          <w:rFonts w:ascii="Times New Roman" w:hAnsi="Times New Roman"/>
          <w:bCs/>
          <w:sz w:val="22"/>
          <w:szCs w:val="22"/>
        </w:rPr>
        <w:t xml:space="preserve">This is an expression of </w:t>
      </w:r>
      <w:r w:rsidR="001C52F7">
        <w:rPr>
          <w:rFonts w:ascii="Times New Roman" w:hAnsi="Times New Roman"/>
          <w:bCs/>
          <w:sz w:val="22"/>
          <w:szCs w:val="22"/>
        </w:rPr>
        <w:t>a god-client communication which is mediated by a</w:t>
      </w:r>
      <w:r w:rsidR="00066585">
        <w:rPr>
          <w:rFonts w:ascii="Times New Roman" w:hAnsi="Times New Roman"/>
          <w:bCs/>
          <w:sz w:val="22"/>
          <w:szCs w:val="22"/>
        </w:rPr>
        <w:t xml:space="preserve"> diviner that serves as</w:t>
      </w:r>
      <w:r w:rsidR="00F115A2">
        <w:rPr>
          <w:rFonts w:ascii="Times New Roman" w:hAnsi="Times New Roman"/>
          <w:bCs/>
          <w:sz w:val="22"/>
          <w:szCs w:val="22"/>
        </w:rPr>
        <w:t xml:space="preserve"> a decipherer of </w:t>
      </w:r>
      <w:r w:rsidR="00F861FE">
        <w:rPr>
          <w:rFonts w:ascii="Times New Roman" w:hAnsi="Times New Roman"/>
          <w:bCs/>
          <w:sz w:val="22"/>
          <w:szCs w:val="22"/>
        </w:rPr>
        <w:t>the messages as embedded in the phenomena found in the sky.</w:t>
      </w:r>
      <w:r w:rsidR="00F861FE">
        <w:rPr>
          <w:rStyle w:val="FootnoteReference"/>
          <w:rFonts w:ascii="Times New Roman" w:hAnsi="Times New Roman"/>
          <w:bCs/>
          <w:sz w:val="22"/>
          <w:szCs w:val="22"/>
        </w:rPr>
        <w:footnoteReference w:id="22"/>
      </w:r>
      <w:r w:rsidR="004B6827">
        <w:rPr>
          <w:rFonts w:ascii="Times New Roman" w:hAnsi="Times New Roman"/>
          <w:bCs/>
          <w:sz w:val="22"/>
          <w:szCs w:val="22"/>
        </w:rPr>
        <w:t xml:space="preserve">  </w:t>
      </w:r>
      <w:r w:rsidR="00FC12E0">
        <w:rPr>
          <w:rFonts w:ascii="Times New Roman" w:hAnsi="Times New Roman"/>
          <w:bCs/>
          <w:sz w:val="22"/>
          <w:szCs w:val="22"/>
        </w:rPr>
        <w:t>The various celestial bodies of the sky</w:t>
      </w:r>
      <w:r w:rsidR="00DE6ACD">
        <w:rPr>
          <w:rFonts w:ascii="Times New Roman" w:hAnsi="Times New Roman"/>
          <w:bCs/>
          <w:sz w:val="22"/>
          <w:szCs w:val="22"/>
        </w:rPr>
        <w:t xml:space="preserve"> (</w:t>
      </w:r>
      <w:r w:rsidR="003753CA">
        <w:rPr>
          <w:rFonts w:ascii="Times New Roman" w:hAnsi="Times New Roman"/>
          <w:bCs/>
          <w:sz w:val="22"/>
          <w:szCs w:val="22"/>
        </w:rPr>
        <w:t>e.g.,</w:t>
      </w:r>
      <w:r w:rsidR="004E7F29">
        <w:rPr>
          <w:rFonts w:ascii="Times New Roman" w:hAnsi="Times New Roman"/>
          <w:bCs/>
          <w:sz w:val="22"/>
          <w:szCs w:val="22"/>
        </w:rPr>
        <w:t xml:space="preserve"> the sun, moon, </w:t>
      </w:r>
      <w:r w:rsidR="003753CA">
        <w:rPr>
          <w:rFonts w:ascii="Times New Roman" w:hAnsi="Times New Roman"/>
          <w:bCs/>
          <w:sz w:val="22"/>
          <w:szCs w:val="22"/>
        </w:rPr>
        <w:t xml:space="preserve">and planets) were considered a personification of the </w:t>
      </w:r>
      <w:r w:rsidR="00E67EE8">
        <w:rPr>
          <w:rFonts w:ascii="Times New Roman" w:hAnsi="Times New Roman"/>
          <w:bCs/>
          <w:sz w:val="22"/>
          <w:szCs w:val="22"/>
        </w:rPr>
        <w:t>gods and goddesses</w:t>
      </w:r>
      <w:r w:rsidR="003753CA">
        <w:rPr>
          <w:rFonts w:ascii="Times New Roman" w:hAnsi="Times New Roman"/>
          <w:bCs/>
          <w:sz w:val="22"/>
          <w:szCs w:val="22"/>
        </w:rPr>
        <w:t xml:space="preserve"> they represent</w:t>
      </w:r>
      <w:r w:rsidR="009557B8">
        <w:rPr>
          <w:rFonts w:ascii="Times New Roman" w:hAnsi="Times New Roman"/>
          <w:bCs/>
          <w:sz w:val="22"/>
          <w:szCs w:val="22"/>
        </w:rPr>
        <w:t>ed.</w:t>
      </w:r>
      <w:r w:rsidR="009557B8">
        <w:rPr>
          <w:rStyle w:val="FootnoteReference"/>
          <w:rFonts w:ascii="Times New Roman" w:hAnsi="Times New Roman"/>
          <w:bCs/>
          <w:sz w:val="22"/>
          <w:szCs w:val="22"/>
        </w:rPr>
        <w:footnoteReference w:id="23"/>
      </w:r>
      <w:r w:rsidR="00BA11BD">
        <w:rPr>
          <w:rFonts w:ascii="Times New Roman" w:hAnsi="Times New Roman"/>
          <w:bCs/>
          <w:sz w:val="22"/>
          <w:szCs w:val="22"/>
        </w:rPr>
        <w:t xml:space="preserve">  </w:t>
      </w:r>
      <w:r w:rsidR="002E6ED2">
        <w:rPr>
          <w:rFonts w:ascii="Times New Roman" w:hAnsi="Times New Roman"/>
          <w:bCs/>
          <w:sz w:val="22"/>
          <w:szCs w:val="22"/>
        </w:rPr>
        <w:t>The</w:t>
      </w:r>
      <w:r w:rsidR="00C57A92">
        <w:rPr>
          <w:rFonts w:ascii="Times New Roman" w:hAnsi="Times New Roman"/>
          <w:bCs/>
          <w:sz w:val="22"/>
          <w:szCs w:val="22"/>
        </w:rPr>
        <w:t xml:space="preserve"> changing movements of these celestial bodies, the changes in their appearance and position in relation to each other, </w:t>
      </w:r>
      <w:r w:rsidR="00EE4C90">
        <w:rPr>
          <w:rFonts w:ascii="Times New Roman" w:hAnsi="Times New Roman"/>
          <w:bCs/>
          <w:sz w:val="22"/>
          <w:szCs w:val="22"/>
        </w:rPr>
        <w:t xml:space="preserve">shows the will of the gods </w:t>
      </w:r>
      <w:r w:rsidR="00200B03">
        <w:rPr>
          <w:rFonts w:ascii="Times New Roman" w:hAnsi="Times New Roman"/>
          <w:bCs/>
          <w:sz w:val="22"/>
          <w:szCs w:val="22"/>
        </w:rPr>
        <w:t>or is seen as a message from them about future events that may unfold.</w:t>
      </w:r>
      <w:r w:rsidR="00200B03">
        <w:rPr>
          <w:rStyle w:val="FootnoteReference"/>
          <w:rFonts w:ascii="Times New Roman" w:hAnsi="Times New Roman"/>
          <w:bCs/>
          <w:sz w:val="22"/>
          <w:szCs w:val="22"/>
        </w:rPr>
        <w:footnoteReference w:id="24"/>
      </w:r>
    </w:p>
    <w:p w14:paraId="744BC8CE" w14:textId="017654B0" w:rsidR="00A06FC6" w:rsidRDefault="00A06FC6"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D75E74">
        <w:rPr>
          <w:rFonts w:ascii="Times New Roman" w:hAnsi="Times New Roman"/>
          <w:bCs/>
          <w:sz w:val="22"/>
          <w:szCs w:val="22"/>
        </w:rPr>
        <w:t xml:space="preserve">This begs the question, did the ancient Mesopotamians view these celestial bodies as the deities themselves or as </w:t>
      </w:r>
      <w:r w:rsidR="004428B7">
        <w:rPr>
          <w:rFonts w:ascii="Times New Roman" w:hAnsi="Times New Roman"/>
          <w:bCs/>
          <w:sz w:val="22"/>
          <w:szCs w:val="22"/>
        </w:rPr>
        <w:t>simply as manif</w:t>
      </w:r>
      <w:r w:rsidR="000F6249">
        <w:rPr>
          <w:rFonts w:ascii="Times New Roman" w:hAnsi="Times New Roman"/>
          <w:bCs/>
          <w:sz w:val="22"/>
          <w:szCs w:val="22"/>
        </w:rPr>
        <w:t>estations of the gods and goddesses they represented?</w:t>
      </w:r>
      <w:r w:rsidR="00787713">
        <w:rPr>
          <w:rFonts w:ascii="Times New Roman" w:hAnsi="Times New Roman"/>
          <w:bCs/>
          <w:sz w:val="22"/>
          <w:szCs w:val="22"/>
        </w:rPr>
        <w:t xml:space="preserve">  </w:t>
      </w:r>
      <w:r w:rsidR="004E6CC0">
        <w:rPr>
          <w:rFonts w:ascii="Times New Roman" w:hAnsi="Times New Roman"/>
          <w:bCs/>
          <w:sz w:val="22"/>
          <w:szCs w:val="22"/>
        </w:rPr>
        <w:t>Within the EAE, the celestial bodies are personified</w:t>
      </w:r>
      <w:r w:rsidR="006563BF">
        <w:rPr>
          <w:rFonts w:ascii="Times New Roman" w:hAnsi="Times New Roman"/>
          <w:bCs/>
          <w:sz w:val="22"/>
          <w:szCs w:val="22"/>
        </w:rPr>
        <w:t xml:space="preserve"> in the protases</w:t>
      </w:r>
      <w:r w:rsidR="00367283">
        <w:rPr>
          <w:rFonts w:ascii="Times New Roman" w:hAnsi="Times New Roman"/>
          <w:bCs/>
          <w:sz w:val="22"/>
          <w:szCs w:val="22"/>
        </w:rPr>
        <w:t xml:space="preserve"> </w:t>
      </w:r>
      <w:r w:rsidR="00A276EB">
        <w:rPr>
          <w:rFonts w:ascii="Times New Roman" w:hAnsi="Times New Roman"/>
          <w:bCs/>
          <w:sz w:val="22"/>
          <w:szCs w:val="22"/>
        </w:rPr>
        <w:t xml:space="preserve">using anthropomorphic images while referring to the </w:t>
      </w:r>
      <w:r w:rsidR="004B51AE">
        <w:rPr>
          <w:rFonts w:ascii="Times New Roman" w:hAnsi="Times New Roman"/>
          <w:bCs/>
          <w:sz w:val="22"/>
          <w:szCs w:val="22"/>
        </w:rPr>
        <w:t>deity</w:t>
      </w:r>
      <w:r w:rsidR="00A276EB">
        <w:rPr>
          <w:rFonts w:ascii="Times New Roman" w:hAnsi="Times New Roman"/>
          <w:bCs/>
          <w:sz w:val="22"/>
          <w:szCs w:val="22"/>
        </w:rPr>
        <w:t xml:space="preserve"> </w:t>
      </w:r>
      <w:r w:rsidR="008237BE">
        <w:rPr>
          <w:rFonts w:ascii="Times New Roman" w:hAnsi="Times New Roman"/>
          <w:bCs/>
          <w:sz w:val="22"/>
          <w:szCs w:val="22"/>
        </w:rPr>
        <w:t xml:space="preserve">which the celestial body </w:t>
      </w:r>
      <w:r w:rsidR="00053AB4">
        <w:rPr>
          <w:rFonts w:ascii="Times New Roman" w:hAnsi="Times New Roman"/>
          <w:bCs/>
          <w:sz w:val="22"/>
          <w:szCs w:val="22"/>
        </w:rPr>
        <w:t>is</w:t>
      </w:r>
      <w:r w:rsidR="008237BE">
        <w:rPr>
          <w:rFonts w:ascii="Times New Roman" w:hAnsi="Times New Roman"/>
          <w:bCs/>
          <w:sz w:val="22"/>
          <w:szCs w:val="22"/>
        </w:rPr>
        <w:t xml:space="preserve"> a manifestation.</w:t>
      </w:r>
      <w:r w:rsidR="00815D32">
        <w:rPr>
          <w:rStyle w:val="FootnoteReference"/>
          <w:rFonts w:ascii="Times New Roman" w:hAnsi="Times New Roman"/>
          <w:bCs/>
          <w:sz w:val="22"/>
          <w:szCs w:val="22"/>
        </w:rPr>
        <w:footnoteReference w:id="25"/>
      </w:r>
      <w:r w:rsidR="00951E77">
        <w:rPr>
          <w:rFonts w:ascii="Times New Roman" w:hAnsi="Times New Roman"/>
          <w:bCs/>
          <w:sz w:val="22"/>
          <w:szCs w:val="22"/>
        </w:rPr>
        <w:t xml:space="preserve">  </w:t>
      </w:r>
      <w:r w:rsidR="004B51AE">
        <w:rPr>
          <w:rFonts w:ascii="Times New Roman" w:hAnsi="Times New Roman"/>
          <w:bCs/>
          <w:sz w:val="22"/>
          <w:szCs w:val="22"/>
        </w:rPr>
        <w:t xml:space="preserve">Rochberg argues that these </w:t>
      </w:r>
      <w:r w:rsidR="00B65350">
        <w:rPr>
          <w:rFonts w:ascii="Times New Roman" w:hAnsi="Times New Roman"/>
          <w:bCs/>
          <w:sz w:val="22"/>
          <w:szCs w:val="22"/>
        </w:rPr>
        <w:t>references</w:t>
      </w:r>
      <w:r w:rsidR="004B51AE">
        <w:rPr>
          <w:rFonts w:ascii="Times New Roman" w:hAnsi="Times New Roman"/>
          <w:bCs/>
          <w:sz w:val="22"/>
          <w:szCs w:val="22"/>
        </w:rPr>
        <w:t xml:space="preserve"> are simply metaphor and that the </w:t>
      </w:r>
      <w:r w:rsidR="0071539A">
        <w:rPr>
          <w:rFonts w:ascii="Times New Roman" w:hAnsi="Times New Roman"/>
          <w:bCs/>
          <w:sz w:val="22"/>
          <w:szCs w:val="22"/>
        </w:rPr>
        <w:t>celestial bodies were not the gods themselves, but s</w:t>
      </w:r>
      <w:r w:rsidR="00053AB4">
        <w:rPr>
          <w:rFonts w:ascii="Times New Roman" w:hAnsi="Times New Roman"/>
          <w:bCs/>
          <w:sz w:val="22"/>
          <w:szCs w:val="22"/>
        </w:rPr>
        <w:t>imply represented the gods they were named after.</w:t>
      </w:r>
      <w:r w:rsidR="00053AB4">
        <w:rPr>
          <w:rStyle w:val="FootnoteReference"/>
          <w:rFonts w:ascii="Times New Roman" w:hAnsi="Times New Roman"/>
          <w:bCs/>
          <w:sz w:val="22"/>
          <w:szCs w:val="22"/>
        </w:rPr>
        <w:footnoteReference w:id="26"/>
      </w:r>
      <w:r w:rsidR="00B65350">
        <w:rPr>
          <w:rFonts w:ascii="Times New Roman" w:hAnsi="Times New Roman"/>
          <w:bCs/>
          <w:sz w:val="22"/>
          <w:szCs w:val="22"/>
        </w:rPr>
        <w:t xml:space="preserve"> </w:t>
      </w:r>
      <w:r w:rsidR="006042EB">
        <w:rPr>
          <w:rFonts w:ascii="Times New Roman" w:hAnsi="Times New Roman"/>
          <w:bCs/>
          <w:sz w:val="22"/>
          <w:szCs w:val="22"/>
        </w:rPr>
        <w:t xml:space="preserve">These bodies are </w:t>
      </w:r>
      <w:r w:rsidR="00973D78">
        <w:rPr>
          <w:rFonts w:ascii="Times New Roman" w:hAnsi="Times New Roman"/>
          <w:bCs/>
          <w:sz w:val="22"/>
          <w:szCs w:val="22"/>
        </w:rPr>
        <w:t>not the literal gods, but only manifestations of the gods as a means of communicating with humanity</w:t>
      </w:r>
      <w:r w:rsidR="006F7A77">
        <w:rPr>
          <w:rFonts w:ascii="Times New Roman" w:hAnsi="Times New Roman"/>
          <w:bCs/>
          <w:sz w:val="22"/>
          <w:szCs w:val="22"/>
        </w:rPr>
        <w:t xml:space="preserve"> the political or economic future of the kingdom</w:t>
      </w:r>
      <w:r w:rsidR="00907686">
        <w:rPr>
          <w:rFonts w:ascii="Times New Roman" w:hAnsi="Times New Roman"/>
          <w:bCs/>
          <w:sz w:val="22"/>
          <w:szCs w:val="22"/>
        </w:rPr>
        <w:t>.</w:t>
      </w:r>
      <w:r w:rsidR="00907686">
        <w:rPr>
          <w:rStyle w:val="FootnoteReference"/>
          <w:rFonts w:ascii="Times New Roman" w:hAnsi="Times New Roman"/>
          <w:bCs/>
          <w:sz w:val="22"/>
          <w:szCs w:val="22"/>
        </w:rPr>
        <w:footnoteReference w:id="27"/>
      </w:r>
      <w:r w:rsidR="000030B2">
        <w:rPr>
          <w:rFonts w:ascii="Times New Roman" w:hAnsi="Times New Roman"/>
          <w:bCs/>
          <w:sz w:val="22"/>
          <w:szCs w:val="22"/>
        </w:rPr>
        <w:t xml:space="preserve">  This allows for the divine to </w:t>
      </w:r>
      <w:r w:rsidR="00724C5D">
        <w:rPr>
          <w:rFonts w:ascii="Times New Roman" w:hAnsi="Times New Roman"/>
          <w:bCs/>
          <w:sz w:val="22"/>
          <w:szCs w:val="22"/>
        </w:rPr>
        <w:t>serve as a vehicle for the description o</w:t>
      </w:r>
      <w:r w:rsidR="00F03FF2">
        <w:rPr>
          <w:rFonts w:ascii="Times New Roman" w:hAnsi="Times New Roman"/>
          <w:bCs/>
          <w:sz w:val="22"/>
          <w:szCs w:val="22"/>
        </w:rPr>
        <w:t>f the phenomenon.</w:t>
      </w:r>
      <w:r w:rsidR="00F03FF2">
        <w:rPr>
          <w:rStyle w:val="FootnoteReference"/>
          <w:rFonts w:ascii="Times New Roman" w:hAnsi="Times New Roman"/>
          <w:bCs/>
          <w:sz w:val="22"/>
          <w:szCs w:val="22"/>
        </w:rPr>
        <w:footnoteReference w:id="28"/>
      </w:r>
      <w:r w:rsidR="00F03FF2">
        <w:rPr>
          <w:rFonts w:ascii="Times New Roman" w:hAnsi="Times New Roman"/>
          <w:bCs/>
          <w:sz w:val="22"/>
          <w:szCs w:val="22"/>
        </w:rPr>
        <w:t xml:space="preserve">  </w:t>
      </w:r>
      <w:r w:rsidR="009D6124">
        <w:rPr>
          <w:rFonts w:ascii="Times New Roman" w:hAnsi="Times New Roman"/>
          <w:bCs/>
          <w:sz w:val="22"/>
          <w:szCs w:val="22"/>
        </w:rPr>
        <w:t>To illustrate this, Rochberg uses the example of the moon being in mourning or in distress as an expression of a lunar eclipse.</w:t>
      </w:r>
      <w:r w:rsidR="009D6124">
        <w:rPr>
          <w:rStyle w:val="FootnoteReference"/>
          <w:rFonts w:ascii="Times New Roman" w:hAnsi="Times New Roman"/>
          <w:bCs/>
          <w:sz w:val="22"/>
          <w:szCs w:val="22"/>
        </w:rPr>
        <w:footnoteReference w:id="29"/>
      </w:r>
      <w:r w:rsidR="009D6124">
        <w:rPr>
          <w:rFonts w:ascii="Times New Roman" w:hAnsi="Times New Roman"/>
          <w:bCs/>
          <w:sz w:val="22"/>
          <w:szCs w:val="22"/>
        </w:rPr>
        <w:t xml:space="preserve">  </w:t>
      </w:r>
      <w:r w:rsidR="00A01795">
        <w:rPr>
          <w:rFonts w:ascii="Times New Roman" w:hAnsi="Times New Roman"/>
          <w:bCs/>
          <w:sz w:val="22"/>
          <w:szCs w:val="22"/>
        </w:rPr>
        <w:t xml:space="preserve">This is seen even in the Old Babylonian period, where the moon is </w:t>
      </w:r>
      <w:r w:rsidR="00E81704">
        <w:rPr>
          <w:rFonts w:ascii="Times New Roman" w:hAnsi="Times New Roman"/>
          <w:bCs/>
          <w:sz w:val="22"/>
          <w:szCs w:val="22"/>
        </w:rPr>
        <w:t>only referred to as “the god.”</w:t>
      </w:r>
      <w:r w:rsidR="00E81704">
        <w:rPr>
          <w:rStyle w:val="FootnoteReference"/>
          <w:rFonts w:ascii="Times New Roman" w:hAnsi="Times New Roman"/>
          <w:bCs/>
          <w:sz w:val="22"/>
          <w:szCs w:val="22"/>
        </w:rPr>
        <w:footnoteReference w:id="30"/>
      </w:r>
      <w:r w:rsidR="00327E24">
        <w:rPr>
          <w:rFonts w:ascii="Times New Roman" w:hAnsi="Times New Roman"/>
          <w:bCs/>
          <w:sz w:val="22"/>
          <w:szCs w:val="22"/>
        </w:rPr>
        <w:t xml:space="preserve"> </w:t>
      </w:r>
      <w:r w:rsidR="00BA2D09">
        <w:rPr>
          <w:rFonts w:ascii="Times New Roman" w:hAnsi="Times New Roman"/>
          <w:bCs/>
          <w:sz w:val="22"/>
          <w:szCs w:val="22"/>
        </w:rPr>
        <w:t>Would this not be an indication that the ancient Mesopotamians viewed the heavenly bodies as t</w:t>
      </w:r>
      <w:r w:rsidR="00F30FC0">
        <w:rPr>
          <w:rFonts w:ascii="Times New Roman" w:hAnsi="Times New Roman"/>
          <w:bCs/>
          <w:sz w:val="22"/>
          <w:szCs w:val="22"/>
        </w:rPr>
        <w:t xml:space="preserve">he actual deities?  Not quite.  More investigation shows that </w:t>
      </w:r>
      <w:r w:rsidR="00315A4F">
        <w:rPr>
          <w:rFonts w:ascii="Times New Roman" w:hAnsi="Times New Roman"/>
          <w:bCs/>
          <w:sz w:val="22"/>
          <w:szCs w:val="22"/>
        </w:rPr>
        <w:t xml:space="preserve">these statements are merely metaphors that </w:t>
      </w:r>
      <w:r w:rsidR="003D17AD">
        <w:rPr>
          <w:rFonts w:ascii="Times New Roman" w:hAnsi="Times New Roman"/>
          <w:bCs/>
          <w:sz w:val="22"/>
          <w:szCs w:val="22"/>
        </w:rPr>
        <w:t xml:space="preserve">imply a </w:t>
      </w:r>
      <w:r w:rsidR="009F6C85">
        <w:rPr>
          <w:rFonts w:ascii="Times New Roman" w:hAnsi="Times New Roman"/>
          <w:bCs/>
          <w:sz w:val="22"/>
          <w:szCs w:val="22"/>
        </w:rPr>
        <w:t>connection</w:t>
      </w:r>
      <w:r w:rsidR="003D17AD">
        <w:rPr>
          <w:rFonts w:ascii="Times New Roman" w:hAnsi="Times New Roman"/>
          <w:bCs/>
          <w:sz w:val="22"/>
          <w:szCs w:val="22"/>
        </w:rPr>
        <w:t xml:space="preserve"> of the physical moon </w:t>
      </w:r>
      <w:r w:rsidR="003D17AD">
        <w:rPr>
          <w:rFonts w:ascii="Times New Roman" w:hAnsi="Times New Roman"/>
          <w:bCs/>
          <w:sz w:val="22"/>
          <w:szCs w:val="22"/>
        </w:rPr>
        <w:lastRenderedPageBreak/>
        <w:t>as a representation o</w:t>
      </w:r>
      <w:r w:rsidR="009F2776">
        <w:rPr>
          <w:rFonts w:ascii="Times New Roman" w:hAnsi="Times New Roman"/>
          <w:bCs/>
          <w:sz w:val="22"/>
          <w:szCs w:val="22"/>
        </w:rPr>
        <w:t>f the god Sin.</w:t>
      </w:r>
      <w:r w:rsidR="009F2776">
        <w:rPr>
          <w:rStyle w:val="FootnoteReference"/>
          <w:rFonts w:ascii="Times New Roman" w:hAnsi="Times New Roman"/>
          <w:bCs/>
          <w:sz w:val="22"/>
          <w:szCs w:val="22"/>
        </w:rPr>
        <w:footnoteReference w:id="31"/>
      </w:r>
      <w:r w:rsidR="009F2776">
        <w:rPr>
          <w:rFonts w:ascii="Times New Roman" w:hAnsi="Times New Roman"/>
          <w:bCs/>
          <w:sz w:val="22"/>
          <w:szCs w:val="22"/>
        </w:rPr>
        <w:t xml:space="preserve"> </w:t>
      </w:r>
      <w:r w:rsidR="00E26AAE">
        <w:rPr>
          <w:rFonts w:ascii="Times New Roman" w:hAnsi="Times New Roman"/>
          <w:bCs/>
          <w:sz w:val="22"/>
          <w:szCs w:val="22"/>
        </w:rPr>
        <w:t xml:space="preserve">Within these celestial omens found in EAE is an empirical investigation of physical phenomena </w:t>
      </w:r>
      <w:r w:rsidR="00BB0B58">
        <w:rPr>
          <w:rFonts w:ascii="Times New Roman" w:hAnsi="Times New Roman"/>
          <w:bCs/>
          <w:sz w:val="22"/>
          <w:szCs w:val="22"/>
        </w:rPr>
        <w:t>that was compatible with a conception of the celestial bodies being manifestations of the gods.</w:t>
      </w:r>
      <w:r w:rsidR="00BB0B58">
        <w:rPr>
          <w:rStyle w:val="FootnoteReference"/>
          <w:rFonts w:ascii="Times New Roman" w:hAnsi="Times New Roman"/>
          <w:bCs/>
          <w:sz w:val="22"/>
          <w:szCs w:val="22"/>
        </w:rPr>
        <w:footnoteReference w:id="32"/>
      </w:r>
      <w:r w:rsidR="00BB0B58">
        <w:rPr>
          <w:rFonts w:ascii="Times New Roman" w:hAnsi="Times New Roman"/>
          <w:bCs/>
          <w:sz w:val="22"/>
          <w:szCs w:val="22"/>
        </w:rPr>
        <w:t xml:space="preserve"> </w:t>
      </w:r>
      <w:r w:rsidR="00610F3E">
        <w:rPr>
          <w:rFonts w:ascii="Times New Roman" w:hAnsi="Times New Roman"/>
          <w:bCs/>
          <w:sz w:val="22"/>
          <w:szCs w:val="22"/>
        </w:rPr>
        <w:t xml:space="preserve">The belief in these manifestations led to the </w:t>
      </w:r>
      <w:r w:rsidR="009C59C3">
        <w:rPr>
          <w:rFonts w:ascii="Times New Roman" w:hAnsi="Times New Roman"/>
          <w:bCs/>
          <w:sz w:val="22"/>
          <w:szCs w:val="22"/>
        </w:rPr>
        <w:t>investigations of the phenomena and what they could possibly</w:t>
      </w:r>
      <w:r w:rsidR="00195B54">
        <w:rPr>
          <w:rFonts w:ascii="Times New Roman" w:hAnsi="Times New Roman"/>
          <w:bCs/>
          <w:sz w:val="22"/>
          <w:szCs w:val="22"/>
        </w:rPr>
        <w:t xml:space="preserve"> tell humanity.</w:t>
      </w:r>
      <w:r w:rsidR="00195B54">
        <w:rPr>
          <w:rStyle w:val="FootnoteReference"/>
          <w:rFonts w:ascii="Times New Roman" w:hAnsi="Times New Roman"/>
          <w:bCs/>
          <w:sz w:val="22"/>
          <w:szCs w:val="22"/>
        </w:rPr>
        <w:footnoteReference w:id="33"/>
      </w:r>
      <w:r w:rsidR="00421892">
        <w:rPr>
          <w:rFonts w:ascii="Times New Roman" w:hAnsi="Times New Roman"/>
          <w:bCs/>
          <w:sz w:val="22"/>
          <w:szCs w:val="22"/>
        </w:rPr>
        <w:t xml:space="preserve">  </w:t>
      </w:r>
      <w:r w:rsidR="001503E6">
        <w:rPr>
          <w:rFonts w:ascii="Times New Roman" w:hAnsi="Times New Roman"/>
          <w:bCs/>
          <w:sz w:val="22"/>
          <w:szCs w:val="22"/>
        </w:rPr>
        <w:t xml:space="preserve">If one was to </w:t>
      </w:r>
      <w:r w:rsidR="005E72CF">
        <w:rPr>
          <w:rFonts w:ascii="Times New Roman" w:hAnsi="Times New Roman"/>
          <w:bCs/>
          <w:sz w:val="22"/>
          <w:szCs w:val="22"/>
        </w:rPr>
        <w:t xml:space="preserve">view the descriptions of the celestial bodies within the EAE </w:t>
      </w:r>
      <w:r w:rsidR="00464803">
        <w:rPr>
          <w:rFonts w:ascii="Times New Roman" w:hAnsi="Times New Roman"/>
          <w:bCs/>
          <w:sz w:val="22"/>
          <w:szCs w:val="22"/>
        </w:rPr>
        <w:t xml:space="preserve">as being the specific god or goddess referred to, then the </w:t>
      </w:r>
      <w:r w:rsidR="00D34C7E">
        <w:rPr>
          <w:rFonts w:ascii="Times New Roman" w:hAnsi="Times New Roman"/>
          <w:bCs/>
          <w:sz w:val="22"/>
          <w:szCs w:val="22"/>
        </w:rPr>
        <w:t>apodosis of these omens would not make sense.</w:t>
      </w:r>
      <w:r w:rsidR="00D34C7E">
        <w:rPr>
          <w:rStyle w:val="FootnoteReference"/>
          <w:rFonts w:ascii="Times New Roman" w:hAnsi="Times New Roman"/>
          <w:bCs/>
          <w:sz w:val="22"/>
          <w:szCs w:val="22"/>
        </w:rPr>
        <w:footnoteReference w:id="34"/>
      </w:r>
      <w:r w:rsidR="00283DF3">
        <w:rPr>
          <w:rFonts w:ascii="Times New Roman" w:hAnsi="Times New Roman"/>
          <w:bCs/>
          <w:sz w:val="22"/>
          <w:szCs w:val="22"/>
        </w:rPr>
        <w:t xml:space="preserve">  An actual reference to a grieving god </w:t>
      </w:r>
      <w:r w:rsidR="00185266">
        <w:rPr>
          <w:rFonts w:ascii="Times New Roman" w:hAnsi="Times New Roman"/>
          <w:bCs/>
          <w:sz w:val="22"/>
          <w:szCs w:val="22"/>
        </w:rPr>
        <w:t xml:space="preserve">would not correlate in a meaningful way, while a metaphorical reference of this state describing </w:t>
      </w:r>
      <w:r w:rsidR="00C41EEF">
        <w:rPr>
          <w:rFonts w:ascii="Times New Roman" w:hAnsi="Times New Roman"/>
          <w:bCs/>
          <w:sz w:val="22"/>
          <w:szCs w:val="22"/>
        </w:rPr>
        <w:t xml:space="preserve">the physical changes that are occurring in the sky does </w:t>
      </w:r>
      <w:r w:rsidR="00B45BE5">
        <w:rPr>
          <w:rFonts w:ascii="Times New Roman" w:hAnsi="Times New Roman"/>
          <w:bCs/>
          <w:sz w:val="22"/>
          <w:szCs w:val="22"/>
        </w:rPr>
        <w:t>provide a meaningful correlation.</w:t>
      </w:r>
      <w:r w:rsidR="00B45BE5">
        <w:rPr>
          <w:rStyle w:val="FootnoteReference"/>
          <w:rFonts w:ascii="Times New Roman" w:hAnsi="Times New Roman"/>
          <w:bCs/>
          <w:sz w:val="22"/>
          <w:szCs w:val="22"/>
        </w:rPr>
        <w:footnoteReference w:id="35"/>
      </w:r>
      <w:r w:rsidR="006B7FA2">
        <w:rPr>
          <w:rFonts w:ascii="Times New Roman" w:hAnsi="Times New Roman"/>
          <w:bCs/>
          <w:sz w:val="22"/>
          <w:szCs w:val="22"/>
        </w:rPr>
        <w:t xml:space="preserve">  </w:t>
      </w:r>
      <w:r w:rsidR="00C7095A">
        <w:rPr>
          <w:rFonts w:ascii="Times New Roman" w:hAnsi="Times New Roman"/>
          <w:bCs/>
          <w:sz w:val="22"/>
          <w:szCs w:val="22"/>
        </w:rPr>
        <w:t xml:space="preserve">If it were the case that </w:t>
      </w:r>
      <w:r w:rsidR="00404BB7">
        <w:rPr>
          <w:rFonts w:ascii="Times New Roman" w:hAnsi="Times New Roman"/>
          <w:bCs/>
          <w:sz w:val="22"/>
          <w:szCs w:val="22"/>
        </w:rPr>
        <w:t xml:space="preserve">these descriptions were referencing </w:t>
      </w:r>
      <w:r w:rsidR="00640D30">
        <w:rPr>
          <w:rFonts w:ascii="Times New Roman" w:hAnsi="Times New Roman"/>
          <w:bCs/>
          <w:sz w:val="22"/>
          <w:szCs w:val="22"/>
        </w:rPr>
        <w:t xml:space="preserve">the namesake deities, it would cause </w:t>
      </w:r>
      <w:r w:rsidR="008F681E">
        <w:rPr>
          <w:rFonts w:ascii="Times New Roman" w:hAnsi="Times New Roman"/>
          <w:bCs/>
          <w:sz w:val="22"/>
          <w:szCs w:val="22"/>
        </w:rPr>
        <w:t xml:space="preserve">the omen protases to be </w:t>
      </w:r>
      <w:r w:rsidR="00BC0A7C">
        <w:rPr>
          <w:rFonts w:ascii="Times New Roman" w:hAnsi="Times New Roman"/>
          <w:bCs/>
          <w:sz w:val="22"/>
          <w:szCs w:val="22"/>
        </w:rPr>
        <w:t>“nonsensical and the figurative references merely substitutive.”</w:t>
      </w:r>
      <w:r w:rsidR="00BC0A7C">
        <w:rPr>
          <w:rStyle w:val="FootnoteReference"/>
          <w:rFonts w:ascii="Times New Roman" w:hAnsi="Times New Roman"/>
          <w:bCs/>
          <w:sz w:val="22"/>
          <w:szCs w:val="22"/>
        </w:rPr>
        <w:footnoteReference w:id="36"/>
      </w:r>
      <w:r w:rsidR="00C95BDB">
        <w:rPr>
          <w:rFonts w:ascii="Times New Roman" w:hAnsi="Times New Roman"/>
          <w:bCs/>
          <w:sz w:val="22"/>
          <w:szCs w:val="22"/>
        </w:rPr>
        <w:t xml:space="preserve"> Stating th</w:t>
      </w:r>
      <w:r w:rsidR="009A1326">
        <w:rPr>
          <w:rFonts w:ascii="Times New Roman" w:hAnsi="Times New Roman"/>
          <w:bCs/>
          <w:sz w:val="22"/>
          <w:szCs w:val="22"/>
        </w:rPr>
        <w:t xml:space="preserve">e moon is in distress provides no aid in </w:t>
      </w:r>
      <w:r w:rsidR="00566195">
        <w:rPr>
          <w:rFonts w:ascii="Times New Roman" w:hAnsi="Times New Roman"/>
          <w:bCs/>
          <w:sz w:val="22"/>
          <w:szCs w:val="22"/>
        </w:rPr>
        <w:t xml:space="preserve">describing the actual appearance of the moon </w:t>
      </w:r>
      <w:r w:rsidR="00CF558A">
        <w:rPr>
          <w:rFonts w:ascii="Times New Roman" w:hAnsi="Times New Roman"/>
          <w:bCs/>
          <w:sz w:val="22"/>
          <w:szCs w:val="22"/>
        </w:rPr>
        <w:t xml:space="preserve">“if indeed </w:t>
      </w:r>
      <w:r w:rsidR="004D0536">
        <w:rPr>
          <w:rFonts w:ascii="Times New Roman" w:hAnsi="Times New Roman"/>
          <w:bCs/>
          <w:sz w:val="22"/>
          <w:szCs w:val="22"/>
        </w:rPr>
        <w:t>no distinction were made between the lunar manifestation of the moon god and the deity itself.”</w:t>
      </w:r>
      <w:r w:rsidR="004D0536">
        <w:rPr>
          <w:rStyle w:val="FootnoteReference"/>
          <w:rFonts w:ascii="Times New Roman" w:hAnsi="Times New Roman"/>
          <w:bCs/>
          <w:sz w:val="22"/>
          <w:szCs w:val="22"/>
        </w:rPr>
        <w:footnoteReference w:id="37"/>
      </w:r>
      <w:r w:rsidR="009A37EE">
        <w:rPr>
          <w:rFonts w:ascii="Times New Roman" w:hAnsi="Times New Roman"/>
          <w:bCs/>
          <w:sz w:val="22"/>
          <w:szCs w:val="22"/>
        </w:rPr>
        <w:t xml:space="preserve"> The</w:t>
      </w:r>
      <w:r w:rsidR="009D3A86">
        <w:rPr>
          <w:rFonts w:ascii="Times New Roman" w:hAnsi="Times New Roman"/>
          <w:bCs/>
          <w:sz w:val="22"/>
          <w:szCs w:val="22"/>
        </w:rPr>
        <w:t xml:space="preserve"> use of figurative language is to provide a descriptive quality to </w:t>
      </w:r>
      <w:r w:rsidR="00014D6E">
        <w:rPr>
          <w:rFonts w:ascii="Times New Roman" w:hAnsi="Times New Roman"/>
          <w:bCs/>
          <w:sz w:val="22"/>
          <w:szCs w:val="22"/>
        </w:rPr>
        <w:t>the physical phenomena being described in which meaning can be inferred.</w:t>
      </w:r>
      <w:r w:rsidR="00014D6E">
        <w:rPr>
          <w:rStyle w:val="FootnoteReference"/>
          <w:rFonts w:ascii="Times New Roman" w:hAnsi="Times New Roman"/>
          <w:bCs/>
          <w:sz w:val="22"/>
          <w:szCs w:val="22"/>
        </w:rPr>
        <w:footnoteReference w:id="38"/>
      </w:r>
      <w:r w:rsidR="004D479E">
        <w:rPr>
          <w:rFonts w:ascii="Times New Roman" w:hAnsi="Times New Roman"/>
          <w:bCs/>
          <w:sz w:val="22"/>
          <w:szCs w:val="22"/>
        </w:rPr>
        <w:t xml:space="preserve"> </w:t>
      </w:r>
      <w:r w:rsidR="009D3C73">
        <w:rPr>
          <w:rFonts w:ascii="Times New Roman" w:hAnsi="Times New Roman"/>
          <w:bCs/>
          <w:sz w:val="22"/>
          <w:szCs w:val="22"/>
        </w:rPr>
        <w:t xml:space="preserve">The continued use of </w:t>
      </w:r>
      <w:r w:rsidR="009A509E">
        <w:rPr>
          <w:rFonts w:ascii="Times New Roman" w:hAnsi="Times New Roman"/>
          <w:bCs/>
          <w:sz w:val="22"/>
          <w:szCs w:val="22"/>
        </w:rPr>
        <w:t xml:space="preserve">these sayings, such as the moon being in distress or the beard of Venus, shows how these metaphors </w:t>
      </w:r>
      <w:r w:rsidR="00870BA2">
        <w:rPr>
          <w:rFonts w:ascii="Times New Roman" w:hAnsi="Times New Roman"/>
          <w:bCs/>
          <w:sz w:val="22"/>
          <w:szCs w:val="22"/>
        </w:rPr>
        <w:t xml:space="preserve">became idioms within the society of ancient Mesopotamia and </w:t>
      </w:r>
      <w:r w:rsidR="00B94CDB">
        <w:rPr>
          <w:rFonts w:ascii="Times New Roman" w:hAnsi="Times New Roman"/>
          <w:bCs/>
          <w:sz w:val="22"/>
          <w:szCs w:val="22"/>
        </w:rPr>
        <w:t xml:space="preserve">was able to carry </w:t>
      </w:r>
      <w:r w:rsidR="00AA4A31">
        <w:rPr>
          <w:rFonts w:ascii="Times New Roman" w:hAnsi="Times New Roman"/>
          <w:bCs/>
          <w:sz w:val="22"/>
          <w:szCs w:val="22"/>
        </w:rPr>
        <w:t>meaning over such a long period of time.</w:t>
      </w:r>
      <w:r w:rsidR="00AA4A31">
        <w:rPr>
          <w:rStyle w:val="FootnoteReference"/>
          <w:rFonts w:ascii="Times New Roman" w:hAnsi="Times New Roman"/>
          <w:bCs/>
          <w:sz w:val="22"/>
          <w:szCs w:val="22"/>
        </w:rPr>
        <w:footnoteReference w:id="39"/>
      </w:r>
    </w:p>
    <w:p w14:paraId="4E52032C" w14:textId="2975DDA9" w:rsidR="003D0A84" w:rsidRDefault="003D0A84"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212CC8">
        <w:rPr>
          <w:rFonts w:ascii="Times New Roman" w:hAnsi="Times New Roman"/>
          <w:bCs/>
          <w:sz w:val="22"/>
          <w:szCs w:val="22"/>
        </w:rPr>
        <w:t>Since the celestial bodies were viewed as merely manifestations of the deities of ancient Mesopotamia and not the</w:t>
      </w:r>
      <w:r w:rsidR="007A41F0">
        <w:rPr>
          <w:rFonts w:ascii="Times New Roman" w:hAnsi="Times New Roman"/>
          <w:bCs/>
          <w:sz w:val="22"/>
          <w:szCs w:val="22"/>
        </w:rPr>
        <w:t>ir literal forms</w:t>
      </w:r>
      <w:r w:rsidR="00FE0CBA">
        <w:rPr>
          <w:rFonts w:ascii="Times New Roman" w:hAnsi="Times New Roman"/>
          <w:bCs/>
          <w:sz w:val="22"/>
          <w:szCs w:val="22"/>
        </w:rPr>
        <w:t xml:space="preserve">, this provided a strong means of communication between the </w:t>
      </w:r>
      <w:r w:rsidR="00C65E05">
        <w:rPr>
          <w:rFonts w:ascii="Times New Roman" w:hAnsi="Times New Roman"/>
          <w:bCs/>
          <w:sz w:val="22"/>
          <w:szCs w:val="22"/>
        </w:rPr>
        <w:t xml:space="preserve">deities and humanity.  It is the gods that produce the phenomena </w:t>
      </w:r>
      <w:r w:rsidR="00783D5A">
        <w:rPr>
          <w:rFonts w:ascii="Times New Roman" w:hAnsi="Times New Roman"/>
          <w:bCs/>
          <w:sz w:val="22"/>
          <w:szCs w:val="22"/>
        </w:rPr>
        <w:t xml:space="preserve">and therefore </w:t>
      </w:r>
      <w:r w:rsidR="007723DC">
        <w:rPr>
          <w:rFonts w:ascii="Times New Roman" w:hAnsi="Times New Roman"/>
          <w:bCs/>
          <w:sz w:val="22"/>
          <w:szCs w:val="22"/>
        </w:rPr>
        <w:t>were given agency, since the omens came from them.</w:t>
      </w:r>
      <w:r w:rsidR="007723DC">
        <w:rPr>
          <w:rStyle w:val="FootnoteReference"/>
          <w:rFonts w:ascii="Times New Roman" w:hAnsi="Times New Roman"/>
          <w:bCs/>
          <w:sz w:val="22"/>
          <w:szCs w:val="22"/>
        </w:rPr>
        <w:footnoteReference w:id="40"/>
      </w:r>
      <w:r w:rsidR="00540BAA">
        <w:rPr>
          <w:rFonts w:ascii="Times New Roman" w:hAnsi="Times New Roman"/>
          <w:bCs/>
          <w:sz w:val="22"/>
          <w:szCs w:val="22"/>
        </w:rPr>
        <w:t xml:space="preserve">  In order t</w:t>
      </w:r>
      <w:r w:rsidR="005A551C">
        <w:rPr>
          <w:rFonts w:ascii="Times New Roman" w:hAnsi="Times New Roman"/>
          <w:bCs/>
          <w:sz w:val="22"/>
          <w:szCs w:val="22"/>
        </w:rPr>
        <w:t xml:space="preserve">o be prepared for these omens from the gods, </w:t>
      </w:r>
      <w:r w:rsidR="008E7044">
        <w:rPr>
          <w:rFonts w:ascii="Times New Roman" w:hAnsi="Times New Roman"/>
          <w:bCs/>
          <w:sz w:val="22"/>
          <w:szCs w:val="22"/>
        </w:rPr>
        <w:t>the diviners had to consider what</w:t>
      </w:r>
      <w:r w:rsidR="00EF20CB">
        <w:rPr>
          <w:rFonts w:ascii="Times New Roman" w:hAnsi="Times New Roman"/>
          <w:bCs/>
          <w:sz w:val="22"/>
          <w:szCs w:val="22"/>
        </w:rPr>
        <w:t xml:space="preserve"> phenomena would be appropriate for study.</w:t>
      </w:r>
      <w:r w:rsidR="00EF20CB">
        <w:rPr>
          <w:rStyle w:val="FootnoteReference"/>
          <w:rFonts w:ascii="Times New Roman" w:hAnsi="Times New Roman"/>
          <w:bCs/>
          <w:sz w:val="22"/>
          <w:szCs w:val="22"/>
        </w:rPr>
        <w:footnoteReference w:id="41"/>
      </w:r>
      <w:r w:rsidR="0026378C">
        <w:rPr>
          <w:rFonts w:ascii="Times New Roman" w:hAnsi="Times New Roman"/>
          <w:bCs/>
          <w:sz w:val="22"/>
          <w:szCs w:val="22"/>
        </w:rPr>
        <w:t xml:space="preserve"> </w:t>
      </w:r>
      <w:r w:rsidR="00576A7D">
        <w:rPr>
          <w:rFonts w:ascii="Times New Roman" w:hAnsi="Times New Roman"/>
          <w:bCs/>
          <w:sz w:val="22"/>
          <w:szCs w:val="22"/>
        </w:rPr>
        <w:t xml:space="preserve">This was </w:t>
      </w:r>
      <w:r w:rsidR="006B4F9B">
        <w:rPr>
          <w:rFonts w:ascii="Times New Roman" w:hAnsi="Times New Roman"/>
          <w:bCs/>
          <w:sz w:val="22"/>
          <w:szCs w:val="22"/>
        </w:rPr>
        <w:t>done to ensure that if an event did occur</w:t>
      </w:r>
      <w:r w:rsidR="00252DE3">
        <w:rPr>
          <w:rFonts w:ascii="Times New Roman" w:hAnsi="Times New Roman"/>
          <w:bCs/>
          <w:sz w:val="22"/>
          <w:szCs w:val="22"/>
        </w:rPr>
        <w:t>, then the meaning of that event would already be known.</w:t>
      </w:r>
      <w:r w:rsidR="00252DE3">
        <w:rPr>
          <w:rStyle w:val="FootnoteReference"/>
          <w:rFonts w:ascii="Times New Roman" w:hAnsi="Times New Roman"/>
          <w:bCs/>
          <w:sz w:val="22"/>
          <w:szCs w:val="22"/>
        </w:rPr>
        <w:footnoteReference w:id="42"/>
      </w:r>
      <w:r w:rsidR="00252DE3">
        <w:rPr>
          <w:rFonts w:ascii="Times New Roman" w:hAnsi="Times New Roman"/>
          <w:bCs/>
          <w:sz w:val="22"/>
          <w:szCs w:val="22"/>
        </w:rPr>
        <w:t xml:space="preserve"> </w:t>
      </w:r>
      <w:r w:rsidR="00E43B4E">
        <w:rPr>
          <w:rFonts w:ascii="Times New Roman" w:hAnsi="Times New Roman"/>
          <w:bCs/>
          <w:sz w:val="22"/>
          <w:szCs w:val="22"/>
        </w:rPr>
        <w:t xml:space="preserve">The compilers of </w:t>
      </w:r>
      <w:r w:rsidR="00E62D82">
        <w:rPr>
          <w:rFonts w:ascii="Times New Roman" w:hAnsi="Times New Roman"/>
          <w:bCs/>
          <w:sz w:val="22"/>
          <w:szCs w:val="22"/>
        </w:rPr>
        <w:t xml:space="preserve">the omen texts, particularly the EAE, worked from a core set of </w:t>
      </w:r>
      <w:r w:rsidR="00F44BE4">
        <w:rPr>
          <w:rFonts w:ascii="Times New Roman" w:hAnsi="Times New Roman"/>
          <w:bCs/>
          <w:sz w:val="22"/>
          <w:szCs w:val="22"/>
        </w:rPr>
        <w:t xml:space="preserve">phenomena that had been observed and recorded but also included </w:t>
      </w:r>
      <w:r w:rsidR="0024597A">
        <w:rPr>
          <w:rFonts w:ascii="Times New Roman" w:hAnsi="Times New Roman"/>
          <w:bCs/>
          <w:sz w:val="22"/>
          <w:szCs w:val="22"/>
        </w:rPr>
        <w:t xml:space="preserve">phenomena that the diviners </w:t>
      </w:r>
      <w:r w:rsidR="00C50676">
        <w:rPr>
          <w:rFonts w:ascii="Times New Roman" w:hAnsi="Times New Roman"/>
          <w:bCs/>
          <w:sz w:val="22"/>
          <w:szCs w:val="22"/>
        </w:rPr>
        <w:t>created on their own.</w:t>
      </w:r>
      <w:r w:rsidR="00C50676">
        <w:rPr>
          <w:rStyle w:val="FootnoteReference"/>
          <w:rFonts w:ascii="Times New Roman" w:hAnsi="Times New Roman"/>
          <w:bCs/>
          <w:sz w:val="22"/>
          <w:szCs w:val="22"/>
        </w:rPr>
        <w:footnoteReference w:id="43"/>
      </w:r>
      <w:r w:rsidR="00C50676">
        <w:rPr>
          <w:rFonts w:ascii="Times New Roman" w:hAnsi="Times New Roman"/>
          <w:bCs/>
          <w:sz w:val="22"/>
          <w:szCs w:val="22"/>
        </w:rPr>
        <w:t xml:space="preserve"> </w:t>
      </w:r>
      <w:r w:rsidR="00F60E28">
        <w:rPr>
          <w:rFonts w:ascii="Times New Roman" w:hAnsi="Times New Roman"/>
          <w:bCs/>
          <w:sz w:val="22"/>
          <w:szCs w:val="22"/>
        </w:rPr>
        <w:t xml:space="preserve">An example of this </w:t>
      </w:r>
      <w:r w:rsidR="00923865">
        <w:rPr>
          <w:rFonts w:ascii="Times New Roman" w:hAnsi="Times New Roman"/>
          <w:bCs/>
          <w:sz w:val="22"/>
          <w:szCs w:val="22"/>
        </w:rPr>
        <w:t>concerns the omens surrounding the lunar eclipse.  There are many day</w:t>
      </w:r>
      <w:r w:rsidR="00441D8B">
        <w:rPr>
          <w:rFonts w:ascii="Times New Roman" w:hAnsi="Times New Roman"/>
          <w:bCs/>
          <w:sz w:val="22"/>
          <w:szCs w:val="22"/>
        </w:rPr>
        <w:t>s</w:t>
      </w:r>
      <w:r w:rsidR="00923865">
        <w:rPr>
          <w:rFonts w:ascii="Times New Roman" w:hAnsi="Times New Roman"/>
          <w:bCs/>
          <w:sz w:val="22"/>
          <w:szCs w:val="22"/>
        </w:rPr>
        <w:t xml:space="preserve"> of the month that are given within the EAE </w:t>
      </w:r>
      <w:r w:rsidR="006529BD">
        <w:rPr>
          <w:rFonts w:ascii="Times New Roman" w:hAnsi="Times New Roman"/>
          <w:bCs/>
          <w:sz w:val="22"/>
          <w:szCs w:val="22"/>
        </w:rPr>
        <w:t>as possibilities for a lunar eclipse to occur</w:t>
      </w:r>
      <w:r w:rsidR="00441D8B">
        <w:rPr>
          <w:rFonts w:ascii="Times New Roman" w:hAnsi="Times New Roman"/>
          <w:bCs/>
          <w:sz w:val="22"/>
          <w:szCs w:val="22"/>
        </w:rPr>
        <w:t>, 14-30 to be precise, with various omens to go along with them.</w:t>
      </w:r>
      <w:r w:rsidR="00441D8B">
        <w:rPr>
          <w:rStyle w:val="FootnoteReference"/>
          <w:rFonts w:ascii="Times New Roman" w:hAnsi="Times New Roman"/>
          <w:bCs/>
          <w:sz w:val="22"/>
          <w:szCs w:val="22"/>
        </w:rPr>
        <w:footnoteReference w:id="44"/>
      </w:r>
      <w:r w:rsidR="00441D8B">
        <w:rPr>
          <w:rFonts w:ascii="Times New Roman" w:hAnsi="Times New Roman"/>
          <w:bCs/>
          <w:sz w:val="22"/>
          <w:szCs w:val="22"/>
        </w:rPr>
        <w:t xml:space="preserve"> </w:t>
      </w:r>
      <w:r w:rsidR="001D3B89">
        <w:rPr>
          <w:rFonts w:ascii="Times New Roman" w:hAnsi="Times New Roman"/>
          <w:bCs/>
          <w:sz w:val="22"/>
          <w:szCs w:val="22"/>
        </w:rPr>
        <w:t xml:space="preserve">However, the only days that a lunar eclipse would be possible would be from </w:t>
      </w:r>
      <w:r w:rsidR="00E9441F">
        <w:rPr>
          <w:rFonts w:ascii="Times New Roman" w:hAnsi="Times New Roman"/>
          <w:bCs/>
          <w:sz w:val="22"/>
          <w:szCs w:val="22"/>
        </w:rPr>
        <w:t>the 14-16.</w:t>
      </w:r>
      <w:r w:rsidR="00E9441F">
        <w:rPr>
          <w:rStyle w:val="FootnoteReference"/>
          <w:rFonts w:ascii="Times New Roman" w:hAnsi="Times New Roman"/>
          <w:bCs/>
          <w:sz w:val="22"/>
          <w:szCs w:val="22"/>
        </w:rPr>
        <w:footnoteReference w:id="45"/>
      </w:r>
      <w:r w:rsidR="00E9441F">
        <w:rPr>
          <w:rFonts w:ascii="Times New Roman" w:hAnsi="Times New Roman"/>
          <w:bCs/>
          <w:sz w:val="22"/>
          <w:szCs w:val="22"/>
        </w:rPr>
        <w:t xml:space="preserve"> It is unclear if the diviners knew </w:t>
      </w:r>
      <w:r w:rsidR="00BC2F5A">
        <w:rPr>
          <w:rFonts w:ascii="Times New Roman" w:hAnsi="Times New Roman"/>
          <w:bCs/>
          <w:sz w:val="22"/>
          <w:szCs w:val="22"/>
        </w:rPr>
        <w:t>of the impossibility of a lunar eclipse on days 17-30 by any period</w:t>
      </w:r>
      <w:r w:rsidR="00DA1457">
        <w:rPr>
          <w:rFonts w:ascii="Times New Roman" w:hAnsi="Times New Roman"/>
          <w:bCs/>
          <w:sz w:val="22"/>
          <w:szCs w:val="22"/>
        </w:rPr>
        <w:t xml:space="preserve"> as they are included in </w:t>
      </w:r>
      <w:r w:rsidR="001C1005">
        <w:rPr>
          <w:rFonts w:ascii="Times New Roman" w:hAnsi="Times New Roman"/>
          <w:bCs/>
          <w:sz w:val="22"/>
          <w:szCs w:val="22"/>
        </w:rPr>
        <w:t>many copies of the EAE during the Neo-Assyrian period.</w:t>
      </w:r>
      <w:r w:rsidR="001C1005">
        <w:rPr>
          <w:rStyle w:val="FootnoteReference"/>
          <w:rFonts w:ascii="Times New Roman" w:hAnsi="Times New Roman"/>
          <w:bCs/>
          <w:sz w:val="22"/>
          <w:szCs w:val="22"/>
        </w:rPr>
        <w:footnoteReference w:id="46"/>
      </w:r>
      <w:r w:rsidR="00732194">
        <w:rPr>
          <w:rFonts w:ascii="Times New Roman" w:hAnsi="Times New Roman"/>
          <w:bCs/>
          <w:sz w:val="22"/>
          <w:szCs w:val="22"/>
        </w:rPr>
        <w:t xml:space="preserve"> These latter omens follow the same pattern as the omens that </w:t>
      </w:r>
      <w:r w:rsidR="002E7985">
        <w:rPr>
          <w:rFonts w:ascii="Times New Roman" w:hAnsi="Times New Roman"/>
          <w:bCs/>
          <w:sz w:val="22"/>
          <w:szCs w:val="22"/>
        </w:rPr>
        <w:t>had actually been observed, which causes one to ask if they truly thought this phenomena could occur on the days listed within the texts.</w:t>
      </w:r>
      <w:r w:rsidR="002E7985">
        <w:rPr>
          <w:rStyle w:val="FootnoteReference"/>
          <w:rFonts w:ascii="Times New Roman" w:hAnsi="Times New Roman"/>
          <w:bCs/>
          <w:sz w:val="22"/>
          <w:szCs w:val="22"/>
        </w:rPr>
        <w:footnoteReference w:id="47"/>
      </w:r>
      <w:r w:rsidR="00A11D9E">
        <w:rPr>
          <w:rFonts w:ascii="Times New Roman" w:hAnsi="Times New Roman"/>
          <w:bCs/>
          <w:sz w:val="22"/>
          <w:szCs w:val="22"/>
        </w:rPr>
        <w:t xml:space="preserve"> Whether observed or not, all the signs recorded into the </w:t>
      </w:r>
      <w:r w:rsidR="00DA1FB5">
        <w:rPr>
          <w:rFonts w:ascii="Times New Roman" w:hAnsi="Times New Roman"/>
          <w:bCs/>
          <w:sz w:val="22"/>
          <w:szCs w:val="22"/>
        </w:rPr>
        <w:t>omen texts were seen as a possibility, however improbable they may be.</w:t>
      </w:r>
      <w:r w:rsidR="00DA1FB5">
        <w:rPr>
          <w:rStyle w:val="FootnoteReference"/>
          <w:rFonts w:ascii="Times New Roman" w:hAnsi="Times New Roman"/>
          <w:bCs/>
          <w:sz w:val="22"/>
          <w:szCs w:val="22"/>
        </w:rPr>
        <w:footnoteReference w:id="48"/>
      </w:r>
      <w:r w:rsidR="00DA1FB5">
        <w:rPr>
          <w:rFonts w:ascii="Times New Roman" w:hAnsi="Times New Roman"/>
          <w:bCs/>
          <w:sz w:val="22"/>
          <w:szCs w:val="22"/>
        </w:rPr>
        <w:t xml:space="preserve"> </w:t>
      </w:r>
      <w:r w:rsidR="00884EAC">
        <w:rPr>
          <w:rFonts w:ascii="Times New Roman" w:hAnsi="Times New Roman"/>
          <w:bCs/>
          <w:sz w:val="22"/>
          <w:szCs w:val="22"/>
        </w:rPr>
        <w:t xml:space="preserve">These omens were based around </w:t>
      </w:r>
      <w:r w:rsidR="000B2328">
        <w:rPr>
          <w:rFonts w:ascii="Times New Roman" w:hAnsi="Times New Roman"/>
          <w:bCs/>
          <w:sz w:val="22"/>
          <w:szCs w:val="22"/>
        </w:rPr>
        <w:t>a theoretical framework</w:t>
      </w:r>
      <w:r w:rsidR="00BF64C1">
        <w:rPr>
          <w:rFonts w:ascii="Times New Roman" w:hAnsi="Times New Roman"/>
          <w:bCs/>
          <w:sz w:val="22"/>
          <w:szCs w:val="22"/>
        </w:rPr>
        <w:t xml:space="preserve"> of what may be possible </w:t>
      </w:r>
      <w:r w:rsidR="00BF64C1">
        <w:rPr>
          <w:rFonts w:ascii="Times New Roman" w:hAnsi="Times New Roman"/>
          <w:bCs/>
          <w:sz w:val="22"/>
          <w:szCs w:val="22"/>
        </w:rPr>
        <w:lastRenderedPageBreak/>
        <w:t>to occur within the knowledge of what was already observed and viewed as ordinary and possible.</w:t>
      </w:r>
      <w:r w:rsidR="00BF64C1">
        <w:rPr>
          <w:rStyle w:val="FootnoteReference"/>
          <w:rFonts w:ascii="Times New Roman" w:hAnsi="Times New Roman"/>
          <w:bCs/>
          <w:sz w:val="22"/>
          <w:szCs w:val="22"/>
        </w:rPr>
        <w:footnoteReference w:id="49"/>
      </w:r>
      <w:r w:rsidR="00BF64C1">
        <w:rPr>
          <w:rFonts w:ascii="Times New Roman" w:hAnsi="Times New Roman"/>
          <w:bCs/>
          <w:sz w:val="22"/>
          <w:szCs w:val="22"/>
        </w:rPr>
        <w:t xml:space="preserve"> </w:t>
      </w:r>
      <w:r w:rsidR="00955A39">
        <w:rPr>
          <w:rFonts w:ascii="Times New Roman" w:hAnsi="Times New Roman"/>
          <w:bCs/>
          <w:sz w:val="22"/>
          <w:szCs w:val="22"/>
        </w:rPr>
        <w:t xml:space="preserve">Hence the </w:t>
      </w:r>
      <w:r w:rsidR="008D76ED">
        <w:rPr>
          <w:rFonts w:ascii="Times New Roman" w:hAnsi="Times New Roman"/>
          <w:bCs/>
          <w:sz w:val="22"/>
          <w:szCs w:val="22"/>
        </w:rPr>
        <w:t xml:space="preserve">omens were very “theory-laden” and organized around </w:t>
      </w:r>
      <w:r w:rsidR="00E84311">
        <w:rPr>
          <w:rFonts w:ascii="Times New Roman" w:hAnsi="Times New Roman"/>
          <w:bCs/>
          <w:sz w:val="22"/>
          <w:szCs w:val="22"/>
        </w:rPr>
        <w:t>what the diviners thought as what could be considered observable within the sky.</w:t>
      </w:r>
      <w:r w:rsidR="00E84311">
        <w:rPr>
          <w:rStyle w:val="FootnoteReference"/>
          <w:rFonts w:ascii="Times New Roman" w:hAnsi="Times New Roman"/>
          <w:bCs/>
          <w:sz w:val="22"/>
          <w:szCs w:val="22"/>
        </w:rPr>
        <w:footnoteReference w:id="50"/>
      </w:r>
      <w:r w:rsidR="00F46480">
        <w:rPr>
          <w:rFonts w:ascii="Times New Roman" w:hAnsi="Times New Roman"/>
          <w:bCs/>
          <w:sz w:val="22"/>
          <w:szCs w:val="22"/>
        </w:rPr>
        <w:t xml:space="preserve"> </w:t>
      </w:r>
      <w:proofErr w:type="spellStart"/>
      <w:r w:rsidR="00B5563C">
        <w:rPr>
          <w:rFonts w:ascii="Times New Roman" w:hAnsi="Times New Roman"/>
          <w:bCs/>
          <w:sz w:val="22"/>
          <w:szCs w:val="22"/>
        </w:rPr>
        <w:t>Rochburg</w:t>
      </w:r>
      <w:proofErr w:type="spellEnd"/>
      <w:r w:rsidR="00B5563C">
        <w:rPr>
          <w:rFonts w:ascii="Times New Roman" w:hAnsi="Times New Roman"/>
          <w:bCs/>
          <w:sz w:val="22"/>
          <w:szCs w:val="22"/>
        </w:rPr>
        <w:t xml:space="preserve"> continues by stating, “</w:t>
      </w:r>
      <w:r w:rsidR="000C4C41">
        <w:rPr>
          <w:rFonts w:ascii="Times New Roman" w:hAnsi="Times New Roman"/>
          <w:bCs/>
          <w:sz w:val="22"/>
          <w:szCs w:val="22"/>
        </w:rPr>
        <w:t>The mere inclusion of phenomena within omen series, and the regular use of the verb ‘to observe’ (</w:t>
      </w:r>
      <w:proofErr w:type="spellStart"/>
      <w:r w:rsidR="000C4C41">
        <w:rPr>
          <w:rFonts w:ascii="Times New Roman" w:hAnsi="Times New Roman"/>
          <w:bCs/>
          <w:sz w:val="22"/>
          <w:szCs w:val="22"/>
        </w:rPr>
        <w:t>amaru</w:t>
      </w:r>
      <w:proofErr w:type="spellEnd"/>
      <w:r w:rsidR="000C4C41">
        <w:rPr>
          <w:rFonts w:ascii="Times New Roman" w:hAnsi="Times New Roman"/>
          <w:bCs/>
          <w:sz w:val="22"/>
          <w:szCs w:val="22"/>
        </w:rPr>
        <w:t>) in the protases, defines the items of the protases as observable objects, and objects of knowledge, regardless of their physical status.”</w:t>
      </w:r>
      <w:r w:rsidR="000C4C41">
        <w:rPr>
          <w:rStyle w:val="FootnoteReference"/>
          <w:rFonts w:ascii="Times New Roman" w:hAnsi="Times New Roman"/>
          <w:bCs/>
          <w:sz w:val="22"/>
          <w:szCs w:val="22"/>
        </w:rPr>
        <w:footnoteReference w:id="51"/>
      </w:r>
      <w:r w:rsidR="000C4C41">
        <w:rPr>
          <w:rFonts w:ascii="Times New Roman" w:hAnsi="Times New Roman"/>
          <w:bCs/>
          <w:sz w:val="22"/>
          <w:szCs w:val="22"/>
        </w:rPr>
        <w:t xml:space="preserve"> </w:t>
      </w:r>
      <w:r w:rsidR="00FA12A0">
        <w:rPr>
          <w:rFonts w:ascii="Times New Roman" w:hAnsi="Times New Roman"/>
          <w:bCs/>
          <w:sz w:val="22"/>
          <w:szCs w:val="22"/>
        </w:rPr>
        <w:t xml:space="preserve">Since these phenomena have to possibility to be observed, they should only be considered </w:t>
      </w:r>
      <w:r w:rsidR="00904B19">
        <w:rPr>
          <w:rFonts w:ascii="Times New Roman" w:hAnsi="Times New Roman"/>
          <w:bCs/>
          <w:sz w:val="22"/>
          <w:szCs w:val="22"/>
        </w:rPr>
        <w:t>potentially observable and not as a database of identifiable instances.</w:t>
      </w:r>
      <w:r w:rsidR="00904B19">
        <w:rPr>
          <w:rStyle w:val="FootnoteReference"/>
          <w:rFonts w:ascii="Times New Roman" w:hAnsi="Times New Roman"/>
          <w:bCs/>
          <w:sz w:val="22"/>
          <w:szCs w:val="22"/>
        </w:rPr>
        <w:footnoteReference w:id="52"/>
      </w:r>
      <w:r w:rsidR="009C2B18">
        <w:rPr>
          <w:rFonts w:ascii="Times New Roman" w:hAnsi="Times New Roman"/>
          <w:bCs/>
          <w:sz w:val="22"/>
          <w:szCs w:val="22"/>
        </w:rPr>
        <w:t xml:space="preserve"> </w:t>
      </w:r>
      <w:r w:rsidR="00967256">
        <w:rPr>
          <w:rFonts w:ascii="Times New Roman" w:hAnsi="Times New Roman"/>
          <w:bCs/>
          <w:sz w:val="22"/>
          <w:szCs w:val="22"/>
        </w:rPr>
        <w:t>All of the omens that were listed within the celestial divinatory texts</w:t>
      </w:r>
      <w:r w:rsidR="00562547">
        <w:rPr>
          <w:rFonts w:ascii="Times New Roman" w:hAnsi="Times New Roman"/>
          <w:bCs/>
          <w:sz w:val="22"/>
          <w:szCs w:val="22"/>
        </w:rPr>
        <w:t xml:space="preserve"> are merely eventualities of what could possibly occur based on experience and </w:t>
      </w:r>
      <w:r w:rsidR="00386D5E">
        <w:rPr>
          <w:rFonts w:ascii="Times New Roman" w:hAnsi="Times New Roman"/>
          <w:bCs/>
          <w:sz w:val="22"/>
          <w:szCs w:val="22"/>
        </w:rPr>
        <w:t>deep thought.</w:t>
      </w:r>
      <w:r w:rsidR="00386D5E">
        <w:rPr>
          <w:rStyle w:val="FootnoteReference"/>
          <w:rFonts w:ascii="Times New Roman" w:hAnsi="Times New Roman"/>
          <w:bCs/>
          <w:sz w:val="22"/>
          <w:szCs w:val="22"/>
        </w:rPr>
        <w:footnoteReference w:id="53"/>
      </w:r>
    </w:p>
    <w:p w14:paraId="34D286E4" w14:textId="66485216" w:rsidR="00A46437" w:rsidRDefault="00A46437"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842421">
        <w:rPr>
          <w:rFonts w:ascii="Times New Roman" w:hAnsi="Times New Roman"/>
          <w:bCs/>
          <w:sz w:val="22"/>
          <w:szCs w:val="22"/>
        </w:rPr>
        <w:t xml:space="preserve">The reason why these theoretical phenomena were considered to be able to occur </w:t>
      </w:r>
      <w:r w:rsidR="00954A66">
        <w:rPr>
          <w:rFonts w:ascii="Times New Roman" w:hAnsi="Times New Roman"/>
          <w:bCs/>
          <w:sz w:val="22"/>
          <w:szCs w:val="22"/>
        </w:rPr>
        <w:t xml:space="preserve">was due to the belief that </w:t>
      </w:r>
      <w:r w:rsidR="00642226">
        <w:rPr>
          <w:rFonts w:ascii="Times New Roman" w:hAnsi="Times New Roman"/>
          <w:bCs/>
          <w:sz w:val="22"/>
          <w:szCs w:val="22"/>
        </w:rPr>
        <w:t>all</w:t>
      </w:r>
      <w:r w:rsidR="00954A66">
        <w:rPr>
          <w:rFonts w:ascii="Times New Roman" w:hAnsi="Times New Roman"/>
          <w:bCs/>
          <w:sz w:val="22"/>
          <w:szCs w:val="22"/>
        </w:rPr>
        <w:t xml:space="preserve"> these signs were produced by the </w:t>
      </w:r>
      <w:r w:rsidR="00E67EE8">
        <w:rPr>
          <w:rFonts w:ascii="Times New Roman" w:hAnsi="Times New Roman"/>
          <w:bCs/>
          <w:sz w:val="22"/>
          <w:szCs w:val="22"/>
        </w:rPr>
        <w:t>gods and goddesses</w:t>
      </w:r>
      <w:r w:rsidR="00642226">
        <w:rPr>
          <w:rFonts w:ascii="Times New Roman" w:hAnsi="Times New Roman"/>
          <w:bCs/>
          <w:sz w:val="22"/>
          <w:szCs w:val="22"/>
        </w:rPr>
        <w:t xml:space="preserve"> that were represented by the celestial bodies.</w:t>
      </w:r>
      <w:r w:rsidR="00642226">
        <w:rPr>
          <w:rStyle w:val="FootnoteReference"/>
          <w:rFonts w:ascii="Times New Roman" w:hAnsi="Times New Roman"/>
          <w:bCs/>
          <w:sz w:val="22"/>
          <w:szCs w:val="22"/>
        </w:rPr>
        <w:footnoteReference w:id="54"/>
      </w:r>
      <w:r w:rsidR="00642226">
        <w:rPr>
          <w:rFonts w:ascii="Times New Roman" w:hAnsi="Times New Roman"/>
          <w:bCs/>
          <w:sz w:val="22"/>
          <w:szCs w:val="22"/>
        </w:rPr>
        <w:t xml:space="preserve"> </w:t>
      </w:r>
      <w:r w:rsidR="00B414E3">
        <w:rPr>
          <w:rFonts w:ascii="Times New Roman" w:hAnsi="Times New Roman"/>
          <w:bCs/>
          <w:sz w:val="22"/>
          <w:szCs w:val="22"/>
        </w:rPr>
        <w:t xml:space="preserve">Since the gods </w:t>
      </w:r>
      <w:r w:rsidR="000A7D62">
        <w:rPr>
          <w:rFonts w:ascii="Times New Roman" w:hAnsi="Times New Roman"/>
          <w:bCs/>
          <w:sz w:val="22"/>
          <w:szCs w:val="22"/>
        </w:rPr>
        <w:t xml:space="preserve">were given the agency for </w:t>
      </w:r>
      <w:r w:rsidR="00154696">
        <w:rPr>
          <w:rFonts w:ascii="Times New Roman" w:hAnsi="Times New Roman"/>
          <w:bCs/>
          <w:sz w:val="22"/>
          <w:szCs w:val="22"/>
        </w:rPr>
        <w:t xml:space="preserve">producing the signs, they have the power to cause any number of signs to appear through their </w:t>
      </w:r>
      <w:r w:rsidR="00435D3D">
        <w:rPr>
          <w:rFonts w:ascii="Times New Roman" w:hAnsi="Times New Roman"/>
          <w:bCs/>
          <w:sz w:val="22"/>
          <w:szCs w:val="22"/>
        </w:rPr>
        <w:t>celestial representatives.</w:t>
      </w:r>
      <w:r w:rsidR="00435D3D">
        <w:rPr>
          <w:rStyle w:val="FootnoteReference"/>
          <w:rFonts w:ascii="Times New Roman" w:hAnsi="Times New Roman"/>
          <w:bCs/>
          <w:sz w:val="22"/>
          <w:szCs w:val="22"/>
        </w:rPr>
        <w:footnoteReference w:id="55"/>
      </w:r>
      <w:r w:rsidR="00492A15">
        <w:rPr>
          <w:rFonts w:ascii="Times New Roman" w:hAnsi="Times New Roman"/>
          <w:bCs/>
          <w:sz w:val="22"/>
          <w:szCs w:val="22"/>
        </w:rPr>
        <w:t xml:space="preserve"> </w:t>
      </w:r>
      <w:r w:rsidR="000271AF">
        <w:rPr>
          <w:rFonts w:ascii="Times New Roman" w:hAnsi="Times New Roman"/>
          <w:bCs/>
          <w:sz w:val="22"/>
          <w:szCs w:val="22"/>
        </w:rPr>
        <w:t>Omens ranging from the predictable (a lunar eclipse occurring on the 14</w:t>
      </w:r>
      <w:r w:rsidR="00EA55A9" w:rsidRPr="00EA55A9">
        <w:rPr>
          <w:rFonts w:ascii="Times New Roman" w:hAnsi="Times New Roman"/>
          <w:bCs/>
          <w:sz w:val="22"/>
          <w:szCs w:val="22"/>
          <w:vertAlign w:val="superscript"/>
        </w:rPr>
        <w:t>th</w:t>
      </w:r>
      <w:r w:rsidR="000271AF">
        <w:rPr>
          <w:rFonts w:ascii="Times New Roman" w:hAnsi="Times New Roman"/>
          <w:bCs/>
          <w:sz w:val="22"/>
          <w:szCs w:val="22"/>
        </w:rPr>
        <w:t>, 15</w:t>
      </w:r>
      <w:r w:rsidR="00EA55A9" w:rsidRPr="00EA55A9">
        <w:rPr>
          <w:rFonts w:ascii="Times New Roman" w:hAnsi="Times New Roman"/>
          <w:bCs/>
          <w:sz w:val="22"/>
          <w:szCs w:val="22"/>
          <w:vertAlign w:val="superscript"/>
        </w:rPr>
        <w:t>th</w:t>
      </w:r>
      <w:r w:rsidR="000271AF">
        <w:rPr>
          <w:rFonts w:ascii="Times New Roman" w:hAnsi="Times New Roman"/>
          <w:bCs/>
          <w:sz w:val="22"/>
          <w:szCs w:val="22"/>
        </w:rPr>
        <w:t>, or 16</w:t>
      </w:r>
      <w:r w:rsidR="00EA55A9" w:rsidRPr="00EA55A9">
        <w:rPr>
          <w:rFonts w:ascii="Times New Roman" w:hAnsi="Times New Roman"/>
          <w:bCs/>
          <w:sz w:val="22"/>
          <w:szCs w:val="22"/>
          <w:vertAlign w:val="superscript"/>
        </w:rPr>
        <w:t>th</w:t>
      </w:r>
      <w:r w:rsidR="00EA55A9">
        <w:rPr>
          <w:rFonts w:ascii="Times New Roman" w:hAnsi="Times New Roman"/>
          <w:bCs/>
          <w:sz w:val="22"/>
          <w:szCs w:val="22"/>
        </w:rPr>
        <w:t xml:space="preserve"> day of the month) to those that would be considered extraordinary (</w:t>
      </w:r>
      <w:r w:rsidR="00702398">
        <w:rPr>
          <w:rFonts w:ascii="Times New Roman" w:hAnsi="Times New Roman"/>
          <w:bCs/>
          <w:sz w:val="22"/>
          <w:szCs w:val="22"/>
        </w:rPr>
        <w:t>during the lunar eclipse</w:t>
      </w:r>
      <w:r w:rsidR="009E4C6F">
        <w:rPr>
          <w:rFonts w:ascii="Times New Roman" w:hAnsi="Times New Roman"/>
          <w:bCs/>
          <w:sz w:val="22"/>
          <w:szCs w:val="22"/>
        </w:rPr>
        <w:t>, the shadow traveling across the moon from the wrong direction</w:t>
      </w:r>
      <w:r w:rsidR="00B319E3">
        <w:rPr>
          <w:rFonts w:ascii="Times New Roman" w:hAnsi="Times New Roman"/>
          <w:bCs/>
          <w:sz w:val="22"/>
          <w:szCs w:val="22"/>
        </w:rPr>
        <w:t xml:space="preserve">) would all be plausible as an observable </w:t>
      </w:r>
      <w:r w:rsidR="00BA0FE0">
        <w:rPr>
          <w:rFonts w:ascii="Times New Roman" w:hAnsi="Times New Roman"/>
          <w:bCs/>
          <w:sz w:val="22"/>
          <w:szCs w:val="22"/>
        </w:rPr>
        <w:t>phenomenon.</w:t>
      </w:r>
      <w:r w:rsidR="00BA0FE0">
        <w:rPr>
          <w:rStyle w:val="FootnoteReference"/>
          <w:rFonts w:ascii="Times New Roman" w:hAnsi="Times New Roman"/>
          <w:bCs/>
          <w:sz w:val="22"/>
          <w:szCs w:val="22"/>
        </w:rPr>
        <w:footnoteReference w:id="56"/>
      </w:r>
      <w:r w:rsidR="00C036B8">
        <w:rPr>
          <w:rFonts w:ascii="Times New Roman" w:hAnsi="Times New Roman"/>
          <w:bCs/>
          <w:sz w:val="22"/>
          <w:szCs w:val="22"/>
        </w:rPr>
        <w:t xml:space="preserve"> With knowledge of what was considered predictable and unpredictable phenomena, </w:t>
      </w:r>
      <w:r w:rsidR="00767A0A">
        <w:rPr>
          <w:rFonts w:ascii="Times New Roman" w:hAnsi="Times New Roman"/>
          <w:bCs/>
          <w:sz w:val="22"/>
          <w:szCs w:val="22"/>
        </w:rPr>
        <w:t>the diviners could place good or evil interpretations behind the events.</w:t>
      </w:r>
      <w:r w:rsidR="00702783">
        <w:rPr>
          <w:rFonts w:ascii="Times New Roman" w:hAnsi="Times New Roman"/>
          <w:bCs/>
          <w:sz w:val="22"/>
          <w:szCs w:val="22"/>
        </w:rPr>
        <w:t xml:space="preserve"> For instance, if an eclipse occurred on the wrong day (any day other than </w:t>
      </w:r>
      <w:r w:rsidR="00310FEE">
        <w:rPr>
          <w:rFonts w:ascii="Times New Roman" w:hAnsi="Times New Roman"/>
          <w:bCs/>
          <w:sz w:val="22"/>
          <w:szCs w:val="22"/>
        </w:rPr>
        <w:t>the 14</w:t>
      </w:r>
      <w:r w:rsidR="00310FEE" w:rsidRPr="00310FEE">
        <w:rPr>
          <w:rFonts w:ascii="Times New Roman" w:hAnsi="Times New Roman"/>
          <w:bCs/>
          <w:sz w:val="22"/>
          <w:szCs w:val="22"/>
          <w:vertAlign w:val="superscript"/>
        </w:rPr>
        <w:t>th</w:t>
      </w:r>
      <w:r w:rsidR="00310FEE">
        <w:rPr>
          <w:rFonts w:ascii="Times New Roman" w:hAnsi="Times New Roman"/>
          <w:bCs/>
          <w:sz w:val="22"/>
          <w:szCs w:val="22"/>
        </w:rPr>
        <w:t xml:space="preserve"> – 16</w:t>
      </w:r>
      <w:r w:rsidR="00310FEE" w:rsidRPr="00310FEE">
        <w:rPr>
          <w:rFonts w:ascii="Times New Roman" w:hAnsi="Times New Roman"/>
          <w:bCs/>
          <w:sz w:val="22"/>
          <w:szCs w:val="22"/>
          <w:vertAlign w:val="superscript"/>
        </w:rPr>
        <w:t>th</w:t>
      </w:r>
      <w:r w:rsidR="00310FEE">
        <w:rPr>
          <w:rFonts w:ascii="Times New Roman" w:hAnsi="Times New Roman"/>
          <w:bCs/>
          <w:sz w:val="22"/>
          <w:szCs w:val="22"/>
        </w:rPr>
        <w:t>) this could be considered a bad omen</w:t>
      </w:r>
      <w:r w:rsidR="003D3B91">
        <w:rPr>
          <w:rFonts w:ascii="Times New Roman" w:hAnsi="Times New Roman"/>
          <w:bCs/>
          <w:sz w:val="22"/>
          <w:szCs w:val="22"/>
        </w:rPr>
        <w:t>.</w:t>
      </w:r>
      <w:r w:rsidR="003D3B91">
        <w:rPr>
          <w:rStyle w:val="FootnoteReference"/>
          <w:rFonts w:ascii="Times New Roman" w:hAnsi="Times New Roman"/>
          <w:bCs/>
          <w:sz w:val="22"/>
          <w:szCs w:val="22"/>
        </w:rPr>
        <w:footnoteReference w:id="57"/>
      </w:r>
      <w:r w:rsidR="00362AFD">
        <w:rPr>
          <w:rFonts w:ascii="Times New Roman" w:hAnsi="Times New Roman"/>
          <w:bCs/>
          <w:sz w:val="22"/>
          <w:szCs w:val="22"/>
        </w:rPr>
        <w:t xml:space="preserve"> However, </w:t>
      </w:r>
      <w:r w:rsidR="00345285">
        <w:rPr>
          <w:rFonts w:ascii="Times New Roman" w:hAnsi="Times New Roman"/>
          <w:bCs/>
          <w:sz w:val="22"/>
          <w:szCs w:val="22"/>
        </w:rPr>
        <w:t xml:space="preserve">if the sign appeared according to the ideal scheme </w:t>
      </w:r>
      <w:r w:rsidR="006503E2">
        <w:rPr>
          <w:rFonts w:ascii="Times New Roman" w:hAnsi="Times New Roman"/>
          <w:bCs/>
          <w:sz w:val="22"/>
          <w:szCs w:val="22"/>
        </w:rPr>
        <w:t>and the period it was predicted to come, it boded well.</w:t>
      </w:r>
      <w:r w:rsidR="006503E2">
        <w:rPr>
          <w:rStyle w:val="FootnoteReference"/>
          <w:rFonts w:ascii="Times New Roman" w:hAnsi="Times New Roman"/>
          <w:bCs/>
          <w:sz w:val="22"/>
          <w:szCs w:val="22"/>
        </w:rPr>
        <w:footnoteReference w:id="58"/>
      </w:r>
      <w:r w:rsidR="0029214E">
        <w:rPr>
          <w:rFonts w:ascii="Times New Roman" w:hAnsi="Times New Roman"/>
          <w:bCs/>
          <w:sz w:val="22"/>
          <w:szCs w:val="22"/>
        </w:rPr>
        <w:t xml:space="preserve"> </w:t>
      </w:r>
      <w:r w:rsidR="00CE0D93">
        <w:rPr>
          <w:rFonts w:ascii="Times New Roman" w:hAnsi="Times New Roman"/>
          <w:bCs/>
          <w:sz w:val="22"/>
          <w:szCs w:val="22"/>
        </w:rPr>
        <w:t>This causes a duality to occur within the phenomena presented.  The deities</w:t>
      </w:r>
      <w:r w:rsidR="0095491F">
        <w:rPr>
          <w:rFonts w:ascii="Times New Roman" w:hAnsi="Times New Roman"/>
          <w:bCs/>
          <w:sz w:val="22"/>
          <w:szCs w:val="22"/>
        </w:rPr>
        <w:t xml:space="preserve"> had free will and could do as they wished, thus producing phenomena that was out of the ordinary.</w:t>
      </w:r>
      <w:r w:rsidR="0095491F">
        <w:rPr>
          <w:rStyle w:val="FootnoteReference"/>
          <w:rFonts w:ascii="Times New Roman" w:hAnsi="Times New Roman"/>
          <w:bCs/>
          <w:sz w:val="22"/>
          <w:szCs w:val="22"/>
        </w:rPr>
        <w:footnoteReference w:id="59"/>
      </w:r>
      <w:r w:rsidR="0095491F">
        <w:rPr>
          <w:rFonts w:ascii="Times New Roman" w:hAnsi="Times New Roman"/>
          <w:bCs/>
          <w:sz w:val="22"/>
          <w:szCs w:val="22"/>
        </w:rPr>
        <w:t xml:space="preserve"> But </w:t>
      </w:r>
      <w:r w:rsidR="003C6282">
        <w:rPr>
          <w:rFonts w:ascii="Times New Roman" w:hAnsi="Times New Roman"/>
          <w:bCs/>
          <w:sz w:val="22"/>
          <w:szCs w:val="22"/>
        </w:rPr>
        <w:t>the patterns</w:t>
      </w:r>
      <w:r w:rsidR="004D2097">
        <w:rPr>
          <w:rFonts w:ascii="Times New Roman" w:hAnsi="Times New Roman"/>
          <w:bCs/>
          <w:sz w:val="22"/>
          <w:szCs w:val="22"/>
        </w:rPr>
        <w:t xml:space="preserve"> that emerged from continued observations of predictable phenomena allowed for</w:t>
      </w:r>
      <w:r w:rsidR="001413B6">
        <w:rPr>
          <w:rFonts w:ascii="Times New Roman" w:hAnsi="Times New Roman"/>
          <w:bCs/>
          <w:sz w:val="22"/>
          <w:szCs w:val="22"/>
        </w:rPr>
        <w:t xml:space="preserve"> knowledge of divine intentions</w:t>
      </w:r>
      <w:r w:rsidR="002C2C4E">
        <w:rPr>
          <w:rFonts w:ascii="Times New Roman" w:hAnsi="Times New Roman"/>
          <w:bCs/>
          <w:sz w:val="22"/>
          <w:szCs w:val="22"/>
        </w:rPr>
        <w:t>.</w:t>
      </w:r>
      <w:r w:rsidR="002C2C4E">
        <w:rPr>
          <w:rStyle w:val="FootnoteReference"/>
          <w:rFonts w:ascii="Times New Roman" w:hAnsi="Times New Roman"/>
          <w:bCs/>
          <w:sz w:val="22"/>
          <w:szCs w:val="22"/>
        </w:rPr>
        <w:footnoteReference w:id="60"/>
      </w:r>
      <w:r w:rsidR="002C2C4E">
        <w:rPr>
          <w:rFonts w:ascii="Times New Roman" w:hAnsi="Times New Roman"/>
          <w:bCs/>
          <w:sz w:val="22"/>
          <w:szCs w:val="22"/>
        </w:rPr>
        <w:t xml:space="preserve"> The ancient Mesopotamians </w:t>
      </w:r>
      <w:r w:rsidR="005F0C47">
        <w:rPr>
          <w:rFonts w:ascii="Times New Roman" w:hAnsi="Times New Roman"/>
          <w:bCs/>
          <w:sz w:val="22"/>
          <w:szCs w:val="22"/>
        </w:rPr>
        <w:t xml:space="preserve">were not troubled by the paradox that the gods could change things, but, for all points and purposes, did not </w:t>
      </w:r>
      <w:r w:rsidR="00FD3328">
        <w:rPr>
          <w:rFonts w:ascii="Times New Roman" w:hAnsi="Times New Roman"/>
          <w:bCs/>
          <w:sz w:val="22"/>
          <w:szCs w:val="22"/>
        </w:rPr>
        <w:t>do so in many of the ways presented in the omen texts.</w:t>
      </w:r>
      <w:r w:rsidR="00FD3328">
        <w:rPr>
          <w:rStyle w:val="FootnoteReference"/>
          <w:rFonts w:ascii="Times New Roman" w:hAnsi="Times New Roman"/>
          <w:bCs/>
          <w:sz w:val="22"/>
          <w:szCs w:val="22"/>
        </w:rPr>
        <w:footnoteReference w:id="61"/>
      </w:r>
    </w:p>
    <w:p w14:paraId="719F300C" w14:textId="287E6543" w:rsidR="00456F71" w:rsidRDefault="00456F71"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4C73AB">
        <w:rPr>
          <w:rFonts w:ascii="Times New Roman" w:hAnsi="Times New Roman"/>
          <w:bCs/>
          <w:sz w:val="22"/>
          <w:szCs w:val="22"/>
        </w:rPr>
        <w:t xml:space="preserve">The construction of the omens </w:t>
      </w:r>
      <w:r w:rsidR="0061127D">
        <w:rPr>
          <w:rFonts w:ascii="Times New Roman" w:hAnsi="Times New Roman"/>
          <w:bCs/>
          <w:sz w:val="22"/>
          <w:szCs w:val="22"/>
        </w:rPr>
        <w:t>follows</w:t>
      </w:r>
      <w:r w:rsidR="004C73AB">
        <w:rPr>
          <w:rFonts w:ascii="Times New Roman" w:hAnsi="Times New Roman"/>
          <w:bCs/>
          <w:sz w:val="22"/>
          <w:szCs w:val="22"/>
        </w:rPr>
        <w:t xml:space="preserve"> a simple “if x, then y” pattern</w:t>
      </w:r>
      <w:r w:rsidR="0086675C">
        <w:rPr>
          <w:rFonts w:ascii="Times New Roman" w:hAnsi="Times New Roman"/>
          <w:bCs/>
          <w:sz w:val="22"/>
          <w:szCs w:val="22"/>
        </w:rPr>
        <w:t>.</w:t>
      </w:r>
      <w:r w:rsidR="0086675C">
        <w:rPr>
          <w:rStyle w:val="FootnoteReference"/>
          <w:rFonts w:ascii="Times New Roman" w:hAnsi="Times New Roman"/>
          <w:bCs/>
          <w:sz w:val="22"/>
          <w:szCs w:val="22"/>
        </w:rPr>
        <w:footnoteReference w:id="62"/>
      </w:r>
      <w:r w:rsidR="00C53D26">
        <w:rPr>
          <w:rFonts w:ascii="Times New Roman" w:hAnsi="Times New Roman"/>
          <w:bCs/>
          <w:sz w:val="22"/>
          <w:szCs w:val="22"/>
        </w:rPr>
        <w:t xml:space="preserve">  </w:t>
      </w:r>
      <w:r w:rsidR="00251771">
        <w:rPr>
          <w:rFonts w:ascii="Times New Roman" w:hAnsi="Times New Roman"/>
          <w:bCs/>
          <w:sz w:val="22"/>
          <w:szCs w:val="22"/>
        </w:rPr>
        <w:t>This relationship was established in two ways. The first</w:t>
      </w:r>
      <w:r w:rsidR="00526CFF">
        <w:rPr>
          <w:rFonts w:ascii="Times New Roman" w:hAnsi="Times New Roman"/>
          <w:bCs/>
          <w:sz w:val="22"/>
          <w:szCs w:val="22"/>
        </w:rPr>
        <w:t xml:space="preserve"> </w:t>
      </w:r>
      <w:r w:rsidR="00ED5C99">
        <w:rPr>
          <w:rFonts w:ascii="Times New Roman" w:hAnsi="Times New Roman"/>
          <w:bCs/>
          <w:sz w:val="22"/>
          <w:szCs w:val="22"/>
        </w:rPr>
        <w:t xml:space="preserve">was through the </w:t>
      </w:r>
      <w:r w:rsidR="00C169BD">
        <w:rPr>
          <w:rFonts w:ascii="Times New Roman" w:hAnsi="Times New Roman"/>
          <w:bCs/>
          <w:sz w:val="22"/>
          <w:szCs w:val="22"/>
        </w:rPr>
        <w:t xml:space="preserve">encoding of </w:t>
      </w:r>
      <w:r w:rsidR="00D96DEE">
        <w:rPr>
          <w:rFonts w:ascii="Times New Roman" w:hAnsi="Times New Roman"/>
          <w:bCs/>
          <w:sz w:val="22"/>
          <w:szCs w:val="22"/>
        </w:rPr>
        <w:t xml:space="preserve">various celestial events </w:t>
      </w:r>
      <w:r w:rsidR="003854A5">
        <w:rPr>
          <w:rFonts w:ascii="Times New Roman" w:hAnsi="Times New Roman"/>
          <w:bCs/>
          <w:sz w:val="22"/>
          <w:szCs w:val="22"/>
        </w:rPr>
        <w:t xml:space="preserve">through an </w:t>
      </w:r>
      <w:r w:rsidR="00206873">
        <w:rPr>
          <w:rFonts w:ascii="Times New Roman" w:hAnsi="Times New Roman"/>
          <w:bCs/>
          <w:sz w:val="22"/>
          <w:szCs w:val="22"/>
        </w:rPr>
        <w:t>“</w:t>
      </w:r>
      <w:r w:rsidR="003854A5">
        <w:rPr>
          <w:rFonts w:ascii="Times New Roman" w:hAnsi="Times New Roman"/>
          <w:bCs/>
          <w:sz w:val="22"/>
          <w:szCs w:val="22"/>
        </w:rPr>
        <w:t xml:space="preserve">infinite number of </w:t>
      </w:r>
      <w:r w:rsidR="00D71CC0">
        <w:rPr>
          <w:rFonts w:ascii="Times New Roman" w:hAnsi="Times New Roman"/>
          <w:bCs/>
          <w:sz w:val="22"/>
          <w:szCs w:val="22"/>
        </w:rPr>
        <w:t>locations and times at which a celestial event might occur, and the infinite variety of colour and shades it might manifest</w:t>
      </w:r>
      <w:r w:rsidR="00206873">
        <w:rPr>
          <w:rFonts w:ascii="Times New Roman" w:hAnsi="Times New Roman"/>
          <w:bCs/>
          <w:sz w:val="22"/>
          <w:szCs w:val="22"/>
        </w:rPr>
        <w:t xml:space="preserve">” </w:t>
      </w:r>
      <w:r w:rsidR="00D21DFB">
        <w:rPr>
          <w:rFonts w:ascii="Times New Roman" w:hAnsi="Times New Roman"/>
          <w:bCs/>
          <w:sz w:val="22"/>
          <w:szCs w:val="22"/>
        </w:rPr>
        <w:t>and placing these into broad categories of reference.</w:t>
      </w:r>
      <w:r w:rsidR="00D21DFB">
        <w:rPr>
          <w:rStyle w:val="FootnoteReference"/>
          <w:rFonts w:ascii="Times New Roman" w:hAnsi="Times New Roman"/>
          <w:bCs/>
          <w:sz w:val="22"/>
          <w:szCs w:val="22"/>
        </w:rPr>
        <w:footnoteReference w:id="63"/>
      </w:r>
      <w:r w:rsidR="00717B11">
        <w:rPr>
          <w:rFonts w:ascii="Times New Roman" w:hAnsi="Times New Roman"/>
          <w:bCs/>
          <w:sz w:val="22"/>
          <w:szCs w:val="22"/>
        </w:rPr>
        <w:t xml:space="preserve"> </w:t>
      </w:r>
      <w:r w:rsidR="00873FF0">
        <w:rPr>
          <w:rFonts w:ascii="Times New Roman" w:hAnsi="Times New Roman"/>
          <w:bCs/>
          <w:sz w:val="22"/>
          <w:szCs w:val="22"/>
        </w:rPr>
        <w:t>The phenomena that were chosen typically revolved around the sun, moon, planets</w:t>
      </w:r>
      <w:r w:rsidR="0011382F">
        <w:rPr>
          <w:rFonts w:ascii="Times New Roman" w:hAnsi="Times New Roman"/>
          <w:bCs/>
          <w:sz w:val="22"/>
          <w:szCs w:val="22"/>
        </w:rPr>
        <w:t xml:space="preserve"> (planet-planet and planet-stellar interactions)</w:t>
      </w:r>
      <w:r w:rsidR="00907A8F">
        <w:rPr>
          <w:rFonts w:ascii="Times New Roman" w:hAnsi="Times New Roman"/>
          <w:bCs/>
          <w:sz w:val="22"/>
          <w:szCs w:val="22"/>
        </w:rPr>
        <w:t>, comets, and meteors</w:t>
      </w:r>
      <w:r w:rsidR="00B0331A">
        <w:rPr>
          <w:rFonts w:ascii="Times New Roman" w:hAnsi="Times New Roman"/>
          <w:bCs/>
          <w:sz w:val="22"/>
          <w:szCs w:val="22"/>
        </w:rPr>
        <w:t>.</w:t>
      </w:r>
      <w:r w:rsidR="00B0331A">
        <w:rPr>
          <w:rStyle w:val="FootnoteReference"/>
          <w:rFonts w:ascii="Times New Roman" w:hAnsi="Times New Roman"/>
          <w:bCs/>
          <w:sz w:val="22"/>
          <w:szCs w:val="22"/>
        </w:rPr>
        <w:footnoteReference w:id="64"/>
      </w:r>
      <w:r w:rsidR="004D066B">
        <w:rPr>
          <w:rFonts w:ascii="Times New Roman" w:hAnsi="Times New Roman"/>
          <w:bCs/>
          <w:sz w:val="22"/>
          <w:szCs w:val="22"/>
        </w:rPr>
        <w:t xml:space="preserve"> The planet-stellar interactions were reduced by combining stars into constellations and viewing the planetary approach</w:t>
      </w:r>
      <w:r w:rsidR="009710FC">
        <w:rPr>
          <w:rFonts w:ascii="Times New Roman" w:hAnsi="Times New Roman"/>
          <w:bCs/>
          <w:sz w:val="22"/>
          <w:szCs w:val="22"/>
        </w:rPr>
        <w:t xml:space="preserve"> to, and even the passing through,</w:t>
      </w:r>
      <w:r w:rsidR="004D066B">
        <w:rPr>
          <w:rFonts w:ascii="Times New Roman" w:hAnsi="Times New Roman"/>
          <w:bCs/>
          <w:sz w:val="22"/>
          <w:szCs w:val="22"/>
        </w:rPr>
        <w:t xml:space="preserve"> </w:t>
      </w:r>
      <w:r w:rsidR="000A22A9">
        <w:rPr>
          <w:rFonts w:ascii="Times New Roman" w:hAnsi="Times New Roman"/>
          <w:bCs/>
          <w:sz w:val="22"/>
          <w:szCs w:val="22"/>
        </w:rPr>
        <w:t>the constellation as a whol</w:t>
      </w:r>
      <w:r w:rsidR="009710FC">
        <w:rPr>
          <w:rFonts w:ascii="Times New Roman" w:hAnsi="Times New Roman"/>
          <w:bCs/>
          <w:sz w:val="22"/>
          <w:szCs w:val="22"/>
        </w:rPr>
        <w:t>e.</w:t>
      </w:r>
      <w:r w:rsidR="009710FC">
        <w:rPr>
          <w:rStyle w:val="FootnoteReference"/>
          <w:rFonts w:ascii="Times New Roman" w:hAnsi="Times New Roman"/>
          <w:bCs/>
          <w:sz w:val="22"/>
          <w:szCs w:val="22"/>
        </w:rPr>
        <w:footnoteReference w:id="65"/>
      </w:r>
      <w:r w:rsidR="009710FC">
        <w:rPr>
          <w:rFonts w:ascii="Times New Roman" w:hAnsi="Times New Roman"/>
          <w:bCs/>
          <w:sz w:val="22"/>
          <w:szCs w:val="22"/>
        </w:rPr>
        <w:t xml:space="preserve"> </w:t>
      </w:r>
      <w:r w:rsidR="00A32519">
        <w:rPr>
          <w:rFonts w:ascii="Times New Roman" w:hAnsi="Times New Roman"/>
          <w:bCs/>
          <w:sz w:val="22"/>
          <w:szCs w:val="22"/>
        </w:rPr>
        <w:t xml:space="preserve">Once the phenomena were chosen, </w:t>
      </w:r>
      <w:r w:rsidR="002F4232">
        <w:rPr>
          <w:rFonts w:ascii="Times New Roman" w:hAnsi="Times New Roman"/>
          <w:bCs/>
          <w:sz w:val="22"/>
          <w:szCs w:val="22"/>
        </w:rPr>
        <w:t xml:space="preserve">as soon as an earthly event coincided with </w:t>
      </w:r>
      <w:r w:rsidR="00BD1F46">
        <w:rPr>
          <w:rFonts w:ascii="Times New Roman" w:hAnsi="Times New Roman"/>
          <w:bCs/>
          <w:sz w:val="22"/>
          <w:szCs w:val="22"/>
        </w:rPr>
        <w:t>the phenomena the two were linked and the omen created.</w:t>
      </w:r>
      <w:r w:rsidR="00BD1F46">
        <w:rPr>
          <w:rStyle w:val="FootnoteReference"/>
          <w:rFonts w:ascii="Times New Roman" w:hAnsi="Times New Roman"/>
          <w:bCs/>
          <w:sz w:val="22"/>
          <w:szCs w:val="22"/>
        </w:rPr>
        <w:footnoteReference w:id="66"/>
      </w:r>
      <w:r w:rsidR="00251771">
        <w:rPr>
          <w:rFonts w:ascii="Times New Roman" w:hAnsi="Times New Roman"/>
          <w:bCs/>
          <w:sz w:val="22"/>
          <w:szCs w:val="22"/>
        </w:rPr>
        <w:t xml:space="preserve"> Secondly, </w:t>
      </w:r>
      <w:r w:rsidR="00270857">
        <w:rPr>
          <w:rFonts w:ascii="Times New Roman" w:hAnsi="Times New Roman"/>
          <w:bCs/>
          <w:sz w:val="22"/>
          <w:szCs w:val="22"/>
        </w:rPr>
        <w:t xml:space="preserve">a </w:t>
      </w:r>
      <w:r w:rsidR="008F1BDC">
        <w:rPr>
          <w:rFonts w:ascii="Times New Roman" w:hAnsi="Times New Roman"/>
          <w:bCs/>
          <w:sz w:val="22"/>
          <w:szCs w:val="22"/>
        </w:rPr>
        <w:t>“</w:t>
      </w:r>
      <w:r w:rsidR="00E77243">
        <w:rPr>
          <w:rFonts w:ascii="Times New Roman" w:hAnsi="Times New Roman"/>
          <w:bCs/>
          <w:sz w:val="22"/>
          <w:szCs w:val="22"/>
        </w:rPr>
        <w:t xml:space="preserve">theoretical framework </w:t>
      </w:r>
      <w:r w:rsidR="008F1BDC">
        <w:rPr>
          <w:rFonts w:ascii="Times New Roman" w:hAnsi="Times New Roman"/>
          <w:bCs/>
          <w:sz w:val="22"/>
          <w:szCs w:val="22"/>
        </w:rPr>
        <w:t>i</w:t>
      </w:r>
      <w:r w:rsidR="00E77243">
        <w:rPr>
          <w:rFonts w:ascii="Times New Roman" w:hAnsi="Times New Roman"/>
          <w:bCs/>
          <w:sz w:val="22"/>
          <w:szCs w:val="22"/>
        </w:rPr>
        <w:t xml:space="preserve">s </w:t>
      </w:r>
      <w:r w:rsidR="00607CCE">
        <w:rPr>
          <w:rFonts w:ascii="Times New Roman" w:hAnsi="Times New Roman"/>
          <w:bCs/>
          <w:sz w:val="22"/>
          <w:szCs w:val="22"/>
        </w:rPr>
        <w:t xml:space="preserve">imposed on the heavens, such as a zodiac or set of </w:t>
      </w:r>
      <w:r w:rsidR="00607CCE">
        <w:rPr>
          <w:rFonts w:ascii="Times New Roman" w:hAnsi="Times New Roman"/>
          <w:bCs/>
          <w:sz w:val="22"/>
          <w:szCs w:val="22"/>
        </w:rPr>
        <w:lastRenderedPageBreak/>
        <w:t>personalities for the planets</w:t>
      </w:r>
      <w:r w:rsidR="008F1BDC">
        <w:rPr>
          <w:rFonts w:ascii="Times New Roman" w:hAnsi="Times New Roman"/>
          <w:bCs/>
          <w:sz w:val="22"/>
          <w:szCs w:val="22"/>
        </w:rPr>
        <w:t>, that then allows for the construction of a kind of biography of human life, or the planning of future actions.”</w:t>
      </w:r>
      <w:r w:rsidR="008F1BDC">
        <w:rPr>
          <w:rStyle w:val="FootnoteReference"/>
          <w:rFonts w:ascii="Times New Roman" w:hAnsi="Times New Roman"/>
          <w:bCs/>
          <w:sz w:val="22"/>
          <w:szCs w:val="22"/>
        </w:rPr>
        <w:footnoteReference w:id="67"/>
      </w:r>
      <w:r w:rsidR="002D36B0">
        <w:rPr>
          <w:rFonts w:ascii="Times New Roman" w:hAnsi="Times New Roman"/>
          <w:bCs/>
          <w:sz w:val="22"/>
          <w:szCs w:val="22"/>
        </w:rPr>
        <w:t xml:space="preserve"> </w:t>
      </w:r>
      <w:r w:rsidR="005C65B2">
        <w:rPr>
          <w:rFonts w:ascii="Times New Roman" w:hAnsi="Times New Roman"/>
          <w:bCs/>
          <w:sz w:val="22"/>
          <w:szCs w:val="22"/>
        </w:rPr>
        <w:t xml:space="preserve">Some planets </w:t>
      </w:r>
      <w:r w:rsidR="00366011">
        <w:rPr>
          <w:rFonts w:ascii="Times New Roman" w:hAnsi="Times New Roman"/>
          <w:bCs/>
          <w:sz w:val="22"/>
          <w:szCs w:val="22"/>
        </w:rPr>
        <w:t xml:space="preserve">were originally considered either </w:t>
      </w:r>
      <w:r w:rsidR="000C4460">
        <w:rPr>
          <w:rFonts w:ascii="Times New Roman" w:hAnsi="Times New Roman"/>
          <w:bCs/>
          <w:sz w:val="22"/>
          <w:szCs w:val="22"/>
        </w:rPr>
        <w:t>as beneficial (Jupiter and Venus) or malefic (Mars)</w:t>
      </w:r>
      <w:r w:rsidR="000C6AFF">
        <w:rPr>
          <w:rFonts w:ascii="Times New Roman" w:hAnsi="Times New Roman"/>
          <w:bCs/>
          <w:sz w:val="22"/>
          <w:szCs w:val="22"/>
        </w:rPr>
        <w:t>.</w:t>
      </w:r>
      <w:r w:rsidR="000C6AFF">
        <w:rPr>
          <w:rStyle w:val="FootnoteReference"/>
          <w:rFonts w:ascii="Times New Roman" w:hAnsi="Times New Roman"/>
          <w:bCs/>
          <w:sz w:val="22"/>
          <w:szCs w:val="22"/>
        </w:rPr>
        <w:footnoteReference w:id="68"/>
      </w:r>
      <w:r w:rsidR="00291838">
        <w:rPr>
          <w:rFonts w:ascii="Times New Roman" w:hAnsi="Times New Roman"/>
          <w:bCs/>
          <w:sz w:val="22"/>
          <w:szCs w:val="22"/>
        </w:rPr>
        <w:t xml:space="preserve"> With these associations given to the planets, they led to their </w:t>
      </w:r>
      <w:r w:rsidR="00B76B58">
        <w:rPr>
          <w:rFonts w:ascii="Times New Roman" w:hAnsi="Times New Roman"/>
          <w:bCs/>
          <w:sz w:val="22"/>
          <w:szCs w:val="22"/>
        </w:rPr>
        <w:t>positions of significance within the EAE and other divinatory works.</w:t>
      </w:r>
      <w:r w:rsidR="00B76B58">
        <w:rPr>
          <w:rStyle w:val="FootnoteReference"/>
          <w:rFonts w:ascii="Times New Roman" w:hAnsi="Times New Roman"/>
          <w:bCs/>
          <w:sz w:val="22"/>
          <w:szCs w:val="22"/>
        </w:rPr>
        <w:footnoteReference w:id="69"/>
      </w:r>
      <w:r w:rsidR="00605E7F">
        <w:rPr>
          <w:rFonts w:ascii="Times New Roman" w:hAnsi="Times New Roman"/>
          <w:bCs/>
          <w:sz w:val="22"/>
          <w:szCs w:val="22"/>
        </w:rPr>
        <w:t xml:space="preserve"> This encoding revolved around </w:t>
      </w:r>
      <w:r w:rsidR="0072209E">
        <w:rPr>
          <w:rFonts w:ascii="Times New Roman" w:hAnsi="Times New Roman"/>
          <w:bCs/>
          <w:sz w:val="22"/>
          <w:szCs w:val="22"/>
        </w:rPr>
        <w:t>the religious and mythological notions of the roles played by th</w:t>
      </w:r>
      <w:r w:rsidR="00143F82">
        <w:rPr>
          <w:rFonts w:ascii="Times New Roman" w:hAnsi="Times New Roman"/>
          <w:bCs/>
          <w:sz w:val="22"/>
          <w:szCs w:val="22"/>
        </w:rPr>
        <w:t xml:space="preserve">ose particular gods with the celestial bodies </w:t>
      </w:r>
      <w:r w:rsidR="002D20A7">
        <w:rPr>
          <w:rFonts w:ascii="Times New Roman" w:hAnsi="Times New Roman"/>
          <w:bCs/>
          <w:sz w:val="22"/>
          <w:szCs w:val="22"/>
        </w:rPr>
        <w:t>linked to them.</w:t>
      </w:r>
      <w:r w:rsidR="002D20A7">
        <w:rPr>
          <w:rStyle w:val="FootnoteReference"/>
          <w:rFonts w:ascii="Times New Roman" w:hAnsi="Times New Roman"/>
          <w:bCs/>
          <w:sz w:val="22"/>
          <w:szCs w:val="22"/>
        </w:rPr>
        <w:footnoteReference w:id="70"/>
      </w:r>
      <w:r w:rsidR="002D20A7">
        <w:rPr>
          <w:rFonts w:ascii="Times New Roman" w:hAnsi="Times New Roman"/>
          <w:bCs/>
          <w:sz w:val="22"/>
          <w:szCs w:val="22"/>
        </w:rPr>
        <w:t xml:space="preserve"> </w:t>
      </w:r>
      <w:r w:rsidR="00465D22">
        <w:rPr>
          <w:rFonts w:ascii="Times New Roman" w:hAnsi="Times New Roman"/>
          <w:bCs/>
          <w:sz w:val="22"/>
          <w:szCs w:val="22"/>
        </w:rPr>
        <w:t xml:space="preserve">While it is known that this did occur, </w:t>
      </w:r>
      <w:r w:rsidR="00E85ED7">
        <w:rPr>
          <w:rFonts w:ascii="Times New Roman" w:hAnsi="Times New Roman"/>
          <w:bCs/>
          <w:sz w:val="22"/>
          <w:szCs w:val="22"/>
        </w:rPr>
        <w:t>according to Brown a detailed analysis of this topic is impossible with the information currently available through the various text</w:t>
      </w:r>
      <w:r w:rsidR="00812F89">
        <w:rPr>
          <w:rFonts w:ascii="Times New Roman" w:hAnsi="Times New Roman"/>
          <w:bCs/>
          <w:sz w:val="22"/>
          <w:szCs w:val="22"/>
        </w:rPr>
        <w:t>s that have survived.</w:t>
      </w:r>
      <w:r w:rsidR="00812F89">
        <w:rPr>
          <w:rStyle w:val="FootnoteReference"/>
          <w:rFonts w:ascii="Times New Roman" w:hAnsi="Times New Roman"/>
          <w:bCs/>
          <w:sz w:val="22"/>
          <w:szCs w:val="22"/>
        </w:rPr>
        <w:footnoteReference w:id="71"/>
      </w:r>
      <w:r w:rsidR="00812F89">
        <w:rPr>
          <w:rFonts w:ascii="Times New Roman" w:hAnsi="Times New Roman"/>
          <w:bCs/>
          <w:sz w:val="22"/>
          <w:szCs w:val="22"/>
        </w:rPr>
        <w:t xml:space="preserve"> Hopefully, with more research and translations of cuneiform tablets </w:t>
      </w:r>
      <w:r w:rsidR="00682BB4">
        <w:rPr>
          <w:rFonts w:ascii="Times New Roman" w:hAnsi="Times New Roman"/>
          <w:bCs/>
          <w:sz w:val="22"/>
          <w:szCs w:val="22"/>
        </w:rPr>
        <w:t xml:space="preserve">these gaps in knowledge will be closed and a better understanding </w:t>
      </w:r>
      <w:r w:rsidR="00ED383B">
        <w:rPr>
          <w:rFonts w:ascii="Times New Roman" w:hAnsi="Times New Roman"/>
          <w:bCs/>
          <w:sz w:val="22"/>
          <w:szCs w:val="22"/>
        </w:rPr>
        <w:t>of celestial divination as a whole in Mesopotamia will arise.</w:t>
      </w:r>
    </w:p>
    <w:p w14:paraId="183023CB" w14:textId="44594FC4" w:rsidR="0032714A" w:rsidRDefault="00ED383B"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r>
      <w:r w:rsidR="00F802B8">
        <w:rPr>
          <w:rFonts w:ascii="Times New Roman" w:hAnsi="Times New Roman"/>
          <w:bCs/>
          <w:sz w:val="22"/>
          <w:szCs w:val="22"/>
        </w:rPr>
        <w:t xml:space="preserve">Now that the relationship between the celestial phenomena and the omens generated has been established, </w:t>
      </w:r>
      <w:r w:rsidR="000F5B3D">
        <w:rPr>
          <w:rFonts w:ascii="Times New Roman" w:hAnsi="Times New Roman"/>
          <w:bCs/>
          <w:sz w:val="22"/>
          <w:szCs w:val="22"/>
        </w:rPr>
        <w:t xml:space="preserve">it is time to </w:t>
      </w:r>
      <w:r w:rsidR="00487B36">
        <w:rPr>
          <w:rFonts w:ascii="Times New Roman" w:hAnsi="Times New Roman"/>
          <w:bCs/>
          <w:sz w:val="22"/>
          <w:szCs w:val="22"/>
        </w:rPr>
        <w:t>investigate</w:t>
      </w:r>
      <w:r w:rsidR="000F5B3D">
        <w:rPr>
          <w:rFonts w:ascii="Times New Roman" w:hAnsi="Times New Roman"/>
          <w:bCs/>
          <w:sz w:val="22"/>
          <w:szCs w:val="22"/>
        </w:rPr>
        <w:t xml:space="preserve"> the role celestial divination had within the various societies of ancient Mesopotamia. </w:t>
      </w:r>
      <w:r w:rsidR="00DA45E3">
        <w:rPr>
          <w:rFonts w:ascii="Times New Roman" w:hAnsi="Times New Roman"/>
          <w:bCs/>
          <w:sz w:val="22"/>
          <w:szCs w:val="22"/>
        </w:rPr>
        <w:t xml:space="preserve">All political authority was </w:t>
      </w:r>
      <w:r w:rsidR="00E326EF">
        <w:rPr>
          <w:rFonts w:ascii="Times New Roman" w:hAnsi="Times New Roman"/>
          <w:bCs/>
          <w:sz w:val="22"/>
          <w:szCs w:val="22"/>
        </w:rPr>
        <w:t xml:space="preserve">vested in the gods and goddesses </w:t>
      </w:r>
      <w:r w:rsidR="009E69ED">
        <w:rPr>
          <w:rFonts w:ascii="Times New Roman" w:hAnsi="Times New Roman"/>
          <w:bCs/>
          <w:sz w:val="22"/>
          <w:szCs w:val="22"/>
        </w:rPr>
        <w:t>within the cosmos.</w:t>
      </w:r>
      <w:r w:rsidR="009E69ED">
        <w:rPr>
          <w:rStyle w:val="FootnoteReference"/>
          <w:rFonts w:ascii="Times New Roman" w:hAnsi="Times New Roman"/>
          <w:bCs/>
          <w:sz w:val="22"/>
          <w:szCs w:val="22"/>
        </w:rPr>
        <w:footnoteReference w:id="72"/>
      </w:r>
      <w:r w:rsidR="00117640">
        <w:rPr>
          <w:rFonts w:ascii="Times New Roman" w:hAnsi="Times New Roman"/>
          <w:bCs/>
          <w:sz w:val="22"/>
          <w:szCs w:val="22"/>
        </w:rPr>
        <w:t xml:space="preserve"> The reasons for this is described in the Enuma E</w:t>
      </w:r>
      <w:r w:rsidR="008C7DBF">
        <w:rPr>
          <w:rFonts w:ascii="Times New Roman" w:hAnsi="Times New Roman"/>
          <w:bCs/>
          <w:sz w:val="22"/>
          <w:szCs w:val="22"/>
        </w:rPr>
        <w:t xml:space="preserve">lish, which is a creation account of how the universe was created, the beginning of the gods, </w:t>
      </w:r>
      <w:r w:rsidR="00AF5965">
        <w:rPr>
          <w:rFonts w:ascii="Times New Roman" w:hAnsi="Times New Roman"/>
          <w:bCs/>
          <w:sz w:val="22"/>
          <w:szCs w:val="22"/>
        </w:rPr>
        <w:t>and how order was founded from chaos.</w:t>
      </w:r>
      <w:r w:rsidR="00AF5965">
        <w:rPr>
          <w:rStyle w:val="FootnoteReference"/>
          <w:rFonts w:ascii="Times New Roman" w:hAnsi="Times New Roman"/>
          <w:bCs/>
          <w:sz w:val="22"/>
          <w:szCs w:val="22"/>
        </w:rPr>
        <w:footnoteReference w:id="73"/>
      </w:r>
      <w:r w:rsidR="005D1373">
        <w:rPr>
          <w:rFonts w:ascii="Times New Roman" w:hAnsi="Times New Roman"/>
          <w:bCs/>
          <w:sz w:val="22"/>
          <w:szCs w:val="22"/>
        </w:rPr>
        <w:t xml:space="preserve"> It </w:t>
      </w:r>
      <w:r w:rsidR="00705B82">
        <w:rPr>
          <w:rFonts w:ascii="Times New Roman" w:hAnsi="Times New Roman"/>
          <w:bCs/>
          <w:sz w:val="22"/>
          <w:szCs w:val="22"/>
        </w:rPr>
        <w:t>was</w:t>
      </w:r>
      <w:r w:rsidR="005D1373">
        <w:rPr>
          <w:rFonts w:ascii="Times New Roman" w:hAnsi="Times New Roman"/>
          <w:bCs/>
          <w:sz w:val="22"/>
          <w:szCs w:val="22"/>
        </w:rPr>
        <w:t xml:space="preserve"> the chief god, Marduk</w:t>
      </w:r>
      <w:r w:rsidR="00C94C1C">
        <w:rPr>
          <w:rFonts w:ascii="Times New Roman" w:hAnsi="Times New Roman"/>
          <w:bCs/>
          <w:sz w:val="22"/>
          <w:szCs w:val="22"/>
        </w:rPr>
        <w:t>, who establishe</w:t>
      </w:r>
      <w:r w:rsidR="00705B82">
        <w:rPr>
          <w:rFonts w:ascii="Times New Roman" w:hAnsi="Times New Roman"/>
          <w:bCs/>
          <w:sz w:val="22"/>
          <w:szCs w:val="22"/>
        </w:rPr>
        <w:t>d</w:t>
      </w:r>
      <w:r w:rsidR="00C94C1C">
        <w:rPr>
          <w:rFonts w:ascii="Times New Roman" w:hAnsi="Times New Roman"/>
          <w:bCs/>
          <w:sz w:val="22"/>
          <w:szCs w:val="22"/>
        </w:rPr>
        <w:t xml:space="preserve"> the final versions of the celestial bodies </w:t>
      </w:r>
      <w:r w:rsidR="006232C9">
        <w:rPr>
          <w:rFonts w:ascii="Times New Roman" w:hAnsi="Times New Roman"/>
          <w:bCs/>
          <w:sz w:val="22"/>
          <w:szCs w:val="22"/>
        </w:rPr>
        <w:t xml:space="preserve">by placing the stars and creating constellations, creating the </w:t>
      </w:r>
      <w:r w:rsidR="00E205B3">
        <w:rPr>
          <w:rFonts w:ascii="Times New Roman" w:hAnsi="Times New Roman"/>
          <w:bCs/>
          <w:sz w:val="22"/>
          <w:szCs w:val="22"/>
        </w:rPr>
        <w:t>calendric year</w:t>
      </w:r>
      <w:r w:rsidR="00AE0B81">
        <w:rPr>
          <w:rFonts w:ascii="Times New Roman" w:hAnsi="Times New Roman"/>
          <w:bCs/>
          <w:sz w:val="22"/>
          <w:szCs w:val="22"/>
        </w:rPr>
        <w:t xml:space="preserve"> based on 3 stars </w:t>
      </w:r>
      <w:r w:rsidR="002C395B">
        <w:rPr>
          <w:rFonts w:ascii="Times New Roman" w:hAnsi="Times New Roman"/>
          <w:bCs/>
          <w:sz w:val="22"/>
          <w:szCs w:val="22"/>
        </w:rPr>
        <w:t xml:space="preserve">for each of the 12 months, fixing the moon and establishing the </w:t>
      </w:r>
      <w:r w:rsidR="003228E9">
        <w:rPr>
          <w:rFonts w:ascii="Times New Roman" w:hAnsi="Times New Roman"/>
          <w:bCs/>
          <w:sz w:val="22"/>
          <w:szCs w:val="22"/>
        </w:rPr>
        <w:t xml:space="preserve">number of days in the month, </w:t>
      </w:r>
      <w:r w:rsidR="008616FC">
        <w:rPr>
          <w:rFonts w:ascii="Times New Roman" w:hAnsi="Times New Roman"/>
          <w:bCs/>
          <w:sz w:val="22"/>
          <w:szCs w:val="22"/>
        </w:rPr>
        <w:t>and all other</w:t>
      </w:r>
      <w:r w:rsidR="00AD2200">
        <w:rPr>
          <w:rFonts w:ascii="Times New Roman" w:hAnsi="Times New Roman"/>
          <w:bCs/>
          <w:sz w:val="22"/>
          <w:szCs w:val="22"/>
        </w:rPr>
        <w:t xml:space="preserve"> features of the divine cosmos.</w:t>
      </w:r>
      <w:r w:rsidR="00AD2200">
        <w:rPr>
          <w:rStyle w:val="FootnoteReference"/>
          <w:rFonts w:ascii="Times New Roman" w:hAnsi="Times New Roman"/>
          <w:bCs/>
          <w:sz w:val="22"/>
          <w:szCs w:val="22"/>
        </w:rPr>
        <w:footnoteReference w:id="74"/>
      </w:r>
      <w:r w:rsidR="00C57784">
        <w:rPr>
          <w:rFonts w:ascii="Times New Roman" w:hAnsi="Times New Roman"/>
          <w:bCs/>
          <w:sz w:val="22"/>
          <w:szCs w:val="22"/>
        </w:rPr>
        <w:t xml:space="preserve"> Marduk is also said to have established Babylon</w:t>
      </w:r>
      <w:r w:rsidR="00813927">
        <w:rPr>
          <w:rFonts w:ascii="Times New Roman" w:hAnsi="Times New Roman"/>
          <w:bCs/>
          <w:sz w:val="22"/>
          <w:szCs w:val="22"/>
        </w:rPr>
        <w:t xml:space="preserve"> and the central dwelling place of the gods</w:t>
      </w:r>
      <w:r w:rsidR="004779DB">
        <w:rPr>
          <w:rFonts w:ascii="Times New Roman" w:hAnsi="Times New Roman"/>
          <w:bCs/>
          <w:sz w:val="22"/>
          <w:szCs w:val="22"/>
        </w:rPr>
        <w:t xml:space="preserve"> and from here would be the establishment of </w:t>
      </w:r>
      <w:r w:rsidR="00946F38">
        <w:rPr>
          <w:rFonts w:ascii="Times New Roman" w:hAnsi="Times New Roman"/>
          <w:bCs/>
          <w:sz w:val="22"/>
          <w:szCs w:val="22"/>
        </w:rPr>
        <w:t>his kingship.</w:t>
      </w:r>
      <w:r w:rsidR="00946F38">
        <w:rPr>
          <w:rStyle w:val="FootnoteReference"/>
          <w:rFonts w:ascii="Times New Roman" w:hAnsi="Times New Roman"/>
          <w:bCs/>
          <w:sz w:val="22"/>
          <w:szCs w:val="22"/>
        </w:rPr>
        <w:footnoteReference w:id="75"/>
      </w:r>
      <w:r w:rsidR="00617023">
        <w:rPr>
          <w:rFonts w:ascii="Times New Roman" w:hAnsi="Times New Roman"/>
          <w:bCs/>
          <w:sz w:val="22"/>
          <w:szCs w:val="22"/>
        </w:rPr>
        <w:t xml:space="preserve"> </w:t>
      </w:r>
      <w:r w:rsidR="00605F2E">
        <w:rPr>
          <w:rFonts w:ascii="Times New Roman" w:hAnsi="Times New Roman"/>
          <w:bCs/>
          <w:sz w:val="22"/>
          <w:szCs w:val="22"/>
        </w:rPr>
        <w:t xml:space="preserve">While the text here indicates only Babylon, it may be possible to assume that other city-states had a similar </w:t>
      </w:r>
      <w:r w:rsidR="00906E4D">
        <w:rPr>
          <w:rFonts w:ascii="Times New Roman" w:hAnsi="Times New Roman"/>
          <w:bCs/>
          <w:sz w:val="22"/>
          <w:szCs w:val="22"/>
        </w:rPr>
        <w:t xml:space="preserve">example of their cities being the chief city and creation of </w:t>
      </w:r>
      <w:r w:rsidR="00593BC6">
        <w:rPr>
          <w:rFonts w:ascii="Times New Roman" w:hAnsi="Times New Roman"/>
          <w:bCs/>
          <w:sz w:val="22"/>
          <w:szCs w:val="22"/>
        </w:rPr>
        <w:t>one god or another</w:t>
      </w:r>
      <w:r w:rsidR="00906E4D">
        <w:rPr>
          <w:rFonts w:ascii="Times New Roman" w:hAnsi="Times New Roman"/>
          <w:bCs/>
          <w:sz w:val="22"/>
          <w:szCs w:val="22"/>
        </w:rPr>
        <w:t xml:space="preserve"> as this would be considered a p</w:t>
      </w:r>
      <w:r w:rsidR="008A7797">
        <w:rPr>
          <w:rFonts w:ascii="Times New Roman" w:hAnsi="Times New Roman"/>
          <w:bCs/>
          <w:sz w:val="22"/>
          <w:szCs w:val="22"/>
        </w:rPr>
        <w:t>lay for power in the region if one could establish divine origin for their city.</w:t>
      </w:r>
    </w:p>
    <w:p w14:paraId="14E0990B" w14:textId="3BB2D6EA" w:rsidR="00BE7476" w:rsidRDefault="00BE7476"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ab/>
        <w:t xml:space="preserve">One of the key ways the king was able to establish and maintain his authority </w:t>
      </w:r>
      <w:r w:rsidR="00E4178C">
        <w:rPr>
          <w:rFonts w:ascii="Times New Roman" w:hAnsi="Times New Roman"/>
          <w:bCs/>
          <w:sz w:val="22"/>
          <w:szCs w:val="22"/>
        </w:rPr>
        <w:t>over his kingdom</w:t>
      </w:r>
      <w:r w:rsidR="00B21E8E">
        <w:rPr>
          <w:rFonts w:ascii="Times New Roman" w:hAnsi="Times New Roman"/>
          <w:bCs/>
          <w:sz w:val="22"/>
          <w:szCs w:val="22"/>
        </w:rPr>
        <w:t xml:space="preserve"> was through the</w:t>
      </w:r>
      <w:r w:rsidR="00EF584C">
        <w:rPr>
          <w:rFonts w:ascii="Times New Roman" w:hAnsi="Times New Roman"/>
          <w:bCs/>
          <w:sz w:val="22"/>
          <w:szCs w:val="22"/>
        </w:rPr>
        <w:t xml:space="preserve"> continued use of divination, allowing for </w:t>
      </w:r>
      <w:r w:rsidR="003756BA">
        <w:rPr>
          <w:rFonts w:ascii="Times New Roman" w:hAnsi="Times New Roman"/>
          <w:bCs/>
          <w:sz w:val="22"/>
          <w:szCs w:val="22"/>
        </w:rPr>
        <w:t>good decisions to be made in all matters related to the kingdom.</w:t>
      </w:r>
      <w:r w:rsidR="003756BA">
        <w:rPr>
          <w:rStyle w:val="FootnoteReference"/>
          <w:rFonts w:ascii="Times New Roman" w:hAnsi="Times New Roman"/>
          <w:bCs/>
          <w:sz w:val="22"/>
          <w:szCs w:val="22"/>
        </w:rPr>
        <w:footnoteReference w:id="76"/>
      </w:r>
      <w:r w:rsidR="003A344D">
        <w:rPr>
          <w:rFonts w:ascii="Times New Roman" w:hAnsi="Times New Roman"/>
          <w:bCs/>
          <w:sz w:val="22"/>
          <w:szCs w:val="22"/>
        </w:rPr>
        <w:t xml:space="preserve"> Shamash, the</w:t>
      </w:r>
      <w:r w:rsidR="00F608DA">
        <w:rPr>
          <w:rFonts w:ascii="Times New Roman" w:hAnsi="Times New Roman"/>
          <w:bCs/>
          <w:sz w:val="22"/>
          <w:szCs w:val="22"/>
        </w:rPr>
        <w:t xml:space="preserve"> god of the sun, was </w:t>
      </w:r>
      <w:r w:rsidR="003C7136">
        <w:rPr>
          <w:rFonts w:ascii="Times New Roman" w:hAnsi="Times New Roman"/>
          <w:bCs/>
          <w:sz w:val="22"/>
          <w:szCs w:val="22"/>
        </w:rPr>
        <w:t>the considered the god of justice and divination.</w:t>
      </w:r>
      <w:r w:rsidR="003C7136">
        <w:rPr>
          <w:rStyle w:val="FootnoteReference"/>
          <w:rFonts w:ascii="Times New Roman" w:hAnsi="Times New Roman"/>
          <w:bCs/>
          <w:sz w:val="22"/>
          <w:szCs w:val="22"/>
        </w:rPr>
        <w:footnoteReference w:id="77"/>
      </w:r>
      <w:r w:rsidR="003C7136">
        <w:rPr>
          <w:rFonts w:ascii="Times New Roman" w:hAnsi="Times New Roman"/>
          <w:bCs/>
          <w:sz w:val="22"/>
          <w:szCs w:val="22"/>
        </w:rPr>
        <w:t xml:space="preserve"> </w:t>
      </w:r>
      <w:r w:rsidR="00E80F92">
        <w:rPr>
          <w:rFonts w:ascii="Times New Roman" w:hAnsi="Times New Roman"/>
          <w:bCs/>
          <w:sz w:val="22"/>
          <w:szCs w:val="22"/>
        </w:rPr>
        <w:t xml:space="preserve">Because of this, the association of kings with Shamash was important in that the king was to impose justice </w:t>
      </w:r>
      <w:r w:rsidR="002650D7">
        <w:rPr>
          <w:rFonts w:ascii="Times New Roman" w:hAnsi="Times New Roman"/>
          <w:bCs/>
          <w:sz w:val="22"/>
          <w:szCs w:val="22"/>
        </w:rPr>
        <w:t>for his people and also rely on divination as a tool in decision making.</w:t>
      </w:r>
      <w:r w:rsidR="002650D7">
        <w:rPr>
          <w:rStyle w:val="FootnoteReference"/>
          <w:rFonts w:ascii="Times New Roman" w:hAnsi="Times New Roman"/>
          <w:bCs/>
          <w:sz w:val="22"/>
          <w:szCs w:val="22"/>
        </w:rPr>
        <w:footnoteReference w:id="78"/>
      </w:r>
      <w:r w:rsidR="00413172">
        <w:rPr>
          <w:rFonts w:ascii="Times New Roman" w:hAnsi="Times New Roman"/>
          <w:bCs/>
          <w:sz w:val="22"/>
          <w:szCs w:val="22"/>
        </w:rPr>
        <w:t xml:space="preserve"> The relationship between the king and Shamash would be of imitation, as the king was to enact justice for his people as Shamash would and also use divination </w:t>
      </w:r>
      <w:r w:rsidR="00374E80">
        <w:rPr>
          <w:rFonts w:ascii="Times New Roman" w:hAnsi="Times New Roman"/>
          <w:bCs/>
          <w:sz w:val="22"/>
          <w:szCs w:val="22"/>
        </w:rPr>
        <w:t xml:space="preserve">as a way for Shamash to confirm his decisions on </w:t>
      </w:r>
      <w:r w:rsidR="00913F7B">
        <w:rPr>
          <w:rFonts w:ascii="Times New Roman" w:hAnsi="Times New Roman"/>
          <w:bCs/>
          <w:sz w:val="22"/>
          <w:szCs w:val="22"/>
        </w:rPr>
        <w:t>matters of the state.</w:t>
      </w:r>
      <w:r w:rsidR="00913F7B">
        <w:rPr>
          <w:rStyle w:val="FootnoteReference"/>
          <w:rFonts w:ascii="Times New Roman" w:hAnsi="Times New Roman"/>
          <w:bCs/>
          <w:sz w:val="22"/>
          <w:szCs w:val="22"/>
        </w:rPr>
        <w:footnoteReference w:id="79"/>
      </w:r>
      <w:r w:rsidR="00CD0B04">
        <w:rPr>
          <w:rFonts w:ascii="Times New Roman" w:hAnsi="Times New Roman"/>
          <w:bCs/>
          <w:sz w:val="22"/>
          <w:szCs w:val="22"/>
        </w:rPr>
        <w:t xml:space="preserve">  </w:t>
      </w:r>
      <w:r w:rsidR="00747366">
        <w:rPr>
          <w:rFonts w:ascii="Times New Roman" w:hAnsi="Times New Roman"/>
          <w:bCs/>
          <w:sz w:val="22"/>
          <w:szCs w:val="22"/>
        </w:rPr>
        <w:t xml:space="preserve">A link between Marduk and Shamash </w:t>
      </w:r>
      <w:r w:rsidR="00795631">
        <w:rPr>
          <w:rFonts w:ascii="Times New Roman" w:hAnsi="Times New Roman"/>
          <w:bCs/>
          <w:sz w:val="22"/>
          <w:szCs w:val="22"/>
        </w:rPr>
        <w:t xml:space="preserve">can be found </w:t>
      </w:r>
      <w:r w:rsidR="00557FB3">
        <w:rPr>
          <w:rFonts w:ascii="Times New Roman" w:hAnsi="Times New Roman"/>
          <w:bCs/>
          <w:sz w:val="22"/>
          <w:szCs w:val="22"/>
        </w:rPr>
        <w:t xml:space="preserve">in a proclamation by Hammurabi </w:t>
      </w:r>
      <w:r w:rsidR="00BC77BC">
        <w:rPr>
          <w:rFonts w:ascii="Times New Roman" w:hAnsi="Times New Roman"/>
          <w:bCs/>
          <w:sz w:val="22"/>
          <w:szCs w:val="22"/>
        </w:rPr>
        <w:t>stating</w:t>
      </w:r>
      <w:r w:rsidR="0012185A">
        <w:rPr>
          <w:rFonts w:ascii="Times New Roman" w:hAnsi="Times New Roman"/>
          <w:bCs/>
          <w:sz w:val="22"/>
          <w:szCs w:val="22"/>
        </w:rPr>
        <w:t>:</w:t>
      </w:r>
    </w:p>
    <w:p w14:paraId="7134B848" w14:textId="77777777" w:rsidR="0012185A" w:rsidRDefault="0012185A" w:rsidP="003022E8">
      <w:pPr>
        <w:pStyle w:val="NormalWeb"/>
        <w:spacing w:before="0" w:beforeAutospacing="0" w:after="0" w:afterAutospacing="0"/>
        <w:ind w:right="-334"/>
        <w:rPr>
          <w:rFonts w:ascii="Times New Roman" w:hAnsi="Times New Roman"/>
          <w:bCs/>
          <w:sz w:val="22"/>
          <w:szCs w:val="22"/>
        </w:rPr>
      </w:pPr>
    </w:p>
    <w:p w14:paraId="0E9EB047" w14:textId="5884F5CD" w:rsidR="0012185A" w:rsidRDefault="0012185A"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t>“Year: Ammi-ditana, the king, the fierce great ruler, beloved of Shamash and Marduk, remitted the debts that his country has incurred</w:t>
      </w:r>
      <w:r w:rsidR="00174E58">
        <w:rPr>
          <w:rFonts w:ascii="Times New Roman" w:hAnsi="Times New Roman"/>
          <w:bCs/>
          <w:sz w:val="22"/>
          <w:szCs w:val="22"/>
        </w:rPr>
        <w:t>.”</w:t>
      </w:r>
      <w:r w:rsidR="00174E58">
        <w:rPr>
          <w:rStyle w:val="FootnoteReference"/>
          <w:rFonts w:ascii="Times New Roman" w:hAnsi="Times New Roman"/>
          <w:bCs/>
          <w:sz w:val="22"/>
          <w:szCs w:val="22"/>
        </w:rPr>
        <w:footnoteReference w:id="80"/>
      </w:r>
    </w:p>
    <w:p w14:paraId="0438A32D" w14:textId="77777777" w:rsidR="0032714A" w:rsidRDefault="0032714A" w:rsidP="003022E8">
      <w:pPr>
        <w:pStyle w:val="NormalWeb"/>
        <w:spacing w:before="0" w:beforeAutospacing="0" w:after="0" w:afterAutospacing="0"/>
        <w:ind w:right="-334"/>
        <w:rPr>
          <w:rFonts w:ascii="Times New Roman" w:hAnsi="Times New Roman"/>
          <w:bCs/>
          <w:sz w:val="22"/>
          <w:szCs w:val="22"/>
        </w:rPr>
      </w:pPr>
    </w:p>
    <w:p w14:paraId="1380A4EE" w14:textId="0127B6EE" w:rsidR="0032714A" w:rsidRDefault="00492636" w:rsidP="003022E8">
      <w:pPr>
        <w:pStyle w:val="NormalWeb"/>
        <w:spacing w:before="0" w:beforeAutospacing="0" w:after="0" w:afterAutospacing="0"/>
        <w:ind w:right="-334"/>
        <w:rPr>
          <w:rFonts w:ascii="Times New Roman" w:hAnsi="Times New Roman"/>
          <w:bCs/>
          <w:sz w:val="22"/>
          <w:szCs w:val="22"/>
        </w:rPr>
      </w:pPr>
      <w:r>
        <w:rPr>
          <w:rFonts w:ascii="Times New Roman" w:hAnsi="Times New Roman"/>
          <w:bCs/>
          <w:sz w:val="22"/>
          <w:szCs w:val="22"/>
        </w:rPr>
        <w:lastRenderedPageBreak/>
        <w:tab/>
        <w:t xml:space="preserve">Here, the king </w:t>
      </w:r>
      <w:r w:rsidR="00726DF0">
        <w:rPr>
          <w:rFonts w:ascii="Times New Roman" w:hAnsi="Times New Roman"/>
          <w:bCs/>
          <w:sz w:val="22"/>
          <w:szCs w:val="22"/>
        </w:rPr>
        <w:t>has the authority of both the chief god, Marduk, and the patron god of justice and divination, Shamash.</w:t>
      </w:r>
      <w:r w:rsidR="009A6781">
        <w:rPr>
          <w:rFonts w:ascii="Times New Roman" w:hAnsi="Times New Roman"/>
          <w:bCs/>
          <w:sz w:val="22"/>
          <w:szCs w:val="22"/>
        </w:rPr>
        <w:t xml:space="preserve">  </w:t>
      </w:r>
      <w:r w:rsidR="00413172">
        <w:rPr>
          <w:rFonts w:ascii="Times New Roman" w:hAnsi="Times New Roman"/>
          <w:bCs/>
          <w:sz w:val="22"/>
          <w:szCs w:val="22"/>
        </w:rPr>
        <w:t>Both</w:t>
      </w:r>
      <w:r w:rsidR="009A6781">
        <w:rPr>
          <w:rFonts w:ascii="Times New Roman" w:hAnsi="Times New Roman"/>
          <w:bCs/>
          <w:sz w:val="22"/>
          <w:szCs w:val="22"/>
        </w:rPr>
        <w:t xml:space="preserve"> would help establish the authority of the king as the rightful ruler</w:t>
      </w:r>
      <w:r w:rsidR="009750BA">
        <w:rPr>
          <w:rFonts w:ascii="Times New Roman" w:hAnsi="Times New Roman"/>
          <w:bCs/>
          <w:sz w:val="22"/>
          <w:szCs w:val="22"/>
        </w:rPr>
        <w:t xml:space="preserve"> and guarantee the support of his subjects.</w:t>
      </w:r>
    </w:p>
    <w:p w14:paraId="4B11452A" w14:textId="79EBA7F6" w:rsidR="00ED383B" w:rsidRDefault="009A07AC" w:rsidP="009A07AC">
      <w:pPr>
        <w:pStyle w:val="NormalWeb"/>
        <w:spacing w:before="0" w:beforeAutospacing="0" w:after="0" w:afterAutospacing="0"/>
        <w:ind w:right="-334" w:firstLine="720"/>
        <w:rPr>
          <w:rFonts w:ascii="Times New Roman" w:hAnsi="Times New Roman"/>
          <w:bCs/>
          <w:sz w:val="22"/>
          <w:szCs w:val="22"/>
        </w:rPr>
      </w:pPr>
      <w:r>
        <w:rPr>
          <w:rFonts w:ascii="Times New Roman" w:hAnsi="Times New Roman"/>
          <w:bCs/>
          <w:sz w:val="22"/>
          <w:szCs w:val="22"/>
        </w:rPr>
        <w:t>While t</w:t>
      </w:r>
      <w:r w:rsidR="00487B36">
        <w:rPr>
          <w:rFonts w:ascii="Times New Roman" w:hAnsi="Times New Roman"/>
          <w:bCs/>
          <w:sz w:val="22"/>
          <w:szCs w:val="22"/>
        </w:rPr>
        <w:t xml:space="preserve">he premises of EAE were established </w:t>
      </w:r>
      <w:r w:rsidR="00406EE5">
        <w:rPr>
          <w:rFonts w:ascii="Times New Roman" w:hAnsi="Times New Roman"/>
          <w:bCs/>
          <w:sz w:val="22"/>
          <w:szCs w:val="22"/>
        </w:rPr>
        <w:t>at some point before</w:t>
      </w:r>
      <w:r w:rsidR="00487B36">
        <w:rPr>
          <w:rFonts w:ascii="Times New Roman" w:hAnsi="Times New Roman"/>
          <w:bCs/>
          <w:sz w:val="22"/>
          <w:szCs w:val="22"/>
        </w:rPr>
        <w:t xml:space="preserve"> the Old Babylonian period</w:t>
      </w:r>
      <w:r w:rsidR="00406EE5">
        <w:rPr>
          <w:rFonts w:ascii="Times New Roman" w:hAnsi="Times New Roman"/>
          <w:bCs/>
          <w:sz w:val="22"/>
          <w:szCs w:val="22"/>
        </w:rPr>
        <w:t>,</w:t>
      </w:r>
      <w:r w:rsidR="00F02924">
        <w:rPr>
          <w:rFonts w:ascii="Times New Roman" w:hAnsi="Times New Roman"/>
          <w:bCs/>
          <w:sz w:val="22"/>
          <w:szCs w:val="22"/>
        </w:rPr>
        <w:t xml:space="preserve"> where they were </w:t>
      </w:r>
      <w:r w:rsidR="00036028">
        <w:rPr>
          <w:rFonts w:ascii="Times New Roman" w:hAnsi="Times New Roman"/>
          <w:bCs/>
          <w:sz w:val="22"/>
          <w:szCs w:val="22"/>
        </w:rPr>
        <w:t>first written down upon the tablets</w:t>
      </w:r>
      <w:r w:rsidR="00C27749">
        <w:rPr>
          <w:rFonts w:ascii="Times New Roman" w:hAnsi="Times New Roman"/>
          <w:bCs/>
          <w:sz w:val="22"/>
          <w:szCs w:val="22"/>
        </w:rPr>
        <w:t>, some changes were made</w:t>
      </w:r>
      <w:r w:rsidR="00036028">
        <w:rPr>
          <w:rFonts w:ascii="Times New Roman" w:hAnsi="Times New Roman"/>
          <w:bCs/>
          <w:sz w:val="22"/>
          <w:szCs w:val="22"/>
        </w:rPr>
        <w:t>.</w:t>
      </w:r>
      <w:r w:rsidR="00036028">
        <w:rPr>
          <w:rStyle w:val="FootnoteReference"/>
          <w:rFonts w:ascii="Times New Roman" w:hAnsi="Times New Roman"/>
          <w:bCs/>
          <w:sz w:val="22"/>
          <w:szCs w:val="22"/>
        </w:rPr>
        <w:footnoteReference w:id="81"/>
      </w:r>
      <w:r w:rsidR="00036028">
        <w:rPr>
          <w:rFonts w:ascii="Times New Roman" w:hAnsi="Times New Roman"/>
          <w:bCs/>
          <w:sz w:val="22"/>
          <w:szCs w:val="22"/>
        </w:rPr>
        <w:t xml:space="preserve"> Although the core </w:t>
      </w:r>
      <w:r w:rsidR="007E66C7">
        <w:rPr>
          <w:rFonts w:ascii="Times New Roman" w:hAnsi="Times New Roman"/>
          <w:bCs/>
          <w:sz w:val="22"/>
          <w:szCs w:val="22"/>
        </w:rPr>
        <w:t>premises did not change as time moved forward,</w:t>
      </w:r>
      <w:r w:rsidR="009E3799">
        <w:rPr>
          <w:rFonts w:ascii="Times New Roman" w:hAnsi="Times New Roman"/>
          <w:bCs/>
          <w:sz w:val="22"/>
          <w:szCs w:val="22"/>
        </w:rPr>
        <w:t xml:space="preserve"> “the means by which they were elaborated into omens and ideal period schemes did, and it is in these variations that the influence of individuals, schools, or eras can be felt.”</w:t>
      </w:r>
      <w:r w:rsidR="009E3799">
        <w:rPr>
          <w:rStyle w:val="FootnoteReference"/>
          <w:rFonts w:ascii="Times New Roman" w:hAnsi="Times New Roman"/>
          <w:bCs/>
          <w:sz w:val="22"/>
          <w:szCs w:val="22"/>
        </w:rPr>
        <w:footnoteReference w:id="82"/>
      </w:r>
      <w:r w:rsidR="004822FB">
        <w:rPr>
          <w:rFonts w:ascii="Times New Roman" w:hAnsi="Times New Roman"/>
          <w:bCs/>
          <w:sz w:val="22"/>
          <w:szCs w:val="22"/>
        </w:rPr>
        <w:t xml:space="preserve"> </w:t>
      </w:r>
      <w:r w:rsidR="00604BD0">
        <w:rPr>
          <w:rFonts w:ascii="Times New Roman" w:hAnsi="Times New Roman"/>
          <w:bCs/>
          <w:sz w:val="22"/>
          <w:szCs w:val="22"/>
        </w:rPr>
        <w:t xml:space="preserve">As time moved forward, </w:t>
      </w:r>
      <w:r w:rsidR="00D96C74">
        <w:rPr>
          <w:rFonts w:ascii="Times New Roman" w:hAnsi="Times New Roman"/>
          <w:bCs/>
          <w:sz w:val="22"/>
          <w:szCs w:val="22"/>
        </w:rPr>
        <w:t>certain politi</w:t>
      </w:r>
      <w:r w:rsidR="003307A7">
        <w:rPr>
          <w:rFonts w:ascii="Times New Roman" w:hAnsi="Times New Roman"/>
          <w:bCs/>
          <w:sz w:val="22"/>
          <w:szCs w:val="22"/>
        </w:rPr>
        <w:t xml:space="preserve">cal expediencies caused some scholars to change the interpretations of </w:t>
      </w:r>
      <w:r w:rsidR="00AB3175">
        <w:rPr>
          <w:rFonts w:ascii="Times New Roman" w:hAnsi="Times New Roman"/>
          <w:bCs/>
          <w:sz w:val="22"/>
          <w:szCs w:val="22"/>
        </w:rPr>
        <w:t xml:space="preserve">existing omens from unfavourable to favourable </w:t>
      </w:r>
      <w:r w:rsidR="00467872">
        <w:rPr>
          <w:rFonts w:ascii="Times New Roman" w:hAnsi="Times New Roman"/>
          <w:bCs/>
          <w:sz w:val="22"/>
          <w:szCs w:val="22"/>
        </w:rPr>
        <w:t>bodings.</w:t>
      </w:r>
      <w:r w:rsidR="00467872">
        <w:rPr>
          <w:rStyle w:val="FootnoteReference"/>
          <w:rFonts w:ascii="Times New Roman" w:hAnsi="Times New Roman"/>
          <w:bCs/>
          <w:sz w:val="22"/>
          <w:szCs w:val="22"/>
        </w:rPr>
        <w:footnoteReference w:id="83"/>
      </w:r>
      <w:r w:rsidR="00467872">
        <w:rPr>
          <w:rFonts w:ascii="Times New Roman" w:hAnsi="Times New Roman"/>
          <w:bCs/>
          <w:sz w:val="22"/>
          <w:szCs w:val="22"/>
        </w:rPr>
        <w:t xml:space="preserve"> </w:t>
      </w:r>
      <w:r w:rsidR="00F34864">
        <w:rPr>
          <w:rFonts w:ascii="Times New Roman" w:hAnsi="Times New Roman"/>
          <w:bCs/>
          <w:sz w:val="22"/>
          <w:szCs w:val="22"/>
        </w:rPr>
        <w:t xml:space="preserve">Exactly why this was done is left to speculation, but </w:t>
      </w:r>
      <w:r w:rsidR="002456F2">
        <w:rPr>
          <w:rFonts w:ascii="Times New Roman" w:hAnsi="Times New Roman"/>
          <w:bCs/>
          <w:sz w:val="22"/>
          <w:szCs w:val="22"/>
        </w:rPr>
        <w:t xml:space="preserve">some plausible explanations have been given.  Brown states this was </w:t>
      </w:r>
      <w:r w:rsidR="00AA319F">
        <w:rPr>
          <w:rFonts w:ascii="Times New Roman" w:hAnsi="Times New Roman"/>
          <w:bCs/>
          <w:sz w:val="22"/>
          <w:szCs w:val="22"/>
        </w:rPr>
        <w:t>done to form what he calls a “protective belt” around celestial divination</w:t>
      </w:r>
      <w:r w:rsidR="0050317A">
        <w:rPr>
          <w:rFonts w:ascii="Times New Roman" w:hAnsi="Times New Roman"/>
          <w:bCs/>
          <w:sz w:val="22"/>
          <w:szCs w:val="22"/>
        </w:rPr>
        <w:t xml:space="preserve"> and the wisdom it imparts to the king</w:t>
      </w:r>
      <w:r w:rsidR="00237A71">
        <w:rPr>
          <w:rStyle w:val="FootnoteReference"/>
          <w:rFonts w:ascii="Times New Roman" w:hAnsi="Times New Roman"/>
          <w:bCs/>
          <w:sz w:val="22"/>
          <w:szCs w:val="22"/>
        </w:rPr>
        <w:footnoteReference w:id="84"/>
      </w:r>
      <w:r w:rsidR="0050317A">
        <w:rPr>
          <w:rFonts w:ascii="Times New Roman" w:hAnsi="Times New Roman"/>
          <w:bCs/>
          <w:sz w:val="22"/>
          <w:szCs w:val="22"/>
        </w:rPr>
        <w:t xml:space="preserve">, which would ensure </w:t>
      </w:r>
      <w:r w:rsidR="00237A71">
        <w:rPr>
          <w:rFonts w:ascii="Times New Roman" w:hAnsi="Times New Roman"/>
          <w:bCs/>
          <w:sz w:val="22"/>
          <w:szCs w:val="22"/>
        </w:rPr>
        <w:t>the diviners would stay in good favour with the king and their position in society would remain intact.</w:t>
      </w:r>
      <w:r w:rsidR="005E39ED">
        <w:rPr>
          <w:rFonts w:ascii="Times New Roman" w:hAnsi="Times New Roman"/>
          <w:bCs/>
          <w:sz w:val="22"/>
          <w:szCs w:val="22"/>
        </w:rPr>
        <w:t xml:space="preserve"> Another reason given was more of </w:t>
      </w:r>
      <w:r w:rsidR="00064608">
        <w:rPr>
          <w:rFonts w:ascii="Times New Roman" w:hAnsi="Times New Roman"/>
          <w:bCs/>
          <w:sz w:val="22"/>
          <w:szCs w:val="22"/>
        </w:rPr>
        <w:t xml:space="preserve">pride and vanity, as the scholars wished to show their intelligence and </w:t>
      </w:r>
      <w:r w:rsidR="00065632">
        <w:rPr>
          <w:rFonts w:ascii="Times New Roman" w:hAnsi="Times New Roman"/>
          <w:bCs/>
          <w:sz w:val="22"/>
          <w:szCs w:val="22"/>
        </w:rPr>
        <w:t xml:space="preserve">ability to read the signs, therefore creating innovations to the texts without actually changing </w:t>
      </w:r>
      <w:r w:rsidR="0019104C">
        <w:rPr>
          <w:rFonts w:ascii="Times New Roman" w:hAnsi="Times New Roman"/>
          <w:bCs/>
          <w:sz w:val="22"/>
          <w:szCs w:val="22"/>
        </w:rPr>
        <w:t>the core premises being necessary.</w:t>
      </w:r>
      <w:r w:rsidR="0019104C">
        <w:rPr>
          <w:rStyle w:val="FootnoteReference"/>
          <w:rFonts w:ascii="Times New Roman" w:hAnsi="Times New Roman"/>
          <w:bCs/>
          <w:sz w:val="22"/>
          <w:szCs w:val="22"/>
        </w:rPr>
        <w:footnoteReference w:id="85"/>
      </w:r>
      <w:r w:rsidR="00C25BC8">
        <w:rPr>
          <w:rFonts w:ascii="Times New Roman" w:hAnsi="Times New Roman"/>
          <w:bCs/>
          <w:sz w:val="22"/>
          <w:szCs w:val="22"/>
        </w:rPr>
        <w:t xml:space="preserve"> This would allow them to add more interpretations to the omens, through the commentaries and spin-off texts mentioned earlier, </w:t>
      </w:r>
      <w:r w:rsidR="009C23BA">
        <w:rPr>
          <w:rFonts w:ascii="Times New Roman" w:hAnsi="Times New Roman"/>
          <w:bCs/>
          <w:sz w:val="22"/>
          <w:szCs w:val="22"/>
        </w:rPr>
        <w:t xml:space="preserve">and would allow them to produce </w:t>
      </w:r>
      <w:r w:rsidR="00D90DCD">
        <w:rPr>
          <w:rFonts w:ascii="Times New Roman" w:hAnsi="Times New Roman"/>
          <w:bCs/>
          <w:sz w:val="22"/>
          <w:szCs w:val="22"/>
        </w:rPr>
        <w:t xml:space="preserve">results that would again </w:t>
      </w:r>
      <w:r w:rsidR="00C81738">
        <w:rPr>
          <w:rFonts w:ascii="Times New Roman" w:hAnsi="Times New Roman"/>
          <w:bCs/>
          <w:sz w:val="22"/>
          <w:szCs w:val="22"/>
        </w:rPr>
        <w:t>allow for the king’s favour.</w:t>
      </w:r>
      <w:r w:rsidR="00C7055A">
        <w:rPr>
          <w:rFonts w:ascii="Times New Roman" w:hAnsi="Times New Roman"/>
          <w:bCs/>
          <w:sz w:val="22"/>
          <w:szCs w:val="22"/>
        </w:rPr>
        <w:t xml:space="preserve"> By the Neo-Assyrian period, </w:t>
      </w:r>
      <w:r w:rsidR="00BA655B">
        <w:rPr>
          <w:rFonts w:ascii="Times New Roman" w:hAnsi="Times New Roman"/>
          <w:bCs/>
          <w:sz w:val="22"/>
          <w:szCs w:val="22"/>
        </w:rPr>
        <w:t xml:space="preserve">celestial divination had become a royal art in Mesopotamia which led to the employment of </w:t>
      </w:r>
      <w:r w:rsidR="001E4BAE">
        <w:rPr>
          <w:rFonts w:ascii="Times New Roman" w:hAnsi="Times New Roman"/>
          <w:bCs/>
          <w:sz w:val="22"/>
          <w:szCs w:val="22"/>
        </w:rPr>
        <w:t>numerous professional diviners.</w:t>
      </w:r>
      <w:r w:rsidR="001E4BAE">
        <w:rPr>
          <w:rStyle w:val="FootnoteReference"/>
          <w:rFonts w:ascii="Times New Roman" w:hAnsi="Times New Roman"/>
          <w:bCs/>
          <w:sz w:val="22"/>
          <w:szCs w:val="22"/>
        </w:rPr>
        <w:footnoteReference w:id="86"/>
      </w:r>
      <w:r w:rsidR="001E4BAE">
        <w:rPr>
          <w:rFonts w:ascii="Times New Roman" w:hAnsi="Times New Roman"/>
          <w:bCs/>
          <w:sz w:val="22"/>
          <w:szCs w:val="22"/>
        </w:rPr>
        <w:t xml:space="preserve"> These diviners </w:t>
      </w:r>
      <w:r w:rsidR="001115BF">
        <w:rPr>
          <w:rFonts w:ascii="Times New Roman" w:hAnsi="Times New Roman"/>
          <w:bCs/>
          <w:sz w:val="22"/>
          <w:szCs w:val="22"/>
        </w:rPr>
        <w:t>produced much literature</w:t>
      </w:r>
      <w:r w:rsidR="00722037">
        <w:rPr>
          <w:rFonts w:ascii="Times New Roman" w:hAnsi="Times New Roman"/>
          <w:bCs/>
          <w:sz w:val="22"/>
          <w:szCs w:val="22"/>
        </w:rPr>
        <w:t xml:space="preserve"> on the subject (as seen above)</w:t>
      </w:r>
      <w:r w:rsidR="003E7421">
        <w:rPr>
          <w:rFonts w:ascii="Times New Roman" w:hAnsi="Times New Roman"/>
          <w:bCs/>
          <w:sz w:val="22"/>
          <w:szCs w:val="22"/>
        </w:rPr>
        <w:t xml:space="preserve"> </w:t>
      </w:r>
      <w:r w:rsidR="00797374">
        <w:rPr>
          <w:rFonts w:ascii="Times New Roman" w:hAnsi="Times New Roman"/>
          <w:bCs/>
          <w:sz w:val="22"/>
          <w:szCs w:val="22"/>
        </w:rPr>
        <w:t>and</w:t>
      </w:r>
      <w:r w:rsidR="003E7421">
        <w:rPr>
          <w:rFonts w:ascii="Times New Roman" w:hAnsi="Times New Roman"/>
          <w:bCs/>
          <w:sz w:val="22"/>
          <w:szCs w:val="22"/>
        </w:rPr>
        <w:t xml:space="preserve"> preserved much of these references within the temples of the celestial deities.</w:t>
      </w:r>
      <w:r w:rsidR="003E7421">
        <w:rPr>
          <w:rStyle w:val="FootnoteReference"/>
          <w:rFonts w:ascii="Times New Roman" w:hAnsi="Times New Roman"/>
          <w:bCs/>
          <w:sz w:val="22"/>
          <w:szCs w:val="22"/>
        </w:rPr>
        <w:footnoteReference w:id="87"/>
      </w:r>
    </w:p>
    <w:p w14:paraId="1257C25C" w14:textId="719E590C" w:rsidR="002F3078" w:rsidRDefault="001B1914" w:rsidP="009A07AC">
      <w:pPr>
        <w:pStyle w:val="NormalWeb"/>
        <w:spacing w:before="0" w:beforeAutospacing="0" w:after="0" w:afterAutospacing="0"/>
        <w:ind w:right="-334" w:firstLine="720"/>
        <w:rPr>
          <w:rFonts w:ascii="Times New Roman" w:hAnsi="Times New Roman"/>
          <w:bCs/>
          <w:sz w:val="22"/>
          <w:szCs w:val="22"/>
        </w:rPr>
      </w:pPr>
      <w:r>
        <w:rPr>
          <w:rFonts w:ascii="Times New Roman" w:hAnsi="Times New Roman"/>
          <w:bCs/>
          <w:sz w:val="22"/>
          <w:szCs w:val="22"/>
        </w:rPr>
        <w:t xml:space="preserve">The </w:t>
      </w:r>
      <w:r w:rsidR="00AA6DBD">
        <w:rPr>
          <w:rFonts w:ascii="Times New Roman" w:hAnsi="Times New Roman"/>
          <w:bCs/>
          <w:sz w:val="22"/>
          <w:szCs w:val="22"/>
        </w:rPr>
        <w:t xml:space="preserve">predictable celestial phenomena helped organize calendars </w:t>
      </w:r>
      <w:r w:rsidR="00EB669F">
        <w:rPr>
          <w:rFonts w:ascii="Times New Roman" w:hAnsi="Times New Roman"/>
          <w:bCs/>
          <w:sz w:val="22"/>
          <w:szCs w:val="22"/>
        </w:rPr>
        <w:t xml:space="preserve">and punctuated the </w:t>
      </w:r>
      <w:r w:rsidR="00CD4C00">
        <w:rPr>
          <w:rFonts w:ascii="Times New Roman" w:hAnsi="Times New Roman"/>
          <w:bCs/>
          <w:sz w:val="22"/>
          <w:szCs w:val="22"/>
        </w:rPr>
        <w:t xml:space="preserve">year with sacred festivals to the various </w:t>
      </w:r>
      <w:r w:rsidR="00E67EE8">
        <w:rPr>
          <w:rFonts w:ascii="Times New Roman" w:hAnsi="Times New Roman"/>
          <w:bCs/>
          <w:sz w:val="22"/>
          <w:szCs w:val="22"/>
        </w:rPr>
        <w:t>gods and goddesses</w:t>
      </w:r>
      <w:r w:rsidR="000F499C">
        <w:rPr>
          <w:rFonts w:ascii="Times New Roman" w:hAnsi="Times New Roman"/>
          <w:bCs/>
          <w:sz w:val="22"/>
          <w:szCs w:val="22"/>
        </w:rPr>
        <w:t>.</w:t>
      </w:r>
      <w:r w:rsidR="000F499C">
        <w:rPr>
          <w:rStyle w:val="FootnoteReference"/>
          <w:rFonts w:ascii="Times New Roman" w:hAnsi="Times New Roman"/>
          <w:bCs/>
          <w:sz w:val="22"/>
          <w:szCs w:val="22"/>
        </w:rPr>
        <w:footnoteReference w:id="88"/>
      </w:r>
      <w:r w:rsidR="00B82778">
        <w:rPr>
          <w:rFonts w:ascii="Times New Roman" w:hAnsi="Times New Roman"/>
          <w:bCs/>
          <w:sz w:val="22"/>
          <w:szCs w:val="22"/>
        </w:rPr>
        <w:t xml:space="preserve"> Great attention was placed in following </w:t>
      </w:r>
      <w:r w:rsidR="00C02886">
        <w:rPr>
          <w:rFonts w:ascii="Times New Roman" w:hAnsi="Times New Roman"/>
          <w:bCs/>
          <w:sz w:val="22"/>
          <w:szCs w:val="22"/>
        </w:rPr>
        <w:t xml:space="preserve">the calendar rituals </w:t>
      </w:r>
      <w:r w:rsidR="00B47CEF">
        <w:rPr>
          <w:rFonts w:ascii="Times New Roman" w:hAnsi="Times New Roman"/>
          <w:bCs/>
          <w:sz w:val="22"/>
          <w:szCs w:val="22"/>
        </w:rPr>
        <w:t>to</w:t>
      </w:r>
      <w:r w:rsidR="00047EB1">
        <w:rPr>
          <w:rFonts w:ascii="Times New Roman" w:hAnsi="Times New Roman"/>
          <w:bCs/>
          <w:sz w:val="22"/>
          <w:szCs w:val="22"/>
        </w:rPr>
        <w:t xml:space="preserve"> “maintain </w:t>
      </w:r>
      <w:r w:rsidR="003C03A9">
        <w:rPr>
          <w:rFonts w:ascii="Times New Roman" w:hAnsi="Times New Roman"/>
          <w:bCs/>
          <w:sz w:val="22"/>
          <w:szCs w:val="22"/>
        </w:rPr>
        <w:t>the protection bequeathed by this order through the benign flow of the seasons and hence guarantee society’s survival.”</w:t>
      </w:r>
      <w:r w:rsidR="003C03A9">
        <w:rPr>
          <w:rStyle w:val="FootnoteReference"/>
          <w:rFonts w:ascii="Times New Roman" w:hAnsi="Times New Roman"/>
          <w:bCs/>
          <w:sz w:val="22"/>
          <w:szCs w:val="22"/>
        </w:rPr>
        <w:footnoteReference w:id="89"/>
      </w:r>
      <w:r w:rsidR="00CB0387">
        <w:rPr>
          <w:rFonts w:ascii="Times New Roman" w:hAnsi="Times New Roman"/>
          <w:bCs/>
          <w:sz w:val="22"/>
          <w:szCs w:val="22"/>
        </w:rPr>
        <w:t xml:space="preserve"> Following </w:t>
      </w:r>
      <w:r w:rsidR="00051F75">
        <w:rPr>
          <w:rFonts w:ascii="Times New Roman" w:hAnsi="Times New Roman"/>
          <w:bCs/>
          <w:sz w:val="22"/>
          <w:szCs w:val="22"/>
        </w:rPr>
        <w:t xml:space="preserve">various festivals </w:t>
      </w:r>
      <w:r w:rsidR="00050093">
        <w:rPr>
          <w:rFonts w:ascii="Times New Roman" w:hAnsi="Times New Roman"/>
          <w:bCs/>
          <w:sz w:val="22"/>
          <w:szCs w:val="22"/>
        </w:rPr>
        <w:t xml:space="preserve">was a role for all within the society and everyone </w:t>
      </w:r>
      <w:r w:rsidR="00264C81">
        <w:rPr>
          <w:rFonts w:ascii="Times New Roman" w:hAnsi="Times New Roman"/>
          <w:bCs/>
          <w:sz w:val="22"/>
          <w:szCs w:val="22"/>
        </w:rPr>
        <w:t>participated in the unfolding life of the cosmic state.</w:t>
      </w:r>
      <w:r w:rsidR="00264C81">
        <w:rPr>
          <w:rStyle w:val="FootnoteReference"/>
          <w:rFonts w:ascii="Times New Roman" w:hAnsi="Times New Roman"/>
          <w:bCs/>
          <w:sz w:val="22"/>
          <w:szCs w:val="22"/>
        </w:rPr>
        <w:footnoteReference w:id="90"/>
      </w:r>
      <w:r w:rsidR="00FB56C3">
        <w:rPr>
          <w:rFonts w:ascii="Times New Roman" w:hAnsi="Times New Roman"/>
          <w:bCs/>
          <w:sz w:val="22"/>
          <w:szCs w:val="22"/>
        </w:rPr>
        <w:t xml:space="preserve"> Campion continues, “The </w:t>
      </w:r>
      <w:r w:rsidR="00A466BF">
        <w:rPr>
          <w:rFonts w:ascii="Times New Roman" w:hAnsi="Times New Roman"/>
          <w:bCs/>
          <w:sz w:val="22"/>
          <w:szCs w:val="22"/>
        </w:rPr>
        <w:t>entire community was enrolled in the attempt to work with the divine will, as expressed at a particular time and place, such as the temple at the new moon, to ensure that a menace was averted, a promise fulfilled, and peace, stability, and order were maintained.”</w:t>
      </w:r>
      <w:r w:rsidR="00A466BF">
        <w:rPr>
          <w:rStyle w:val="FootnoteReference"/>
          <w:rFonts w:ascii="Times New Roman" w:hAnsi="Times New Roman"/>
          <w:bCs/>
          <w:sz w:val="22"/>
          <w:szCs w:val="22"/>
        </w:rPr>
        <w:footnoteReference w:id="91"/>
      </w:r>
      <w:r w:rsidR="00A466BF">
        <w:rPr>
          <w:rFonts w:ascii="Times New Roman" w:hAnsi="Times New Roman"/>
          <w:bCs/>
          <w:sz w:val="22"/>
          <w:szCs w:val="22"/>
        </w:rPr>
        <w:t xml:space="preserve"> </w:t>
      </w:r>
      <w:r w:rsidR="00F944EB">
        <w:rPr>
          <w:rFonts w:ascii="Times New Roman" w:hAnsi="Times New Roman"/>
          <w:bCs/>
          <w:sz w:val="22"/>
          <w:szCs w:val="22"/>
        </w:rPr>
        <w:t>During these festivals all members of society would be considered important</w:t>
      </w:r>
      <w:r w:rsidR="00D22E47">
        <w:rPr>
          <w:rFonts w:ascii="Times New Roman" w:hAnsi="Times New Roman"/>
          <w:bCs/>
          <w:sz w:val="22"/>
          <w:szCs w:val="22"/>
        </w:rPr>
        <w:t xml:space="preserve">, since the survival of the city or kingdom was essential to everyone no matter the </w:t>
      </w:r>
      <w:r w:rsidR="00F262F0">
        <w:rPr>
          <w:rFonts w:ascii="Times New Roman" w:hAnsi="Times New Roman"/>
          <w:bCs/>
          <w:sz w:val="22"/>
          <w:szCs w:val="22"/>
        </w:rPr>
        <w:t xml:space="preserve">social rank a person had.  </w:t>
      </w:r>
      <w:r w:rsidR="005C7016">
        <w:rPr>
          <w:rFonts w:ascii="Times New Roman" w:hAnsi="Times New Roman"/>
          <w:bCs/>
          <w:sz w:val="22"/>
          <w:szCs w:val="22"/>
        </w:rPr>
        <w:t xml:space="preserve">If the </w:t>
      </w:r>
      <w:r w:rsidR="00F91D40">
        <w:rPr>
          <w:rFonts w:ascii="Times New Roman" w:hAnsi="Times New Roman"/>
          <w:bCs/>
          <w:sz w:val="22"/>
          <w:szCs w:val="22"/>
        </w:rPr>
        <w:t xml:space="preserve">rituals during the festivals were not followed correctly, or the festivals were not celebrated on the correct day, </w:t>
      </w:r>
      <w:r w:rsidR="002C6BA8">
        <w:rPr>
          <w:rFonts w:ascii="Times New Roman" w:hAnsi="Times New Roman"/>
          <w:bCs/>
          <w:sz w:val="22"/>
          <w:szCs w:val="22"/>
        </w:rPr>
        <w:t xml:space="preserve">might result in the divine withdrawal of support from the </w:t>
      </w:r>
      <w:r w:rsidR="00E45B27">
        <w:rPr>
          <w:rFonts w:ascii="Times New Roman" w:hAnsi="Times New Roman"/>
          <w:bCs/>
          <w:sz w:val="22"/>
          <w:szCs w:val="22"/>
        </w:rPr>
        <w:t xml:space="preserve">deity being </w:t>
      </w:r>
      <w:r w:rsidR="00D92A22">
        <w:rPr>
          <w:rFonts w:ascii="Times New Roman" w:hAnsi="Times New Roman"/>
          <w:bCs/>
          <w:sz w:val="22"/>
          <w:szCs w:val="22"/>
        </w:rPr>
        <w:t>invoked and could bring about national decline or destruction.</w:t>
      </w:r>
      <w:r w:rsidR="00D92A22">
        <w:rPr>
          <w:rStyle w:val="FootnoteReference"/>
          <w:rFonts w:ascii="Times New Roman" w:hAnsi="Times New Roman"/>
          <w:bCs/>
          <w:sz w:val="22"/>
          <w:szCs w:val="22"/>
        </w:rPr>
        <w:footnoteReference w:id="92"/>
      </w:r>
      <w:r w:rsidR="00D92A22">
        <w:rPr>
          <w:rFonts w:ascii="Times New Roman" w:hAnsi="Times New Roman"/>
          <w:bCs/>
          <w:sz w:val="22"/>
          <w:szCs w:val="22"/>
        </w:rPr>
        <w:t xml:space="preserve"> </w:t>
      </w:r>
      <w:r w:rsidR="00153FFD">
        <w:rPr>
          <w:rFonts w:ascii="Times New Roman" w:hAnsi="Times New Roman"/>
          <w:bCs/>
          <w:sz w:val="22"/>
          <w:szCs w:val="22"/>
        </w:rPr>
        <w:t>Because of the role religion played within ancient Mesopotamian society</w:t>
      </w:r>
      <w:r w:rsidR="00B335A9">
        <w:rPr>
          <w:rFonts w:ascii="Times New Roman" w:hAnsi="Times New Roman"/>
          <w:bCs/>
          <w:sz w:val="22"/>
          <w:szCs w:val="22"/>
        </w:rPr>
        <w:t xml:space="preserve">, and its corelation with celestial divination and astrology, </w:t>
      </w:r>
      <w:r w:rsidR="00A674E4">
        <w:rPr>
          <w:rFonts w:ascii="Times New Roman" w:hAnsi="Times New Roman"/>
          <w:bCs/>
          <w:sz w:val="22"/>
          <w:szCs w:val="22"/>
        </w:rPr>
        <w:t xml:space="preserve">the gods must be propitiated, and rituals and prayers </w:t>
      </w:r>
      <w:r w:rsidR="007764F1">
        <w:rPr>
          <w:rFonts w:ascii="Times New Roman" w:hAnsi="Times New Roman"/>
          <w:bCs/>
          <w:sz w:val="22"/>
          <w:szCs w:val="22"/>
        </w:rPr>
        <w:t>were addressed to any divinity who w</w:t>
      </w:r>
      <w:r w:rsidR="0009456B">
        <w:rPr>
          <w:rFonts w:ascii="Times New Roman" w:hAnsi="Times New Roman"/>
          <w:bCs/>
          <w:sz w:val="22"/>
          <w:szCs w:val="22"/>
        </w:rPr>
        <w:t xml:space="preserve">as manifested through celestial bodies, often occurring </w:t>
      </w:r>
      <w:r w:rsidR="00F03D7F">
        <w:rPr>
          <w:rFonts w:ascii="Times New Roman" w:hAnsi="Times New Roman"/>
          <w:bCs/>
          <w:sz w:val="22"/>
          <w:szCs w:val="22"/>
        </w:rPr>
        <w:t>on either the full or new moons.</w:t>
      </w:r>
      <w:r w:rsidR="00F03D7F">
        <w:rPr>
          <w:rStyle w:val="FootnoteReference"/>
          <w:rFonts w:ascii="Times New Roman" w:hAnsi="Times New Roman"/>
          <w:bCs/>
          <w:sz w:val="22"/>
          <w:szCs w:val="22"/>
        </w:rPr>
        <w:footnoteReference w:id="93"/>
      </w:r>
      <w:r w:rsidR="00D109E9">
        <w:rPr>
          <w:rFonts w:ascii="Times New Roman" w:hAnsi="Times New Roman"/>
          <w:bCs/>
          <w:sz w:val="22"/>
          <w:szCs w:val="22"/>
        </w:rPr>
        <w:t xml:space="preserve"> One particular festival was the Akitu, or Zagmug, which was </w:t>
      </w:r>
      <w:r w:rsidR="00925C1D">
        <w:rPr>
          <w:rFonts w:ascii="Times New Roman" w:hAnsi="Times New Roman"/>
          <w:bCs/>
          <w:sz w:val="22"/>
          <w:szCs w:val="22"/>
        </w:rPr>
        <w:t>signified by the rising of the crescent moon in Nisan</w:t>
      </w:r>
      <w:r w:rsidR="00CE14ED">
        <w:rPr>
          <w:rFonts w:ascii="Times New Roman" w:hAnsi="Times New Roman"/>
          <w:bCs/>
          <w:sz w:val="22"/>
          <w:szCs w:val="22"/>
        </w:rPr>
        <w:t xml:space="preserve"> and considered the most </w:t>
      </w:r>
      <w:r w:rsidR="00315B82">
        <w:rPr>
          <w:rFonts w:ascii="Times New Roman" w:hAnsi="Times New Roman"/>
          <w:bCs/>
          <w:sz w:val="22"/>
          <w:szCs w:val="22"/>
        </w:rPr>
        <w:t>important calendar festivals of the year.</w:t>
      </w:r>
      <w:r w:rsidR="00315B82">
        <w:rPr>
          <w:rStyle w:val="FootnoteReference"/>
          <w:rFonts w:ascii="Times New Roman" w:hAnsi="Times New Roman"/>
          <w:bCs/>
          <w:sz w:val="22"/>
          <w:szCs w:val="22"/>
        </w:rPr>
        <w:footnoteReference w:id="94"/>
      </w:r>
      <w:r w:rsidR="00315B82">
        <w:rPr>
          <w:rFonts w:ascii="Times New Roman" w:hAnsi="Times New Roman"/>
          <w:bCs/>
          <w:sz w:val="22"/>
          <w:szCs w:val="22"/>
        </w:rPr>
        <w:t xml:space="preserve"> Akitu was a </w:t>
      </w:r>
      <w:r w:rsidR="001D27C1">
        <w:rPr>
          <w:rFonts w:ascii="Times New Roman" w:hAnsi="Times New Roman"/>
          <w:bCs/>
          <w:sz w:val="22"/>
          <w:szCs w:val="22"/>
        </w:rPr>
        <w:t>12-day celebration that re-enacted the Enuma Elish</w:t>
      </w:r>
      <w:r w:rsidR="006A038B">
        <w:rPr>
          <w:rFonts w:ascii="Times New Roman" w:hAnsi="Times New Roman"/>
          <w:bCs/>
          <w:sz w:val="22"/>
          <w:szCs w:val="22"/>
        </w:rPr>
        <w:t>, in which the people wept over the death of Marduk</w:t>
      </w:r>
      <w:r w:rsidR="00BF1207">
        <w:rPr>
          <w:rFonts w:ascii="Times New Roman" w:hAnsi="Times New Roman"/>
          <w:bCs/>
          <w:sz w:val="22"/>
          <w:szCs w:val="22"/>
        </w:rPr>
        <w:t xml:space="preserve">, </w:t>
      </w:r>
      <w:r w:rsidR="00BF1207">
        <w:rPr>
          <w:rFonts w:ascii="Times New Roman" w:hAnsi="Times New Roman"/>
          <w:bCs/>
          <w:sz w:val="22"/>
          <w:szCs w:val="22"/>
        </w:rPr>
        <w:lastRenderedPageBreak/>
        <w:t>celebrated his resurrection, and then employed the reading of the destinies for the next year.</w:t>
      </w:r>
      <w:r w:rsidR="00BF1207">
        <w:rPr>
          <w:rStyle w:val="FootnoteReference"/>
          <w:rFonts w:ascii="Times New Roman" w:hAnsi="Times New Roman"/>
          <w:bCs/>
          <w:sz w:val="22"/>
          <w:szCs w:val="22"/>
        </w:rPr>
        <w:footnoteReference w:id="95"/>
      </w:r>
      <w:r w:rsidR="00BF1207">
        <w:rPr>
          <w:rFonts w:ascii="Times New Roman" w:hAnsi="Times New Roman"/>
          <w:bCs/>
          <w:sz w:val="22"/>
          <w:szCs w:val="22"/>
        </w:rPr>
        <w:t xml:space="preserve"> This was done to </w:t>
      </w:r>
      <w:r w:rsidR="00CE509C">
        <w:rPr>
          <w:rFonts w:ascii="Times New Roman" w:hAnsi="Times New Roman"/>
          <w:bCs/>
          <w:sz w:val="22"/>
          <w:szCs w:val="22"/>
        </w:rPr>
        <w:t>show how death was vanquished, chaos defeated, order restored, and, probably</w:t>
      </w:r>
      <w:r w:rsidR="00463A65">
        <w:rPr>
          <w:rFonts w:ascii="Times New Roman" w:hAnsi="Times New Roman"/>
          <w:bCs/>
          <w:sz w:val="22"/>
          <w:szCs w:val="22"/>
        </w:rPr>
        <w:t xml:space="preserve"> the most practical reason for the festival, renewing the kingship </w:t>
      </w:r>
      <w:r w:rsidR="00E376C5">
        <w:rPr>
          <w:rFonts w:ascii="Times New Roman" w:hAnsi="Times New Roman"/>
          <w:bCs/>
          <w:sz w:val="22"/>
          <w:szCs w:val="22"/>
        </w:rPr>
        <w:t>in divine favour for another year.</w:t>
      </w:r>
      <w:r w:rsidR="00E376C5">
        <w:rPr>
          <w:rStyle w:val="FootnoteReference"/>
          <w:rFonts w:ascii="Times New Roman" w:hAnsi="Times New Roman"/>
          <w:bCs/>
          <w:sz w:val="22"/>
          <w:szCs w:val="22"/>
        </w:rPr>
        <w:footnoteReference w:id="96"/>
      </w:r>
      <w:r w:rsidR="00256A14">
        <w:rPr>
          <w:rFonts w:ascii="Times New Roman" w:hAnsi="Times New Roman"/>
          <w:bCs/>
          <w:sz w:val="22"/>
          <w:szCs w:val="22"/>
        </w:rPr>
        <w:t xml:space="preserve"> </w:t>
      </w:r>
      <w:r w:rsidR="00AE319A">
        <w:rPr>
          <w:rFonts w:ascii="Times New Roman" w:hAnsi="Times New Roman"/>
          <w:bCs/>
          <w:sz w:val="22"/>
          <w:szCs w:val="22"/>
        </w:rPr>
        <w:t>This latter part was d</w:t>
      </w:r>
      <w:r w:rsidR="00256A14">
        <w:rPr>
          <w:rFonts w:ascii="Times New Roman" w:hAnsi="Times New Roman"/>
          <w:bCs/>
          <w:sz w:val="22"/>
          <w:szCs w:val="22"/>
        </w:rPr>
        <w:t>uring the</w:t>
      </w:r>
      <w:r w:rsidR="00A52145">
        <w:rPr>
          <w:rFonts w:ascii="Times New Roman" w:hAnsi="Times New Roman"/>
          <w:bCs/>
          <w:sz w:val="22"/>
          <w:szCs w:val="22"/>
        </w:rPr>
        <w:t xml:space="preserve"> 8</w:t>
      </w:r>
      <w:r w:rsidR="00A52145" w:rsidRPr="00A52145">
        <w:rPr>
          <w:rFonts w:ascii="Times New Roman" w:hAnsi="Times New Roman"/>
          <w:bCs/>
          <w:sz w:val="22"/>
          <w:szCs w:val="22"/>
          <w:vertAlign w:val="superscript"/>
        </w:rPr>
        <w:t>th</w:t>
      </w:r>
      <w:r w:rsidR="00A52145">
        <w:rPr>
          <w:rFonts w:ascii="Times New Roman" w:hAnsi="Times New Roman"/>
          <w:bCs/>
          <w:sz w:val="22"/>
          <w:szCs w:val="22"/>
        </w:rPr>
        <w:t xml:space="preserve"> day of the festival, the gods would be </w:t>
      </w:r>
      <w:r w:rsidR="00357B33">
        <w:rPr>
          <w:rFonts w:ascii="Times New Roman" w:hAnsi="Times New Roman"/>
          <w:bCs/>
          <w:sz w:val="22"/>
          <w:szCs w:val="22"/>
        </w:rPr>
        <w:t>assembled together and during this time the king</w:t>
      </w:r>
      <w:r w:rsidR="00B15741">
        <w:rPr>
          <w:rFonts w:ascii="Times New Roman" w:hAnsi="Times New Roman"/>
          <w:bCs/>
          <w:sz w:val="22"/>
          <w:szCs w:val="22"/>
        </w:rPr>
        <w:t>’s destiny was determined</w:t>
      </w:r>
      <w:r w:rsidR="00A6066C">
        <w:rPr>
          <w:rStyle w:val="FootnoteReference"/>
          <w:rFonts w:ascii="Times New Roman" w:hAnsi="Times New Roman"/>
          <w:bCs/>
          <w:sz w:val="22"/>
          <w:szCs w:val="22"/>
        </w:rPr>
        <w:footnoteReference w:id="97"/>
      </w:r>
      <w:r w:rsidR="009850F0">
        <w:rPr>
          <w:rFonts w:ascii="Times New Roman" w:hAnsi="Times New Roman"/>
          <w:bCs/>
          <w:sz w:val="22"/>
          <w:szCs w:val="22"/>
        </w:rPr>
        <w:t xml:space="preserve">, </w:t>
      </w:r>
      <w:r w:rsidR="001240BE">
        <w:rPr>
          <w:rFonts w:ascii="Times New Roman" w:hAnsi="Times New Roman"/>
          <w:bCs/>
          <w:sz w:val="22"/>
          <w:szCs w:val="22"/>
        </w:rPr>
        <w:t xml:space="preserve">in which the people would know whether or not divine favour was </w:t>
      </w:r>
      <w:r w:rsidR="00AE319A">
        <w:rPr>
          <w:rFonts w:ascii="Times New Roman" w:hAnsi="Times New Roman"/>
          <w:bCs/>
          <w:sz w:val="22"/>
          <w:szCs w:val="22"/>
        </w:rPr>
        <w:t xml:space="preserve">granted and </w:t>
      </w:r>
      <w:r w:rsidR="008A2885">
        <w:rPr>
          <w:rFonts w:ascii="Times New Roman" w:hAnsi="Times New Roman"/>
          <w:bCs/>
          <w:sz w:val="22"/>
          <w:szCs w:val="22"/>
        </w:rPr>
        <w:t>a continuation of the kingdom secured.</w:t>
      </w:r>
      <w:r w:rsidR="00C26A80">
        <w:rPr>
          <w:rFonts w:ascii="Times New Roman" w:hAnsi="Times New Roman"/>
          <w:bCs/>
          <w:sz w:val="22"/>
          <w:szCs w:val="22"/>
        </w:rPr>
        <w:t xml:space="preserve"> Here divination once again proves important for the king </w:t>
      </w:r>
      <w:r w:rsidR="00706A7C">
        <w:rPr>
          <w:rFonts w:ascii="Times New Roman" w:hAnsi="Times New Roman"/>
          <w:bCs/>
          <w:sz w:val="22"/>
          <w:szCs w:val="22"/>
        </w:rPr>
        <w:t>as an essential component of his reign.</w:t>
      </w:r>
    </w:p>
    <w:p w14:paraId="6DD4F7B4" w14:textId="026EBDB5" w:rsidR="00706A7C" w:rsidRDefault="00E75761" w:rsidP="00012E22">
      <w:pPr>
        <w:pStyle w:val="NormalWeb"/>
        <w:spacing w:before="0" w:beforeAutospacing="0" w:after="0" w:afterAutospacing="0"/>
        <w:ind w:right="-334" w:firstLine="720"/>
        <w:rPr>
          <w:rFonts w:ascii="Times New Roman" w:hAnsi="Times New Roman"/>
          <w:bCs/>
          <w:sz w:val="22"/>
          <w:szCs w:val="22"/>
        </w:rPr>
      </w:pPr>
      <w:r>
        <w:rPr>
          <w:rFonts w:ascii="Times New Roman" w:hAnsi="Times New Roman"/>
          <w:bCs/>
          <w:sz w:val="22"/>
          <w:szCs w:val="22"/>
        </w:rPr>
        <w:t xml:space="preserve">There is evidence that magic </w:t>
      </w:r>
      <w:r w:rsidR="000D02E3">
        <w:rPr>
          <w:rFonts w:ascii="Times New Roman" w:hAnsi="Times New Roman"/>
          <w:bCs/>
          <w:sz w:val="22"/>
          <w:szCs w:val="22"/>
        </w:rPr>
        <w:t>was employed in some way or another to reverse the effects of an unfavourable omen.</w:t>
      </w:r>
      <w:r w:rsidR="000D02E3">
        <w:rPr>
          <w:rStyle w:val="FootnoteReference"/>
          <w:rFonts w:ascii="Times New Roman" w:hAnsi="Times New Roman"/>
          <w:bCs/>
          <w:sz w:val="22"/>
          <w:szCs w:val="22"/>
        </w:rPr>
        <w:footnoteReference w:id="98"/>
      </w:r>
      <w:r w:rsidR="0050224C">
        <w:rPr>
          <w:rFonts w:ascii="Times New Roman" w:hAnsi="Times New Roman"/>
          <w:bCs/>
          <w:sz w:val="22"/>
          <w:szCs w:val="22"/>
        </w:rPr>
        <w:t xml:space="preserve"> This would be done </w:t>
      </w:r>
      <w:r w:rsidR="007F331C">
        <w:rPr>
          <w:rFonts w:ascii="Times New Roman" w:hAnsi="Times New Roman"/>
          <w:bCs/>
          <w:sz w:val="22"/>
          <w:szCs w:val="22"/>
        </w:rPr>
        <w:t>namburbi rituals that were done to ward off evi</w:t>
      </w:r>
      <w:r w:rsidR="004D19F9">
        <w:rPr>
          <w:rFonts w:ascii="Times New Roman" w:hAnsi="Times New Roman"/>
          <w:bCs/>
          <w:sz w:val="22"/>
          <w:szCs w:val="22"/>
        </w:rPr>
        <w:t>l intentions.</w:t>
      </w:r>
      <w:r w:rsidR="004D19F9">
        <w:rPr>
          <w:rStyle w:val="FootnoteReference"/>
          <w:rFonts w:ascii="Times New Roman" w:hAnsi="Times New Roman"/>
          <w:bCs/>
          <w:sz w:val="22"/>
          <w:szCs w:val="22"/>
        </w:rPr>
        <w:footnoteReference w:id="99"/>
      </w:r>
      <w:r w:rsidR="004D19F9">
        <w:rPr>
          <w:rFonts w:ascii="Times New Roman" w:hAnsi="Times New Roman"/>
          <w:bCs/>
          <w:sz w:val="22"/>
          <w:szCs w:val="22"/>
        </w:rPr>
        <w:t xml:space="preserve"> In one </w:t>
      </w:r>
      <w:r w:rsidR="00633337">
        <w:rPr>
          <w:rFonts w:ascii="Times New Roman" w:hAnsi="Times New Roman"/>
          <w:bCs/>
          <w:sz w:val="22"/>
          <w:szCs w:val="22"/>
        </w:rPr>
        <w:t xml:space="preserve">instance, an evil omen was interpreted from the </w:t>
      </w:r>
      <w:r w:rsidR="00136387">
        <w:rPr>
          <w:rFonts w:ascii="Times New Roman" w:hAnsi="Times New Roman"/>
          <w:bCs/>
          <w:sz w:val="22"/>
          <w:szCs w:val="22"/>
        </w:rPr>
        <w:t>moon,</w:t>
      </w:r>
      <w:r w:rsidR="00633337">
        <w:rPr>
          <w:rFonts w:ascii="Times New Roman" w:hAnsi="Times New Roman"/>
          <w:bCs/>
          <w:sz w:val="22"/>
          <w:szCs w:val="22"/>
        </w:rPr>
        <w:t xml:space="preserve"> and </w:t>
      </w:r>
      <w:r w:rsidR="00136387">
        <w:rPr>
          <w:rFonts w:ascii="Times New Roman" w:hAnsi="Times New Roman"/>
          <w:bCs/>
          <w:sz w:val="22"/>
          <w:szCs w:val="22"/>
        </w:rPr>
        <w:t>it was suggested that a substitute take the place of the king.</w:t>
      </w:r>
      <w:r w:rsidR="00136387">
        <w:rPr>
          <w:rStyle w:val="FootnoteReference"/>
          <w:rFonts w:ascii="Times New Roman" w:hAnsi="Times New Roman"/>
          <w:bCs/>
          <w:sz w:val="22"/>
          <w:szCs w:val="22"/>
        </w:rPr>
        <w:footnoteReference w:id="100"/>
      </w:r>
      <w:r w:rsidR="00136387">
        <w:rPr>
          <w:rFonts w:ascii="Times New Roman" w:hAnsi="Times New Roman"/>
          <w:bCs/>
          <w:sz w:val="22"/>
          <w:szCs w:val="22"/>
        </w:rPr>
        <w:t xml:space="preserve"> It was hoped that by the killing of the substitute, the moon god would be </w:t>
      </w:r>
      <w:r w:rsidR="00D27573">
        <w:rPr>
          <w:rFonts w:ascii="Times New Roman" w:hAnsi="Times New Roman"/>
          <w:bCs/>
          <w:sz w:val="22"/>
          <w:szCs w:val="22"/>
        </w:rPr>
        <w:t xml:space="preserve">appeased and not take out </w:t>
      </w:r>
      <w:r w:rsidR="00E506F0">
        <w:rPr>
          <w:rFonts w:ascii="Times New Roman" w:hAnsi="Times New Roman"/>
          <w:bCs/>
          <w:sz w:val="22"/>
          <w:szCs w:val="22"/>
        </w:rPr>
        <w:t>his wrath upon king</w:t>
      </w:r>
      <w:r w:rsidR="006A63FB">
        <w:rPr>
          <w:rFonts w:ascii="Times New Roman" w:hAnsi="Times New Roman"/>
          <w:bCs/>
          <w:sz w:val="22"/>
          <w:szCs w:val="22"/>
        </w:rPr>
        <w:t>.</w:t>
      </w:r>
      <w:r w:rsidR="006A63FB">
        <w:rPr>
          <w:rStyle w:val="FootnoteReference"/>
          <w:rFonts w:ascii="Times New Roman" w:hAnsi="Times New Roman"/>
          <w:bCs/>
          <w:sz w:val="22"/>
          <w:szCs w:val="22"/>
        </w:rPr>
        <w:footnoteReference w:id="101"/>
      </w:r>
      <w:r w:rsidR="006A63FB">
        <w:rPr>
          <w:rFonts w:ascii="Times New Roman" w:hAnsi="Times New Roman"/>
          <w:bCs/>
          <w:sz w:val="22"/>
          <w:szCs w:val="22"/>
        </w:rPr>
        <w:t xml:space="preserve"> </w:t>
      </w:r>
      <w:r w:rsidR="00C84531">
        <w:rPr>
          <w:rFonts w:ascii="Times New Roman" w:hAnsi="Times New Roman"/>
          <w:bCs/>
          <w:sz w:val="22"/>
          <w:szCs w:val="22"/>
        </w:rPr>
        <w:t xml:space="preserve">This substitute would be named as king for 100 days and afterwards was killed in hope of </w:t>
      </w:r>
      <w:r w:rsidR="009A61DC">
        <w:rPr>
          <w:rFonts w:ascii="Times New Roman" w:hAnsi="Times New Roman"/>
          <w:bCs/>
          <w:sz w:val="22"/>
          <w:szCs w:val="22"/>
        </w:rPr>
        <w:t>evading the evil that was to come upon the actual king.</w:t>
      </w:r>
      <w:r w:rsidR="009A61DC">
        <w:rPr>
          <w:rStyle w:val="FootnoteReference"/>
          <w:rFonts w:ascii="Times New Roman" w:hAnsi="Times New Roman"/>
          <w:bCs/>
          <w:sz w:val="22"/>
          <w:szCs w:val="22"/>
        </w:rPr>
        <w:footnoteReference w:id="102"/>
      </w:r>
      <w:r w:rsidR="009A61DC">
        <w:rPr>
          <w:rFonts w:ascii="Times New Roman" w:hAnsi="Times New Roman"/>
          <w:bCs/>
          <w:sz w:val="22"/>
          <w:szCs w:val="22"/>
        </w:rPr>
        <w:t xml:space="preserve"> </w:t>
      </w:r>
      <w:r w:rsidR="006A63FB">
        <w:rPr>
          <w:rFonts w:ascii="Times New Roman" w:hAnsi="Times New Roman"/>
          <w:bCs/>
          <w:sz w:val="22"/>
          <w:szCs w:val="22"/>
        </w:rPr>
        <w:t xml:space="preserve">However, this was based upon the acceptance of the sacrifice of the moon god and </w:t>
      </w:r>
      <w:r w:rsidR="006B031B">
        <w:rPr>
          <w:rFonts w:ascii="Times New Roman" w:hAnsi="Times New Roman"/>
          <w:bCs/>
          <w:sz w:val="22"/>
          <w:szCs w:val="22"/>
        </w:rPr>
        <w:t xml:space="preserve">not only was a proper substitute needed but performing the ritual on the correct day would also </w:t>
      </w:r>
      <w:r w:rsidR="00260408">
        <w:rPr>
          <w:rFonts w:ascii="Times New Roman" w:hAnsi="Times New Roman"/>
          <w:bCs/>
          <w:sz w:val="22"/>
          <w:szCs w:val="22"/>
        </w:rPr>
        <w:t>aid in its effectiveness.</w:t>
      </w:r>
      <w:r w:rsidR="00260408">
        <w:rPr>
          <w:rStyle w:val="FootnoteReference"/>
          <w:rFonts w:ascii="Times New Roman" w:hAnsi="Times New Roman"/>
          <w:bCs/>
          <w:sz w:val="22"/>
          <w:szCs w:val="22"/>
        </w:rPr>
        <w:footnoteReference w:id="103"/>
      </w:r>
      <w:r w:rsidR="00CE003C">
        <w:rPr>
          <w:rFonts w:ascii="Times New Roman" w:hAnsi="Times New Roman"/>
          <w:bCs/>
          <w:sz w:val="22"/>
          <w:szCs w:val="22"/>
        </w:rPr>
        <w:t xml:space="preserve"> </w:t>
      </w:r>
      <w:r w:rsidR="008B2E4D">
        <w:rPr>
          <w:rFonts w:ascii="Times New Roman" w:hAnsi="Times New Roman"/>
          <w:bCs/>
          <w:sz w:val="22"/>
          <w:szCs w:val="22"/>
        </w:rPr>
        <w:t xml:space="preserve">It was viewed that the stars had the power to ward off not only evil omens, but also evil </w:t>
      </w:r>
      <w:r w:rsidR="003A0AF0">
        <w:rPr>
          <w:rFonts w:ascii="Times New Roman" w:hAnsi="Times New Roman"/>
          <w:bCs/>
          <w:sz w:val="22"/>
          <w:szCs w:val="22"/>
        </w:rPr>
        <w:t>spells cast by sorcerers</w:t>
      </w:r>
      <w:r w:rsidR="007E59AE">
        <w:rPr>
          <w:rFonts w:ascii="Times New Roman" w:hAnsi="Times New Roman"/>
          <w:bCs/>
          <w:sz w:val="22"/>
          <w:szCs w:val="22"/>
        </w:rPr>
        <w:t xml:space="preserve"> that meant to cause harm to an individual.</w:t>
      </w:r>
      <w:r w:rsidR="007E59AE">
        <w:rPr>
          <w:rStyle w:val="FootnoteReference"/>
          <w:rFonts w:ascii="Times New Roman" w:hAnsi="Times New Roman"/>
          <w:bCs/>
          <w:sz w:val="22"/>
          <w:szCs w:val="22"/>
        </w:rPr>
        <w:footnoteReference w:id="104"/>
      </w:r>
      <w:r w:rsidR="00012E22">
        <w:rPr>
          <w:rFonts w:ascii="Times New Roman" w:hAnsi="Times New Roman"/>
          <w:bCs/>
          <w:sz w:val="22"/>
          <w:szCs w:val="22"/>
        </w:rPr>
        <w:t xml:space="preserve"> </w:t>
      </w:r>
      <w:r w:rsidR="00626193">
        <w:rPr>
          <w:rFonts w:ascii="Times New Roman" w:hAnsi="Times New Roman"/>
          <w:bCs/>
          <w:sz w:val="22"/>
          <w:szCs w:val="22"/>
        </w:rPr>
        <w:t xml:space="preserve">These </w:t>
      </w:r>
      <w:r w:rsidR="003B15A2">
        <w:rPr>
          <w:rFonts w:ascii="Times New Roman" w:hAnsi="Times New Roman"/>
          <w:bCs/>
          <w:sz w:val="22"/>
          <w:szCs w:val="22"/>
        </w:rPr>
        <w:t xml:space="preserve">magic rituals were not only employed to ward off evil, but also to ensure </w:t>
      </w:r>
      <w:r w:rsidR="00AD5554">
        <w:rPr>
          <w:rFonts w:ascii="Times New Roman" w:hAnsi="Times New Roman"/>
          <w:bCs/>
          <w:sz w:val="22"/>
          <w:szCs w:val="22"/>
        </w:rPr>
        <w:t>the presence of the gods during the various festivals celebrated throughout the year.</w:t>
      </w:r>
      <w:r w:rsidR="00AD5554">
        <w:rPr>
          <w:rStyle w:val="FootnoteReference"/>
          <w:rFonts w:ascii="Times New Roman" w:hAnsi="Times New Roman"/>
          <w:bCs/>
          <w:sz w:val="22"/>
          <w:szCs w:val="22"/>
        </w:rPr>
        <w:footnoteReference w:id="105"/>
      </w:r>
      <w:r w:rsidR="00012E22">
        <w:rPr>
          <w:rFonts w:ascii="Times New Roman" w:hAnsi="Times New Roman"/>
          <w:bCs/>
          <w:sz w:val="22"/>
          <w:szCs w:val="22"/>
        </w:rPr>
        <w:t xml:space="preserve"> </w:t>
      </w:r>
      <w:r w:rsidR="008D6992">
        <w:rPr>
          <w:rFonts w:ascii="Times New Roman" w:hAnsi="Times New Roman"/>
          <w:bCs/>
          <w:sz w:val="22"/>
          <w:szCs w:val="22"/>
        </w:rPr>
        <w:t xml:space="preserve">Through these rituals, not only were the gods referenced, but </w:t>
      </w:r>
      <w:r w:rsidR="00D3665F">
        <w:rPr>
          <w:rFonts w:ascii="Times New Roman" w:hAnsi="Times New Roman"/>
          <w:bCs/>
          <w:sz w:val="22"/>
          <w:szCs w:val="22"/>
        </w:rPr>
        <w:t>so were</w:t>
      </w:r>
      <w:r w:rsidR="008D6992">
        <w:rPr>
          <w:rFonts w:ascii="Times New Roman" w:hAnsi="Times New Roman"/>
          <w:bCs/>
          <w:sz w:val="22"/>
          <w:szCs w:val="22"/>
        </w:rPr>
        <w:t xml:space="preserve"> the celestial bodies they</w:t>
      </w:r>
      <w:r w:rsidR="00D3665F">
        <w:rPr>
          <w:rFonts w:ascii="Times New Roman" w:hAnsi="Times New Roman"/>
          <w:bCs/>
          <w:sz w:val="22"/>
          <w:szCs w:val="22"/>
        </w:rPr>
        <w:t xml:space="preserve"> manifested.</w:t>
      </w:r>
      <w:r w:rsidR="00D3665F">
        <w:rPr>
          <w:rStyle w:val="FootnoteReference"/>
          <w:rFonts w:ascii="Times New Roman" w:hAnsi="Times New Roman"/>
          <w:bCs/>
          <w:sz w:val="22"/>
          <w:szCs w:val="22"/>
        </w:rPr>
        <w:footnoteReference w:id="106"/>
      </w:r>
      <w:r w:rsidR="00D3665F">
        <w:rPr>
          <w:rFonts w:ascii="Times New Roman" w:hAnsi="Times New Roman"/>
          <w:bCs/>
          <w:sz w:val="22"/>
          <w:szCs w:val="22"/>
        </w:rPr>
        <w:t xml:space="preserve"> </w:t>
      </w:r>
      <w:r w:rsidR="002039DE">
        <w:rPr>
          <w:rFonts w:ascii="Times New Roman" w:hAnsi="Times New Roman"/>
          <w:bCs/>
          <w:sz w:val="22"/>
          <w:szCs w:val="22"/>
        </w:rPr>
        <w:t xml:space="preserve">The practice of referring simply to the celestial body instead of the gods they represent during these rituals </w:t>
      </w:r>
      <w:r w:rsidR="00522F20">
        <w:rPr>
          <w:rFonts w:ascii="Times New Roman" w:hAnsi="Times New Roman"/>
          <w:bCs/>
          <w:sz w:val="22"/>
          <w:szCs w:val="22"/>
        </w:rPr>
        <w:t>was accentuated during the Late Babylonian period</w:t>
      </w:r>
      <w:r w:rsidR="00AC62FC">
        <w:rPr>
          <w:rFonts w:ascii="Times New Roman" w:hAnsi="Times New Roman"/>
          <w:bCs/>
          <w:sz w:val="22"/>
          <w:szCs w:val="22"/>
        </w:rPr>
        <w:t xml:space="preserve">, which Brown suggests may be due to a change in the religious </w:t>
      </w:r>
      <w:r w:rsidR="00D054EA">
        <w:rPr>
          <w:rFonts w:ascii="Times New Roman" w:hAnsi="Times New Roman"/>
          <w:bCs/>
          <w:sz w:val="22"/>
          <w:szCs w:val="22"/>
        </w:rPr>
        <w:t>beliefs due to the impact of astronomy.</w:t>
      </w:r>
      <w:r w:rsidR="00D054EA">
        <w:rPr>
          <w:rStyle w:val="FootnoteReference"/>
          <w:rFonts w:ascii="Times New Roman" w:hAnsi="Times New Roman"/>
          <w:bCs/>
          <w:sz w:val="22"/>
          <w:szCs w:val="22"/>
        </w:rPr>
        <w:footnoteReference w:id="107"/>
      </w:r>
    </w:p>
    <w:p w14:paraId="6A818A51" w14:textId="2B311DA8" w:rsidR="00861A27" w:rsidRDefault="0045394F" w:rsidP="00DA1537">
      <w:pPr>
        <w:pStyle w:val="NormalWeb"/>
        <w:spacing w:before="0" w:beforeAutospacing="0" w:after="0" w:afterAutospacing="0"/>
        <w:ind w:right="-334" w:firstLine="720"/>
        <w:rPr>
          <w:rFonts w:ascii="Times New Roman" w:hAnsi="Times New Roman"/>
          <w:bCs/>
          <w:sz w:val="22"/>
          <w:szCs w:val="22"/>
        </w:rPr>
      </w:pPr>
      <w:r>
        <w:rPr>
          <w:rFonts w:ascii="Times New Roman" w:hAnsi="Times New Roman"/>
          <w:bCs/>
          <w:sz w:val="22"/>
          <w:szCs w:val="22"/>
        </w:rPr>
        <w:t xml:space="preserve">Celestial divination was also used to determine if </w:t>
      </w:r>
      <w:r w:rsidR="00346F79">
        <w:rPr>
          <w:rFonts w:ascii="Times New Roman" w:hAnsi="Times New Roman"/>
          <w:bCs/>
          <w:sz w:val="22"/>
          <w:szCs w:val="22"/>
        </w:rPr>
        <w:t>the cause of not only evil</w:t>
      </w:r>
      <w:r w:rsidR="00FF3B7A">
        <w:rPr>
          <w:rFonts w:ascii="Times New Roman" w:hAnsi="Times New Roman"/>
          <w:bCs/>
          <w:sz w:val="22"/>
          <w:szCs w:val="22"/>
        </w:rPr>
        <w:t xml:space="preserve"> and </w:t>
      </w:r>
      <w:r w:rsidR="006B1DB1">
        <w:rPr>
          <w:rFonts w:ascii="Times New Roman" w:hAnsi="Times New Roman"/>
          <w:bCs/>
          <w:sz w:val="22"/>
          <w:szCs w:val="22"/>
        </w:rPr>
        <w:t>misfortune</w:t>
      </w:r>
      <w:r w:rsidR="00346F79">
        <w:rPr>
          <w:rFonts w:ascii="Times New Roman" w:hAnsi="Times New Roman"/>
          <w:bCs/>
          <w:sz w:val="22"/>
          <w:szCs w:val="22"/>
        </w:rPr>
        <w:t>, but also illness in general.</w:t>
      </w:r>
      <w:r w:rsidR="00346F79">
        <w:rPr>
          <w:rStyle w:val="FootnoteReference"/>
          <w:rFonts w:ascii="Times New Roman" w:hAnsi="Times New Roman"/>
          <w:bCs/>
          <w:sz w:val="22"/>
          <w:szCs w:val="22"/>
        </w:rPr>
        <w:footnoteReference w:id="108"/>
      </w:r>
      <w:r w:rsidR="00FF3B7A">
        <w:rPr>
          <w:rFonts w:ascii="Times New Roman" w:hAnsi="Times New Roman"/>
          <w:bCs/>
          <w:sz w:val="22"/>
          <w:szCs w:val="22"/>
        </w:rPr>
        <w:t xml:space="preserve"> </w:t>
      </w:r>
      <w:r w:rsidR="006B1DB1">
        <w:rPr>
          <w:rFonts w:ascii="Times New Roman" w:hAnsi="Times New Roman"/>
          <w:bCs/>
          <w:sz w:val="22"/>
          <w:szCs w:val="22"/>
        </w:rPr>
        <w:t>Regarding illness, the diviner would loo</w:t>
      </w:r>
      <w:r w:rsidR="00850B8D">
        <w:rPr>
          <w:rFonts w:ascii="Times New Roman" w:hAnsi="Times New Roman"/>
          <w:bCs/>
          <w:sz w:val="22"/>
          <w:szCs w:val="22"/>
        </w:rPr>
        <w:t>k to the skies to determine how long the illness would inflict the person or if</w:t>
      </w:r>
      <w:r w:rsidR="000E2C46">
        <w:rPr>
          <w:rFonts w:ascii="Times New Roman" w:hAnsi="Times New Roman"/>
          <w:bCs/>
          <w:sz w:val="22"/>
          <w:szCs w:val="22"/>
        </w:rPr>
        <w:t xml:space="preserve"> it would be possible to heal the ailment.</w:t>
      </w:r>
      <w:r w:rsidR="000E2C46">
        <w:rPr>
          <w:rStyle w:val="FootnoteReference"/>
          <w:rFonts w:ascii="Times New Roman" w:hAnsi="Times New Roman"/>
          <w:bCs/>
          <w:sz w:val="22"/>
          <w:szCs w:val="22"/>
        </w:rPr>
        <w:footnoteReference w:id="109"/>
      </w:r>
      <w:r w:rsidR="0030415F">
        <w:rPr>
          <w:rFonts w:ascii="Times New Roman" w:hAnsi="Times New Roman"/>
          <w:bCs/>
          <w:sz w:val="22"/>
          <w:szCs w:val="22"/>
        </w:rPr>
        <w:t xml:space="preserve"> </w:t>
      </w:r>
      <w:r w:rsidR="00AB4E41">
        <w:rPr>
          <w:rFonts w:ascii="Times New Roman" w:hAnsi="Times New Roman"/>
          <w:bCs/>
          <w:sz w:val="22"/>
          <w:szCs w:val="22"/>
        </w:rPr>
        <w:t>According to Brown, the “scribe of EAE” could also aid in removing the illness throug</w:t>
      </w:r>
      <w:r w:rsidR="007D31E6">
        <w:rPr>
          <w:rFonts w:ascii="Times New Roman" w:hAnsi="Times New Roman"/>
          <w:bCs/>
          <w:sz w:val="22"/>
          <w:szCs w:val="22"/>
        </w:rPr>
        <w:t xml:space="preserve">h </w:t>
      </w:r>
      <w:r w:rsidR="001B5819">
        <w:rPr>
          <w:rFonts w:ascii="Times New Roman" w:hAnsi="Times New Roman"/>
          <w:bCs/>
          <w:sz w:val="22"/>
          <w:szCs w:val="22"/>
        </w:rPr>
        <w:t>exorcisms or what could be considered medicinal healing</w:t>
      </w:r>
      <w:r w:rsidR="00A83447">
        <w:rPr>
          <w:rFonts w:ascii="Times New Roman" w:hAnsi="Times New Roman"/>
          <w:bCs/>
          <w:sz w:val="22"/>
          <w:szCs w:val="22"/>
        </w:rPr>
        <w:t>.</w:t>
      </w:r>
      <w:r w:rsidR="00A83447">
        <w:rPr>
          <w:rStyle w:val="FootnoteReference"/>
          <w:rFonts w:ascii="Times New Roman" w:hAnsi="Times New Roman"/>
          <w:bCs/>
          <w:sz w:val="22"/>
          <w:szCs w:val="22"/>
        </w:rPr>
        <w:footnoteReference w:id="110"/>
      </w:r>
      <w:r w:rsidR="00A83447">
        <w:rPr>
          <w:rFonts w:ascii="Times New Roman" w:hAnsi="Times New Roman"/>
          <w:bCs/>
          <w:sz w:val="22"/>
          <w:szCs w:val="22"/>
        </w:rPr>
        <w:t xml:space="preserve"> While they </w:t>
      </w:r>
      <w:r w:rsidR="003E08A3">
        <w:rPr>
          <w:rFonts w:ascii="Times New Roman" w:hAnsi="Times New Roman"/>
          <w:bCs/>
          <w:sz w:val="22"/>
          <w:szCs w:val="22"/>
        </w:rPr>
        <w:t xml:space="preserve">may have also worked to heal the sick after the use of celestial divination, this was not their primary function and there were </w:t>
      </w:r>
      <w:r w:rsidR="00CE71C6">
        <w:rPr>
          <w:rFonts w:ascii="Times New Roman" w:hAnsi="Times New Roman"/>
          <w:bCs/>
          <w:sz w:val="22"/>
          <w:szCs w:val="22"/>
        </w:rPr>
        <w:t>other scholars or experts who</w:t>
      </w:r>
      <w:r w:rsidR="00C17EE6">
        <w:rPr>
          <w:rFonts w:ascii="Times New Roman" w:hAnsi="Times New Roman"/>
          <w:bCs/>
          <w:sz w:val="22"/>
          <w:szCs w:val="22"/>
        </w:rPr>
        <w:t>se primary job this was.</w:t>
      </w:r>
      <w:r w:rsidR="00C17EE6">
        <w:rPr>
          <w:rStyle w:val="FootnoteReference"/>
          <w:rFonts w:ascii="Times New Roman" w:hAnsi="Times New Roman"/>
          <w:bCs/>
          <w:sz w:val="22"/>
          <w:szCs w:val="22"/>
        </w:rPr>
        <w:footnoteReference w:id="111"/>
      </w:r>
      <w:r w:rsidR="005A1B95">
        <w:rPr>
          <w:rFonts w:ascii="Times New Roman" w:hAnsi="Times New Roman"/>
          <w:bCs/>
          <w:sz w:val="22"/>
          <w:szCs w:val="22"/>
        </w:rPr>
        <w:t xml:space="preserve"> Not only could the sky help </w:t>
      </w:r>
      <w:r w:rsidR="00DB201D">
        <w:rPr>
          <w:rFonts w:ascii="Times New Roman" w:hAnsi="Times New Roman"/>
          <w:bCs/>
          <w:sz w:val="22"/>
          <w:szCs w:val="22"/>
        </w:rPr>
        <w:t xml:space="preserve">show someone the cause of illness or method of healing, but </w:t>
      </w:r>
      <w:r w:rsidR="0055513E">
        <w:rPr>
          <w:rFonts w:ascii="Times New Roman" w:hAnsi="Times New Roman"/>
          <w:bCs/>
          <w:sz w:val="22"/>
          <w:szCs w:val="22"/>
        </w:rPr>
        <w:t xml:space="preserve">it was considered to also </w:t>
      </w:r>
      <w:r w:rsidR="0055513E" w:rsidRPr="0055513E">
        <w:rPr>
          <w:rFonts w:ascii="Times New Roman" w:hAnsi="Times New Roman"/>
          <w:bCs/>
          <w:i/>
          <w:iCs/>
          <w:sz w:val="22"/>
          <w:szCs w:val="22"/>
        </w:rPr>
        <w:t>be</w:t>
      </w:r>
      <w:r w:rsidR="0055513E">
        <w:rPr>
          <w:rFonts w:ascii="Times New Roman" w:hAnsi="Times New Roman"/>
          <w:bCs/>
          <w:sz w:val="22"/>
          <w:szCs w:val="22"/>
        </w:rPr>
        <w:t xml:space="preserve"> the cause of illness and healing as well.</w:t>
      </w:r>
      <w:r w:rsidR="0055513E">
        <w:rPr>
          <w:rStyle w:val="FootnoteReference"/>
          <w:rFonts w:ascii="Times New Roman" w:hAnsi="Times New Roman"/>
          <w:bCs/>
          <w:sz w:val="22"/>
          <w:szCs w:val="22"/>
        </w:rPr>
        <w:footnoteReference w:id="112"/>
      </w:r>
      <w:r w:rsidR="005B6824">
        <w:rPr>
          <w:rFonts w:ascii="Times New Roman" w:hAnsi="Times New Roman"/>
          <w:bCs/>
          <w:sz w:val="22"/>
          <w:szCs w:val="22"/>
        </w:rPr>
        <w:t xml:space="preserve"> T</w:t>
      </w:r>
      <w:r w:rsidR="000C09C9">
        <w:rPr>
          <w:rFonts w:ascii="Times New Roman" w:hAnsi="Times New Roman"/>
          <w:bCs/>
          <w:sz w:val="22"/>
          <w:szCs w:val="22"/>
        </w:rPr>
        <w:t>he text of “Lug</w:t>
      </w:r>
      <w:r w:rsidR="005B6824">
        <w:rPr>
          <w:rFonts w:ascii="Times New Roman" w:hAnsi="Times New Roman"/>
          <w:bCs/>
          <w:sz w:val="22"/>
          <w:szCs w:val="22"/>
        </w:rPr>
        <w:t xml:space="preserve">albanda in a Mountain Cave” </w:t>
      </w:r>
      <w:r w:rsidR="0019017A">
        <w:rPr>
          <w:rFonts w:ascii="Times New Roman" w:hAnsi="Times New Roman"/>
          <w:bCs/>
          <w:sz w:val="22"/>
          <w:szCs w:val="22"/>
        </w:rPr>
        <w:t xml:space="preserve">shows how healing may </w:t>
      </w:r>
      <w:r w:rsidR="0019017A">
        <w:rPr>
          <w:rFonts w:ascii="Times New Roman" w:hAnsi="Times New Roman"/>
          <w:bCs/>
          <w:sz w:val="22"/>
          <w:szCs w:val="22"/>
        </w:rPr>
        <w:lastRenderedPageBreak/>
        <w:t>be granted from praying to the gods through the celestial bodies they represent.</w:t>
      </w:r>
      <w:r w:rsidR="0019017A">
        <w:rPr>
          <w:rStyle w:val="FootnoteReference"/>
          <w:rFonts w:ascii="Times New Roman" w:hAnsi="Times New Roman"/>
          <w:bCs/>
          <w:sz w:val="22"/>
          <w:szCs w:val="22"/>
        </w:rPr>
        <w:footnoteReference w:id="113"/>
      </w:r>
      <w:r w:rsidR="00E47742">
        <w:rPr>
          <w:rFonts w:ascii="Times New Roman" w:hAnsi="Times New Roman"/>
          <w:bCs/>
          <w:sz w:val="22"/>
          <w:szCs w:val="22"/>
        </w:rPr>
        <w:t xml:space="preserve"> </w:t>
      </w:r>
      <w:r w:rsidR="005D3205">
        <w:rPr>
          <w:rFonts w:ascii="Times New Roman" w:hAnsi="Times New Roman"/>
          <w:bCs/>
          <w:sz w:val="22"/>
          <w:szCs w:val="22"/>
        </w:rPr>
        <w:t xml:space="preserve">Prayers are offered up to the setting sun, then to </w:t>
      </w:r>
      <w:r w:rsidR="004B65D1">
        <w:rPr>
          <w:rFonts w:ascii="Times New Roman" w:hAnsi="Times New Roman"/>
          <w:bCs/>
          <w:sz w:val="22"/>
          <w:szCs w:val="22"/>
        </w:rPr>
        <w:t>Venus, the moon, and finally the rising sun.</w:t>
      </w:r>
      <w:r w:rsidR="004B65D1">
        <w:rPr>
          <w:rStyle w:val="FootnoteReference"/>
          <w:rFonts w:ascii="Times New Roman" w:hAnsi="Times New Roman"/>
          <w:bCs/>
          <w:sz w:val="22"/>
          <w:szCs w:val="22"/>
        </w:rPr>
        <w:footnoteReference w:id="114"/>
      </w:r>
      <w:r w:rsidR="004B65D1">
        <w:rPr>
          <w:rFonts w:ascii="Times New Roman" w:hAnsi="Times New Roman"/>
          <w:bCs/>
          <w:sz w:val="22"/>
          <w:szCs w:val="22"/>
        </w:rPr>
        <w:t xml:space="preserve"> </w:t>
      </w:r>
      <w:r w:rsidR="001051E9">
        <w:rPr>
          <w:rFonts w:ascii="Times New Roman" w:hAnsi="Times New Roman"/>
          <w:bCs/>
          <w:sz w:val="22"/>
          <w:szCs w:val="22"/>
        </w:rPr>
        <w:t xml:space="preserve">Praise is offered to the </w:t>
      </w:r>
      <w:r w:rsidR="00A66AA1">
        <w:rPr>
          <w:rFonts w:ascii="Times New Roman" w:hAnsi="Times New Roman"/>
          <w:bCs/>
          <w:sz w:val="22"/>
          <w:szCs w:val="22"/>
        </w:rPr>
        <w:t xml:space="preserve">gods by describing their brightness and celestial light; although this is not done for the setting of the sun, as it would not be appropriate </w:t>
      </w:r>
      <w:r w:rsidR="00205488">
        <w:rPr>
          <w:rFonts w:ascii="Times New Roman" w:hAnsi="Times New Roman"/>
          <w:bCs/>
          <w:sz w:val="22"/>
          <w:szCs w:val="22"/>
        </w:rPr>
        <w:t>as the sun is dimming at this point of the day.</w:t>
      </w:r>
      <w:r w:rsidR="00205488">
        <w:rPr>
          <w:rStyle w:val="FootnoteReference"/>
          <w:rFonts w:ascii="Times New Roman" w:hAnsi="Times New Roman"/>
          <w:bCs/>
          <w:sz w:val="22"/>
          <w:szCs w:val="22"/>
        </w:rPr>
        <w:footnoteReference w:id="115"/>
      </w:r>
      <w:r w:rsidR="00205488">
        <w:rPr>
          <w:rFonts w:ascii="Times New Roman" w:hAnsi="Times New Roman"/>
          <w:bCs/>
          <w:sz w:val="22"/>
          <w:szCs w:val="22"/>
        </w:rPr>
        <w:t xml:space="preserve"> </w:t>
      </w:r>
      <w:r w:rsidR="00F25F53">
        <w:rPr>
          <w:rFonts w:ascii="Times New Roman" w:hAnsi="Times New Roman"/>
          <w:bCs/>
          <w:sz w:val="22"/>
          <w:szCs w:val="22"/>
        </w:rPr>
        <w:t xml:space="preserve">However, it is the references to the life force that each of these bodies posses that </w:t>
      </w:r>
      <w:r w:rsidR="00C92C04">
        <w:rPr>
          <w:rFonts w:ascii="Times New Roman" w:hAnsi="Times New Roman"/>
          <w:bCs/>
          <w:sz w:val="22"/>
          <w:szCs w:val="22"/>
        </w:rPr>
        <w:t>are said to give L</w:t>
      </w:r>
      <w:r w:rsidR="0067343B">
        <w:rPr>
          <w:rFonts w:ascii="Times New Roman" w:hAnsi="Times New Roman"/>
          <w:bCs/>
          <w:sz w:val="22"/>
          <w:szCs w:val="22"/>
        </w:rPr>
        <w:t>ugalbanda the healing he is seeking that is most notable.</w:t>
      </w:r>
      <w:r w:rsidR="009B5788">
        <w:rPr>
          <w:rStyle w:val="FootnoteReference"/>
          <w:rFonts w:ascii="Times New Roman" w:hAnsi="Times New Roman"/>
          <w:bCs/>
          <w:sz w:val="22"/>
          <w:szCs w:val="22"/>
        </w:rPr>
        <w:footnoteReference w:id="116"/>
      </w:r>
      <w:r w:rsidR="009B5788">
        <w:rPr>
          <w:rFonts w:ascii="Times New Roman" w:hAnsi="Times New Roman"/>
          <w:bCs/>
          <w:sz w:val="22"/>
          <w:szCs w:val="22"/>
        </w:rPr>
        <w:t xml:space="preserve"> </w:t>
      </w:r>
      <w:r w:rsidR="00A5765B">
        <w:rPr>
          <w:rFonts w:ascii="Times New Roman" w:hAnsi="Times New Roman"/>
          <w:bCs/>
          <w:sz w:val="22"/>
          <w:szCs w:val="22"/>
        </w:rPr>
        <w:t xml:space="preserve">Within this text, the setting sun sends down its life-giving force </w:t>
      </w:r>
      <w:r w:rsidR="004D02FD">
        <w:rPr>
          <w:rFonts w:ascii="Times New Roman" w:hAnsi="Times New Roman"/>
          <w:bCs/>
          <w:sz w:val="22"/>
          <w:szCs w:val="22"/>
        </w:rPr>
        <w:t>in response to the plea of Lugalbanda.</w:t>
      </w:r>
      <w:r w:rsidR="004D02FD">
        <w:rPr>
          <w:rStyle w:val="FootnoteReference"/>
          <w:rFonts w:ascii="Times New Roman" w:hAnsi="Times New Roman"/>
          <w:bCs/>
          <w:sz w:val="22"/>
          <w:szCs w:val="22"/>
        </w:rPr>
        <w:footnoteReference w:id="117"/>
      </w:r>
      <w:r w:rsidR="004D02FD">
        <w:rPr>
          <w:rFonts w:ascii="Times New Roman" w:hAnsi="Times New Roman"/>
          <w:bCs/>
          <w:sz w:val="22"/>
          <w:szCs w:val="22"/>
        </w:rPr>
        <w:t xml:space="preserve"> </w:t>
      </w:r>
      <w:r w:rsidR="0086467A">
        <w:rPr>
          <w:rFonts w:ascii="Times New Roman" w:hAnsi="Times New Roman"/>
          <w:bCs/>
          <w:sz w:val="22"/>
          <w:szCs w:val="22"/>
        </w:rPr>
        <w:t xml:space="preserve">Next, Venus is said to </w:t>
      </w:r>
      <w:r w:rsidR="00EC1BBB">
        <w:rPr>
          <w:rFonts w:ascii="Times New Roman" w:hAnsi="Times New Roman"/>
          <w:bCs/>
          <w:sz w:val="22"/>
          <w:szCs w:val="22"/>
        </w:rPr>
        <w:t>have given the same type of healing as the setting sun, thus continuing the healing process.</w:t>
      </w:r>
      <w:r w:rsidR="00EC1BBB">
        <w:rPr>
          <w:rStyle w:val="FootnoteReference"/>
          <w:rFonts w:ascii="Times New Roman" w:hAnsi="Times New Roman"/>
          <w:bCs/>
          <w:sz w:val="22"/>
          <w:szCs w:val="22"/>
        </w:rPr>
        <w:footnoteReference w:id="118"/>
      </w:r>
      <w:r w:rsidR="00EC1BBB">
        <w:rPr>
          <w:rFonts w:ascii="Times New Roman" w:hAnsi="Times New Roman"/>
          <w:bCs/>
          <w:sz w:val="22"/>
          <w:szCs w:val="22"/>
        </w:rPr>
        <w:t xml:space="preserve"> The moon then </w:t>
      </w:r>
      <w:r w:rsidR="009322D1">
        <w:rPr>
          <w:rFonts w:ascii="Times New Roman" w:hAnsi="Times New Roman"/>
          <w:bCs/>
          <w:sz w:val="22"/>
          <w:szCs w:val="22"/>
        </w:rPr>
        <w:t xml:space="preserve">gives Lugalbanda life </w:t>
      </w:r>
      <w:r w:rsidR="00B63E4B">
        <w:rPr>
          <w:rFonts w:ascii="Times New Roman" w:hAnsi="Times New Roman"/>
          <w:bCs/>
          <w:sz w:val="22"/>
          <w:szCs w:val="22"/>
        </w:rPr>
        <w:t xml:space="preserve">and the rising sun </w:t>
      </w:r>
      <w:r w:rsidR="00FA5E5D">
        <w:rPr>
          <w:rFonts w:ascii="Times New Roman" w:hAnsi="Times New Roman"/>
          <w:bCs/>
          <w:sz w:val="22"/>
          <w:szCs w:val="22"/>
        </w:rPr>
        <w:t xml:space="preserve">finishes the healing process by giving forth </w:t>
      </w:r>
      <w:r w:rsidR="00EF0384">
        <w:rPr>
          <w:rFonts w:ascii="Times New Roman" w:hAnsi="Times New Roman"/>
          <w:bCs/>
          <w:sz w:val="22"/>
          <w:szCs w:val="22"/>
        </w:rPr>
        <w:t>more of the life-giving force.</w:t>
      </w:r>
      <w:r w:rsidR="00EF0384">
        <w:rPr>
          <w:rStyle w:val="FootnoteReference"/>
          <w:rFonts w:ascii="Times New Roman" w:hAnsi="Times New Roman"/>
          <w:bCs/>
          <w:sz w:val="22"/>
          <w:szCs w:val="22"/>
        </w:rPr>
        <w:footnoteReference w:id="119"/>
      </w:r>
      <w:r w:rsidR="00EF0384">
        <w:rPr>
          <w:rFonts w:ascii="Times New Roman" w:hAnsi="Times New Roman"/>
          <w:bCs/>
          <w:sz w:val="22"/>
          <w:szCs w:val="22"/>
        </w:rPr>
        <w:t xml:space="preserve"> </w:t>
      </w:r>
      <w:r w:rsidR="009312A7">
        <w:rPr>
          <w:rFonts w:ascii="Times New Roman" w:hAnsi="Times New Roman"/>
          <w:bCs/>
          <w:sz w:val="22"/>
          <w:szCs w:val="22"/>
        </w:rPr>
        <w:t xml:space="preserve">Another example of </w:t>
      </w:r>
      <w:r w:rsidR="00FA02B7">
        <w:rPr>
          <w:rFonts w:ascii="Times New Roman" w:hAnsi="Times New Roman"/>
          <w:bCs/>
          <w:sz w:val="22"/>
          <w:szCs w:val="22"/>
        </w:rPr>
        <w:t xml:space="preserve">the sun providing healing is seen on </w:t>
      </w:r>
      <w:r w:rsidR="00810A54">
        <w:rPr>
          <w:rFonts w:ascii="Times New Roman" w:hAnsi="Times New Roman"/>
          <w:bCs/>
          <w:sz w:val="22"/>
          <w:szCs w:val="22"/>
        </w:rPr>
        <w:t>cylinder seals dating to around the Neo-Assyrian period.</w:t>
      </w:r>
      <w:r w:rsidR="00810A54">
        <w:rPr>
          <w:rStyle w:val="FootnoteReference"/>
          <w:rFonts w:ascii="Times New Roman" w:hAnsi="Times New Roman"/>
          <w:bCs/>
          <w:sz w:val="22"/>
          <w:szCs w:val="22"/>
        </w:rPr>
        <w:footnoteReference w:id="120"/>
      </w:r>
      <w:r w:rsidR="00D1508F">
        <w:rPr>
          <w:rFonts w:ascii="Times New Roman" w:hAnsi="Times New Roman"/>
          <w:bCs/>
          <w:sz w:val="22"/>
          <w:szCs w:val="22"/>
        </w:rPr>
        <w:t xml:space="preserve"> Upon these seals, the sun is depicted with wings, which may suggest the rays of the sun and the healing qualities associated with it.</w:t>
      </w:r>
      <w:r w:rsidR="00D1508F">
        <w:rPr>
          <w:rStyle w:val="FootnoteReference"/>
          <w:rFonts w:ascii="Times New Roman" w:hAnsi="Times New Roman"/>
          <w:bCs/>
          <w:sz w:val="22"/>
          <w:szCs w:val="22"/>
        </w:rPr>
        <w:footnoteReference w:id="121"/>
      </w:r>
      <w:r w:rsidR="002210D8">
        <w:rPr>
          <w:rFonts w:ascii="Times New Roman" w:hAnsi="Times New Roman"/>
          <w:bCs/>
          <w:sz w:val="22"/>
          <w:szCs w:val="22"/>
        </w:rPr>
        <w:t xml:space="preserve"> </w:t>
      </w:r>
      <w:r w:rsidR="00AA14AE">
        <w:rPr>
          <w:rFonts w:ascii="Times New Roman" w:hAnsi="Times New Roman"/>
          <w:bCs/>
          <w:sz w:val="22"/>
          <w:szCs w:val="22"/>
        </w:rPr>
        <w:t xml:space="preserve">The ability for these celestial bodies to also provide healing of ailments, and not just simply give answers on how to be healed, </w:t>
      </w:r>
      <w:r w:rsidR="00396FB5">
        <w:rPr>
          <w:rFonts w:ascii="Times New Roman" w:hAnsi="Times New Roman"/>
          <w:bCs/>
          <w:sz w:val="22"/>
          <w:szCs w:val="22"/>
        </w:rPr>
        <w:t>provides a deeper context on the influence the cosmos had upon the ancient Mesopotamians</w:t>
      </w:r>
      <w:r w:rsidR="009E7B24">
        <w:rPr>
          <w:rFonts w:ascii="Times New Roman" w:hAnsi="Times New Roman"/>
          <w:bCs/>
          <w:sz w:val="22"/>
          <w:szCs w:val="22"/>
        </w:rPr>
        <w:t>.</w:t>
      </w:r>
    </w:p>
    <w:p w14:paraId="6B28F7B3" w14:textId="06693689" w:rsidR="009E7B24" w:rsidRDefault="005524B3" w:rsidP="00DA1537">
      <w:pPr>
        <w:pStyle w:val="NormalWeb"/>
        <w:spacing w:before="0" w:beforeAutospacing="0" w:after="0" w:afterAutospacing="0"/>
        <w:ind w:right="-334" w:firstLine="720"/>
        <w:rPr>
          <w:rFonts w:ascii="Times New Roman" w:hAnsi="Times New Roman"/>
          <w:bCs/>
          <w:sz w:val="22"/>
          <w:szCs w:val="22"/>
        </w:rPr>
      </w:pPr>
      <w:r>
        <w:rPr>
          <w:rFonts w:ascii="Times New Roman" w:hAnsi="Times New Roman"/>
          <w:bCs/>
          <w:sz w:val="22"/>
          <w:szCs w:val="22"/>
        </w:rPr>
        <w:t xml:space="preserve">Celestial divination was intrinsically important to the lives of the ancient Mesopotamians.  </w:t>
      </w:r>
      <w:r w:rsidR="007F7B53">
        <w:rPr>
          <w:rFonts w:ascii="Times New Roman" w:hAnsi="Times New Roman"/>
          <w:bCs/>
          <w:sz w:val="22"/>
          <w:szCs w:val="22"/>
        </w:rPr>
        <w:t>The practice can be traced back to the 3</w:t>
      </w:r>
      <w:r w:rsidR="007F7B53" w:rsidRPr="007F7B53">
        <w:rPr>
          <w:rFonts w:ascii="Times New Roman" w:hAnsi="Times New Roman"/>
          <w:bCs/>
          <w:sz w:val="22"/>
          <w:szCs w:val="22"/>
          <w:vertAlign w:val="superscript"/>
        </w:rPr>
        <w:t>rd</w:t>
      </w:r>
      <w:r w:rsidR="007F7B53">
        <w:rPr>
          <w:rFonts w:ascii="Times New Roman" w:hAnsi="Times New Roman"/>
          <w:bCs/>
          <w:sz w:val="22"/>
          <w:szCs w:val="22"/>
        </w:rPr>
        <w:t xml:space="preserve"> millennium BC (Sumerian period), with </w:t>
      </w:r>
      <w:r w:rsidR="00023B8B">
        <w:rPr>
          <w:rFonts w:ascii="Times New Roman" w:hAnsi="Times New Roman"/>
          <w:bCs/>
          <w:sz w:val="22"/>
          <w:szCs w:val="22"/>
        </w:rPr>
        <w:t xml:space="preserve">most </w:t>
      </w:r>
      <w:r w:rsidR="00575838">
        <w:rPr>
          <w:rFonts w:ascii="Times New Roman" w:hAnsi="Times New Roman"/>
          <w:bCs/>
          <w:sz w:val="22"/>
          <w:szCs w:val="22"/>
        </w:rPr>
        <w:t xml:space="preserve">of the documentation of this practice coming from the Neo-Assyrian period.  </w:t>
      </w:r>
      <w:r w:rsidR="00B7027D">
        <w:rPr>
          <w:rFonts w:ascii="Times New Roman" w:hAnsi="Times New Roman"/>
          <w:bCs/>
          <w:sz w:val="22"/>
          <w:szCs w:val="22"/>
        </w:rPr>
        <w:t>There were several texts used</w:t>
      </w:r>
      <w:r w:rsidR="00885339">
        <w:rPr>
          <w:rFonts w:ascii="Times New Roman" w:hAnsi="Times New Roman"/>
          <w:bCs/>
          <w:sz w:val="22"/>
          <w:szCs w:val="22"/>
        </w:rPr>
        <w:t xml:space="preserve">, the most important being the Enuma Anu Enlil.  </w:t>
      </w:r>
      <w:r w:rsidR="00E377D8">
        <w:rPr>
          <w:rFonts w:ascii="Times New Roman" w:hAnsi="Times New Roman"/>
          <w:bCs/>
          <w:sz w:val="22"/>
          <w:szCs w:val="22"/>
        </w:rPr>
        <w:t xml:space="preserve">These texts were written by diviners who studied the </w:t>
      </w:r>
      <w:r w:rsidR="001E4398">
        <w:rPr>
          <w:rFonts w:ascii="Times New Roman" w:hAnsi="Times New Roman"/>
          <w:bCs/>
          <w:sz w:val="22"/>
          <w:szCs w:val="22"/>
        </w:rPr>
        <w:t xml:space="preserve">skies and sought to understand the meanings the gods were trying to convey. </w:t>
      </w:r>
      <w:r w:rsidR="00B54DA6">
        <w:rPr>
          <w:rFonts w:ascii="Times New Roman" w:hAnsi="Times New Roman"/>
          <w:bCs/>
          <w:sz w:val="22"/>
          <w:szCs w:val="22"/>
        </w:rPr>
        <w:t xml:space="preserve">Within these texts, omens were created by diviners to </w:t>
      </w:r>
      <w:r w:rsidR="00B048A7">
        <w:rPr>
          <w:rFonts w:ascii="Times New Roman" w:hAnsi="Times New Roman"/>
          <w:bCs/>
          <w:sz w:val="22"/>
          <w:szCs w:val="22"/>
        </w:rPr>
        <w:t xml:space="preserve">anticipate good or bad fortune based on the phenomena found in the sky. </w:t>
      </w:r>
      <w:r w:rsidR="00E929D1">
        <w:rPr>
          <w:rFonts w:ascii="Times New Roman" w:hAnsi="Times New Roman"/>
          <w:bCs/>
          <w:sz w:val="22"/>
          <w:szCs w:val="22"/>
        </w:rPr>
        <w:t>The celestial bodies were seen as manifestations of the deities they represented</w:t>
      </w:r>
      <w:r w:rsidR="00435A00">
        <w:rPr>
          <w:rFonts w:ascii="Times New Roman" w:hAnsi="Times New Roman"/>
          <w:bCs/>
          <w:sz w:val="22"/>
          <w:szCs w:val="22"/>
        </w:rPr>
        <w:t xml:space="preserve">, not the actual gods themselves, and therefore could be manipulated by the gods </w:t>
      </w:r>
      <w:r w:rsidR="009328F1">
        <w:rPr>
          <w:rFonts w:ascii="Times New Roman" w:hAnsi="Times New Roman"/>
          <w:bCs/>
          <w:sz w:val="22"/>
          <w:szCs w:val="22"/>
        </w:rPr>
        <w:t xml:space="preserve">to communicate with humanity.  </w:t>
      </w:r>
      <w:r w:rsidR="003D2D2C">
        <w:rPr>
          <w:rFonts w:ascii="Times New Roman" w:hAnsi="Times New Roman"/>
          <w:bCs/>
          <w:sz w:val="22"/>
          <w:szCs w:val="22"/>
        </w:rPr>
        <w:t xml:space="preserve">Because of this, the omens are to be read as metaphors, </w:t>
      </w:r>
      <w:r w:rsidR="00553412">
        <w:rPr>
          <w:rFonts w:ascii="Times New Roman" w:hAnsi="Times New Roman"/>
          <w:bCs/>
          <w:sz w:val="22"/>
          <w:szCs w:val="22"/>
        </w:rPr>
        <w:t xml:space="preserve">describing the physical features of what was being seen. </w:t>
      </w:r>
      <w:r w:rsidR="002724CB">
        <w:rPr>
          <w:rFonts w:ascii="Times New Roman" w:hAnsi="Times New Roman"/>
          <w:bCs/>
          <w:sz w:val="22"/>
          <w:szCs w:val="22"/>
        </w:rPr>
        <w:t xml:space="preserve">While some of the omens that were created would have been observed, most were </w:t>
      </w:r>
      <w:r w:rsidR="00553412">
        <w:rPr>
          <w:rFonts w:ascii="Times New Roman" w:hAnsi="Times New Roman"/>
          <w:bCs/>
          <w:sz w:val="22"/>
          <w:szCs w:val="22"/>
        </w:rPr>
        <w:t>not,</w:t>
      </w:r>
      <w:r w:rsidR="002724CB">
        <w:rPr>
          <w:rFonts w:ascii="Times New Roman" w:hAnsi="Times New Roman"/>
          <w:bCs/>
          <w:sz w:val="22"/>
          <w:szCs w:val="22"/>
        </w:rPr>
        <w:t xml:space="preserve"> and actual observation of the phenomena </w:t>
      </w:r>
      <w:r w:rsidR="00DA71E8">
        <w:rPr>
          <w:rFonts w:ascii="Times New Roman" w:hAnsi="Times New Roman"/>
          <w:bCs/>
          <w:sz w:val="22"/>
          <w:szCs w:val="22"/>
        </w:rPr>
        <w:t>presented was not necessary for the omens to be considered plausible</w:t>
      </w:r>
      <w:r w:rsidR="000553B2">
        <w:rPr>
          <w:rFonts w:ascii="Times New Roman" w:hAnsi="Times New Roman"/>
          <w:bCs/>
          <w:sz w:val="22"/>
          <w:szCs w:val="22"/>
        </w:rPr>
        <w:t xml:space="preserve"> since the gods had control of these celestial bodies. </w:t>
      </w:r>
      <w:r w:rsidR="00553412">
        <w:rPr>
          <w:rFonts w:ascii="Times New Roman" w:hAnsi="Times New Roman"/>
          <w:bCs/>
          <w:sz w:val="22"/>
          <w:szCs w:val="22"/>
        </w:rPr>
        <w:t xml:space="preserve">Meaning was placed upon </w:t>
      </w:r>
      <w:r w:rsidR="002359D0">
        <w:rPr>
          <w:rFonts w:ascii="Times New Roman" w:hAnsi="Times New Roman"/>
          <w:bCs/>
          <w:sz w:val="22"/>
          <w:szCs w:val="22"/>
        </w:rPr>
        <w:t xml:space="preserve">the phenomena either through </w:t>
      </w:r>
      <w:r w:rsidR="00101E46">
        <w:rPr>
          <w:rFonts w:ascii="Times New Roman" w:hAnsi="Times New Roman"/>
          <w:bCs/>
          <w:sz w:val="22"/>
          <w:szCs w:val="22"/>
        </w:rPr>
        <w:t xml:space="preserve">correlation of earthly events through the </w:t>
      </w:r>
      <w:r w:rsidR="00C66F47">
        <w:rPr>
          <w:rFonts w:ascii="Times New Roman" w:hAnsi="Times New Roman"/>
          <w:bCs/>
          <w:sz w:val="22"/>
          <w:szCs w:val="22"/>
        </w:rPr>
        <w:t xml:space="preserve">signs or by giving the celestial bodies </w:t>
      </w:r>
      <w:r w:rsidR="00FD0348">
        <w:rPr>
          <w:rFonts w:ascii="Times New Roman" w:hAnsi="Times New Roman"/>
          <w:bCs/>
          <w:sz w:val="22"/>
          <w:szCs w:val="22"/>
        </w:rPr>
        <w:t xml:space="preserve">the characteristics of the deities they represented. Predictable phenomena </w:t>
      </w:r>
      <w:r w:rsidR="00890F3E">
        <w:rPr>
          <w:rFonts w:ascii="Times New Roman" w:hAnsi="Times New Roman"/>
          <w:bCs/>
          <w:sz w:val="22"/>
          <w:szCs w:val="22"/>
        </w:rPr>
        <w:t xml:space="preserve">eventually became a sign of good tidings, while the unpredictable </w:t>
      </w:r>
      <w:r w:rsidR="007555D2">
        <w:rPr>
          <w:rFonts w:ascii="Times New Roman" w:hAnsi="Times New Roman"/>
          <w:bCs/>
          <w:sz w:val="22"/>
          <w:szCs w:val="22"/>
        </w:rPr>
        <w:t xml:space="preserve">gave unfavourable or evil results. </w:t>
      </w:r>
      <w:r w:rsidR="00487151">
        <w:rPr>
          <w:rFonts w:ascii="Times New Roman" w:hAnsi="Times New Roman"/>
          <w:bCs/>
          <w:sz w:val="22"/>
          <w:szCs w:val="22"/>
        </w:rPr>
        <w:t>Celestial divination played an important role regarding the king and his rule over his subjects.  The king was likened to the sun god S</w:t>
      </w:r>
      <w:r w:rsidR="004E06FD">
        <w:rPr>
          <w:rFonts w:ascii="Times New Roman" w:hAnsi="Times New Roman"/>
          <w:bCs/>
          <w:sz w:val="22"/>
          <w:szCs w:val="22"/>
        </w:rPr>
        <w:t xml:space="preserve">hamash, god of justice and divination, and relied on divination to not only make good decisions </w:t>
      </w:r>
      <w:r w:rsidR="00576F5D">
        <w:rPr>
          <w:rFonts w:ascii="Times New Roman" w:hAnsi="Times New Roman"/>
          <w:bCs/>
          <w:sz w:val="22"/>
          <w:szCs w:val="22"/>
        </w:rPr>
        <w:t xml:space="preserve">but also in allowing him to keep ruling during the festival of Akitu.  </w:t>
      </w:r>
      <w:r w:rsidR="001E3DCF">
        <w:rPr>
          <w:rFonts w:ascii="Times New Roman" w:hAnsi="Times New Roman"/>
          <w:bCs/>
          <w:sz w:val="22"/>
          <w:szCs w:val="22"/>
        </w:rPr>
        <w:t>The festivals were</w:t>
      </w:r>
      <w:r w:rsidR="00AA1A84">
        <w:rPr>
          <w:rFonts w:ascii="Times New Roman" w:hAnsi="Times New Roman"/>
          <w:bCs/>
          <w:sz w:val="22"/>
          <w:szCs w:val="22"/>
        </w:rPr>
        <w:t xml:space="preserve"> aligned with cosmological events and participation of these events was crucial to the continued success of the societ</w:t>
      </w:r>
      <w:r w:rsidR="00A2364A">
        <w:rPr>
          <w:rFonts w:ascii="Times New Roman" w:hAnsi="Times New Roman"/>
          <w:bCs/>
          <w:sz w:val="22"/>
          <w:szCs w:val="22"/>
        </w:rPr>
        <w:t xml:space="preserve">y. </w:t>
      </w:r>
      <w:r w:rsidR="00937157">
        <w:rPr>
          <w:rFonts w:ascii="Times New Roman" w:hAnsi="Times New Roman"/>
          <w:bCs/>
          <w:sz w:val="22"/>
          <w:szCs w:val="22"/>
        </w:rPr>
        <w:t>During times when evil omens appeared, magic was employed to either reverse the evil that was foretold</w:t>
      </w:r>
      <w:r w:rsidR="004D3773">
        <w:rPr>
          <w:rFonts w:ascii="Times New Roman" w:hAnsi="Times New Roman"/>
          <w:bCs/>
          <w:sz w:val="22"/>
          <w:szCs w:val="22"/>
        </w:rPr>
        <w:t xml:space="preserve">. Even trickery on the part of the diviners and kings could be deployed, </w:t>
      </w:r>
      <w:r w:rsidR="005845DD">
        <w:rPr>
          <w:rFonts w:ascii="Times New Roman" w:hAnsi="Times New Roman"/>
          <w:bCs/>
          <w:sz w:val="22"/>
          <w:szCs w:val="22"/>
        </w:rPr>
        <w:t xml:space="preserve">in electing a new king for a short period and then killing him to ensure the evil did not befall the true king. </w:t>
      </w:r>
      <w:r w:rsidR="004C41AC">
        <w:rPr>
          <w:rFonts w:ascii="Times New Roman" w:hAnsi="Times New Roman"/>
          <w:bCs/>
          <w:sz w:val="22"/>
          <w:szCs w:val="22"/>
        </w:rPr>
        <w:t>Magic rituals also sought to ensure t</w:t>
      </w:r>
      <w:r w:rsidR="00DA7984">
        <w:rPr>
          <w:rFonts w:ascii="Times New Roman" w:hAnsi="Times New Roman"/>
          <w:bCs/>
          <w:sz w:val="22"/>
          <w:szCs w:val="22"/>
        </w:rPr>
        <w:t>hat the gods would be present during times of ritual and festivals</w:t>
      </w:r>
      <w:r w:rsidR="00475271">
        <w:rPr>
          <w:rFonts w:ascii="Times New Roman" w:hAnsi="Times New Roman"/>
          <w:bCs/>
          <w:sz w:val="22"/>
          <w:szCs w:val="22"/>
        </w:rPr>
        <w:t>. The celestial bodies also played a prominent role in healing</w:t>
      </w:r>
      <w:r w:rsidR="00101CA8">
        <w:rPr>
          <w:rFonts w:ascii="Times New Roman" w:hAnsi="Times New Roman"/>
          <w:bCs/>
          <w:sz w:val="22"/>
          <w:szCs w:val="22"/>
        </w:rPr>
        <w:t xml:space="preserve">, not only divining the cause and way to be healed, but also providing the healing themselves as agents of the gods they </w:t>
      </w:r>
      <w:r w:rsidR="00E377D8">
        <w:rPr>
          <w:rFonts w:ascii="Times New Roman" w:hAnsi="Times New Roman"/>
          <w:bCs/>
          <w:sz w:val="22"/>
          <w:szCs w:val="22"/>
        </w:rPr>
        <w:t>represented.</w:t>
      </w:r>
      <w:r w:rsidR="00BB6FB7">
        <w:rPr>
          <w:rFonts w:ascii="Times New Roman" w:hAnsi="Times New Roman"/>
          <w:bCs/>
          <w:sz w:val="22"/>
          <w:szCs w:val="22"/>
        </w:rPr>
        <w:t xml:space="preserve"> Celestial divination </w:t>
      </w:r>
      <w:r w:rsidR="005C0BF6">
        <w:rPr>
          <w:rFonts w:ascii="Times New Roman" w:hAnsi="Times New Roman"/>
          <w:bCs/>
          <w:sz w:val="22"/>
          <w:szCs w:val="22"/>
        </w:rPr>
        <w:t xml:space="preserve">was crucial to the everyday lives of the ancient </w:t>
      </w:r>
      <w:r w:rsidR="00F80D5C">
        <w:rPr>
          <w:rFonts w:ascii="Times New Roman" w:hAnsi="Times New Roman"/>
          <w:bCs/>
          <w:sz w:val="22"/>
          <w:szCs w:val="22"/>
        </w:rPr>
        <w:t>Mesopotamians,</w:t>
      </w:r>
      <w:r w:rsidR="005C0BF6">
        <w:rPr>
          <w:rFonts w:ascii="Times New Roman" w:hAnsi="Times New Roman"/>
          <w:bCs/>
          <w:sz w:val="22"/>
          <w:szCs w:val="22"/>
        </w:rPr>
        <w:t xml:space="preserve"> and this can be seen in the </w:t>
      </w:r>
      <w:r w:rsidR="00F80D5C">
        <w:rPr>
          <w:rFonts w:ascii="Times New Roman" w:hAnsi="Times New Roman"/>
          <w:bCs/>
          <w:sz w:val="22"/>
          <w:szCs w:val="22"/>
        </w:rPr>
        <w:t xml:space="preserve">remnants of their civilizations that have come down to us. While there is much we still do not know about </w:t>
      </w:r>
      <w:r w:rsidR="001E5257">
        <w:rPr>
          <w:rFonts w:ascii="Times New Roman" w:hAnsi="Times New Roman"/>
          <w:bCs/>
          <w:sz w:val="22"/>
          <w:szCs w:val="22"/>
        </w:rPr>
        <w:t xml:space="preserve">practices of this ancient people, </w:t>
      </w:r>
      <w:r w:rsidR="002A3EBA">
        <w:rPr>
          <w:rFonts w:ascii="Times New Roman" w:hAnsi="Times New Roman"/>
          <w:bCs/>
          <w:sz w:val="22"/>
          <w:szCs w:val="22"/>
        </w:rPr>
        <w:t xml:space="preserve">there have been many </w:t>
      </w:r>
      <w:r w:rsidR="00727B7C">
        <w:rPr>
          <w:rFonts w:ascii="Times New Roman" w:hAnsi="Times New Roman"/>
          <w:bCs/>
          <w:sz w:val="22"/>
          <w:szCs w:val="22"/>
        </w:rPr>
        <w:t>ground-breaking</w:t>
      </w:r>
      <w:r w:rsidR="002A3EBA">
        <w:rPr>
          <w:rFonts w:ascii="Times New Roman" w:hAnsi="Times New Roman"/>
          <w:bCs/>
          <w:sz w:val="22"/>
          <w:szCs w:val="22"/>
        </w:rPr>
        <w:t xml:space="preserve"> </w:t>
      </w:r>
      <w:r w:rsidR="00FE45DF">
        <w:rPr>
          <w:rFonts w:ascii="Times New Roman" w:hAnsi="Times New Roman"/>
          <w:bCs/>
          <w:sz w:val="22"/>
          <w:szCs w:val="22"/>
        </w:rPr>
        <w:t xml:space="preserve">discoveries that have </w:t>
      </w:r>
      <w:r w:rsidR="00EE3ED8">
        <w:rPr>
          <w:rFonts w:ascii="Times New Roman" w:hAnsi="Times New Roman"/>
          <w:bCs/>
          <w:sz w:val="22"/>
          <w:szCs w:val="22"/>
        </w:rPr>
        <w:t xml:space="preserve">provided much knowledge. </w:t>
      </w:r>
      <w:r w:rsidR="00727B7C">
        <w:rPr>
          <w:rFonts w:ascii="Times New Roman" w:hAnsi="Times New Roman"/>
          <w:bCs/>
          <w:sz w:val="22"/>
          <w:szCs w:val="22"/>
        </w:rPr>
        <w:t xml:space="preserve">As more discoveries unfold, </w:t>
      </w:r>
      <w:r w:rsidR="001A59BE">
        <w:rPr>
          <w:rFonts w:ascii="Times New Roman" w:hAnsi="Times New Roman"/>
          <w:bCs/>
          <w:sz w:val="22"/>
          <w:szCs w:val="22"/>
        </w:rPr>
        <w:t xml:space="preserve">hopefully we </w:t>
      </w:r>
      <w:r w:rsidR="001A59BE">
        <w:rPr>
          <w:rFonts w:ascii="Times New Roman" w:hAnsi="Times New Roman"/>
          <w:bCs/>
          <w:sz w:val="22"/>
          <w:szCs w:val="22"/>
        </w:rPr>
        <w:lastRenderedPageBreak/>
        <w:t xml:space="preserve">will continue rediscovering the </w:t>
      </w:r>
      <w:r w:rsidR="00605484">
        <w:rPr>
          <w:rFonts w:ascii="Times New Roman" w:hAnsi="Times New Roman"/>
          <w:bCs/>
          <w:sz w:val="22"/>
          <w:szCs w:val="22"/>
        </w:rPr>
        <w:t xml:space="preserve">importance the celestial bodies of the skies once played and </w:t>
      </w:r>
      <w:r w:rsidR="00897EC1">
        <w:rPr>
          <w:rFonts w:ascii="Times New Roman" w:hAnsi="Times New Roman"/>
          <w:bCs/>
          <w:sz w:val="22"/>
          <w:szCs w:val="22"/>
        </w:rPr>
        <w:t>bring them back into the light.</w:t>
      </w:r>
    </w:p>
    <w:p w14:paraId="5118F534"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338EF88"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3AF6A03F"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02ECBD22"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8FE33E9"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822847F"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EEB04D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D9F1D1C"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04FE8A09"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01C05D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937CD12"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13754C2D"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6C17A22"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AFA9E5D"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12A3BB83"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A179CB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C2586E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1AB080AE"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E3C8E04"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3A5BC713"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273E5FC"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B51D5CE"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F4A19FC"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1E8039D8"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01FB4D8"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C22E571"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724661F"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B818EA3"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2A65D41"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08BA003C"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562A672"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2CB51C0"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C69924A"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1586081E"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3F577FD"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4F38878"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2EAF64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5418D7D"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2ED69812"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5730DD98"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30D9A02B"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3252F5C9"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489A207"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C632556"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31243963"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AA5E569"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4845F234"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42D9B3D"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7653E179" w14:textId="77777777" w:rsidR="00793AAD" w:rsidRDefault="00793AAD" w:rsidP="00793AAD">
      <w:pPr>
        <w:pStyle w:val="NormalWeb"/>
        <w:spacing w:before="0" w:beforeAutospacing="0" w:after="0" w:afterAutospacing="0"/>
        <w:ind w:right="-334"/>
        <w:rPr>
          <w:rFonts w:ascii="Times New Roman" w:hAnsi="Times New Roman"/>
          <w:bCs/>
          <w:sz w:val="22"/>
          <w:szCs w:val="22"/>
        </w:rPr>
      </w:pPr>
    </w:p>
    <w:p w14:paraId="68F31762" w14:textId="18D1A64C" w:rsidR="00793AAD" w:rsidRDefault="00715920" w:rsidP="00793AAD">
      <w:pPr>
        <w:pStyle w:val="NormalWeb"/>
        <w:spacing w:before="0" w:beforeAutospacing="0" w:after="0" w:afterAutospacing="0"/>
        <w:ind w:right="-334"/>
        <w:jc w:val="center"/>
        <w:rPr>
          <w:rFonts w:ascii="Times New Roman" w:hAnsi="Times New Roman"/>
          <w:bCs/>
          <w:sz w:val="22"/>
          <w:szCs w:val="22"/>
        </w:rPr>
      </w:pPr>
      <w:r>
        <w:rPr>
          <w:rFonts w:ascii="Times New Roman" w:hAnsi="Times New Roman"/>
          <w:b/>
          <w:sz w:val="22"/>
          <w:szCs w:val="22"/>
        </w:rPr>
        <w:lastRenderedPageBreak/>
        <w:t>References</w:t>
      </w:r>
    </w:p>
    <w:p w14:paraId="05CF80A0" w14:textId="77777777" w:rsidR="00715920" w:rsidRDefault="00715920" w:rsidP="00793AAD">
      <w:pPr>
        <w:pStyle w:val="NormalWeb"/>
        <w:spacing w:before="0" w:beforeAutospacing="0" w:after="0" w:afterAutospacing="0"/>
        <w:ind w:right="-334"/>
        <w:jc w:val="center"/>
        <w:rPr>
          <w:rFonts w:ascii="Times New Roman" w:hAnsi="Times New Roman"/>
          <w:bCs/>
          <w:sz w:val="22"/>
          <w:szCs w:val="22"/>
        </w:rPr>
      </w:pPr>
    </w:p>
    <w:p w14:paraId="702FC50F" w14:textId="5A0CE621" w:rsidR="00801FBA" w:rsidRPr="0086124E" w:rsidRDefault="00801FBA" w:rsidP="006E3889">
      <w:pPr>
        <w:pStyle w:val="NormalWeb"/>
        <w:spacing w:before="0" w:beforeAutospacing="0" w:after="0" w:afterAutospacing="0"/>
        <w:ind w:left="360" w:right="-334" w:hanging="360"/>
        <w:rPr>
          <w:rFonts w:ascii="Times New Roman" w:hAnsi="Times New Roman"/>
          <w:sz w:val="22"/>
          <w:szCs w:val="22"/>
          <w:lang w:val="en-US"/>
        </w:rPr>
      </w:pPr>
      <w:r w:rsidRPr="0086124E">
        <w:rPr>
          <w:rFonts w:ascii="Times New Roman" w:hAnsi="Times New Roman"/>
          <w:i/>
          <w:iCs/>
          <w:sz w:val="22"/>
          <w:szCs w:val="22"/>
          <w:lang w:val="en-US"/>
        </w:rPr>
        <w:t>Primary Sources</w:t>
      </w:r>
    </w:p>
    <w:p w14:paraId="0C616887" w14:textId="77777777" w:rsidR="00801FBA" w:rsidRPr="0086124E" w:rsidRDefault="00801FBA" w:rsidP="006E3889">
      <w:pPr>
        <w:pStyle w:val="NormalWeb"/>
        <w:spacing w:before="0" w:beforeAutospacing="0" w:after="0" w:afterAutospacing="0"/>
        <w:ind w:left="360" w:right="-334" w:hanging="360"/>
        <w:rPr>
          <w:rFonts w:ascii="Times New Roman" w:hAnsi="Times New Roman"/>
          <w:sz w:val="22"/>
          <w:szCs w:val="22"/>
          <w:lang w:val="en-US"/>
        </w:rPr>
      </w:pPr>
    </w:p>
    <w:p w14:paraId="08BA1FE2" w14:textId="2F6D8473" w:rsidR="00801FBA" w:rsidRPr="0086124E" w:rsidRDefault="00801FBA" w:rsidP="006E3889">
      <w:pPr>
        <w:pStyle w:val="NormalWeb"/>
        <w:spacing w:before="0" w:beforeAutospacing="0" w:after="0" w:afterAutospacing="0"/>
        <w:ind w:left="360" w:right="-334" w:hanging="360"/>
        <w:rPr>
          <w:rFonts w:ascii="Times New Roman" w:hAnsi="Times New Roman"/>
          <w:sz w:val="22"/>
          <w:szCs w:val="22"/>
          <w:lang w:val="en-US"/>
        </w:rPr>
      </w:pPr>
      <w:r w:rsidRPr="0086124E">
        <w:rPr>
          <w:rFonts w:ascii="Times New Roman" w:hAnsi="Times New Roman"/>
          <w:sz w:val="22"/>
          <w:szCs w:val="22"/>
          <w:lang w:val="en-US"/>
        </w:rPr>
        <w:t>Horsnell,</w:t>
      </w:r>
      <w:r w:rsidRPr="0086124E">
        <w:rPr>
          <w:rFonts w:ascii="Times New Roman" w:hAnsi="Times New Roman"/>
          <w:sz w:val="22"/>
          <w:szCs w:val="22"/>
          <w:lang w:val="en-US"/>
        </w:rPr>
        <w:t xml:space="preserve"> Malcolm J.A.,</w:t>
      </w:r>
      <w:r w:rsidRPr="0086124E">
        <w:rPr>
          <w:rFonts w:ascii="Times New Roman" w:hAnsi="Times New Roman"/>
          <w:sz w:val="22"/>
          <w:szCs w:val="22"/>
          <w:lang w:val="en-US"/>
        </w:rPr>
        <w:t xml:space="preserve"> </w:t>
      </w:r>
      <w:r w:rsidRPr="0086124E">
        <w:rPr>
          <w:rFonts w:ascii="Times New Roman" w:hAnsi="Times New Roman"/>
          <w:i/>
          <w:iCs/>
          <w:sz w:val="22"/>
          <w:szCs w:val="22"/>
          <w:lang w:val="en-US"/>
        </w:rPr>
        <w:t>The Year Names of the First Dynasty of Babylon</w:t>
      </w:r>
      <w:r w:rsidRPr="0086124E">
        <w:rPr>
          <w:rFonts w:ascii="Times New Roman" w:hAnsi="Times New Roman"/>
          <w:sz w:val="22"/>
          <w:szCs w:val="22"/>
          <w:lang w:val="en-US"/>
        </w:rPr>
        <w:t>, 2 vols (Hamilton: McMaster University Press, 1999), II</w:t>
      </w:r>
    </w:p>
    <w:p w14:paraId="1C1CFC37" w14:textId="77777777" w:rsidR="006F36E1" w:rsidRPr="0086124E" w:rsidRDefault="006F36E1" w:rsidP="006E3889">
      <w:pPr>
        <w:pStyle w:val="NormalWeb"/>
        <w:spacing w:before="0" w:beforeAutospacing="0" w:after="0" w:afterAutospacing="0"/>
        <w:ind w:left="360" w:right="-334" w:hanging="360"/>
        <w:rPr>
          <w:rFonts w:ascii="Times New Roman" w:hAnsi="Times New Roman"/>
          <w:sz w:val="22"/>
          <w:szCs w:val="22"/>
          <w:lang w:val="en-US"/>
        </w:rPr>
      </w:pPr>
    </w:p>
    <w:p w14:paraId="0CEE64EB" w14:textId="5D6D5DDA" w:rsidR="006F36E1" w:rsidRPr="0086124E" w:rsidRDefault="006F36E1" w:rsidP="006F36E1">
      <w:pPr>
        <w:pStyle w:val="FootnoteText"/>
        <w:rPr>
          <w:sz w:val="22"/>
          <w:szCs w:val="22"/>
          <w:lang w:val="en-US"/>
        </w:rPr>
      </w:pPr>
      <w:r w:rsidRPr="0086124E">
        <w:rPr>
          <w:sz w:val="22"/>
          <w:szCs w:val="22"/>
          <w:lang w:val="en-US"/>
        </w:rPr>
        <w:t>Landsberger</w:t>
      </w:r>
      <w:r w:rsidR="00F922F0" w:rsidRPr="0086124E">
        <w:rPr>
          <w:sz w:val="22"/>
          <w:szCs w:val="22"/>
          <w:lang w:val="en-US"/>
        </w:rPr>
        <w:t>, B.</w:t>
      </w:r>
      <w:r w:rsidRPr="0086124E">
        <w:rPr>
          <w:sz w:val="22"/>
          <w:szCs w:val="22"/>
          <w:lang w:val="en-US"/>
        </w:rPr>
        <w:t xml:space="preserve"> and J.V. Kinnier Wilson, ‘The Fifth Tablet of Enuma Elis’, </w:t>
      </w:r>
      <w:r w:rsidRPr="0086124E">
        <w:rPr>
          <w:i/>
          <w:iCs/>
          <w:sz w:val="22"/>
          <w:szCs w:val="22"/>
          <w:lang w:val="en-US"/>
        </w:rPr>
        <w:t>Journal of Near Eastern Studies</w:t>
      </w:r>
      <w:r w:rsidRPr="0086124E">
        <w:rPr>
          <w:sz w:val="22"/>
          <w:szCs w:val="22"/>
          <w:lang w:val="en-US"/>
        </w:rPr>
        <w:t>, 20.3 (1961), 154-179 &lt;https://www.jstor.org/stable/543187&gt; [accessed 14 April 2022]</w:t>
      </w:r>
    </w:p>
    <w:p w14:paraId="156B69F2" w14:textId="77777777" w:rsidR="00801FBA" w:rsidRDefault="00801FBA" w:rsidP="006E3889">
      <w:pPr>
        <w:pStyle w:val="NormalWeb"/>
        <w:spacing w:before="0" w:beforeAutospacing="0" w:after="0" w:afterAutospacing="0"/>
        <w:ind w:left="360" w:right="-334" w:hanging="360"/>
        <w:rPr>
          <w:rFonts w:ascii="Times New Roman" w:hAnsi="Times New Roman"/>
          <w:sz w:val="22"/>
          <w:szCs w:val="22"/>
          <w:lang w:val="en-US"/>
        </w:rPr>
      </w:pPr>
    </w:p>
    <w:p w14:paraId="7C500AAD" w14:textId="77777777" w:rsidR="002A73C3" w:rsidRPr="0086124E" w:rsidRDefault="002A73C3" w:rsidP="006E3889">
      <w:pPr>
        <w:pStyle w:val="NormalWeb"/>
        <w:spacing w:before="0" w:beforeAutospacing="0" w:after="0" w:afterAutospacing="0"/>
        <w:ind w:left="360" w:right="-334" w:hanging="360"/>
        <w:rPr>
          <w:rFonts w:ascii="Times New Roman" w:hAnsi="Times New Roman"/>
          <w:sz w:val="22"/>
          <w:szCs w:val="22"/>
          <w:lang w:val="en-US"/>
        </w:rPr>
      </w:pPr>
    </w:p>
    <w:p w14:paraId="375B43A1" w14:textId="350746B7" w:rsidR="00801FBA" w:rsidRPr="0086124E" w:rsidRDefault="00801FBA" w:rsidP="006E3889">
      <w:pPr>
        <w:pStyle w:val="NormalWeb"/>
        <w:spacing w:before="0" w:beforeAutospacing="0" w:after="0" w:afterAutospacing="0"/>
        <w:ind w:left="360" w:right="-334" w:hanging="360"/>
        <w:rPr>
          <w:rFonts w:ascii="Times New Roman" w:hAnsi="Times New Roman"/>
          <w:i/>
          <w:iCs/>
          <w:sz w:val="22"/>
          <w:szCs w:val="22"/>
          <w:lang w:val="en-US"/>
        </w:rPr>
      </w:pPr>
      <w:r w:rsidRPr="0086124E">
        <w:rPr>
          <w:rFonts w:ascii="Times New Roman" w:hAnsi="Times New Roman"/>
          <w:i/>
          <w:iCs/>
          <w:sz w:val="22"/>
          <w:szCs w:val="22"/>
          <w:lang w:val="en-US"/>
        </w:rPr>
        <w:t>Secondary Sources</w:t>
      </w:r>
    </w:p>
    <w:p w14:paraId="4911BE01" w14:textId="77777777" w:rsidR="00801FBA" w:rsidRPr="0086124E" w:rsidRDefault="00801FBA" w:rsidP="006E3889">
      <w:pPr>
        <w:pStyle w:val="NormalWeb"/>
        <w:spacing w:before="0" w:beforeAutospacing="0" w:after="0" w:afterAutospacing="0"/>
        <w:ind w:left="360" w:right="-334" w:hanging="360"/>
        <w:rPr>
          <w:rFonts w:ascii="Times New Roman" w:hAnsi="Times New Roman"/>
          <w:sz w:val="22"/>
          <w:szCs w:val="22"/>
          <w:lang w:val="en-US"/>
        </w:rPr>
      </w:pPr>
    </w:p>
    <w:p w14:paraId="3C8B2B03" w14:textId="5CC0996F" w:rsidR="00F922F0" w:rsidRPr="0086124E" w:rsidRDefault="00D73E42" w:rsidP="00D73E42">
      <w:pPr>
        <w:pStyle w:val="FootnoteText"/>
        <w:rPr>
          <w:sz w:val="22"/>
          <w:szCs w:val="22"/>
          <w:lang w:val="en-US"/>
        </w:rPr>
      </w:pPr>
      <w:r w:rsidRPr="0086124E">
        <w:rPr>
          <w:sz w:val="22"/>
          <w:szCs w:val="22"/>
          <w:lang w:val="en-US"/>
        </w:rPr>
        <w:t>Brisch</w:t>
      </w:r>
      <w:r w:rsidRPr="0086124E">
        <w:rPr>
          <w:sz w:val="22"/>
          <w:szCs w:val="22"/>
          <w:lang w:val="en-US"/>
        </w:rPr>
        <w:t>, Nicole</w:t>
      </w:r>
      <w:r w:rsidRPr="0086124E">
        <w:rPr>
          <w:sz w:val="22"/>
          <w:szCs w:val="22"/>
          <w:lang w:val="en-US"/>
        </w:rPr>
        <w:t xml:space="preserve"> ‘Ancient Mesopotamian Religion’, in </w:t>
      </w:r>
      <w:r w:rsidRPr="0086124E">
        <w:rPr>
          <w:i/>
          <w:iCs/>
          <w:sz w:val="22"/>
          <w:szCs w:val="22"/>
          <w:lang w:val="en-US"/>
        </w:rPr>
        <w:t>A Companion of the Ancient Near East</w:t>
      </w:r>
      <w:r w:rsidRPr="0086124E">
        <w:rPr>
          <w:sz w:val="22"/>
          <w:szCs w:val="22"/>
          <w:lang w:val="en-US"/>
        </w:rPr>
        <w:t>, 2</w:t>
      </w:r>
      <w:r w:rsidRPr="0086124E">
        <w:rPr>
          <w:sz w:val="22"/>
          <w:szCs w:val="22"/>
          <w:vertAlign w:val="superscript"/>
          <w:lang w:val="en-US"/>
        </w:rPr>
        <w:t>nd</w:t>
      </w:r>
      <w:r w:rsidRPr="0086124E">
        <w:rPr>
          <w:sz w:val="22"/>
          <w:szCs w:val="22"/>
          <w:lang w:val="en-US"/>
        </w:rPr>
        <w:t xml:space="preserve"> edn., ed. by Daniel C. Snell (John Wiley &amp; Sons, Inc., 2020), pp. 321-337</w:t>
      </w:r>
    </w:p>
    <w:p w14:paraId="466D6E54" w14:textId="77777777" w:rsidR="00F922F0" w:rsidRPr="0086124E" w:rsidRDefault="00F922F0" w:rsidP="006E3889">
      <w:pPr>
        <w:pStyle w:val="NormalWeb"/>
        <w:spacing w:before="0" w:beforeAutospacing="0" w:after="0" w:afterAutospacing="0"/>
        <w:ind w:left="360" w:right="-334" w:hanging="360"/>
        <w:rPr>
          <w:rFonts w:ascii="Times New Roman" w:hAnsi="Times New Roman"/>
          <w:sz w:val="22"/>
          <w:szCs w:val="22"/>
          <w:lang w:val="en-US"/>
        </w:rPr>
      </w:pPr>
    </w:p>
    <w:p w14:paraId="27DB94C8" w14:textId="47B66D47" w:rsidR="00715920" w:rsidRPr="0086124E" w:rsidRDefault="008942D9" w:rsidP="006E3889">
      <w:pPr>
        <w:pStyle w:val="NormalWeb"/>
        <w:spacing w:before="0" w:beforeAutospacing="0" w:after="0" w:afterAutospacing="0"/>
        <w:ind w:left="360" w:right="-334" w:hanging="360"/>
        <w:rPr>
          <w:rFonts w:ascii="Times New Roman" w:hAnsi="Times New Roman"/>
          <w:sz w:val="22"/>
          <w:szCs w:val="22"/>
          <w:lang w:val="en-US"/>
        </w:rPr>
      </w:pPr>
      <w:r w:rsidRPr="0086124E">
        <w:rPr>
          <w:rFonts w:ascii="Times New Roman" w:hAnsi="Times New Roman"/>
          <w:sz w:val="22"/>
          <w:szCs w:val="22"/>
          <w:lang w:val="en-US"/>
        </w:rPr>
        <w:t>Brown,</w:t>
      </w:r>
      <w:r w:rsidRPr="0086124E">
        <w:rPr>
          <w:rFonts w:ascii="Times New Roman" w:hAnsi="Times New Roman"/>
          <w:sz w:val="22"/>
          <w:szCs w:val="22"/>
          <w:lang w:val="en-US"/>
        </w:rPr>
        <w:t xml:space="preserve"> D</w:t>
      </w:r>
      <w:r w:rsidR="003A78AE" w:rsidRPr="0086124E">
        <w:rPr>
          <w:rFonts w:ascii="Times New Roman" w:hAnsi="Times New Roman"/>
          <w:sz w:val="22"/>
          <w:szCs w:val="22"/>
          <w:lang w:val="en-US"/>
        </w:rPr>
        <w:t>avid,</w:t>
      </w:r>
      <w:r w:rsidRPr="0086124E">
        <w:rPr>
          <w:rFonts w:ascii="Times New Roman" w:hAnsi="Times New Roman"/>
          <w:sz w:val="22"/>
          <w:szCs w:val="22"/>
          <w:lang w:val="en-US"/>
        </w:rPr>
        <w:t xml:space="preserve"> ‘Astral Divination in the Context of Mesopotamian Divination, Medicine, Religion, Magic, Society, and Scholarship’, </w:t>
      </w:r>
      <w:r w:rsidRPr="0086124E">
        <w:rPr>
          <w:rFonts w:ascii="Times New Roman" w:hAnsi="Times New Roman"/>
          <w:i/>
          <w:iCs/>
          <w:sz w:val="22"/>
          <w:szCs w:val="22"/>
          <w:lang w:val="en-US"/>
        </w:rPr>
        <w:t>East Asian Science, Technology, and Medicine</w:t>
      </w:r>
      <w:r w:rsidRPr="0086124E">
        <w:rPr>
          <w:rFonts w:ascii="Times New Roman" w:hAnsi="Times New Roman"/>
          <w:sz w:val="22"/>
          <w:szCs w:val="22"/>
          <w:lang w:val="en-US"/>
        </w:rPr>
        <w:t>, 25 (2006), 69-126 &lt;https://www.jstor.org/stable/43150698&gt; [accessed 14 April 2022]</w:t>
      </w:r>
    </w:p>
    <w:p w14:paraId="5EBD75F5" w14:textId="77777777" w:rsidR="006E3889" w:rsidRPr="0086124E" w:rsidRDefault="006E3889" w:rsidP="00715920">
      <w:pPr>
        <w:pStyle w:val="NormalWeb"/>
        <w:spacing w:before="0" w:beforeAutospacing="0" w:after="0" w:afterAutospacing="0"/>
        <w:ind w:right="-334"/>
        <w:rPr>
          <w:rFonts w:ascii="Times New Roman" w:hAnsi="Times New Roman"/>
          <w:sz w:val="22"/>
          <w:szCs w:val="22"/>
          <w:lang w:val="en-US"/>
        </w:rPr>
      </w:pPr>
    </w:p>
    <w:p w14:paraId="3E29B926" w14:textId="15D1B91A" w:rsidR="006E3889" w:rsidRPr="0086124E" w:rsidRDefault="00A4282A" w:rsidP="00715920">
      <w:pPr>
        <w:pStyle w:val="NormalWeb"/>
        <w:spacing w:before="0" w:beforeAutospacing="0" w:after="0" w:afterAutospacing="0"/>
        <w:ind w:right="-334"/>
        <w:rPr>
          <w:rFonts w:ascii="Times New Roman" w:hAnsi="Times New Roman"/>
          <w:sz w:val="22"/>
          <w:szCs w:val="22"/>
          <w:lang w:val="en-US"/>
        </w:rPr>
      </w:pPr>
      <w:r w:rsidRPr="0086124E">
        <w:rPr>
          <w:rFonts w:ascii="Times New Roman" w:hAnsi="Times New Roman"/>
          <w:sz w:val="22"/>
          <w:szCs w:val="22"/>
          <w:lang w:val="en-US"/>
        </w:rPr>
        <w:t>Campion,</w:t>
      </w:r>
      <w:r w:rsidRPr="0086124E">
        <w:rPr>
          <w:rFonts w:ascii="Times New Roman" w:hAnsi="Times New Roman"/>
          <w:sz w:val="22"/>
          <w:szCs w:val="22"/>
          <w:lang w:val="en-US"/>
        </w:rPr>
        <w:t xml:space="preserve"> Nicolas,</w:t>
      </w:r>
      <w:r w:rsidRPr="0086124E">
        <w:rPr>
          <w:rFonts w:ascii="Times New Roman" w:hAnsi="Times New Roman"/>
          <w:sz w:val="22"/>
          <w:szCs w:val="22"/>
          <w:lang w:val="en-US"/>
        </w:rPr>
        <w:t xml:space="preserve"> </w:t>
      </w:r>
      <w:r w:rsidRPr="0086124E">
        <w:rPr>
          <w:rFonts w:ascii="Times New Roman" w:hAnsi="Times New Roman"/>
          <w:i/>
          <w:iCs/>
          <w:sz w:val="22"/>
          <w:szCs w:val="22"/>
          <w:lang w:val="en-US"/>
        </w:rPr>
        <w:t>Astrology and Cosmology in the World Religions</w:t>
      </w:r>
      <w:r w:rsidRPr="0086124E">
        <w:rPr>
          <w:rFonts w:ascii="Times New Roman" w:hAnsi="Times New Roman"/>
          <w:sz w:val="22"/>
          <w:szCs w:val="22"/>
          <w:lang w:val="en-US"/>
        </w:rPr>
        <w:t xml:space="preserve"> (NYU Press, 2012)</w:t>
      </w:r>
    </w:p>
    <w:p w14:paraId="64A7E3AD" w14:textId="77777777" w:rsidR="00A4282A" w:rsidRPr="0086124E" w:rsidRDefault="00A4282A" w:rsidP="00715920">
      <w:pPr>
        <w:pStyle w:val="NormalWeb"/>
        <w:spacing w:before="0" w:beforeAutospacing="0" w:after="0" w:afterAutospacing="0"/>
        <w:ind w:right="-334"/>
        <w:rPr>
          <w:rFonts w:ascii="Times New Roman" w:hAnsi="Times New Roman"/>
          <w:sz w:val="22"/>
          <w:szCs w:val="22"/>
          <w:lang w:val="en-US"/>
        </w:rPr>
      </w:pPr>
    </w:p>
    <w:p w14:paraId="6AEB5D8C" w14:textId="0597F20E" w:rsidR="00A4282A" w:rsidRPr="0086124E" w:rsidRDefault="00B075D3" w:rsidP="00715920">
      <w:pPr>
        <w:pStyle w:val="NormalWeb"/>
        <w:spacing w:before="0" w:beforeAutospacing="0" w:after="0" w:afterAutospacing="0"/>
        <w:ind w:right="-334"/>
        <w:rPr>
          <w:rFonts w:ascii="Times New Roman" w:hAnsi="Times New Roman"/>
          <w:sz w:val="22"/>
          <w:szCs w:val="22"/>
          <w:lang w:val="en-US"/>
        </w:rPr>
      </w:pPr>
      <w:r w:rsidRPr="0086124E">
        <w:rPr>
          <w:rFonts w:ascii="Times New Roman" w:hAnsi="Times New Roman"/>
          <w:sz w:val="22"/>
          <w:szCs w:val="22"/>
          <w:lang w:val="en-US"/>
        </w:rPr>
        <w:t>Charpin,</w:t>
      </w:r>
      <w:r w:rsidRPr="0086124E">
        <w:rPr>
          <w:rFonts w:ascii="Times New Roman" w:hAnsi="Times New Roman"/>
          <w:sz w:val="22"/>
          <w:szCs w:val="22"/>
          <w:lang w:val="en-US"/>
        </w:rPr>
        <w:t xml:space="preserve"> Dominique,</w:t>
      </w:r>
      <w:r w:rsidRPr="0086124E">
        <w:rPr>
          <w:rFonts w:ascii="Times New Roman" w:hAnsi="Times New Roman"/>
          <w:sz w:val="22"/>
          <w:szCs w:val="22"/>
          <w:lang w:val="en-US"/>
        </w:rPr>
        <w:t xml:space="preserve"> ‘“I Am the Sun of Babylon”: Solar Aspects of Royal Power in Old Babylonian Mesopotamia’, in </w:t>
      </w:r>
      <w:r w:rsidRPr="0086124E">
        <w:rPr>
          <w:rFonts w:ascii="Times New Roman" w:hAnsi="Times New Roman"/>
          <w:i/>
          <w:iCs/>
          <w:sz w:val="22"/>
          <w:szCs w:val="22"/>
          <w:lang w:val="en-US"/>
        </w:rPr>
        <w:t>Experiencing Power, Generating Authority</w:t>
      </w:r>
      <w:r w:rsidRPr="0086124E">
        <w:rPr>
          <w:rFonts w:ascii="Times New Roman" w:hAnsi="Times New Roman"/>
          <w:sz w:val="22"/>
          <w:szCs w:val="22"/>
          <w:lang w:val="en-US"/>
        </w:rPr>
        <w:t>, ed. by Jane A. Hill, Phillip Jones, and Antonio J. Morales (University of Pennsylvania Press, 2013), pp. 65-96</w:t>
      </w:r>
    </w:p>
    <w:p w14:paraId="121ADFFD" w14:textId="77777777" w:rsidR="00C86586" w:rsidRPr="0086124E" w:rsidRDefault="00C86586" w:rsidP="00715920">
      <w:pPr>
        <w:pStyle w:val="NormalWeb"/>
        <w:spacing w:before="0" w:beforeAutospacing="0" w:after="0" w:afterAutospacing="0"/>
        <w:ind w:right="-334"/>
        <w:rPr>
          <w:rFonts w:ascii="Times New Roman" w:hAnsi="Times New Roman"/>
          <w:sz w:val="22"/>
          <w:szCs w:val="22"/>
          <w:lang w:val="en-US"/>
        </w:rPr>
      </w:pPr>
    </w:p>
    <w:p w14:paraId="6FEA7EEA" w14:textId="69D3549D" w:rsidR="00C86586" w:rsidRPr="0086124E" w:rsidRDefault="00C86586" w:rsidP="00715920">
      <w:pPr>
        <w:pStyle w:val="NormalWeb"/>
        <w:spacing w:before="0" w:beforeAutospacing="0" w:after="0" w:afterAutospacing="0"/>
        <w:ind w:right="-334"/>
        <w:rPr>
          <w:rFonts w:ascii="Times New Roman" w:hAnsi="Times New Roman"/>
          <w:sz w:val="22"/>
          <w:szCs w:val="22"/>
          <w:lang w:val="en-US"/>
        </w:rPr>
      </w:pPr>
      <w:r w:rsidRPr="0086124E">
        <w:rPr>
          <w:rFonts w:ascii="Times New Roman" w:hAnsi="Times New Roman"/>
          <w:sz w:val="22"/>
          <w:szCs w:val="22"/>
          <w:lang w:val="en-US"/>
        </w:rPr>
        <w:t xml:space="preserve">Jastrow, </w:t>
      </w:r>
      <w:r w:rsidR="006E00B8" w:rsidRPr="0086124E">
        <w:rPr>
          <w:rFonts w:ascii="Times New Roman" w:hAnsi="Times New Roman"/>
          <w:sz w:val="22"/>
          <w:szCs w:val="22"/>
          <w:lang w:val="en-US"/>
        </w:rPr>
        <w:t xml:space="preserve">Morris, </w:t>
      </w:r>
      <w:r w:rsidRPr="0086124E">
        <w:rPr>
          <w:rFonts w:ascii="Times New Roman" w:hAnsi="Times New Roman"/>
          <w:sz w:val="22"/>
          <w:szCs w:val="22"/>
          <w:lang w:val="en-US"/>
        </w:rPr>
        <w:t xml:space="preserve">Jr., ‘The Sign and Name for Planet in Babylonian’, </w:t>
      </w:r>
      <w:r w:rsidRPr="0086124E">
        <w:rPr>
          <w:rFonts w:ascii="Times New Roman" w:hAnsi="Times New Roman"/>
          <w:i/>
          <w:iCs/>
          <w:sz w:val="22"/>
          <w:szCs w:val="22"/>
          <w:lang w:val="en-US"/>
        </w:rPr>
        <w:t>Proceedings of the American Philosophical Society</w:t>
      </w:r>
      <w:r w:rsidRPr="0086124E">
        <w:rPr>
          <w:rFonts w:ascii="Times New Roman" w:hAnsi="Times New Roman"/>
          <w:sz w:val="22"/>
          <w:szCs w:val="22"/>
          <w:lang w:val="en-US"/>
        </w:rPr>
        <w:t>, 47.189 (1908), 141-156 &lt;https://www.jstor.org/stable/983842&gt; [accessed 25 March 2022]</w:t>
      </w:r>
    </w:p>
    <w:p w14:paraId="26680D9C" w14:textId="77777777" w:rsidR="006E00B8" w:rsidRPr="0086124E" w:rsidRDefault="006E00B8" w:rsidP="00715920">
      <w:pPr>
        <w:pStyle w:val="NormalWeb"/>
        <w:spacing w:before="0" w:beforeAutospacing="0" w:after="0" w:afterAutospacing="0"/>
        <w:ind w:right="-334"/>
        <w:rPr>
          <w:rFonts w:ascii="Times New Roman" w:hAnsi="Times New Roman"/>
          <w:sz w:val="22"/>
          <w:szCs w:val="22"/>
          <w:lang w:val="en-US"/>
        </w:rPr>
      </w:pPr>
    </w:p>
    <w:p w14:paraId="030E2EE3" w14:textId="3D78DC69" w:rsidR="00195232" w:rsidRPr="0086124E" w:rsidRDefault="00195232" w:rsidP="00195232">
      <w:pPr>
        <w:pStyle w:val="FootnoteText"/>
        <w:rPr>
          <w:sz w:val="22"/>
          <w:szCs w:val="22"/>
          <w:lang w:val="en-US"/>
        </w:rPr>
      </w:pPr>
      <w:r w:rsidRPr="0086124E">
        <w:rPr>
          <w:sz w:val="22"/>
          <w:szCs w:val="22"/>
          <w:lang w:val="en-US"/>
        </w:rPr>
        <w:t>Rochberg,</w:t>
      </w:r>
      <w:r w:rsidRPr="0086124E">
        <w:rPr>
          <w:sz w:val="22"/>
          <w:szCs w:val="22"/>
          <w:lang w:val="en-US"/>
        </w:rPr>
        <w:t xml:space="preserve"> France</w:t>
      </w:r>
      <w:r w:rsidR="00CA54C8" w:rsidRPr="0086124E">
        <w:rPr>
          <w:sz w:val="22"/>
          <w:szCs w:val="22"/>
          <w:lang w:val="en-US"/>
        </w:rPr>
        <w:t>sca,</w:t>
      </w:r>
      <w:r w:rsidRPr="0086124E">
        <w:rPr>
          <w:sz w:val="22"/>
          <w:szCs w:val="22"/>
          <w:lang w:val="en-US"/>
        </w:rPr>
        <w:t xml:space="preserve"> ‘Empiricism in Babylonian Omen Texts and the Classification of Mesopotamian Divination as Science’, </w:t>
      </w:r>
      <w:r w:rsidRPr="0086124E">
        <w:rPr>
          <w:i/>
          <w:iCs/>
          <w:sz w:val="22"/>
          <w:szCs w:val="22"/>
          <w:lang w:val="en-US"/>
        </w:rPr>
        <w:t>Journal of the American Oriental Society</w:t>
      </w:r>
      <w:r w:rsidRPr="0086124E">
        <w:rPr>
          <w:sz w:val="22"/>
          <w:szCs w:val="22"/>
          <w:lang w:val="en-US"/>
        </w:rPr>
        <w:t>, 119.4 (1999), 559-569 &lt;https://www.jstor.org/stable/604834&gt; [accessed 14 April 2022]</w:t>
      </w:r>
    </w:p>
    <w:p w14:paraId="55372FE4" w14:textId="77777777" w:rsidR="00CA54C8" w:rsidRPr="0086124E" w:rsidRDefault="00CA54C8" w:rsidP="00195232">
      <w:pPr>
        <w:pStyle w:val="FootnoteText"/>
        <w:rPr>
          <w:sz w:val="22"/>
          <w:szCs w:val="22"/>
          <w:lang w:val="en-US"/>
        </w:rPr>
      </w:pPr>
    </w:p>
    <w:p w14:paraId="150CBF14" w14:textId="0769A205" w:rsidR="00195232" w:rsidRPr="0086124E" w:rsidRDefault="00CA54C8" w:rsidP="00715920">
      <w:pPr>
        <w:pStyle w:val="NormalWeb"/>
        <w:spacing w:before="0" w:beforeAutospacing="0" w:after="0" w:afterAutospacing="0"/>
        <w:ind w:right="-334"/>
        <w:rPr>
          <w:rFonts w:ascii="Times New Roman" w:hAnsi="Times New Roman"/>
          <w:sz w:val="22"/>
          <w:szCs w:val="22"/>
          <w:lang w:val="en-US"/>
        </w:rPr>
      </w:pPr>
      <w:r w:rsidRPr="0086124E">
        <w:rPr>
          <w:rFonts w:ascii="Times New Roman" w:hAnsi="Times New Roman"/>
          <w:sz w:val="22"/>
          <w:szCs w:val="22"/>
          <w:lang w:val="en-US"/>
        </w:rPr>
        <w:t>Rochberg,</w:t>
      </w:r>
      <w:r w:rsidRPr="0086124E">
        <w:rPr>
          <w:rFonts w:ascii="Times New Roman" w:hAnsi="Times New Roman"/>
          <w:sz w:val="22"/>
          <w:szCs w:val="22"/>
          <w:lang w:val="en-US"/>
        </w:rPr>
        <w:t xml:space="preserve"> Francesca,</w:t>
      </w:r>
      <w:r w:rsidRPr="0086124E">
        <w:rPr>
          <w:rFonts w:ascii="Times New Roman" w:hAnsi="Times New Roman"/>
          <w:sz w:val="22"/>
          <w:szCs w:val="22"/>
          <w:lang w:val="en-US"/>
        </w:rPr>
        <w:t xml:space="preserve"> ‘Personifications and Metaphors in Babylonian Celestial </w:t>
      </w:r>
      <w:proofErr w:type="spellStart"/>
      <w:r w:rsidRPr="0086124E">
        <w:rPr>
          <w:rFonts w:ascii="Times New Roman" w:hAnsi="Times New Roman"/>
          <w:sz w:val="22"/>
          <w:szCs w:val="22"/>
          <w:lang w:val="en-US"/>
        </w:rPr>
        <w:t>Omina</w:t>
      </w:r>
      <w:proofErr w:type="spellEnd"/>
      <w:r w:rsidRPr="0086124E">
        <w:rPr>
          <w:rFonts w:ascii="Times New Roman" w:hAnsi="Times New Roman"/>
          <w:sz w:val="22"/>
          <w:szCs w:val="22"/>
          <w:lang w:val="en-US"/>
        </w:rPr>
        <w:t xml:space="preserve">’, </w:t>
      </w:r>
      <w:r w:rsidRPr="0086124E">
        <w:rPr>
          <w:rFonts w:ascii="Times New Roman" w:hAnsi="Times New Roman"/>
          <w:i/>
          <w:iCs/>
          <w:sz w:val="22"/>
          <w:szCs w:val="22"/>
          <w:lang w:val="en-US"/>
        </w:rPr>
        <w:t>Journal of the American Oriental Society</w:t>
      </w:r>
      <w:r w:rsidRPr="0086124E">
        <w:rPr>
          <w:rFonts w:ascii="Times New Roman" w:hAnsi="Times New Roman"/>
          <w:sz w:val="22"/>
          <w:szCs w:val="22"/>
          <w:lang w:val="en-US"/>
        </w:rPr>
        <w:t>, 116.3 (1996), 475-485 &lt;https://www.jstor.org/stable/605149&gt; [accessed 27 April 2022]</w:t>
      </w:r>
    </w:p>
    <w:p w14:paraId="1D65A797" w14:textId="77777777" w:rsidR="00CA54C8" w:rsidRPr="0086124E" w:rsidRDefault="00CA54C8" w:rsidP="00715920">
      <w:pPr>
        <w:pStyle w:val="NormalWeb"/>
        <w:spacing w:before="0" w:beforeAutospacing="0" w:after="0" w:afterAutospacing="0"/>
        <w:ind w:right="-334"/>
        <w:rPr>
          <w:rFonts w:ascii="Times New Roman" w:hAnsi="Times New Roman"/>
          <w:sz w:val="22"/>
          <w:szCs w:val="22"/>
          <w:lang w:val="en-US"/>
        </w:rPr>
      </w:pPr>
    </w:p>
    <w:p w14:paraId="2ABC5B63" w14:textId="25C9FA35" w:rsidR="0086124E" w:rsidRPr="0086124E" w:rsidRDefault="0086124E" w:rsidP="0086124E">
      <w:pPr>
        <w:pStyle w:val="FootnoteText"/>
        <w:rPr>
          <w:sz w:val="22"/>
          <w:szCs w:val="22"/>
          <w:lang w:val="en-US"/>
        </w:rPr>
      </w:pPr>
      <w:r w:rsidRPr="0086124E">
        <w:rPr>
          <w:sz w:val="22"/>
          <w:szCs w:val="22"/>
          <w:lang w:val="en-US"/>
        </w:rPr>
        <w:t>Wee,</w:t>
      </w:r>
      <w:r w:rsidRPr="0086124E">
        <w:rPr>
          <w:sz w:val="22"/>
          <w:szCs w:val="22"/>
          <w:lang w:val="en-US"/>
        </w:rPr>
        <w:t xml:space="preserve"> John Z.,</w:t>
      </w:r>
      <w:r w:rsidRPr="0086124E">
        <w:rPr>
          <w:sz w:val="22"/>
          <w:szCs w:val="22"/>
          <w:lang w:val="en-US"/>
        </w:rPr>
        <w:t xml:space="preserve"> ‘Lugalbanda Under the Night Sky: Scenes of Celestial Healing in Ancient Mesopotamia’, </w:t>
      </w:r>
      <w:r w:rsidRPr="0086124E">
        <w:rPr>
          <w:i/>
          <w:iCs/>
          <w:sz w:val="22"/>
          <w:szCs w:val="22"/>
          <w:lang w:val="en-US"/>
        </w:rPr>
        <w:t>Journal of Near Eastern Studies</w:t>
      </w:r>
      <w:r w:rsidRPr="0086124E">
        <w:rPr>
          <w:sz w:val="22"/>
          <w:szCs w:val="22"/>
          <w:lang w:val="en-US"/>
        </w:rPr>
        <w:t>, 73.1 (2014), pp. 23-42 &lt;https://www.jstor.org/stable/10.1086/674797&gt; [accessed 16 April 2022]</w:t>
      </w:r>
    </w:p>
    <w:p w14:paraId="762A287D" w14:textId="77777777" w:rsidR="00CA54C8" w:rsidRPr="008942D9" w:rsidRDefault="00CA54C8" w:rsidP="00715920">
      <w:pPr>
        <w:pStyle w:val="NormalWeb"/>
        <w:spacing w:before="0" w:beforeAutospacing="0" w:after="0" w:afterAutospacing="0"/>
        <w:ind w:right="-334"/>
        <w:rPr>
          <w:rFonts w:ascii="Times New Roman" w:hAnsi="Times New Roman"/>
          <w:bCs/>
          <w:sz w:val="24"/>
          <w:szCs w:val="24"/>
        </w:rPr>
      </w:pPr>
    </w:p>
    <w:sectPr w:rsidR="00CA54C8" w:rsidRPr="008942D9" w:rsidSect="00A355D9">
      <w:headerReference w:type="default" r:id="rId9"/>
      <w:footerReference w:type="default" r:id="rId10"/>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E2BA6" w14:textId="77777777" w:rsidR="005A598F" w:rsidRDefault="005A598F" w:rsidP="00AD5D5A">
      <w:r>
        <w:separator/>
      </w:r>
    </w:p>
  </w:endnote>
  <w:endnote w:type="continuationSeparator" w:id="0">
    <w:p w14:paraId="6CBE2FBD" w14:textId="77777777" w:rsidR="005A598F" w:rsidRDefault="005A598F"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Baguet Script">
    <w:altName w:val="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FCFC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A6B61" w14:textId="77777777" w:rsidR="005A598F" w:rsidRDefault="005A598F" w:rsidP="00AD5D5A">
      <w:r>
        <w:separator/>
      </w:r>
    </w:p>
  </w:footnote>
  <w:footnote w:type="continuationSeparator" w:id="0">
    <w:p w14:paraId="77368344" w14:textId="77777777" w:rsidR="005A598F" w:rsidRDefault="005A598F" w:rsidP="00AD5D5A">
      <w:r>
        <w:continuationSeparator/>
      </w:r>
    </w:p>
  </w:footnote>
  <w:footnote w:id="1">
    <w:p w14:paraId="354E84D1" w14:textId="02B2AB61" w:rsidR="00CE5436" w:rsidRPr="00CE5436" w:rsidRDefault="00CE5436">
      <w:pPr>
        <w:pStyle w:val="FootnoteText"/>
        <w:rPr>
          <w:lang w:val="en-US"/>
        </w:rPr>
      </w:pPr>
      <w:r>
        <w:rPr>
          <w:rStyle w:val="FootnoteReference"/>
        </w:rPr>
        <w:footnoteRef/>
      </w:r>
      <w:r>
        <w:t xml:space="preserve"> </w:t>
      </w:r>
      <w:r>
        <w:rPr>
          <w:lang w:val="en-US"/>
        </w:rPr>
        <w:t xml:space="preserve">David Brown, ‘Astral Divination in the Context of Mesopotamian Divination, Medicine, Religion, Magic, Society, and Scholarship’, </w:t>
      </w:r>
      <w:r>
        <w:rPr>
          <w:i/>
          <w:iCs/>
          <w:lang w:val="en-US"/>
        </w:rPr>
        <w:t>East Asian Science, Technology, and Medicine</w:t>
      </w:r>
      <w:r>
        <w:rPr>
          <w:lang w:val="en-US"/>
        </w:rPr>
        <w:t xml:space="preserve">, </w:t>
      </w:r>
      <w:r w:rsidR="00C323A2">
        <w:rPr>
          <w:lang w:val="en-US"/>
        </w:rPr>
        <w:t>25 (2006), 69-126 (p. 69) &lt;https://www.jstor.org/stable/43150698&gt; [accessed 14 April 2022].</w:t>
      </w:r>
    </w:p>
  </w:footnote>
  <w:footnote w:id="2">
    <w:p w14:paraId="64116935" w14:textId="1B24454F" w:rsidR="00C323A2" w:rsidRPr="00C323A2" w:rsidRDefault="00C323A2">
      <w:pPr>
        <w:pStyle w:val="FootnoteText"/>
        <w:rPr>
          <w:lang w:val="en-US"/>
        </w:rPr>
      </w:pPr>
      <w:r>
        <w:rPr>
          <w:rStyle w:val="FootnoteReference"/>
        </w:rPr>
        <w:footnoteRef/>
      </w:r>
      <w:r>
        <w:t xml:space="preserve"> </w:t>
      </w:r>
      <w:r>
        <w:rPr>
          <w:lang w:val="en-US"/>
        </w:rPr>
        <w:t>Ibid, p. 70.</w:t>
      </w:r>
    </w:p>
  </w:footnote>
  <w:footnote w:id="3">
    <w:p w14:paraId="34B1A89F" w14:textId="23664C80" w:rsidR="008C4689" w:rsidRPr="008C4689" w:rsidRDefault="008C4689">
      <w:pPr>
        <w:pStyle w:val="FootnoteText"/>
        <w:rPr>
          <w:lang w:val="en-US"/>
        </w:rPr>
      </w:pPr>
      <w:r>
        <w:rPr>
          <w:rStyle w:val="FootnoteReference"/>
        </w:rPr>
        <w:footnoteRef/>
      </w:r>
      <w:r>
        <w:t xml:space="preserve"> </w:t>
      </w:r>
      <w:r>
        <w:rPr>
          <w:lang w:val="en-US"/>
        </w:rPr>
        <w:t>Ibid.</w:t>
      </w:r>
    </w:p>
  </w:footnote>
  <w:footnote w:id="4">
    <w:p w14:paraId="017DBE2A" w14:textId="38AC60A8" w:rsidR="00276ABC" w:rsidRPr="00276ABC" w:rsidRDefault="00276ABC">
      <w:pPr>
        <w:pStyle w:val="FootnoteText"/>
        <w:rPr>
          <w:lang w:val="en-US"/>
        </w:rPr>
      </w:pPr>
      <w:r>
        <w:rPr>
          <w:rStyle w:val="FootnoteReference"/>
        </w:rPr>
        <w:footnoteRef/>
      </w:r>
      <w:r>
        <w:t xml:space="preserve"> </w:t>
      </w:r>
      <w:r>
        <w:rPr>
          <w:lang w:val="en-US"/>
        </w:rPr>
        <w:t>Ibid, pp. 70-72.</w:t>
      </w:r>
    </w:p>
  </w:footnote>
  <w:footnote w:id="5">
    <w:p w14:paraId="15732947" w14:textId="7DB9B787" w:rsidR="009D2ED5" w:rsidRPr="009D2ED5" w:rsidRDefault="009D2ED5">
      <w:pPr>
        <w:pStyle w:val="FootnoteText"/>
        <w:rPr>
          <w:lang w:val="en-US"/>
        </w:rPr>
      </w:pPr>
      <w:r>
        <w:rPr>
          <w:rStyle w:val="FootnoteReference"/>
        </w:rPr>
        <w:footnoteRef/>
      </w:r>
      <w:r>
        <w:t xml:space="preserve"> </w:t>
      </w:r>
      <w:r>
        <w:rPr>
          <w:lang w:val="en-US"/>
        </w:rPr>
        <w:t>Ibid, p. 72.</w:t>
      </w:r>
    </w:p>
  </w:footnote>
  <w:footnote w:id="6">
    <w:p w14:paraId="079AB3FF" w14:textId="3AF1B8C5" w:rsidR="009D2ED5" w:rsidRPr="009D2ED5" w:rsidRDefault="009D2ED5">
      <w:pPr>
        <w:pStyle w:val="FootnoteText"/>
        <w:rPr>
          <w:lang w:val="en-US"/>
        </w:rPr>
      </w:pPr>
      <w:r>
        <w:rPr>
          <w:rStyle w:val="FootnoteReference"/>
        </w:rPr>
        <w:footnoteRef/>
      </w:r>
      <w:r>
        <w:t xml:space="preserve"> </w:t>
      </w:r>
      <w:r>
        <w:rPr>
          <w:lang w:val="en-US"/>
        </w:rPr>
        <w:t>Ibid.</w:t>
      </w:r>
    </w:p>
  </w:footnote>
  <w:footnote w:id="7">
    <w:p w14:paraId="77F20BCC" w14:textId="76C0CDC9" w:rsidR="000A5BA5" w:rsidRPr="000A5BA5" w:rsidRDefault="000A5BA5">
      <w:pPr>
        <w:pStyle w:val="FootnoteText"/>
        <w:rPr>
          <w:lang w:val="en-US"/>
        </w:rPr>
      </w:pPr>
      <w:r>
        <w:rPr>
          <w:rStyle w:val="FootnoteReference"/>
        </w:rPr>
        <w:footnoteRef/>
      </w:r>
      <w:r>
        <w:t xml:space="preserve"> </w:t>
      </w:r>
      <w:r>
        <w:rPr>
          <w:lang w:val="en-US"/>
        </w:rPr>
        <w:t>Ibid, pp. 72, 76.</w:t>
      </w:r>
    </w:p>
  </w:footnote>
  <w:footnote w:id="8">
    <w:p w14:paraId="32CD639A" w14:textId="64434E41" w:rsidR="00603DF3" w:rsidRPr="00603DF3" w:rsidRDefault="00603DF3">
      <w:pPr>
        <w:pStyle w:val="FootnoteText"/>
        <w:rPr>
          <w:lang w:val="en-US"/>
        </w:rPr>
      </w:pPr>
      <w:r>
        <w:rPr>
          <w:rStyle w:val="FootnoteReference"/>
        </w:rPr>
        <w:footnoteRef/>
      </w:r>
      <w:r>
        <w:t xml:space="preserve"> </w:t>
      </w:r>
      <w:r>
        <w:rPr>
          <w:lang w:val="en-US"/>
        </w:rPr>
        <w:t>Ibid, p. 75.</w:t>
      </w:r>
    </w:p>
  </w:footnote>
  <w:footnote w:id="9">
    <w:p w14:paraId="14CBF515" w14:textId="66AC7347" w:rsidR="00603DF3" w:rsidRPr="00603DF3" w:rsidRDefault="00603DF3">
      <w:pPr>
        <w:pStyle w:val="FootnoteText"/>
        <w:rPr>
          <w:lang w:val="en-US"/>
        </w:rPr>
      </w:pPr>
      <w:r>
        <w:rPr>
          <w:rStyle w:val="FootnoteReference"/>
        </w:rPr>
        <w:footnoteRef/>
      </w:r>
      <w:r>
        <w:t xml:space="preserve"> </w:t>
      </w:r>
      <w:r>
        <w:rPr>
          <w:lang w:val="en-US"/>
        </w:rPr>
        <w:t>Ibid.</w:t>
      </w:r>
    </w:p>
  </w:footnote>
  <w:footnote w:id="10">
    <w:p w14:paraId="70102688" w14:textId="5CBF4C6D" w:rsidR="00947CA8" w:rsidRPr="00947CA8" w:rsidRDefault="00947CA8">
      <w:pPr>
        <w:pStyle w:val="FootnoteText"/>
        <w:rPr>
          <w:lang w:val="en-US"/>
        </w:rPr>
      </w:pPr>
      <w:r>
        <w:rPr>
          <w:rStyle w:val="FootnoteReference"/>
        </w:rPr>
        <w:footnoteRef/>
      </w:r>
      <w:r>
        <w:t xml:space="preserve"> </w:t>
      </w:r>
      <w:r>
        <w:rPr>
          <w:lang w:val="en-US"/>
        </w:rPr>
        <w:t>Ibid, p. 78.</w:t>
      </w:r>
    </w:p>
  </w:footnote>
  <w:footnote w:id="11">
    <w:p w14:paraId="0EB6A349" w14:textId="527511A3" w:rsidR="0004042B" w:rsidRPr="0004042B" w:rsidRDefault="0004042B">
      <w:pPr>
        <w:pStyle w:val="FootnoteText"/>
        <w:rPr>
          <w:lang w:val="en-US"/>
        </w:rPr>
      </w:pPr>
      <w:r>
        <w:rPr>
          <w:rStyle w:val="FootnoteReference"/>
        </w:rPr>
        <w:footnoteRef/>
      </w:r>
      <w:r>
        <w:t xml:space="preserve"> </w:t>
      </w:r>
      <w:r>
        <w:rPr>
          <w:lang w:val="en-US"/>
        </w:rPr>
        <w:t>Ibid, pp. 81-82.</w:t>
      </w:r>
    </w:p>
  </w:footnote>
  <w:footnote w:id="12">
    <w:p w14:paraId="0E54A3D1" w14:textId="17841810" w:rsidR="00541C8D" w:rsidRPr="00541C8D" w:rsidRDefault="00541C8D">
      <w:pPr>
        <w:pStyle w:val="FootnoteText"/>
        <w:rPr>
          <w:lang w:val="en-US"/>
        </w:rPr>
      </w:pPr>
      <w:r>
        <w:rPr>
          <w:rStyle w:val="FootnoteReference"/>
        </w:rPr>
        <w:footnoteRef/>
      </w:r>
      <w:r>
        <w:t xml:space="preserve"> </w:t>
      </w:r>
      <w:r>
        <w:rPr>
          <w:lang w:val="en-US"/>
        </w:rPr>
        <w:t>Ibid, p. 81.</w:t>
      </w:r>
    </w:p>
  </w:footnote>
  <w:footnote w:id="13">
    <w:p w14:paraId="0A519032" w14:textId="5FFBF39E" w:rsidR="00541C8D" w:rsidRPr="00541C8D" w:rsidRDefault="00541C8D">
      <w:pPr>
        <w:pStyle w:val="FootnoteText"/>
        <w:rPr>
          <w:lang w:val="en-US"/>
        </w:rPr>
      </w:pPr>
      <w:r>
        <w:rPr>
          <w:rStyle w:val="FootnoteReference"/>
        </w:rPr>
        <w:footnoteRef/>
      </w:r>
      <w:r>
        <w:t xml:space="preserve"> </w:t>
      </w:r>
      <w:r>
        <w:rPr>
          <w:lang w:val="en-US"/>
        </w:rPr>
        <w:t>Ibid.</w:t>
      </w:r>
    </w:p>
  </w:footnote>
  <w:footnote w:id="14">
    <w:p w14:paraId="1934C685" w14:textId="6F006E69" w:rsidR="000B54CD" w:rsidRPr="000B54CD" w:rsidRDefault="000B54CD">
      <w:pPr>
        <w:pStyle w:val="FootnoteText"/>
        <w:rPr>
          <w:lang w:val="en-US"/>
        </w:rPr>
      </w:pPr>
      <w:r>
        <w:rPr>
          <w:rStyle w:val="FootnoteReference"/>
        </w:rPr>
        <w:footnoteRef/>
      </w:r>
      <w:r>
        <w:t xml:space="preserve"> </w:t>
      </w:r>
      <w:r>
        <w:rPr>
          <w:lang w:val="en-US"/>
        </w:rPr>
        <w:t>Ibid, p.82.</w:t>
      </w:r>
    </w:p>
  </w:footnote>
  <w:footnote w:id="15">
    <w:p w14:paraId="73BE5B55" w14:textId="2F90DE36" w:rsidR="00B30A90" w:rsidRPr="00B30A90" w:rsidRDefault="00B30A90">
      <w:pPr>
        <w:pStyle w:val="FootnoteText"/>
        <w:rPr>
          <w:lang w:val="en-US"/>
        </w:rPr>
      </w:pPr>
      <w:r>
        <w:rPr>
          <w:rStyle w:val="FootnoteReference"/>
        </w:rPr>
        <w:footnoteRef/>
      </w:r>
      <w:r>
        <w:t xml:space="preserve"> </w:t>
      </w:r>
      <w:r>
        <w:rPr>
          <w:lang w:val="en-US"/>
        </w:rPr>
        <w:t>Ibid, pp. 82-83.</w:t>
      </w:r>
    </w:p>
  </w:footnote>
  <w:footnote w:id="16">
    <w:p w14:paraId="681CD294" w14:textId="15F9C952" w:rsidR="00126F6F" w:rsidRPr="00D9782A" w:rsidRDefault="00126F6F">
      <w:pPr>
        <w:pStyle w:val="FootnoteText"/>
        <w:rPr>
          <w:lang w:val="en-US"/>
        </w:rPr>
      </w:pPr>
      <w:r>
        <w:rPr>
          <w:rStyle w:val="FootnoteReference"/>
        </w:rPr>
        <w:footnoteRef/>
      </w:r>
      <w:r>
        <w:t xml:space="preserve"> </w:t>
      </w:r>
      <w:r w:rsidR="00D9782A">
        <w:rPr>
          <w:lang w:val="en-US"/>
        </w:rPr>
        <w:t xml:space="preserve">Nicolas Campion, </w:t>
      </w:r>
      <w:r w:rsidR="00D9782A">
        <w:rPr>
          <w:i/>
          <w:iCs/>
          <w:lang w:val="en-US"/>
        </w:rPr>
        <w:t>Astrology and Cosmology in the World Religions</w:t>
      </w:r>
      <w:r w:rsidR="00D9782A">
        <w:rPr>
          <w:lang w:val="en-US"/>
        </w:rPr>
        <w:t xml:space="preserve"> (NYU Press, 2012), p. 125.</w:t>
      </w:r>
    </w:p>
  </w:footnote>
  <w:footnote w:id="17">
    <w:p w14:paraId="5354954D" w14:textId="2F3DB006" w:rsidR="00ED2D63" w:rsidRPr="00ED2D63" w:rsidRDefault="00ED2D63">
      <w:pPr>
        <w:pStyle w:val="FootnoteText"/>
        <w:rPr>
          <w:lang w:val="en-US"/>
        </w:rPr>
      </w:pPr>
      <w:r>
        <w:rPr>
          <w:rStyle w:val="FootnoteReference"/>
        </w:rPr>
        <w:footnoteRef/>
      </w:r>
      <w:r>
        <w:t xml:space="preserve"> </w:t>
      </w:r>
      <w:r>
        <w:rPr>
          <w:lang w:val="en-US"/>
        </w:rPr>
        <w:t>Ibid, p. 130.</w:t>
      </w:r>
    </w:p>
  </w:footnote>
  <w:footnote w:id="18">
    <w:p w14:paraId="0193CE8C" w14:textId="5AAF8C27" w:rsidR="00B30A90" w:rsidRPr="00B30A90" w:rsidRDefault="00B30A90">
      <w:pPr>
        <w:pStyle w:val="FootnoteText"/>
        <w:rPr>
          <w:lang w:val="en-US"/>
        </w:rPr>
      </w:pPr>
      <w:r>
        <w:rPr>
          <w:rStyle w:val="FootnoteReference"/>
        </w:rPr>
        <w:footnoteRef/>
      </w:r>
      <w:r>
        <w:t xml:space="preserve"> </w:t>
      </w:r>
      <w:r w:rsidR="00D9782A">
        <w:rPr>
          <w:lang w:val="en-US"/>
        </w:rPr>
        <w:t xml:space="preserve">Brown, </w:t>
      </w:r>
      <w:r w:rsidR="00D9782A">
        <w:rPr>
          <w:i/>
          <w:iCs/>
          <w:lang w:val="en-US"/>
        </w:rPr>
        <w:t>Astral Divination</w:t>
      </w:r>
      <w:r>
        <w:rPr>
          <w:lang w:val="en-US"/>
        </w:rPr>
        <w:t>, p. 86.</w:t>
      </w:r>
    </w:p>
  </w:footnote>
  <w:footnote w:id="19">
    <w:p w14:paraId="51792B09" w14:textId="2C55B5D0" w:rsidR="00B30A90" w:rsidRPr="00B30A90" w:rsidRDefault="00B30A90">
      <w:pPr>
        <w:pStyle w:val="FootnoteText"/>
        <w:rPr>
          <w:lang w:val="en-US"/>
        </w:rPr>
      </w:pPr>
      <w:r>
        <w:rPr>
          <w:rStyle w:val="FootnoteReference"/>
        </w:rPr>
        <w:footnoteRef/>
      </w:r>
      <w:r>
        <w:t xml:space="preserve"> </w:t>
      </w:r>
      <w:r>
        <w:rPr>
          <w:lang w:val="en-US"/>
        </w:rPr>
        <w:t>Ibid.</w:t>
      </w:r>
    </w:p>
  </w:footnote>
  <w:footnote w:id="20">
    <w:p w14:paraId="067A7335" w14:textId="196D28A9" w:rsidR="00D0258C" w:rsidRPr="00D0258C" w:rsidRDefault="00D0258C">
      <w:pPr>
        <w:pStyle w:val="FootnoteText"/>
        <w:rPr>
          <w:lang w:val="en-US"/>
        </w:rPr>
      </w:pPr>
      <w:r>
        <w:rPr>
          <w:rStyle w:val="FootnoteReference"/>
        </w:rPr>
        <w:footnoteRef/>
      </w:r>
      <w:r>
        <w:t xml:space="preserve"> </w:t>
      </w:r>
      <w:r>
        <w:rPr>
          <w:lang w:val="en-US"/>
        </w:rPr>
        <w:t>Ibid.</w:t>
      </w:r>
    </w:p>
  </w:footnote>
  <w:footnote w:id="21">
    <w:p w14:paraId="762A9F15" w14:textId="4619B41C" w:rsidR="0089611E" w:rsidRPr="0089611E" w:rsidRDefault="0089611E">
      <w:pPr>
        <w:pStyle w:val="FootnoteText"/>
        <w:rPr>
          <w:lang w:val="en-US"/>
        </w:rPr>
      </w:pPr>
      <w:r>
        <w:rPr>
          <w:rStyle w:val="FootnoteReference"/>
        </w:rPr>
        <w:footnoteRef/>
      </w:r>
      <w:r>
        <w:t xml:space="preserve"> </w:t>
      </w:r>
      <w:r>
        <w:rPr>
          <w:lang w:val="en-US"/>
        </w:rPr>
        <w:t xml:space="preserve">Campion, </w:t>
      </w:r>
      <w:r>
        <w:rPr>
          <w:i/>
          <w:iCs/>
          <w:lang w:val="en-US"/>
        </w:rPr>
        <w:t>Astrology and Cosmology</w:t>
      </w:r>
      <w:r>
        <w:rPr>
          <w:lang w:val="en-US"/>
        </w:rPr>
        <w:t>, p. 12.</w:t>
      </w:r>
    </w:p>
  </w:footnote>
  <w:footnote w:id="22">
    <w:p w14:paraId="52BAB1AE" w14:textId="63A8B896" w:rsidR="00F861FE" w:rsidRPr="004B6827" w:rsidRDefault="00F861FE">
      <w:pPr>
        <w:pStyle w:val="FootnoteText"/>
        <w:rPr>
          <w:lang w:val="en-US"/>
        </w:rPr>
      </w:pPr>
      <w:r>
        <w:rPr>
          <w:rStyle w:val="FootnoteReference"/>
        </w:rPr>
        <w:footnoteRef/>
      </w:r>
      <w:r>
        <w:t xml:space="preserve"> </w:t>
      </w:r>
      <w:r w:rsidR="004B6827">
        <w:rPr>
          <w:lang w:val="en-US"/>
        </w:rPr>
        <w:t xml:space="preserve">Brown, </w:t>
      </w:r>
      <w:r w:rsidR="004B6827">
        <w:rPr>
          <w:i/>
          <w:iCs/>
          <w:lang w:val="en-US"/>
        </w:rPr>
        <w:t>Astral Divination</w:t>
      </w:r>
      <w:r w:rsidR="004B6827">
        <w:rPr>
          <w:lang w:val="en-US"/>
        </w:rPr>
        <w:t>, p. 73.</w:t>
      </w:r>
    </w:p>
  </w:footnote>
  <w:footnote w:id="23">
    <w:p w14:paraId="1DBF13E0" w14:textId="36FFED62" w:rsidR="009557B8" w:rsidRPr="005833CD" w:rsidRDefault="009557B8">
      <w:pPr>
        <w:pStyle w:val="FootnoteText"/>
        <w:rPr>
          <w:lang w:val="en-US"/>
        </w:rPr>
      </w:pPr>
      <w:r>
        <w:rPr>
          <w:rStyle w:val="FootnoteReference"/>
        </w:rPr>
        <w:footnoteRef/>
      </w:r>
      <w:r>
        <w:t xml:space="preserve"> </w:t>
      </w:r>
      <w:r>
        <w:rPr>
          <w:lang w:val="en-US"/>
        </w:rPr>
        <w:t xml:space="preserve">Morris Jastrow, Jr., </w:t>
      </w:r>
      <w:r w:rsidR="00E41A89">
        <w:rPr>
          <w:lang w:val="en-US"/>
        </w:rPr>
        <w:t xml:space="preserve">‘The Sign and Name for Planet in Babylonian’, </w:t>
      </w:r>
      <w:r w:rsidR="005833CD">
        <w:rPr>
          <w:i/>
          <w:iCs/>
          <w:lang w:val="en-US"/>
        </w:rPr>
        <w:t>Proceedings of the American Philosophical Society</w:t>
      </w:r>
      <w:r w:rsidR="005833CD">
        <w:rPr>
          <w:lang w:val="en-US"/>
        </w:rPr>
        <w:t>, 47.189 (</w:t>
      </w:r>
      <w:r w:rsidR="00B344B4">
        <w:rPr>
          <w:lang w:val="en-US"/>
        </w:rPr>
        <w:t>1908), 141-156 (p. 145) &lt;</w:t>
      </w:r>
      <w:r w:rsidR="006858B9">
        <w:rPr>
          <w:lang w:val="en-US"/>
        </w:rPr>
        <w:t xml:space="preserve">https://www.jstor.org/stable/983842&gt; [accessed </w:t>
      </w:r>
      <w:r w:rsidR="00BA11BD">
        <w:rPr>
          <w:lang w:val="en-US"/>
        </w:rPr>
        <w:t>25 March 2022].</w:t>
      </w:r>
    </w:p>
  </w:footnote>
  <w:footnote w:id="24">
    <w:p w14:paraId="52583A96" w14:textId="7B3CC957" w:rsidR="00200B03" w:rsidRPr="00200B03" w:rsidRDefault="00200B03">
      <w:pPr>
        <w:pStyle w:val="FootnoteText"/>
        <w:rPr>
          <w:lang w:val="en-US"/>
        </w:rPr>
      </w:pPr>
      <w:r>
        <w:rPr>
          <w:rStyle w:val="FootnoteReference"/>
        </w:rPr>
        <w:footnoteRef/>
      </w:r>
      <w:r>
        <w:t xml:space="preserve"> </w:t>
      </w:r>
      <w:r>
        <w:rPr>
          <w:lang w:val="en-US"/>
        </w:rPr>
        <w:t>Ibid.</w:t>
      </w:r>
    </w:p>
  </w:footnote>
  <w:footnote w:id="25">
    <w:p w14:paraId="5C326BC7" w14:textId="29FE9EB0" w:rsidR="00815D32" w:rsidRPr="003C406C" w:rsidRDefault="00815D32">
      <w:pPr>
        <w:pStyle w:val="FootnoteText"/>
        <w:rPr>
          <w:lang w:val="en-US"/>
        </w:rPr>
      </w:pPr>
      <w:r>
        <w:rPr>
          <w:rStyle w:val="FootnoteReference"/>
        </w:rPr>
        <w:footnoteRef/>
      </w:r>
      <w:r>
        <w:t xml:space="preserve"> </w:t>
      </w:r>
      <w:r w:rsidR="00F15BA0">
        <w:rPr>
          <w:lang w:val="en-US"/>
        </w:rPr>
        <w:t xml:space="preserve">Francesca Rochberg, ‘Personifications and Metaphors in Babylonian Celestial </w:t>
      </w:r>
      <w:proofErr w:type="spellStart"/>
      <w:r w:rsidR="00F15BA0">
        <w:rPr>
          <w:lang w:val="en-US"/>
        </w:rPr>
        <w:t>Omina</w:t>
      </w:r>
      <w:proofErr w:type="spellEnd"/>
      <w:r w:rsidR="003C406C">
        <w:rPr>
          <w:lang w:val="en-US"/>
        </w:rPr>
        <w:t xml:space="preserve">’, </w:t>
      </w:r>
      <w:r w:rsidR="003C406C">
        <w:rPr>
          <w:i/>
          <w:iCs/>
          <w:lang w:val="en-US"/>
        </w:rPr>
        <w:t>Journal of the American Oriental Society</w:t>
      </w:r>
      <w:r w:rsidR="003C406C">
        <w:rPr>
          <w:lang w:val="en-US"/>
        </w:rPr>
        <w:t>, 116.3 (</w:t>
      </w:r>
      <w:r w:rsidR="001F301D">
        <w:rPr>
          <w:lang w:val="en-US"/>
        </w:rPr>
        <w:t>1996), 475-485 (p. 475) &lt;https://www.jstor.org/stable/</w:t>
      </w:r>
      <w:r w:rsidR="00826525">
        <w:rPr>
          <w:lang w:val="en-US"/>
        </w:rPr>
        <w:t>605149&gt; [accessed 27 April 2022].</w:t>
      </w:r>
    </w:p>
  </w:footnote>
  <w:footnote w:id="26">
    <w:p w14:paraId="31803C65" w14:textId="44B00FD5" w:rsidR="00053AB4" w:rsidRPr="00053AB4" w:rsidRDefault="00053AB4">
      <w:pPr>
        <w:pStyle w:val="FootnoteText"/>
        <w:rPr>
          <w:lang w:val="en-US"/>
        </w:rPr>
      </w:pPr>
      <w:r>
        <w:rPr>
          <w:rStyle w:val="FootnoteReference"/>
        </w:rPr>
        <w:footnoteRef/>
      </w:r>
      <w:r>
        <w:t xml:space="preserve"> </w:t>
      </w:r>
      <w:r>
        <w:rPr>
          <w:lang w:val="en-US"/>
        </w:rPr>
        <w:t xml:space="preserve">Ibid, </w:t>
      </w:r>
      <w:r w:rsidR="00BB5CBF">
        <w:rPr>
          <w:lang w:val="en-US"/>
        </w:rPr>
        <w:t>476.</w:t>
      </w:r>
    </w:p>
  </w:footnote>
  <w:footnote w:id="27">
    <w:p w14:paraId="1658348F" w14:textId="478B9D0F" w:rsidR="00907686" w:rsidRPr="00907686" w:rsidRDefault="00907686">
      <w:pPr>
        <w:pStyle w:val="FootnoteText"/>
        <w:rPr>
          <w:lang w:val="en-US"/>
        </w:rPr>
      </w:pPr>
      <w:r>
        <w:rPr>
          <w:rStyle w:val="FootnoteReference"/>
        </w:rPr>
        <w:footnoteRef/>
      </w:r>
      <w:r>
        <w:t xml:space="preserve"> </w:t>
      </w:r>
      <w:r>
        <w:rPr>
          <w:lang w:val="en-US"/>
        </w:rPr>
        <w:t>Ibid.</w:t>
      </w:r>
    </w:p>
  </w:footnote>
  <w:footnote w:id="28">
    <w:p w14:paraId="4EAA461C" w14:textId="65496E8E" w:rsidR="00F03FF2" w:rsidRPr="00F03FF2" w:rsidRDefault="00F03FF2">
      <w:pPr>
        <w:pStyle w:val="FootnoteText"/>
        <w:rPr>
          <w:lang w:val="en-US"/>
        </w:rPr>
      </w:pPr>
      <w:r>
        <w:rPr>
          <w:rStyle w:val="FootnoteReference"/>
        </w:rPr>
        <w:footnoteRef/>
      </w:r>
      <w:r>
        <w:t xml:space="preserve"> </w:t>
      </w:r>
      <w:r>
        <w:rPr>
          <w:lang w:val="en-US"/>
        </w:rPr>
        <w:t>Ibid, 478.</w:t>
      </w:r>
    </w:p>
  </w:footnote>
  <w:footnote w:id="29">
    <w:p w14:paraId="6C7245AC" w14:textId="349953EF" w:rsidR="009D6124" w:rsidRPr="009D6124" w:rsidRDefault="009D6124">
      <w:pPr>
        <w:pStyle w:val="FootnoteText"/>
        <w:rPr>
          <w:lang w:val="en-US"/>
        </w:rPr>
      </w:pPr>
      <w:r>
        <w:rPr>
          <w:rStyle w:val="FootnoteReference"/>
        </w:rPr>
        <w:footnoteRef/>
      </w:r>
      <w:r>
        <w:t xml:space="preserve"> </w:t>
      </w:r>
      <w:r>
        <w:rPr>
          <w:lang w:val="en-US"/>
        </w:rPr>
        <w:t>Ibid.</w:t>
      </w:r>
    </w:p>
  </w:footnote>
  <w:footnote w:id="30">
    <w:p w14:paraId="0C4435B2" w14:textId="00E9508E" w:rsidR="00E81704" w:rsidRPr="00E81704" w:rsidRDefault="00E81704">
      <w:pPr>
        <w:pStyle w:val="FootnoteText"/>
        <w:rPr>
          <w:lang w:val="en-US"/>
        </w:rPr>
      </w:pPr>
      <w:r>
        <w:rPr>
          <w:rStyle w:val="FootnoteReference"/>
        </w:rPr>
        <w:footnoteRef/>
      </w:r>
      <w:r>
        <w:t xml:space="preserve"> </w:t>
      </w:r>
      <w:r>
        <w:rPr>
          <w:lang w:val="en-US"/>
        </w:rPr>
        <w:t>Ibid.</w:t>
      </w:r>
    </w:p>
  </w:footnote>
  <w:footnote w:id="31">
    <w:p w14:paraId="1C0EFB0D" w14:textId="68DFE00A" w:rsidR="009F2776" w:rsidRPr="009F2776" w:rsidRDefault="009F2776">
      <w:pPr>
        <w:pStyle w:val="FootnoteText"/>
        <w:rPr>
          <w:lang w:val="en-US"/>
        </w:rPr>
      </w:pPr>
      <w:r>
        <w:rPr>
          <w:rStyle w:val="FootnoteReference"/>
        </w:rPr>
        <w:footnoteRef/>
      </w:r>
      <w:r>
        <w:t xml:space="preserve"> </w:t>
      </w:r>
      <w:r>
        <w:rPr>
          <w:lang w:val="en-US"/>
        </w:rPr>
        <w:t>Ibid.</w:t>
      </w:r>
    </w:p>
  </w:footnote>
  <w:footnote w:id="32">
    <w:p w14:paraId="746B8AF0" w14:textId="44072F90" w:rsidR="00BB0B58" w:rsidRPr="00BB0B58" w:rsidRDefault="00BB0B58">
      <w:pPr>
        <w:pStyle w:val="FootnoteText"/>
        <w:rPr>
          <w:lang w:val="en-US"/>
        </w:rPr>
      </w:pPr>
      <w:r>
        <w:rPr>
          <w:rStyle w:val="FootnoteReference"/>
        </w:rPr>
        <w:footnoteRef/>
      </w:r>
      <w:r>
        <w:t xml:space="preserve"> </w:t>
      </w:r>
      <w:r>
        <w:rPr>
          <w:lang w:val="en-US"/>
        </w:rPr>
        <w:t>Ibid, p. 479.</w:t>
      </w:r>
    </w:p>
  </w:footnote>
  <w:footnote w:id="33">
    <w:p w14:paraId="115B04C7" w14:textId="73FBDCF9" w:rsidR="00195B54" w:rsidRPr="00195B54" w:rsidRDefault="00195B54">
      <w:pPr>
        <w:pStyle w:val="FootnoteText"/>
        <w:rPr>
          <w:lang w:val="en-US"/>
        </w:rPr>
      </w:pPr>
      <w:r>
        <w:rPr>
          <w:rStyle w:val="FootnoteReference"/>
        </w:rPr>
        <w:footnoteRef/>
      </w:r>
      <w:r>
        <w:t xml:space="preserve"> </w:t>
      </w:r>
      <w:r>
        <w:rPr>
          <w:lang w:val="en-US"/>
        </w:rPr>
        <w:t>Ibid.</w:t>
      </w:r>
    </w:p>
  </w:footnote>
  <w:footnote w:id="34">
    <w:p w14:paraId="00FF1EA9" w14:textId="4B67B22F" w:rsidR="00D34C7E" w:rsidRPr="00D34C7E" w:rsidRDefault="00D34C7E">
      <w:pPr>
        <w:pStyle w:val="FootnoteText"/>
        <w:rPr>
          <w:lang w:val="en-US"/>
        </w:rPr>
      </w:pPr>
      <w:r>
        <w:rPr>
          <w:rStyle w:val="FootnoteReference"/>
        </w:rPr>
        <w:footnoteRef/>
      </w:r>
      <w:r>
        <w:t xml:space="preserve"> </w:t>
      </w:r>
      <w:r>
        <w:rPr>
          <w:lang w:val="en-US"/>
        </w:rPr>
        <w:t>Ibid.</w:t>
      </w:r>
    </w:p>
  </w:footnote>
  <w:footnote w:id="35">
    <w:p w14:paraId="077EA16C" w14:textId="245C1762" w:rsidR="00B45BE5" w:rsidRPr="00B45BE5" w:rsidRDefault="00B45BE5">
      <w:pPr>
        <w:pStyle w:val="FootnoteText"/>
        <w:rPr>
          <w:lang w:val="en-US"/>
        </w:rPr>
      </w:pPr>
      <w:r>
        <w:rPr>
          <w:rStyle w:val="FootnoteReference"/>
        </w:rPr>
        <w:footnoteRef/>
      </w:r>
      <w:r>
        <w:t xml:space="preserve"> </w:t>
      </w:r>
      <w:r>
        <w:rPr>
          <w:lang w:val="en-US"/>
        </w:rPr>
        <w:t>Ibid.</w:t>
      </w:r>
    </w:p>
  </w:footnote>
  <w:footnote w:id="36">
    <w:p w14:paraId="713F203E" w14:textId="3AD596C9" w:rsidR="00BC0A7C" w:rsidRPr="00BC0A7C" w:rsidRDefault="00BC0A7C">
      <w:pPr>
        <w:pStyle w:val="FootnoteText"/>
        <w:rPr>
          <w:lang w:val="en-US"/>
        </w:rPr>
      </w:pPr>
      <w:r>
        <w:rPr>
          <w:rStyle w:val="FootnoteReference"/>
        </w:rPr>
        <w:footnoteRef/>
      </w:r>
      <w:r>
        <w:t xml:space="preserve"> </w:t>
      </w:r>
      <w:r>
        <w:rPr>
          <w:lang w:val="en-US"/>
        </w:rPr>
        <w:t>Ibid, p. 480.</w:t>
      </w:r>
    </w:p>
  </w:footnote>
  <w:footnote w:id="37">
    <w:p w14:paraId="406D9D03" w14:textId="07A22332" w:rsidR="004D0536" w:rsidRPr="004D0536" w:rsidRDefault="004D0536">
      <w:pPr>
        <w:pStyle w:val="FootnoteText"/>
        <w:rPr>
          <w:lang w:val="en-US"/>
        </w:rPr>
      </w:pPr>
      <w:r>
        <w:rPr>
          <w:rStyle w:val="FootnoteReference"/>
        </w:rPr>
        <w:footnoteRef/>
      </w:r>
      <w:r>
        <w:t xml:space="preserve"> </w:t>
      </w:r>
      <w:r>
        <w:rPr>
          <w:lang w:val="en-US"/>
        </w:rPr>
        <w:t>Ibid.</w:t>
      </w:r>
    </w:p>
  </w:footnote>
  <w:footnote w:id="38">
    <w:p w14:paraId="7CBE5E82" w14:textId="2E00D999" w:rsidR="00014D6E" w:rsidRPr="00014D6E" w:rsidRDefault="00014D6E">
      <w:pPr>
        <w:pStyle w:val="FootnoteText"/>
        <w:rPr>
          <w:lang w:val="en-US"/>
        </w:rPr>
      </w:pPr>
      <w:r>
        <w:rPr>
          <w:rStyle w:val="FootnoteReference"/>
        </w:rPr>
        <w:footnoteRef/>
      </w:r>
      <w:r>
        <w:t xml:space="preserve"> </w:t>
      </w:r>
      <w:r>
        <w:rPr>
          <w:lang w:val="en-US"/>
        </w:rPr>
        <w:t>Ibid, p. 481.</w:t>
      </w:r>
    </w:p>
  </w:footnote>
  <w:footnote w:id="39">
    <w:p w14:paraId="430A461F" w14:textId="30EBD882" w:rsidR="00AA4A31" w:rsidRPr="00AA4A31" w:rsidRDefault="00AA4A31">
      <w:pPr>
        <w:pStyle w:val="FootnoteText"/>
        <w:rPr>
          <w:lang w:val="en-US"/>
        </w:rPr>
      </w:pPr>
      <w:r>
        <w:rPr>
          <w:rStyle w:val="FootnoteReference"/>
        </w:rPr>
        <w:footnoteRef/>
      </w:r>
      <w:r>
        <w:t xml:space="preserve"> </w:t>
      </w:r>
      <w:r>
        <w:rPr>
          <w:lang w:val="en-US"/>
        </w:rPr>
        <w:t>Ibid.</w:t>
      </w:r>
    </w:p>
  </w:footnote>
  <w:footnote w:id="40">
    <w:p w14:paraId="759BB1B3" w14:textId="0A0D4762" w:rsidR="007723DC" w:rsidRPr="007723DC" w:rsidRDefault="007723DC">
      <w:pPr>
        <w:pStyle w:val="FootnoteText"/>
        <w:rPr>
          <w:lang w:val="en-US"/>
        </w:rPr>
      </w:pPr>
      <w:r>
        <w:rPr>
          <w:rStyle w:val="FootnoteReference"/>
        </w:rPr>
        <w:footnoteRef/>
      </w:r>
      <w:r>
        <w:t xml:space="preserve"> </w:t>
      </w:r>
      <w:r>
        <w:rPr>
          <w:lang w:val="en-US"/>
        </w:rPr>
        <w:t>Ibid, p. 482.</w:t>
      </w:r>
    </w:p>
  </w:footnote>
  <w:footnote w:id="41">
    <w:p w14:paraId="2CF0668D" w14:textId="3E04AE15" w:rsidR="00EF20CB" w:rsidRPr="006F5CC1" w:rsidRDefault="00EF20CB">
      <w:pPr>
        <w:pStyle w:val="FootnoteText"/>
        <w:rPr>
          <w:lang w:val="en-US"/>
        </w:rPr>
      </w:pPr>
      <w:r>
        <w:rPr>
          <w:rStyle w:val="FootnoteReference"/>
        </w:rPr>
        <w:footnoteRef/>
      </w:r>
      <w:r>
        <w:t xml:space="preserve"> </w:t>
      </w:r>
      <w:r w:rsidR="00FB7168">
        <w:rPr>
          <w:lang w:val="en-US"/>
        </w:rPr>
        <w:t>Fran</w:t>
      </w:r>
      <w:r w:rsidR="006F5CC1">
        <w:rPr>
          <w:lang w:val="en-US"/>
        </w:rPr>
        <w:t xml:space="preserve">cesca Rochberg, </w:t>
      </w:r>
      <w:r w:rsidR="0025416B">
        <w:rPr>
          <w:lang w:val="en-US"/>
        </w:rPr>
        <w:t>‘Empiricism</w:t>
      </w:r>
      <w:r w:rsidR="006F5CC1">
        <w:rPr>
          <w:lang w:val="en-US"/>
        </w:rPr>
        <w:t xml:space="preserve"> in Babylonian Omen Texts and the Classification of Mesopotamian Divination as Science’, </w:t>
      </w:r>
      <w:r w:rsidR="006F5CC1">
        <w:rPr>
          <w:i/>
          <w:iCs/>
          <w:lang w:val="en-US"/>
        </w:rPr>
        <w:t>Journal of the American Oriental Society</w:t>
      </w:r>
      <w:r w:rsidR="006F5CC1">
        <w:rPr>
          <w:lang w:val="en-US"/>
        </w:rPr>
        <w:t xml:space="preserve">, </w:t>
      </w:r>
      <w:r w:rsidR="00D361EB">
        <w:rPr>
          <w:lang w:val="en-US"/>
        </w:rPr>
        <w:t>119.4 (1999), 559-569 (p.56</w:t>
      </w:r>
      <w:r w:rsidR="00042FD9">
        <w:rPr>
          <w:lang w:val="en-US"/>
        </w:rPr>
        <w:t>2</w:t>
      </w:r>
      <w:r w:rsidR="00D361EB">
        <w:rPr>
          <w:lang w:val="en-US"/>
        </w:rPr>
        <w:t>) &lt;https://www.jstor.org/stable/</w:t>
      </w:r>
      <w:r w:rsidR="007611BD">
        <w:rPr>
          <w:lang w:val="en-US"/>
        </w:rPr>
        <w:t>604834&gt; [accessed 14 April 2022].</w:t>
      </w:r>
    </w:p>
  </w:footnote>
  <w:footnote w:id="42">
    <w:p w14:paraId="7711150E" w14:textId="3A884775" w:rsidR="00252DE3" w:rsidRPr="00252DE3" w:rsidRDefault="00252DE3">
      <w:pPr>
        <w:pStyle w:val="FootnoteText"/>
        <w:rPr>
          <w:lang w:val="en-US"/>
        </w:rPr>
      </w:pPr>
      <w:r>
        <w:rPr>
          <w:rStyle w:val="FootnoteReference"/>
        </w:rPr>
        <w:footnoteRef/>
      </w:r>
      <w:r>
        <w:t xml:space="preserve"> </w:t>
      </w:r>
      <w:r>
        <w:rPr>
          <w:lang w:val="en-US"/>
        </w:rPr>
        <w:t>Ibid, p. 564.</w:t>
      </w:r>
    </w:p>
  </w:footnote>
  <w:footnote w:id="43">
    <w:p w14:paraId="4281BF32" w14:textId="4C978627" w:rsidR="00C50676" w:rsidRPr="00C50676" w:rsidRDefault="00C50676">
      <w:pPr>
        <w:pStyle w:val="FootnoteText"/>
        <w:rPr>
          <w:lang w:val="en-US"/>
        </w:rPr>
      </w:pPr>
      <w:r>
        <w:rPr>
          <w:rStyle w:val="FootnoteReference"/>
        </w:rPr>
        <w:footnoteRef/>
      </w:r>
      <w:r>
        <w:t xml:space="preserve"> </w:t>
      </w:r>
      <w:r>
        <w:rPr>
          <w:lang w:val="en-US"/>
        </w:rPr>
        <w:t>Ibid, p. 563.</w:t>
      </w:r>
    </w:p>
  </w:footnote>
  <w:footnote w:id="44">
    <w:p w14:paraId="41053D45" w14:textId="738C9955" w:rsidR="00441D8B" w:rsidRPr="00441D8B" w:rsidRDefault="00441D8B">
      <w:pPr>
        <w:pStyle w:val="FootnoteText"/>
        <w:rPr>
          <w:lang w:val="en-US"/>
        </w:rPr>
      </w:pPr>
      <w:r>
        <w:rPr>
          <w:rStyle w:val="FootnoteReference"/>
        </w:rPr>
        <w:footnoteRef/>
      </w:r>
      <w:r>
        <w:t xml:space="preserve"> </w:t>
      </w:r>
      <w:r>
        <w:rPr>
          <w:lang w:val="en-US"/>
        </w:rPr>
        <w:t>Ibid.</w:t>
      </w:r>
    </w:p>
  </w:footnote>
  <w:footnote w:id="45">
    <w:p w14:paraId="2759E123" w14:textId="0BD429C9" w:rsidR="00E9441F" w:rsidRPr="00E9441F" w:rsidRDefault="00E9441F">
      <w:pPr>
        <w:pStyle w:val="FootnoteText"/>
        <w:rPr>
          <w:lang w:val="en-US"/>
        </w:rPr>
      </w:pPr>
      <w:r>
        <w:rPr>
          <w:rStyle w:val="FootnoteReference"/>
        </w:rPr>
        <w:footnoteRef/>
      </w:r>
      <w:r>
        <w:t xml:space="preserve"> </w:t>
      </w:r>
      <w:r>
        <w:rPr>
          <w:lang w:val="en-US"/>
        </w:rPr>
        <w:t>Ibid.</w:t>
      </w:r>
    </w:p>
  </w:footnote>
  <w:footnote w:id="46">
    <w:p w14:paraId="21561971" w14:textId="58D80376" w:rsidR="001C1005" w:rsidRPr="001C1005" w:rsidRDefault="001C1005">
      <w:pPr>
        <w:pStyle w:val="FootnoteText"/>
        <w:rPr>
          <w:lang w:val="en-US"/>
        </w:rPr>
      </w:pPr>
      <w:r>
        <w:rPr>
          <w:rStyle w:val="FootnoteReference"/>
        </w:rPr>
        <w:footnoteRef/>
      </w:r>
      <w:r>
        <w:t xml:space="preserve"> </w:t>
      </w:r>
      <w:r>
        <w:rPr>
          <w:lang w:val="en-US"/>
        </w:rPr>
        <w:t>Ibid.</w:t>
      </w:r>
    </w:p>
  </w:footnote>
  <w:footnote w:id="47">
    <w:p w14:paraId="5D13603A" w14:textId="59F886FF" w:rsidR="002E7985" w:rsidRPr="002E7985" w:rsidRDefault="002E7985">
      <w:pPr>
        <w:pStyle w:val="FootnoteText"/>
        <w:rPr>
          <w:lang w:val="en-US"/>
        </w:rPr>
      </w:pPr>
      <w:r>
        <w:rPr>
          <w:rStyle w:val="FootnoteReference"/>
        </w:rPr>
        <w:footnoteRef/>
      </w:r>
      <w:r>
        <w:t xml:space="preserve"> </w:t>
      </w:r>
      <w:r>
        <w:rPr>
          <w:lang w:val="en-US"/>
        </w:rPr>
        <w:t>Ibid, pp. 563-564.</w:t>
      </w:r>
    </w:p>
  </w:footnote>
  <w:footnote w:id="48">
    <w:p w14:paraId="17E7981B" w14:textId="18B2BB36" w:rsidR="00DA1FB5" w:rsidRPr="00DA1FB5" w:rsidRDefault="00DA1FB5">
      <w:pPr>
        <w:pStyle w:val="FootnoteText"/>
        <w:rPr>
          <w:lang w:val="en-US"/>
        </w:rPr>
      </w:pPr>
      <w:r>
        <w:rPr>
          <w:rStyle w:val="FootnoteReference"/>
        </w:rPr>
        <w:footnoteRef/>
      </w:r>
      <w:r>
        <w:t xml:space="preserve"> </w:t>
      </w:r>
      <w:r>
        <w:rPr>
          <w:lang w:val="en-US"/>
        </w:rPr>
        <w:t>Ibid, p 564.</w:t>
      </w:r>
    </w:p>
  </w:footnote>
  <w:footnote w:id="49">
    <w:p w14:paraId="39759268" w14:textId="00970911" w:rsidR="00BF64C1" w:rsidRPr="00BF64C1" w:rsidRDefault="00BF64C1">
      <w:pPr>
        <w:pStyle w:val="FootnoteText"/>
        <w:rPr>
          <w:lang w:val="en-US"/>
        </w:rPr>
      </w:pPr>
      <w:r>
        <w:rPr>
          <w:rStyle w:val="FootnoteReference"/>
        </w:rPr>
        <w:footnoteRef/>
      </w:r>
      <w:r>
        <w:t xml:space="preserve"> </w:t>
      </w:r>
      <w:r>
        <w:rPr>
          <w:lang w:val="en-US"/>
        </w:rPr>
        <w:t>Ibid.</w:t>
      </w:r>
    </w:p>
  </w:footnote>
  <w:footnote w:id="50">
    <w:p w14:paraId="54A60913" w14:textId="0724A1F1" w:rsidR="00E84311" w:rsidRPr="00E84311" w:rsidRDefault="00E84311">
      <w:pPr>
        <w:pStyle w:val="FootnoteText"/>
        <w:rPr>
          <w:lang w:val="en-US"/>
        </w:rPr>
      </w:pPr>
      <w:r>
        <w:rPr>
          <w:rStyle w:val="FootnoteReference"/>
        </w:rPr>
        <w:footnoteRef/>
      </w:r>
      <w:r>
        <w:t xml:space="preserve"> </w:t>
      </w:r>
      <w:r>
        <w:rPr>
          <w:lang w:val="en-US"/>
        </w:rPr>
        <w:t>Ibid, p. 565.</w:t>
      </w:r>
    </w:p>
  </w:footnote>
  <w:footnote w:id="51">
    <w:p w14:paraId="1A629821" w14:textId="3E9557B7" w:rsidR="000C4C41" w:rsidRPr="000C4C41" w:rsidRDefault="000C4C41">
      <w:pPr>
        <w:pStyle w:val="FootnoteText"/>
        <w:rPr>
          <w:lang w:val="en-US"/>
        </w:rPr>
      </w:pPr>
      <w:r>
        <w:rPr>
          <w:rStyle w:val="FootnoteReference"/>
        </w:rPr>
        <w:footnoteRef/>
      </w:r>
      <w:r>
        <w:t xml:space="preserve"> </w:t>
      </w:r>
      <w:r>
        <w:rPr>
          <w:lang w:val="en-US"/>
        </w:rPr>
        <w:t>Ibid.</w:t>
      </w:r>
    </w:p>
  </w:footnote>
  <w:footnote w:id="52">
    <w:p w14:paraId="42DBC7FA" w14:textId="2BD88319" w:rsidR="00904B19" w:rsidRPr="00904B19" w:rsidRDefault="00904B19">
      <w:pPr>
        <w:pStyle w:val="FootnoteText"/>
        <w:rPr>
          <w:lang w:val="en-US"/>
        </w:rPr>
      </w:pPr>
      <w:r>
        <w:rPr>
          <w:rStyle w:val="FootnoteReference"/>
        </w:rPr>
        <w:footnoteRef/>
      </w:r>
      <w:r>
        <w:t xml:space="preserve"> </w:t>
      </w:r>
      <w:r>
        <w:rPr>
          <w:lang w:val="en-US"/>
        </w:rPr>
        <w:t>Ibid.</w:t>
      </w:r>
    </w:p>
  </w:footnote>
  <w:footnote w:id="53">
    <w:p w14:paraId="29C555CB" w14:textId="7B1EC87E" w:rsidR="00386D5E" w:rsidRPr="00386D5E" w:rsidRDefault="00386D5E">
      <w:pPr>
        <w:pStyle w:val="FootnoteText"/>
        <w:rPr>
          <w:lang w:val="en-US"/>
        </w:rPr>
      </w:pPr>
      <w:r>
        <w:rPr>
          <w:rStyle w:val="FootnoteReference"/>
        </w:rPr>
        <w:footnoteRef/>
      </w:r>
      <w:r>
        <w:t xml:space="preserve"> </w:t>
      </w:r>
      <w:r>
        <w:rPr>
          <w:lang w:val="en-US"/>
        </w:rPr>
        <w:t>Ibid.</w:t>
      </w:r>
    </w:p>
  </w:footnote>
  <w:footnote w:id="54">
    <w:p w14:paraId="5D9778AF" w14:textId="04A1C284" w:rsidR="00642226" w:rsidRPr="00642226" w:rsidRDefault="00642226">
      <w:pPr>
        <w:pStyle w:val="FootnoteText"/>
        <w:rPr>
          <w:lang w:val="en-US"/>
        </w:rPr>
      </w:pPr>
      <w:r>
        <w:rPr>
          <w:rStyle w:val="FootnoteReference"/>
        </w:rPr>
        <w:footnoteRef/>
      </w:r>
      <w:r>
        <w:t xml:space="preserve"> </w:t>
      </w:r>
      <w:r>
        <w:rPr>
          <w:lang w:val="en-US"/>
        </w:rPr>
        <w:t>Ibid, p. 568.</w:t>
      </w:r>
    </w:p>
  </w:footnote>
  <w:footnote w:id="55">
    <w:p w14:paraId="47EB4C35" w14:textId="3F3D0CA9" w:rsidR="00435D3D" w:rsidRPr="00435D3D" w:rsidRDefault="00435D3D">
      <w:pPr>
        <w:pStyle w:val="FootnoteText"/>
        <w:rPr>
          <w:lang w:val="en-US"/>
        </w:rPr>
      </w:pPr>
      <w:r>
        <w:rPr>
          <w:rStyle w:val="FootnoteReference"/>
        </w:rPr>
        <w:footnoteRef/>
      </w:r>
      <w:r>
        <w:t xml:space="preserve"> </w:t>
      </w:r>
      <w:r>
        <w:rPr>
          <w:lang w:val="en-US"/>
        </w:rPr>
        <w:t>Ibid.</w:t>
      </w:r>
    </w:p>
  </w:footnote>
  <w:footnote w:id="56">
    <w:p w14:paraId="541D016F" w14:textId="047F1C53" w:rsidR="00BA0FE0" w:rsidRPr="00BA0FE0" w:rsidRDefault="00BA0FE0">
      <w:pPr>
        <w:pStyle w:val="FootnoteText"/>
        <w:rPr>
          <w:lang w:val="en-US"/>
        </w:rPr>
      </w:pPr>
      <w:r>
        <w:rPr>
          <w:rStyle w:val="FootnoteReference"/>
        </w:rPr>
        <w:footnoteRef/>
      </w:r>
      <w:r>
        <w:t xml:space="preserve"> </w:t>
      </w:r>
      <w:r>
        <w:rPr>
          <w:lang w:val="en-US"/>
        </w:rPr>
        <w:t>Ibid, pp. 563-564.</w:t>
      </w:r>
    </w:p>
  </w:footnote>
  <w:footnote w:id="57">
    <w:p w14:paraId="6C81452A" w14:textId="2716E80F" w:rsidR="003D3B91" w:rsidRPr="0025416B" w:rsidRDefault="003D3B91">
      <w:pPr>
        <w:pStyle w:val="FootnoteText"/>
        <w:rPr>
          <w:lang w:val="en-US"/>
        </w:rPr>
      </w:pPr>
      <w:r>
        <w:rPr>
          <w:rStyle w:val="FootnoteReference"/>
        </w:rPr>
        <w:footnoteRef/>
      </w:r>
      <w:r>
        <w:t xml:space="preserve"> </w:t>
      </w:r>
      <w:r>
        <w:rPr>
          <w:lang w:val="en-US"/>
        </w:rPr>
        <w:t xml:space="preserve">Campion, </w:t>
      </w:r>
      <w:r w:rsidR="0025416B">
        <w:rPr>
          <w:i/>
          <w:iCs/>
          <w:lang w:val="en-US"/>
        </w:rPr>
        <w:t>Astrology and Cosmology</w:t>
      </w:r>
      <w:r w:rsidR="0025416B">
        <w:rPr>
          <w:lang w:val="en-US"/>
        </w:rPr>
        <w:t>, p. 125.</w:t>
      </w:r>
    </w:p>
  </w:footnote>
  <w:footnote w:id="58">
    <w:p w14:paraId="4BBD983C" w14:textId="6CD7D890" w:rsidR="006503E2" w:rsidRPr="0071782E" w:rsidRDefault="006503E2">
      <w:pPr>
        <w:pStyle w:val="FootnoteText"/>
        <w:rPr>
          <w:lang w:val="en-US"/>
        </w:rPr>
      </w:pPr>
      <w:r>
        <w:rPr>
          <w:rStyle w:val="FootnoteReference"/>
        </w:rPr>
        <w:footnoteRef/>
      </w:r>
      <w:r>
        <w:t xml:space="preserve"> </w:t>
      </w:r>
      <w:r w:rsidR="0071782E">
        <w:rPr>
          <w:lang w:val="en-US"/>
        </w:rPr>
        <w:t xml:space="preserve">Brown, </w:t>
      </w:r>
      <w:r w:rsidR="0071782E">
        <w:rPr>
          <w:i/>
          <w:iCs/>
          <w:lang w:val="en-US"/>
        </w:rPr>
        <w:t>Astral Divination</w:t>
      </w:r>
      <w:r w:rsidR="0071782E">
        <w:rPr>
          <w:lang w:val="en-US"/>
        </w:rPr>
        <w:t>, p.88</w:t>
      </w:r>
      <w:r w:rsidR="00C12B11">
        <w:rPr>
          <w:lang w:val="en-US"/>
        </w:rPr>
        <w:t>.</w:t>
      </w:r>
    </w:p>
  </w:footnote>
  <w:footnote w:id="59">
    <w:p w14:paraId="66E778DD" w14:textId="2648A850" w:rsidR="0095491F" w:rsidRPr="0095491F" w:rsidRDefault="0095491F">
      <w:pPr>
        <w:pStyle w:val="FootnoteText"/>
        <w:rPr>
          <w:lang w:val="en-US"/>
        </w:rPr>
      </w:pPr>
      <w:r>
        <w:rPr>
          <w:rStyle w:val="FootnoteReference"/>
        </w:rPr>
        <w:footnoteRef/>
      </w:r>
      <w:r>
        <w:t xml:space="preserve"> </w:t>
      </w:r>
      <w:r w:rsidR="00C12B11">
        <w:rPr>
          <w:lang w:val="en-US"/>
        </w:rPr>
        <w:t xml:space="preserve">Campion, </w:t>
      </w:r>
      <w:r w:rsidR="00C12B11">
        <w:rPr>
          <w:i/>
          <w:iCs/>
          <w:lang w:val="en-US"/>
        </w:rPr>
        <w:t>Astrology and Cosmology</w:t>
      </w:r>
      <w:r>
        <w:rPr>
          <w:lang w:val="en-US"/>
        </w:rPr>
        <w:t>, p. 134.</w:t>
      </w:r>
    </w:p>
  </w:footnote>
  <w:footnote w:id="60">
    <w:p w14:paraId="160C67B5" w14:textId="34DA75B9" w:rsidR="002C2C4E" w:rsidRPr="002C2C4E" w:rsidRDefault="002C2C4E">
      <w:pPr>
        <w:pStyle w:val="FootnoteText"/>
        <w:rPr>
          <w:lang w:val="en-US"/>
        </w:rPr>
      </w:pPr>
      <w:r>
        <w:rPr>
          <w:rStyle w:val="FootnoteReference"/>
        </w:rPr>
        <w:footnoteRef/>
      </w:r>
      <w:r>
        <w:t xml:space="preserve"> </w:t>
      </w:r>
      <w:r>
        <w:rPr>
          <w:lang w:val="en-US"/>
        </w:rPr>
        <w:t>Ibid.</w:t>
      </w:r>
    </w:p>
  </w:footnote>
  <w:footnote w:id="61">
    <w:p w14:paraId="4CE2BCEF" w14:textId="78CBCD5D" w:rsidR="00FD3328" w:rsidRPr="00FD3328" w:rsidRDefault="00FD3328">
      <w:pPr>
        <w:pStyle w:val="FootnoteText"/>
        <w:rPr>
          <w:lang w:val="en-US"/>
        </w:rPr>
      </w:pPr>
      <w:r>
        <w:rPr>
          <w:rStyle w:val="FootnoteReference"/>
        </w:rPr>
        <w:footnoteRef/>
      </w:r>
      <w:r>
        <w:t xml:space="preserve"> </w:t>
      </w:r>
      <w:r>
        <w:rPr>
          <w:lang w:val="en-US"/>
        </w:rPr>
        <w:t>Ibid.</w:t>
      </w:r>
    </w:p>
  </w:footnote>
  <w:footnote w:id="62">
    <w:p w14:paraId="0318AB56" w14:textId="7447E02C" w:rsidR="0086675C" w:rsidRPr="0086675C" w:rsidRDefault="0086675C">
      <w:pPr>
        <w:pStyle w:val="FootnoteText"/>
        <w:rPr>
          <w:lang w:val="en-US"/>
        </w:rPr>
      </w:pPr>
      <w:r>
        <w:rPr>
          <w:rStyle w:val="FootnoteReference"/>
        </w:rPr>
        <w:footnoteRef/>
      </w:r>
      <w:r>
        <w:t xml:space="preserve"> </w:t>
      </w:r>
      <w:r w:rsidR="002147A8">
        <w:t xml:space="preserve">Rochberg, </w:t>
      </w:r>
      <w:r w:rsidR="002147A8">
        <w:rPr>
          <w:i/>
          <w:iCs/>
        </w:rPr>
        <w:t>Empiricism in Babylonian Omen Texts</w:t>
      </w:r>
      <w:r>
        <w:rPr>
          <w:lang w:val="en-US"/>
        </w:rPr>
        <w:t>, p. 566.</w:t>
      </w:r>
    </w:p>
  </w:footnote>
  <w:footnote w:id="63">
    <w:p w14:paraId="362F0142" w14:textId="2F1D03B5" w:rsidR="00D21DFB" w:rsidRPr="00843867" w:rsidRDefault="00D21DFB">
      <w:pPr>
        <w:pStyle w:val="FootnoteText"/>
        <w:rPr>
          <w:lang w:val="en-US"/>
        </w:rPr>
      </w:pPr>
      <w:r>
        <w:rPr>
          <w:rStyle w:val="FootnoteReference"/>
        </w:rPr>
        <w:footnoteRef/>
      </w:r>
      <w:r>
        <w:t xml:space="preserve"> </w:t>
      </w:r>
      <w:r w:rsidR="00843867">
        <w:rPr>
          <w:lang w:val="en-US"/>
        </w:rPr>
        <w:t xml:space="preserve">Brown, </w:t>
      </w:r>
      <w:r w:rsidR="00843867">
        <w:rPr>
          <w:i/>
          <w:iCs/>
          <w:lang w:val="en-US"/>
        </w:rPr>
        <w:t>Astral Divination</w:t>
      </w:r>
      <w:r w:rsidR="00843867">
        <w:rPr>
          <w:lang w:val="en-US"/>
        </w:rPr>
        <w:t>, p. 88.</w:t>
      </w:r>
    </w:p>
  </w:footnote>
  <w:footnote w:id="64">
    <w:p w14:paraId="23ABBC9B" w14:textId="119A0587" w:rsidR="00B0331A" w:rsidRPr="00B0331A" w:rsidRDefault="00B0331A">
      <w:pPr>
        <w:pStyle w:val="FootnoteText"/>
        <w:rPr>
          <w:lang w:val="en-US"/>
        </w:rPr>
      </w:pPr>
      <w:r>
        <w:rPr>
          <w:rStyle w:val="FootnoteReference"/>
        </w:rPr>
        <w:footnoteRef/>
      </w:r>
      <w:r>
        <w:t xml:space="preserve"> </w:t>
      </w:r>
      <w:r>
        <w:rPr>
          <w:lang w:val="en-US"/>
        </w:rPr>
        <w:t>Ibid.</w:t>
      </w:r>
    </w:p>
  </w:footnote>
  <w:footnote w:id="65">
    <w:p w14:paraId="7A044A1C" w14:textId="09500B29" w:rsidR="009710FC" w:rsidRPr="009710FC" w:rsidRDefault="009710FC">
      <w:pPr>
        <w:pStyle w:val="FootnoteText"/>
        <w:rPr>
          <w:lang w:val="en-US"/>
        </w:rPr>
      </w:pPr>
      <w:r>
        <w:rPr>
          <w:rStyle w:val="FootnoteReference"/>
        </w:rPr>
        <w:footnoteRef/>
      </w:r>
      <w:r>
        <w:t xml:space="preserve"> </w:t>
      </w:r>
      <w:r>
        <w:rPr>
          <w:lang w:val="en-US"/>
        </w:rPr>
        <w:t>Ibid.</w:t>
      </w:r>
    </w:p>
  </w:footnote>
  <w:footnote w:id="66">
    <w:p w14:paraId="203D1851" w14:textId="6A22AAC2" w:rsidR="00BD1F46" w:rsidRPr="00BD1F46" w:rsidRDefault="00BD1F46">
      <w:pPr>
        <w:pStyle w:val="FootnoteText"/>
        <w:rPr>
          <w:lang w:val="en-US"/>
        </w:rPr>
      </w:pPr>
      <w:r>
        <w:rPr>
          <w:rStyle w:val="FootnoteReference"/>
        </w:rPr>
        <w:footnoteRef/>
      </w:r>
      <w:r>
        <w:t xml:space="preserve"> </w:t>
      </w:r>
      <w:r>
        <w:rPr>
          <w:lang w:val="en-US"/>
        </w:rPr>
        <w:t xml:space="preserve">Campion, </w:t>
      </w:r>
      <w:r>
        <w:rPr>
          <w:i/>
          <w:iCs/>
          <w:lang w:val="en-US"/>
        </w:rPr>
        <w:t>Astrology and Cosmology</w:t>
      </w:r>
      <w:r>
        <w:rPr>
          <w:lang w:val="en-US"/>
        </w:rPr>
        <w:t>, p. 15.</w:t>
      </w:r>
    </w:p>
  </w:footnote>
  <w:footnote w:id="67">
    <w:p w14:paraId="01C856B7" w14:textId="4F8DF38B" w:rsidR="008F1BDC" w:rsidRPr="008F1BDC" w:rsidRDefault="008F1BDC">
      <w:pPr>
        <w:pStyle w:val="FootnoteText"/>
        <w:rPr>
          <w:lang w:val="en-US"/>
        </w:rPr>
      </w:pPr>
      <w:r>
        <w:rPr>
          <w:rStyle w:val="FootnoteReference"/>
        </w:rPr>
        <w:footnoteRef/>
      </w:r>
      <w:r>
        <w:t xml:space="preserve"> </w:t>
      </w:r>
      <w:r>
        <w:rPr>
          <w:lang w:val="en-US"/>
        </w:rPr>
        <w:t>Ibid.</w:t>
      </w:r>
    </w:p>
  </w:footnote>
  <w:footnote w:id="68">
    <w:p w14:paraId="639BB640" w14:textId="3EF395CA" w:rsidR="000C6AFF" w:rsidRPr="000C6AFF" w:rsidRDefault="000C6AFF">
      <w:pPr>
        <w:pStyle w:val="FootnoteText"/>
        <w:rPr>
          <w:lang w:val="en-US"/>
        </w:rPr>
      </w:pPr>
      <w:r>
        <w:rPr>
          <w:rStyle w:val="FootnoteReference"/>
        </w:rPr>
        <w:footnoteRef/>
      </w:r>
      <w:r>
        <w:t xml:space="preserve"> </w:t>
      </w:r>
      <w:r>
        <w:rPr>
          <w:lang w:val="en-US"/>
        </w:rPr>
        <w:t xml:space="preserve">Brown, </w:t>
      </w:r>
      <w:r>
        <w:rPr>
          <w:i/>
          <w:iCs/>
          <w:lang w:val="en-US"/>
        </w:rPr>
        <w:t>Astral Divination</w:t>
      </w:r>
      <w:r>
        <w:rPr>
          <w:lang w:val="en-US"/>
        </w:rPr>
        <w:t>, p. 89.</w:t>
      </w:r>
    </w:p>
  </w:footnote>
  <w:footnote w:id="69">
    <w:p w14:paraId="710E9A60" w14:textId="3ADDB3CB" w:rsidR="00B76B58" w:rsidRPr="00B76B58" w:rsidRDefault="00B76B58">
      <w:pPr>
        <w:pStyle w:val="FootnoteText"/>
        <w:rPr>
          <w:lang w:val="en-US"/>
        </w:rPr>
      </w:pPr>
      <w:r>
        <w:rPr>
          <w:rStyle w:val="FootnoteReference"/>
        </w:rPr>
        <w:footnoteRef/>
      </w:r>
      <w:r>
        <w:t xml:space="preserve"> </w:t>
      </w:r>
      <w:r>
        <w:rPr>
          <w:lang w:val="en-US"/>
        </w:rPr>
        <w:t>Ibid.</w:t>
      </w:r>
    </w:p>
  </w:footnote>
  <w:footnote w:id="70">
    <w:p w14:paraId="35745516" w14:textId="62DD0C66" w:rsidR="002D20A7" w:rsidRPr="002D20A7" w:rsidRDefault="002D20A7">
      <w:pPr>
        <w:pStyle w:val="FootnoteText"/>
        <w:rPr>
          <w:lang w:val="en-US"/>
        </w:rPr>
      </w:pPr>
      <w:r>
        <w:rPr>
          <w:rStyle w:val="FootnoteReference"/>
        </w:rPr>
        <w:footnoteRef/>
      </w:r>
      <w:r>
        <w:t xml:space="preserve"> </w:t>
      </w:r>
      <w:r>
        <w:rPr>
          <w:lang w:val="en-US"/>
        </w:rPr>
        <w:t>Ibid.</w:t>
      </w:r>
    </w:p>
  </w:footnote>
  <w:footnote w:id="71">
    <w:p w14:paraId="3FDF7B95" w14:textId="2CDE7A54" w:rsidR="00812F89" w:rsidRPr="00812F89" w:rsidRDefault="00812F89">
      <w:pPr>
        <w:pStyle w:val="FootnoteText"/>
        <w:rPr>
          <w:lang w:val="en-US"/>
        </w:rPr>
      </w:pPr>
      <w:r>
        <w:rPr>
          <w:rStyle w:val="FootnoteReference"/>
        </w:rPr>
        <w:footnoteRef/>
      </w:r>
      <w:r>
        <w:t xml:space="preserve"> </w:t>
      </w:r>
      <w:r>
        <w:rPr>
          <w:lang w:val="en-US"/>
        </w:rPr>
        <w:t>Ibid.</w:t>
      </w:r>
    </w:p>
  </w:footnote>
  <w:footnote w:id="72">
    <w:p w14:paraId="692AF093" w14:textId="35489D38" w:rsidR="009E69ED" w:rsidRPr="009E69ED" w:rsidRDefault="009E69ED">
      <w:pPr>
        <w:pStyle w:val="FootnoteText"/>
        <w:rPr>
          <w:lang w:val="en-US"/>
        </w:rPr>
      </w:pPr>
      <w:r>
        <w:rPr>
          <w:rStyle w:val="FootnoteReference"/>
        </w:rPr>
        <w:footnoteRef/>
      </w:r>
      <w:r>
        <w:t xml:space="preserve"> </w:t>
      </w:r>
      <w:r>
        <w:rPr>
          <w:lang w:val="en-US"/>
        </w:rPr>
        <w:t xml:space="preserve">Campion, </w:t>
      </w:r>
      <w:r>
        <w:rPr>
          <w:i/>
          <w:iCs/>
          <w:lang w:val="en-US"/>
        </w:rPr>
        <w:t>Astrology and Cosmology</w:t>
      </w:r>
      <w:r>
        <w:rPr>
          <w:lang w:val="en-US"/>
        </w:rPr>
        <w:t>, p. 126.</w:t>
      </w:r>
    </w:p>
  </w:footnote>
  <w:footnote w:id="73">
    <w:p w14:paraId="3C3C33FC" w14:textId="4852CDB0" w:rsidR="00AF5965" w:rsidRPr="00AF5965" w:rsidRDefault="00AF5965">
      <w:pPr>
        <w:pStyle w:val="FootnoteText"/>
        <w:rPr>
          <w:lang w:val="en-US"/>
        </w:rPr>
      </w:pPr>
      <w:r>
        <w:rPr>
          <w:rStyle w:val="FootnoteReference"/>
        </w:rPr>
        <w:footnoteRef/>
      </w:r>
      <w:r>
        <w:t xml:space="preserve"> </w:t>
      </w:r>
      <w:r>
        <w:rPr>
          <w:lang w:val="en-US"/>
        </w:rPr>
        <w:t>Ibid, pp. 126-</w:t>
      </w:r>
      <w:r w:rsidR="0037012A">
        <w:rPr>
          <w:lang w:val="en-US"/>
        </w:rPr>
        <w:t>128.</w:t>
      </w:r>
    </w:p>
  </w:footnote>
  <w:footnote w:id="74">
    <w:p w14:paraId="5B1BD06C" w14:textId="1B65C55E" w:rsidR="00AD2200" w:rsidRPr="001664B2" w:rsidRDefault="00AD2200">
      <w:pPr>
        <w:pStyle w:val="FootnoteText"/>
        <w:rPr>
          <w:lang w:val="en-US"/>
        </w:rPr>
      </w:pPr>
      <w:r>
        <w:rPr>
          <w:rStyle w:val="FootnoteReference"/>
        </w:rPr>
        <w:footnoteRef/>
      </w:r>
      <w:r>
        <w:t xml:space="preserve"> </w:t>
      </w:r>
      <w:r w:rsidR="009C5308">
        <w:rPr>
          <w:lang w:val="en-US"/>
        </w:rPr>
        <w:t>B. Landsberger and J.V. Kinnier Wilson, ‘The Fifth Tablet of Enuma Elis</w:t>
      </w:r>
      <w:r w:rsidR="00C8674E">
        <w:rPr>
          <w:lang w:val="en-US"/>
        </w:rPr>
        <w:t xml:space="preserve">’, </w:t>
      </w:r>
      <w:r w:rsidR="00C8674E">
        <w:rPr>
          <w:i/>
          <w:iCs/>
          <w:lang w:val="en-US"/>
        </w:rPr>
        <w:t>Journal of Near Eastern Studies</w:t>
      </w:r>
      <w:r w:rsidR="001664B2">
        <w:rPr>
          <w:lang w:val="en-US"/>
        </w:rPr>
        <w:t>, 20.3</w:t>
      </w:r>
      <w:r w:rsidR="00EF433E">
        <w:rPr>
          <w:lang w:val="en-US"/>
        </w:rPr>
        <w:t xml:space="preserve"> (1961), 154-179 (p</w:t>
      </w:r>
      <w:r w:rsidR="00423340">
        <w:rPr>
          <w:lang w:val="en-US"/>
        </w:rPr>
        <w:t>. 157) &lt;https://www.jstor.org/stable/</w:t>
      </w:r>
      <w:r w:rsidR="00F87DFF">
        <w:rPr>
          <w:lang w:val="en-US"/>
        </w:rPr>
        <w:t xml:space="preserve">543187&gt; [accessed </w:t>
      </w:r>
      <w:r w:rsidR="00906FE0">
        <w:rPr>
          <w:lang w:val="en-US"/>
        </w:rPr>
        <w:t>14 April 2022].</w:t>
      </w:r>
    </w:p>
  </w:footnote>
  <w:footnote w:id="75">
    <w:p w14:paraId="7727C565" w14:textId="3A63A6E8" w:rsidR="00946F38" w:rsidRPr="00946F38" w:rsidRDefault="00946F38">
      <w:pPr>
        <w:pStyle w:val="FootnoteText"/>
        <w:rPr>
          <w:lang w:val="en-US"/>
        </w:rPr>
      </w:pPr>
      <w:r>
        <w:rPr>
          <w:rStyle w:val="FootnoteReference"/>
        </w:rPr>
        <w:footnoteRef/>
      </w:r>
      <w:r>
        <w:t xml:space="preserve"> </w:t>
      </w:r>
      <w:r>
        <w:rPr>
          <w:lang w:val="en-US"/>
        </w:rPr>
        <w:t>Ibid, p. 165.</w:t>
      </w:r>
    </w:p>
  </w:footnote>
  <w:footnote w:id="76">
    <w:p w14:paraId="20F04A1B" w14:textId="1B6DD0EF" w:rsidR="003756BA" w:rsidRPr="00243BEE" w:rsidRDefault="003756BA">
      <w:pPr>
        <w:pStyle w:val="FootnoteText"/>
        <w:rPr>
          <w:lang w:val="en-US"/>
        </w:rPr>
      </w:pPr>
      <w:r>
        <w:rPr>
          <w:rStyle w:val="FootnoteReference"/>
        </w:rPr>
        <w:footnoteRef/>
      </w:r>
      <w:r>
        <w:t xml:space="preserve"> </w:t>
      </w:r>
      <w:r w:rsidR="00D01B6C">
        <w:rPr>
          <w:lang w:val="en-US"/>
        </w:rPr>
        <w:t>Dominique Charpin,</w:t>
      </w:r>
      <w:r w:rsidR="00C92F46">
        <w:rPr>
          <w:lang w:val="en-US"/>
        </w:rPr>
        <w:t xml:space="preserve"> </w:t>
      </w:r>
      <w:r w:rsidR="00112F59">
        <w:rPr>
          <w:lang w:val="en-US"/>
        </w:rPr>
        <w:t>‘“</w:t>
      </w:r>
      <w:r w:rsidR="00C92F46">
        <w:rPr>
          <w:lang w:val="en-US"/>
        </w:rPr>
        <w:t xml:space="preserve">I Am the Sun of Babylon”: </w:t>
      </w:r>
      <w:r w:rsidR="00516474">
        <w:rPr>
          <w:lang w:val="en-US"/>
        </w:rPr>
        <w:t>Solar Aspects of Royal Power in Old Babylonian Mesopotamia’, in</w:t>
      </w:r>
      <w:r w:rsidR="00D01B6C">
        <w:rPr>
          <w:lang w:val="en-US"/>
        </w:rPr>
        <w:t xml:space="preserve"> </w:t>
      </w:r>
      <w:r w:rsidR="0098546F">
        <w:rPr>
          <w:i/>
          <w:iCs/>
          <w:lang w:val="en-US"/>
        </w:rPr>
        <w:t xml:space="preserve">Experiencing </w:t>
      </w:r>
      <w:r w:rsidR="00243BEE">
        <w:rPr>
          <w:i/>
          <w:iCs/>
          <w:lang w:val="en-US"/>
        </w:rPr>
        <w:t>Power, Generating Authority</w:t>
      </w:r>
      <w:r w:rsidR="00243BEE">
        <w:rPr>
          <w:lang w:val="en-US"/>
        </w:rPr>
        <w:t xml:space="preserve">, </w:t>
      </w:r>
      <w:r w:rsidR="00127E37">
        <w:rPr>
          <w:lang w:val="en-US"/>
        </w:rPr>
        <w:t>ed. by Jane A. Hill, Phillip Jones, and Antonio J. Morales</w:t>
      </w:r>
      <w:r w:rsidR="00837ED4">
        <w:rPr>
          <w:lang w:val="en-US"/>
        </w:rPr>
        <w:t xml:space="preserve"> (</w:t>
      </w:r>
      <w:r w:rsidR="00837579">
        <w:rPr>
          <w:lang w:val="en-US"/>
        </w:rPr>
        <w:t>University of Pennsylvania Press</w:t>
      </w:r>
      <w:r w:rsidR="0023006E">
        <w:rPr>
          <w:lang w:val="en-US"/>
        </w:rPr>
        <w:t>, 2013)</w:t>
      </w:r>
      <w:r w:rsidR="006D3E89">
        <w:rPr>
          <w:lang w:val="en-US"/>
        </w:rPr>
        <w:t xml:space="preserve">, pp. 65-96 (p. </w:t>
      </w:r>
      <w:r w:rsidR="00266036">
        <w:rPr>
          <w:lang w:val="en-US"/>
        </w:rPr>
        <w:t>68).</w:t>
      </w:r>
    </w:p>
  </w:footnote>
  <w:footnote w:id="77">
    <w:p w14:paraId="71B7A531" w14:textId="2476A024" w:rsidR="003C7136" w:rsidRPr="003C7136" w:rsidRDefault="003C7136">
      <w:pPr>
        <w:pStyle w:val="FootnoteText"/>
        <w:rPr>
          <w:lang w:val="en-US"/>
        </w:rPr>
      </w:pPr>
      <w:r>
        <w:rPr>
          <w:rStyle w:val="FootnoteReference"/>
        </w:rPr>
        <w:footnoteRef/>
      </w:r>
      <w:r>
        <w:t xml:space="preserve"> </w:t>
      </w:r>
      <w:r>
        <w:rPr>
          <w:lang w:val="en-US"/>
        </w:rPr>
        <w:t>Ibid.</w:t>
      </w:r>
    </w:p>
  </w:footnote>
  <w:footnote w:id="78">
    <w:p w14:paraId="31F9C726" w14:textId="709D737B" w:rsidR="002650D7" w:rsidRPr="002650D7" w:rsidRDefault="002650D7">
      <w:pPr>
        <w:pStyle w:val="FootnoteText"/>
        <w:rPr>
          <w:lang w:val="en-US"/>
        </w:rPr>
      </w:pPr>
      <w:r>
        <w:rPr>
          <w:rStyle w:val="FootnoteReference"/>
        </w:rPr>
        <w:footnoteRef/>
      </w:r>
      <w:r>
        <w:t xml:space="preserve"> </w:t>
      </w:r>
      <w:r>
        <w:rPr>
          <w:lang w:val="en-US"/>
        </w:rPr>
        <w:t>Ibid.</w:t>
      </w:r>
    </w:p>
  </w:footnote>
  <w:footnote w:id="79">
    <w:p w14:paraId="56EB954A" w14:textId="1533AF2B" w:rsidR="00913F7B" w:rsidRPr="00913F7B" w:rsidRDefault="00913F7B">
      <w:pPr>
        <w:pStyle w:val="FootnoteText"/>
        <w:rPr>
          <w:lang w:val="en-US"/>
        </w:rPr>
      </w:pPr>
      <w:r>
        <w:rPr>
          <w:rStyle w:val="FootnoteReference"/>
        </w:rPr>
        <w:footnoteRef/>
      </w:r>
      <w:r>
        <w:t xml:space="preserve"> </w:t>
      </w:r>
      <w:r>
        <w:rPr>
          <w:lang w:val="en-US"/>
        </w:rPr>
        <w:t>Ibid, p. 71.</w:t>
      </w:r>
    </w:p>
  </w:footnote>
  <w:footnote w:id="80">
    <w:p w14:paraId="7FD69C00" w14:textId="659BD950" w:rsidR="00174E58" w:rsidRPr="0033152A" w:rsidRDefault="00174E58">
      <w:pPr>
        <w:pStyle w:val="FootnoteText"/>
        <w:rPr>
          <w:lang w:val="en-US"/>
        </w:rPr>
      </w:pPr>
      <w:r>
        <w:rPr>
          <w:rStyle w:val="FootnoteReference"/>
        </w:rPr>
        <w:footnoteRef/>
      </w:r>
      <w:r>
        <w:t xml:space="preserve"> </w:t>
      </w:r>
      <w:r w:rsidR="004F1A3E">
        <w:rPr>
          <w:lang w:val="en-US"/>
        </w:rPr>
        <w:t>Malco</w:t>
      </w:r>
      <w:r w:rsidR="006C6422">
        <w:rPr>
          <w:lang w:val="en-US"/>
        </w:rPr>
        <w:t xml:space="preserve">lm J.A. Horsnell, </w:t>
      </w:r>
      <w:r w:rsidR="006C6422">
        <w:rPr>
          <w:i/>
          <w:iCs/>
          <w:lang w:val="en-US"/>
        </w:rPr>
        <w:t>The Year Names of the First Dynasty of Babylon</w:t>
      </w:r>
      <w:r w:rsidR="009015A4">
        <w:rPr>
          <w:lang w:val="en-US"/>
        </w:rPr>
        <w:t xml:space="preserve">, </w:t>
      </w:r>
      <w:r w:rsidR="00774594">
        <w:rPr>
          <w:lang w:val="en-US"/>
        </w:rPr>
        <w:t>2 vols (Hamilton: McMaster University Press</w:t>
      </w:r>
      <w:r w:rsidR="00D55300">
        <w:rPr>
          <w:lang w:val="en-US"/>
        </w:rPr>
        <w:t>, 1999), II, p.</w:t>
      </w:r>
      <w:r w:rsidR="00EE0B5A">
        <w:rPr>
          <w:lang w:val="en-US"/>
        </w:rPr>
        <w:t>298</w:t>
      </w:r>
      <w:r w:rsidR="005C0EC8">
        <w:rPr>
          <w:lang w:val="en-US"/>
        </w:rPr>
        <w:t>.</w:t>
      </w:r>
    </w:p>
  </w:footnote>
  <w:footnote w:id="81">
    <w:p w14:paraId="2970A25C" w14:textId="026A75F9" w:rsidR="00036028" w:rsidRPr="00036028" w:rsidRDefault="00036028">
      <w:pPr>
        <w:pStyle w:val="FootnoteText"/>
        <w:rPr>
          <w:lang w:val="en-US"/>
        </w:rPr>
      </w:pPr>
      <w:r>
        <w:rPr>
          <w:rStyle w:val="FootnoteReference"/>
        </w:rPr>
        <w:footnoteRef/>
      </w:r>
      <w:r>
        <w:t xml:space="preserve"> </w:t>
      </w:r>
      <w:r w:rsidR="009E69ED">
        <w:rPr>
          <w:lang w:val="en-US"/>
        </w:rPr>
        <w:t xml:space="preserve">Brown, </w:t>
      </w:r>
      <w:r w:rsidR="009E69ED">
        <w:rPr>
          <w:i/>
          <w:iCs/>
          <w:lang w:val="en-US"/>
        </w:rPr>
        <w:t>Astral Divination</w:t>
      </w:r>
      <w:r w:rsidR="009E69ED">
        <w:rPr>
          <w:lang w:val="en-US"/>
        </w:rPr>
        <w:t>, p. 89</w:t>
      </w:r>
      <w:r>
        <w:rPr>
          <w:lang w:val="en-US"/>
        </w:rPr>
        <w:t>.</w:t>
      </w:r>
    </w:p>
  </w:footnote>
  <w:footnote w:id="82">
    <w:p w14:paraId="7C176CBA" w14:textId="1C6B2810" w:rsidR="009E3799" w:rsidRPr="009E3799" w:rsidRDefault="009E3799">
      <w:pPr>
        <w:pStyle w:val="FootnoteText"/>
        <w:rPr>
          <w:lang w:val="en-US"/>
        </w:rPr>
      </w:pPr>
      <w:r>
        <w:rPr>
          <w:rStyle w:val="FootnoteReference"/>
        </w:rPr>
        <w:footnoteRef/>
      </w:r>
      <w:r>
        <w:t xml:space="preserve"> </w:t>
      </w:r>
      <w:r>
        <w:rPr>
          <w:lang w:val="en-US"/>
        </w:rPr>
        <w:t>Ibid, p. 90.</w:t>
      </w:r>
    </w:p>
  </w:footnote>
  <w:footnote w:id="83">
    <w:p w14:paraId="31577169" w14:textId="6507C5E5" w:rsidR="00467872" w:rsidRPr="00467872" w:rsidRDefault="00467872">
      <w:pPr>
        <w:pStyle w:val="FootnoteText"/>
        <w:rPr>
          <w:lang w:val="en-US"/>
        </w:rPr>
      </w:pPr>
      <w:r>
        <w:rPr>
          <w:rStyle w:val="FootnoteReference"/>
        </w:rPr>
        <w:footnoteRef/>
      </w:r>
      <w:r>
        <w:t xml:space="preserve"> </w:t>
      </w:r>
      <w:r>
        <w:rPr>
          <w:lang w:val="en-US"/>
        </w:rPr>
        <w:t>Ibid.</w:t>
      </w:r>
    </w:p>
  </w:footnote>
  <w:footnote w:id="84">
    <w:p w14:paraId="2CC24B89" w14:textId="60E880F4" w:rsidR="00237A71" w:rsidRPr="00237A71" w:rsidRDefault="00237A71">
      <w:pPr>
        <w:pStyle w:val="FootnoteText"/>
        <w:rPr>
          <w:lang w:val="en-US"/>
        </w:rPr>
      </w:pPr>
      <w:r>
        <w:rPr>
          <w:rStyle w:val="FootnoteReference"/>
        </w:rPr>
        <w:footnoteRef/>
      </w:r>
      <w:r>
        <w:t xml:space="preserve"> </w:t>
      </w:r>
      <w:r>
        <w:rPr>
          <w:lang w:val="en-US"/>
        </w:rPr>
        <w:t>Ibid.</w:t>
      </w:r>
    </w:p>
  </w:footnote>
  <w:footnote w:id="85">
    <w:p w14:paraId="5A5313F3" w14:textId="1CB34919" w:rsidR="0019104C" w:rsidRPr="0019104C" w:rsidRDefault="0019104C">
      <w:pPr>
        <w:pStyle w:val="FootnoteText"/>
        <w:rPr>
          <w:lang w:val="en-US"/>
        </w:rPr>
      </w:pPr>
      <w:r>
        <w:rPr>
          <w:rStyle w:val="FootnoteReference"/>
        </w:rPr>
        <w:footnoteRef/>
      </w:r>
      <w:r>
        <w:t xml:space="preserve"> </w:t>
      </w:r>
      <w:r>
        <w:rPr>
          <w:lang w:val="en-US"/>
        </w:rPr>
        <w:t>Ibid, pp. 90-91.</w:t>
      </w:r>
    </w:p>
  </w:footnote>
  <w:footnote w:id="86">
    <w:p w14:paraId="47227525" w14:textId="1E6240FF" w:rsidR="001E4BAE" w:rsidRPr="001E4BAE" w:rsidRDefault="001E4BAE">
      <w:pPr>
        <w:pStyle w:val="FootnoteText"/>
        <w:rPr>
          <w:lang w:val="en-US"/>
        </w:rPr>
      </w:pPr>
      <w:r>
        <w:rPr>
          <w:rStyle w:val="FootnoteReference"/>
        </w:rPr>
        <w:footnoteRef/>
      </w:r>
      <w:r>
        <w:t xml:space="preserve"> </w:t>
      </w:r>
      <w:r>
        <w:rPr>
          <w:lang w:val="en-US"/>
        </w:rPr>
        <w:t>Ibid, p. 91.</w:t>
      </w:r>
    </w:p>
  </w:footnote>
  <w:footnote w:id="87">
    <w:p w14:paraId="076BD212" w14:textId="08735FB8" w:rsidR="003E7421" w:rsidRPr="003E7421" w:rsidRDefault="003E7421">
      <w:pPr>
        <w:pStyle w:val="FootnoteText"/>
        <w:rPr>
          <w:lang w:val="en-US"/>
        </w:rPr>
      </w:pPr>
      <w:r>
        <w:rPr>
          <w:rStyle w:val="FootnoteReference"/>
        </w:rPr>
        <w:footnoteRef/>
      </w:r>
      <w:r>
        <w:t xml:space="preserve"> </w:t>
      </w:r>
      <w:r>
        <w:rPr>
          <w:lang w:val="en-US"/>
        </w:rPr>
        <w:t>Ibid.</w:t>
      </w:r>
    </w:p>
  </w:footnote>
  <w:footnote w:id="88">
    <w:p w14:paraId="07FF8065" w14:textId="473384C8" w:rsidR="000F499C" w:rsidRPr="002F530B" w:rsidRDefault="000F499C">
      <w:pPr>
        <w:pStyle w:val="FootnoteText"/>
        <w:rPr>
          <w:lang w:val="en-US"/>
        </w:rPr>
      </w:pPr>
      <w:r>
        <w:rPr>
          <w:rStyle w:val="FootnoteReference"/>
        </w:rPr>
        <w:footnoteRef/>
      </w:r>
      <w:r>
        <w:t xml:space="preserve"> </w:t>
      </w:r>
      <w:r w:rsidR="002F530B">
        <w:rPr>
          <w:lang w:val="en-US"/>
        </w:rPr>
        <w:t xml:space="preserve">Campion, </w:t>
      </w:r>
      <w:r w:rsidR="002F530B">
        <w:rPr>
          <w:i/>
          <w:iCs/>
          <w:lang w:val="en-US"/>
        </w:rPr>
        <w:t>Astrology and Cosmology</w:t>
      </w:r>
      <w:r w:rsidR="002F530B">
        <w:rPr>
          <w:lang w:val="en-US"/>
        </w:rPr>
        <w:t>, p. 15.</w:t>
      </w:r>
    </w:p>
  </w:footnote>
  <w:footnote w:id="89">
    <w:p w14:paraId="6FBA3512" w14:textId="24B0BA27" w:rsidR="003C03A9" w:rsidRPr="003C03A9" w:rsidRDefault="003C03A9">
      <w:pPr>
        <w:pStyle w:val="FootnoteText"/>
        <w:rPr>
          <w:lang w:val="en-US"/>
        </w:rPr>
      </w:pPr>
      <w:r>
        <w:rPr>
          <w:rStyle w:val="FootnoteReference"/>
        </w:rPr>
        <w:footnoteRef/>
      </w:r>
      <w:r>
        <w:t xml:space="preserve"> </w:t>
      </w:r>
      <w:r>
        <w:rPr>
          <w:lang w:val="en-US"/>
        </w:rPr>
        <w:t>Ibid.</w:t>
      </w:r>
    </w:p>
  </w:footnote>
  <w:footnote w:id="90">
    <w:p w14:paraId="396411B1" w14:textId="03ED621E" w:rsidR="00264C81" w:rsidRPr="00264C81" w:rsidRDefault="00264C81">
      <w:pPr>
        <w:pStyle w:val="FootnoteText"/>
        <w:rPr>
          <w:lang w:val="en-US"/>
        </w:rPr>
      </w:pPr>
      <w:r>
        <w:rPr>
          <w:rStyle w:val="FootnoteReference"/>
        </w:rPr>
        <w:footnoteRef/>
      </w:r>
      <w:r>
        <w:t xml:space="preserve"> </w:t>
      </w:r>
      <w:r w:rsidR="00FB56C3">
        <w:rPr>
          <w:lang w:val="en-US"/>
        </w:rPr>
        <w:t>Ibid, p. 129.</w:t>
      </w:r>
    </w:p>
  </w:footnote>
  <w:footnote w:id="91">
    <w:p w14:paraId="0DF934C1" w14:textId="6C9CC372" w:rsidR="00A466BF" w:rsidRPr="00A466BF" w:rsidRDefault="00A466BF">
      <w:pPr>
        <w:pStyle w:val="FootnoteText"/>
        <w:rPr>
          <w:lang w:val="en-US"/>
        </w:rPr>
      </w:pPr>
      <w:r>
        <w:rPr>
          <w:rStyle w:val="FootnoteReference"/>
        </w:rPr>
        <w:footnoteRef/>
      </w:r>
      <w:r>
        <w:t xml:space="preserve"> </w:t>
      </w:r>
      <w:r>
        <w:rPr>
          <w:lang w:val="en-US"/>
        </w:rPr>
        <w:t>Ibid.</w:t>
      </w:r>
    </w:p>
  </w:footnote>
  <w:footnote w:id="92">
    <w:p w14:paraId="4EC69BBE" w14:textId="3688279A" w:rsidR="00D92A22" w:rsidRPr="00D92A22" w:rsidRDefault="00D92A22">
      <w:pPr>
        <w:pStyle w:val="FootnoteText"/>
        <w:rPr>
          <w:lang w:val="en-US"/>
        </w:rPr>
      </w:pPr>
      <w:r>
        <w:rPr>
          <w:rStyle w:val="FootnoteReference"/>
        </w:rPr>
        <w:footnoteRef/>
      </w:r>
      <w:r>
        <w:t xml:space="preserve"> </w:t>
      </w:r>
      <w:r>
        <w:rPr>
          <w:lang w:val="en-US"/>
        </w:rPr>
        <w:t>Ibid.</w:t>
      </w:r>
    </w:p>
  </w:footnote>
  <w:footnote w:id="93">
    <w:p w14:paraId="06C43413" w14:textId="24063995" w:rsidR="00F03D7F" w:rsidRPr="00F03D7F" w:rsidRDefault="00F03D7F">
      <w:pPr>
        <w:pStyle w:val="FootnoteText"/>
        <w:rPr>
          <w:lang w:val="en-US"/>
        </w:rPr>
      </w:pPr>
      <w:r>
        <w:rPr>
          <w:rStyle w:val="FootnoteReference"/>
        </w:rPr>
        <w:footnoteRef/>
      </w:r>
      <w:r>
        <w:t xml:space="preserve"> </w:t>
      </w:r>
      <w:r>
        <w:rPr>
          <w:lang w:val="en-US"/>
        </w:rPr>
        <w:t>Ibid.</w:t>
      </w:r>
    </w:p>
  </w:footnote>
  <w:footnote w:id="94">
    <w:p w14:paraId="5BDBAAC6" w14:textId="5B81592A" w:rsidR="00315B82" w:rsidRPr="00315B82" w:rsidRDefault="00315B82">
      <w:pPr>
        <w:pStyle w:val="FootnoteText"/>
        <w:rPr>
          <w:lang w:val="en-US"/>
        </w:rPr>
      </w:pPr>
      <w:r>
        <w:rPr>
          <w:rStyle w:val="FootnoteReference"/>
        </w:rPr>
        <w:footnoteRef/>
      </w:r>
      <w:r>
        <w:t xml:space="preserve"> </w:t>
      </w:r>
      <w:r>
        <w:rPr>
          <w:lang w:val="en-US"/>
        </w:rPr>
        <w:t>Ibid.</w:t>
      </w:r>
    </w:p>
  </w:footnote>
  <w:footnote w:id="95">
    <w:p w14:paraId="21D6E021" w14:textId="6DDC0DC6" w:rsidR="00BF1207" w:rsidRPr="00BF1207" w:rsidRDefault="00BF1207">
      <w:pPr>
        <w:pStyle w:val="FootnoteText"/>
        <w:rPr>
          <w:lang w:val="en-US"/>
        </w:rPr>
      </w:pPr>
      <w:r>
        <w:rPr>
          <w:rStyle w:val="FootnoteReference"/>
        </w:rPr>
        <w:footnoteRef/>
      </w:r>
      <w:r>
        <w:t xml:space="preserve"> </w:t>
      </w:r>
      <w:r>
        <w:rPr>
          <w:lang w:val="en-US"/>
        </w:rPr>
        <w:t>Ibid.</w:t>
      </w:r>
    </w:p>
  </w:footnote>
  <w:footnote w:id="96">
    <w:p w14:paraId="76A82A0B" w14:textId="632EB688" w:rsidR="00E376C5" w:rsidRPr="00E376C5" w:rsidRDefault="00E376C5">
      <w:pPr>
        <w:pStyle w:val="FootnoteText"/>
        <w:rPr>
          <w:lang w:val="en-US"/>
        </w:rPr>
      </w:pPr>
      <w:r>
        <w:rPr>
          <w:rStyle w:val="FootnoteReference"/>
        </w:rPr>
        <w:footnoteRef/>
      </w:r>
      <w:r>
        <w:t xml:space="preserve"> </w:t>
      </w:r>
      <w:r>
        <w:rPr>
          <w:lang w:val="en-US"/>
        </w:rPr>
        <w:t>Ibid.</w:t>
      </w:r>
    </w:p>
  </w:footnote>
  <w:footnote w:id="97">
    <w:p w14:paraId="17B51E65" w14:textId="77010ED3" w:rsidR="00A6066C" w:rsidRPr="00CF0DB8" w:rsidRDefault="00A6066C">
      <w:pPr>
        <w:pStyle w:val="FootnoteText"/>
        <w:rPr>
          <w:lang w:val="en-US"/>
        </w:rPr>
      </w:pPr>
      <w:r>
        <w:rPr>
          <w:rStyle w:val="FootnoteReference"/>
        </w:rPr>
        <w:footnoteRef/>
      </w:r>
      <w:r>
        <w:t xml:space="preserve"> </w:t>
      </w:r>
      <w:r>
        <w:rPr>
          <w:lang w:val="en-US"/>
        </w:rPr>
        <w:t>Nicole Brisch, ‘</w:t>
      </w:r>
      <w:r w:rsidR="00220273">
        <w:rPr>
          <w:lang w:val="en-US"/>
        </w:rPr>
        <w:t xml:space="preserve">Ancient Mesopotamian Religion’, in </w:t>
      </w:r>
      <w:r w:rsidR="00220273">
        <w:rPr>
          <w:i/>
          <w:iCs/>
          <w:lang w:val="en-US"/>
        </w:rPr>
        <w:t>A Companion of the Ancient Near East</w:t>
      </w:r>
      <w:r w:rsidR="00CF0DB8">
        <w:rPr>
          <w:lang w:val="en-US"/>
        </w:rPr>
        <w:t>, 2</w:t>
      </w:r>
      <w:r w:rsidR="00CF0DB8" w:rsidRPr="00CF0DB8">
        <w:rPr>
          <w:vertAlign w:val="superscript"/>
          <w:lang w:val="en-US"/>
        </w:rPr>
        <w:t>nd</w:t>
      </w:r>
      <w:r w:rsidR="00CF0DB8">
        <w:rPr>
          <w:lang w:val="en-US"/>
        </w:rPr>
        <w:t xml:space="preserve"> edn., ed. by </w:t>
      </w:r>
      <w:r w:rsidR="00397E8D">
        <w:rPr>
          <w:lang w:val="en-US"/>
        </w:rPr>
        <w:t>Daniel C. Snell (</w:t>
      </w:r>
      <w:r w:rsidR="007C2992">
        <w:rPr>
          <w:lang w:val="en-US"/>
        </w:rPr>
        <w:t>John Wiley &amp; Sons</w:t>
      </w:r>
      <w:r w:rsidR="00B01C39">
        <w:rPr>
          <w:lang w:val="en-US"/>
        </w:rPr>
        <w:t>,</w:t>
      </w:r>
      <w:r w:rsidR="007C2992">
        <w:rPr>
          <w:lang w:val="en-US"/>
        </w:rPr>
        <w:t xml:space="preserve"> Inc.</w:t>
      </w:r>
      <w:r w:rsidR="00B01C39">
        <w:rPr>
          <w:lang w:val="en-US"/>
        </w:rPr>
        <w:t xml:space="preserve">, 2020), pp. </w:t>
      </w:r>
      <w:r w:rsidR="00A936A1">
        <w:rPr>
          <w:lang w:val="en-US"/>
        </w:rPr>
        <w:t>321-337</w:t>
      </w:r>
      <w:r w:rsidR="009850F0">
        <w:rPr>
          <w:lang w:val="en-US"/>
        </w:rPr>
        <w:t xml:space="preserve"> (p. 330).</w:t>
      </w:r>
    </w:p>
  </w:footnote>
  <w:footnote w:id="98">
    <w:p w14:paraId="18B7111B" w14:textId="45C22F7C" w:rsidR="000D02E3" w:rsidRPr="000D02E3" w:rsidRDefault="000D02E3">
      <w:pPr>
        <w:pStyle w:val="FootnoteText"/>
        <w:rPr>
          <w:lang w:val="en-US"/>
        </w:rPr>
      </w:pPr>
      <w:r>
        <w:rPr>
          <w:rStyle w:val="FootnoteReference"/>
        </w:rPr>
        <w:footnoteRef/>
      </w:r>
      <w:r>
        <w:t xml:space="preserve"> </w:t>
      </w:r>
      <w:r>
        <w:rPr>
          <w:lang w:val="en-US"/>
        </w:rPr>
        <w:t xml:space="preserve">Campion, </w:t>
      </w:r>
      <w:r>
        <w:rPr>
          <w:i/>
          <w:iCs/>
          <w:lang w:val="en-US"/>
        </w:rPr>
        <w:t>Astrology and Cosmology</w:t>
      </w:r>
      <w:r>
        <w:rPr>
          <w:lang w:val="en-US"/>
        </w:rPr>
        <w:t>, p. 130.</w:t>
      </w:r>
    </w:p>
  </w:footnote>
  <w:footnote w:id="99">
    <w:p w14:paraId="00CEAE45" w14:textId="02C3536B" w:rsidR="004D19F9" w:rsidRPr="004D19F9" w:rsidRDefault="004D19F9">
      <w:pPr>
        <w:pStyle w:val="FootnoteText"/>
        <w:rPr>
          <w:lang w:val="en-US"/>
        </w:rPr>
      </w:pPr>
      <w:r>
        <w:rPr>
          <w:rStyle w:val="FootnoteReference"/>
        </w:rPr>
        <w:footnoteRef/>
      </w:r>
      <w:r>
        <w:t xml:space="preserve"> </w:t>
      </w:r>
      <w:r>
        <w:rPr>
          <w:lang w:val="en-US"/>
        </w:rPr>
        <w:t>Ibid.</w:t>
      </w:r>
    </w:p>
  </w:footnote>
  <w:footnote w:id="100">
    <w:p w14:paraId="22BB1287" w14:textId="73E415CF" w:rsidR="00136387" w:rsidRPr="00136387" w:rsidRDefault="00136387">
      <w:pPr>
        <w:pStyle w:val="FootnoteText"/>
        <w:rPr>
          <w:lang w:val="en-US"/>
        </w:rPr>
      </w:pPr>
      <w:r>
        <w:rPr>
          <w:rStyle w:val="FootnoteReference"/>
        </w:rPr>
        <w:footnoteRef/>
      </w:r>
      <w:r>
        <w:t xml:space="preserve"> </w:t>
      </w:r>
      <w:r>
        <w:rPr>
          <w:lang w:val="en-US"/>
        </w:rPr>
        <w:t>Ibid.</w:t>
      </w:r>
    </w:p>
  </w:footnote>
  <w:footnote w:id="101">
    <w:p w14:paraId="1E0CC0E3" w14:textId="6BC8C7E4" w:rsidR="006A63FB" w:rsidRPr="003F1005" w:rsidRDefault="006A63FB">
      <w:pPr>
        <w:pStyle w:val="FootnoteText"/>
        <w:rPr>
          <w:lang w:val="en-US"/>
        </w:rPr>
      </w:pPr>
      <w:r>
        <w:rPr>
          <w:rStyle w:val="FootnoteReference"/>
        </w:rPr>
        <w:footnoteRef/>
      </w:r>
      <w:r>
        <w:t xml:space="preserve"> </w:t>
      </w:r>
      <w:r w:rsidR="00685827">
        <w:rPr>
          <w:lang w:val="en-US"/>
        </w:rPr>
        <w:t xml:space="preserve">Brisch, </w:t>
      </w:r>
      <w:r w:rsidR="003F1005">
        <w:rPr>
          <w:lang w:val="en-US"/>
        </w:rPr>
        <w:t>p. 331.</w:t>
      </w:r>
    </w:p>
  </w:footnote>
  <w:footnote w:id="102">
    <w:p w14:paraId="6D70769C" w14:textId="700B265D" w:rsidR="009A61DC" w:rsidRPr="009A61DC" w:rsidRDefault="009A61DC">
      <w:pPr>
        <w:pStyle w:val="FootnoteText"/>
        <w:rPr>
          <w:lang w:val="en-US"/>
        </w:rPr>
      </w:pPr>
      <w:r>
        <w:rPr>
          <w:rStyle w:val="FootnoteReference"/>
        </w:rPr>
        <w:footnoteRef/>
      </w:r>
      <w:r>
        <w:t xml:space="preserve"> </w:t>
      </w:r>
      <w:r>
        <w:rPr>
          <w:lang w:val="en-US"/>
        </w:rPr>
        <w:t>Ibid.</w:t>
      </w:r>
    </w:p>
  </w:footnote>
  <w:footnote w:id="103">
    <w:p w14:paraId="12884450" w14:textId="5F8641E6" w:rsidR="00260408" w:rsidRPr="00260408" w:rsidRDefault="00260408">
      <w:pPr>
        <w:pStyle w:val="FootnoteText"/>
        <w:rPr>
          <w:lang w:val="en-US"/>
        </w:rPr>
      </w:pPr>
      <w:r>
        <w:rPr>
          <w:rStyle w:val="FootnoteReference"/>
        </w:rPr>
        <w:footnoteRef/>
      </w:r>
      <w:r>
        <w:t xml:space="preserve"> </w:t>
      </w:r>
      <w:r w:rsidR="00C84531">
        <w:rPr>
          <w:lang w:val="en-US"/>
        </w:rPr>
        <w:t xml:space="preserve">Campion, </w:t>
      </w:r>
      <w:r w:rsidR="00C84531">
        <w:rPr>
          <w:i/>
          <w:iCs/>
          <w:lang w:val="en-US"/>
        </w:rPr>
        <w:t>Astrology and Cosmology</w:t>
      </w:r>
      <w:r w:rsidR="00C84531">
        <w:rPr>
          <w:lang w:val="en-US"/>
        </w:rPr>
        <w:t>, p. 130.</w:t>
      </w:r>
    </w:p>
  </w:footnote>
  <w:footnote w:id="104">
    <w:p w14:paraId="5F09B7E6" w14:textId="1BA4C257" w:rsidR="007E59AE" w:rsidRPr="007E59AE" w:rsidRDefault="007E59AE">
      <w:pPr>
        <w:pStyle w:val="FootnoteText"/>
        <w:rPr>
          <w:lang w:val="en-US"/>
        </w:rPr>
      </w:pPr>
      <w:r>
        <w:rPr>
          <w:rStyle w:val="FootnoteReference"/>
        </w:rPr>
        <w:footnoteRef/>
      </w:r>
      <w:r>
        <w:t xml:space="preserve"> </w:t>
      </w:r>
      <w:r w:rsidR="00012E22">
        <w:rPr>
          <w:lang w:val="en-US"/>
        </w:rPr>
        <w:t xml:space="preserve">Brown, </w:t>
      </w:r>
      <w:r w:rsidR="00012E22">
        <w:rPr>
          <w:i/>
          <w:iCs/>
          <w:lang w:val="en-US"/>
        </w:rPr>
        <w:t>Astral Divination</w:t>
      </w:r>
      <w:r w:rsidR="00012E22">
        <w:rPr>
          <w:lang w:val="en-US"/>
        </w:rPr>
        <w:t>, p. 85.</w:t>
      </w:r>
    </w:p>
  </w:footnote>
  <w:footnote w:id="105">
    <w:p w14:paraId="5DA33FCF" w14:textId="291C3CB4" w:rsidR="00AD5554" w:rsidRPr="008F5000" w:rsidRDefault="00AD5554">
      <w:pPr>
        <w:pStyle w:val="FootnoteText"/>
        <w:rPr>
          <w:lang w:val="en-US"/>
        </w:rPr>
      </w:pPr>
      <w:r>
        <w:rPr>
          <w:rStyle w:val="FootnoteReference"/>
        </w:rPr>
        <w:footnoteRef/>
      </w:r>
      <w:r>
        <w:t xml:space="preserve"> </w:t>
      </w:r>
      <w:r w:rsidR="00012E22">
        <w:t>Ibid.</w:t>
      </w:r>
    </w:p>
  </w:footnote>
  <w:footnote w:id="106">
    <w:p w14:paraId="1467223A" w14:textId="04892FD1" w:rsidR="00D3665F" w:rsidRPr="00D3665F" w:rsidRDefault="00D3665F">
      <w:pPr>
        <w:pStyle w:val="FootnoteText"/>
        <w:rPr>
          <w:lang w:val="en-US"/>
        </w:rPr>
      </w:pPr>
      <w:r>
        <w:rPr>
          <w:rStyle w:val="FootnoteReference"/>
        </w:rPr>
        <w:footnoteRef/>
      </w:r>
      <w:r>
        <w:t xml:space="preserve"> </w:t>
      </w:r>
      <w:r>
        <w:rPr>
          <w:lang w:val="en-US"/>
        </w:rPr>
        <w:t>Ibid.</w:t>
      </w:r>
    </w:p>
  </w:footnote>
  <w:footnote w:id="107">
    <w:p w14:paraId="41910F0A" w14:textId="4AD03D44" w:rsidR="00D054EA" w:rsidRPr="00D054EA" w:rsidRDefault="00D054EA">
      <w:pPr>
        <w:pStyle w:val="FootnoteText"/>
        <w:rPr>
          <w:lang w:val="en-US"/>
        </w:rPr>
      </w:pPr>
      <w:r>
        <w:rPr>
          <w:rStyle w:val="FootnoteReference"/>
        </w:rPr>
        <w:footnoteRef/>
      </w:r>
      <w:r>
        <w:t xml:space="preserve"> </w:t>
      </w:r>
      <w:r>
        <w:rPr>
          <w:lang w:val="en-US"/>
        </w:rPr>
        <w:t>Ibid.</w:t>
      </w:r>
    </w:p>
  </w:footnote>
  <w:footnote w:id="108">
    <w:p w14:paraId="6ACC56D7" w14:textId="64A70236" w:rsidR="00346F79" w:rsidRPr="00346F79" w:rsidRDefault="00346F79">
      <w:pPr>
        <w:pStyle w:val="FootnoteText"/>
        <w:rPr>
          <w:lang w:val="en-US"/>
        </w:rPr>
      </w:pPr>
      <w:r>
        <w:rPr>
          <w:rStyle w:val="FootnoteReference"/>
        </w:rPr>
        <w:footnoteRef/>
      </w:r>
      <w:r>
        <w:t xml:space="preserve"> </w:t>
      </w:r>
      <w:r>
        <w:rPr>
          <w:lang w:val="en-US"/>
        </w:rPr>
        <w:t>Brisch</w:t>
      </w:r>
      <w:r w:rsidR="00FF3B7A">
        <w:rPr>
          <w:lang w:val="en-US"/>
        </w:rPr>
        <w:t>, p. 331.</w:t>
      </w:r>
    </w:p>
  </w:footnote>
  <w:footnote w:id="109">
    <w:p w14:paraId="091A408B" w14:textId="5322F8E4" w:rsidR="000E2C46" w:rsidRPr="000E2C46" w:rsidRDefault="000E2C46">
      <w:pPr>
        <w:pStyle w:val="FootnoteText"/>
        <w:rPr>
          <w:lang w:val="en-US"/>
        </w:rPr>
      </w:pPr>
      <w:r>
        <w:rPr>
          <w:rStyle w:val="FootnoteReference"/>
        </w:rPr>
        <w:footnoteRef/>
      </w:r>
      <w:r>
        <w:t xml:space="preserve"> </w:t>
      </w:r>
      <w:r>
        <w:rPr>
          <w:lang w:val="en-US"/>
        </w:rPr>
        <w:t>Ibid.</w:t>
      </w:r>
    </w:p>
  </w:footnote>
  <w:footnote w:id="110">
    <w:p w14:paraId="308630A2" w14:textId="216FFA46" w:rsidR="00A83447" w:rsidRPr="00A83447" w:rsidRDefault="00A83447">
      <w:pPr>
        <w:pStyle w:val="FootnoteText"/>
        <w:rPr>
          <w:lang w:val="en-US"/>
        </w:rPr>
      </w:pPr>
      <w:r>
        <w:rPr>
          <w:rStyle w:val="FootnoteReference"/>
        </w:rPr>
        <w:footnoteRef/>
      </w:r>
      <w:r>
        <w:t xml:space="preserve"> </w:t>
      </w:r>
      <w:r>
        <w:rPr>
          <w:lang w:val="en-US"/>
        </w:rPr>
        <w:t xml:space="preserve">Brown, </w:t>
      </w:r>
      <w:r>
        <w:rPr>
          <w:i/>
          <w:iCs/>
          <w:lang w:val="en-US"/>
        </w:rPr>
        <w:t>Astral Divination</w:t>
      </w:r>
      <w:r>
        <w:rPr>
          <w:lang w:val="en-US"/>
        </w:rPr>
        <w:t>, p. 95.</w:t>
      </w:r>
    </w:p>
  </w:footnote>
  <w:footnote w:id="111">
    <w:p w14:paraId="139A886D" w14:textId="5E24FC9D" w:rsidR="00C17EE6" w:rsidRPr="00C17EE6" w:rsidRDefault="00C17EE6">
      <w:pPr>
        <w:pStyle w:val="FootnoteText"/>
        <w:rPr>
          <w:lang w:val="en-US"/>
        </w:rPr>
      </w:pPr>
      <w:r>
        <w:rPr>
          <w:rStyle w:val="FootnoteReference"/>
        </w:rPr>
        <w:footnoteRef/>
      </w:r>
      <w:r>
        <w:t xml:space="preserve"> </w:t>
      </w:r>
      <w:r>
        <w:rPr>
          <w:lang w:val="en-US"/>
        </w:rPr>
        <w:t>Ibid.</w:t>
      </w:r>
    </w:p>
  </w:footnote>
  <w:footnote w:id="112">
    <w:p w14:paraId="2EEE6D9E" w14:textId="567C8383" w:rsidR="0055513E" w:rsidRPr="00652CF7" w:rsidRDefault="0055513E">
      <w:pPr>
        <w:pStyle w:val="FootnoteText"/>
        <w:rPr>
          <w:lang w:val="en-US"/>
        </w:rPr>
      </w:pPr>
      <w:r>
        <w:rPr>
          <w:rStyle w:val="FootnoteReference"/>
        </w:rPr>
        <w:footnoteRef/>
      </w:r>
      <w:r>
        <w:t xml:space="preserve"> </w:t>
      </w:r>
      <w:r w:rsidR="006716BA">
        <w:rPr>
          <w:lang w:val="en-US"/>
        </w:rPr>
        <w:t xml:space="preserve">John Z. Wee, ‘Lugalbanda Under the Night Sky: Scenes of Celestial Healing in Ancient Mesopotamia’, </w:t>
      </w:r>
      <w:r w:rsidR="00652CF7">
        <w:rPr>
          <w:i/>
          <w:iCs/>
          <w:lang w:val="en-US"/>
        </w:rPr>
        <w:t>Journal of Near Eastern Studies</w:t>
      </w:r>
      <w:r w:rsidR="00652CF7">
        <w:rPr>
          <w:lang w:val="en-US"/>
        </w:rPr>
        <w:t xml:space="preserve">, </w:t>
      </w:r>
      <w:r w:rsidR="006A0266">
        <w:rPr>
          <w:lang w:val="en-US"/>
        </w:rPr>
        <w:t xml:space="preserve">73.1 (2014), pp. 23-42 (p. </w:t>
      </w:r>
      <w:r w:rsidR="001E1B94">
        <w:rPr>
          <w:lang w:val="en-US"/>
        </w:rPr>
        <w:t>23) &lt;https://www.jstor.org/stable/10.1086/</w:t>
      </w:r>
      <w:r w:rsidR="0085721F">
        <w:rPr>
          <w:lang w:val="en-US"/>
        </w:rPr>
        <w:t>674797&gt; [accessed 16 April 2022]</w:t>
      </w:r>
      <w:r w:rsidR="003E74A7">
        <w:rPr>
          <w:lang w:val="en-US"/>
        </w:rPr>
        <w:t>.</w:t>
      </w:r>
    </w:p>
  </w:footnote>
  <w:footnote w:id="113">
    <w:p w14:paraId="18E65FE0" w14:textId="475DFA48" w:rsidR="0019017A" w:rsidRPr="0019017A" w:rsidRDefault="0019017A">
      <w:pPr>
        <w:pStyle w:val="FootnoteText"/>
        <w:rPr>
          <w:lang w:val="en-US"/>
        </w:rPr>
      </w:pPr>
      <w:r>
        <w:rPr>
          <w:rStyle w:val="FootnoteReference"/>
        </w:rPr>
        <w:footnoteRef/>
      </w:r>
      <w:r>
        <w:t xml:space="preserve"> </w:t>
      </w:r>
      <w:r>
        <w:rPr>
          <w:lang w:val="en-US"/>
        </w:rPr>
        <w:t>Ibid, p.</w:t>
      </w:r>
      <w:r w:rsidR="00E47742">
        <w:rPr>
          <w:lang w:val="en-US"/>
        </w:rPr>
        <w:t>25.</w:t>
      </w:r>
    </w:p>
  </w:footnote>
  <w:footnote w:id="114">
    <w:p w14:paraId="2F24DA39" w14:textId="34678C83" w:rsidR="004B65D1" w:rsidRPr="004B65D1" w:rsidRDefault="004B65D1">
      <w:pPr>
        <w:pStyle w:val="FootnoteText"/>
        <w:rPr>
          <w:lang w:val="en-US"/>
        </w:rPr>
      </w:pPr>
      <w:r>
        <w:rPr>
          <w:rStyle w:val="FootnoteReference"/>
        </w:rPr>
        <w:footnoteRef/>
      </w:r>
      <w:r>
        <w:t xml:space="preserve"> </w:t>
      </w:r>
      <w:r>
        <w:rPr>
          <w:lang w:val="en-US"/>
        </w:rPr>
        <w:t>Ibid.</w:t>
      </w:r>
    </w:p>
  </w:footnote>
  <w:footnote w:id="115">
    <w:p w14:paraId="61567DA8" w14:textId="3CC554B8" w:rsidR="00205488" w:rsidRPr="00205488" w:rsidRDefault="00205488">
      <w:pPr>
        <w:pStyle w:val="FootnoteText"/>
        <w:rPr>
          <w:lang w:val="en-US"/>
        </w:rPr>
      </w:pPr>
      <w:r>
        <w:rPr>
          <w:rStyle w:val="FootnoteReference"/>
        </w:rPr>
        <w:footnoteRef/>
      </w:r>
      <w:r>
        <w:t xml:space="preserve"> </w:t>
      </w:r>
      <w:r>
        <w:rPr>
          <w:lang w:val="en-US"/>
        </w:rPr>
        <w:t>Ibid, p. 26.</w:t>
      </w:r>
    </w:p>
  </w:footnote>
  <w:footnote w:id="116">
    <w:p w14:paraId="0B405253" w14:textId="7E944710" w:rsidR="009B5788" w:rsidRPr="009B5788" w:rsidRDefault="009B5788">
      <w:pPr>
        <w:pStyle w:val="FootnoteText"/>
        <w:rPr>
          <w:lang w:val="en-US"/>
        </w:rPr>
      </w:pPr>
      <w:r>
        <w:rPr>
          <w:rStyle w:val="FootnoteReference"/>
        </w:rPr>
        <w:footnoteRef/>
      </w:r>
      <w:r>
        <w:t xml:space="preserve"> </w:t>
      </w:r>
      <w:r>
        <w:rPr>
          <w:lang w:val="en-US"/>
        </w:rPr>
        <w:t>Ibid, pp. 26-27.</w:t>
      </w:r>
    </w:p>
  </w:footnote>
  <w:footnote w:id="117">
    <w:p w14:paraId="0C503B40" w14:textId="2FCE8C71" w:rsidR="004D02FD" w:rsidRPr="004D02FD" w:rsidRDefault="004D02FD">
      <w:pPr>
        <w:pStyle w:val="FootnoteText"/>
        <w:rPr>
          <w:lang w:val="en-US"/>
        </w:rPr>
      </w:pPr>
      <w:r>
        <w:rPr>
          <w:rStyle w:val="FootnoteReference"/>
        </w:rPr>
        <w:footnoteRef/>
      </w:r>
      <w:r>
        <w:t xml:space="preserve"> </w:t>
      </w:r>
      <w:r>
        <w:rPr>
          <w:lang w:val="en-US"/>
        </w:rPr>
        <w:t>Ibid, p. 27.</w:t>
      </w:r>
    </w:p>
  </w:footnote>
  <w:footnote w:id="118">
    <w:p w14:paraId="64B62BBA" w14:textId="778811F9" w:rsidR="00EC1BBB" w:rsidRPr="00EC1BBB" w:rsidRDefault="00EC1BBB">
      <w:pPr>
        <w:pStyle w:val="FootnoteText"/>
        <w:rPr>
          <w:lang w:val="en-US"/>
        </w:rPr>
      </w:pPr>
      <w:r>
        <w:rPr>
          <w:rStyle w:val="FootnoteReference"/>
        </w:rPr>
        <w:footnoteRef/>
      </w:r>
      <w:r>
        <w:t xml:space="preserve"> </w:t>
      </w:r>
      <w:r>
        <w:rPr>
          <w:lang w:val="en-US"/>
        </w:rPr>
        <w:t>Ibid.</w:t>
      </w:r>
    </w:p>
  </w:footnote>
  <w:footnote w:id="119">
    <w:p w14:paraId="128E06C0" w14:textId="59739244" w:rsidR="00EF0384" w:rsidRPr="00EF0384" w:rsidRDefault="00EF0384">
      <w:pPr>
        <w:pStyle w:val="FootnoteText"/>
        <w:rPr>
          <w:lang w:val="en-US"/>
        </w:rPr>
      </w:pPr>
      <w:r>
        <w:rPr>
          <w:rStyle w:val="FootnoteReference"/>
        </w:rPr>
        <w:footnoteRef/>
      </w:r>
      <w:r>
        <w:t xml:space="preserve"> </w:t>
      </w:r>
      <w:r>
        <w:rPr>
          <w:lang w:val="en-US"/>
        </w:rPr>
        <w:t>Ibid.</w:t>
      </w:r>
    </w:p>
  </w:footnote>
  <w:footnote w:id="120">
    <w:p w14:paraId="6F4C8B7F" w14:textId="635DBF50" w:rsidR="00810A54" w:rsidRPr="00810A54" w:rsidRDefault="00810A54">
      <w:pPr>
        <w:pStyle w:val="FootnoteText"/>
        <w:rPr>
          <w:lang w:val="en-US"/>
        </w:rPr>
      </w:pPr>
      <w:r>
        <w:rPr>
          <w:rStyle w:val="FootnoteReference"/>
        </w:rPr>
        <w:footnoteRef/>
      </w:r>
      <w:r>
        <w:t xml:space="preserve"> </w:t>
      </w:r>
      <w:r>
        <w:rPr>
          <w:lang w:val="en-US"/>
        </w:rPr>
        <w:t xml:space="preserve">Ibid, p. </w:t>
      </w:r>
      <w:r w:rsidR="00D1508F">
        <w:rPr>
          <w:lang w:val="en-US"/>
        </w:rPr>
        <w:t>31.</w:t>
      </w:r>
    </w:p>
  </w:footnote>
  <w:footnote w:id="121">
    <w:p w14:paraId="77D988CA" w14:textId="01F553DC" w:rsidR="00D1508F" w:rsidRPr="00D1508F" w:rsidRDefault="00D1508F">
      <w:pPr>
        <w:pStyle w:val="FootnoteText"/>
        <w:rPr>
          <w:lang w:val="en-US"/>
        </w:rPr>
      </w:pPr>
      <w:r>
        <w:rPr>
          <w:rStyle w:val="FootnoteReference"/>
        </w:rPr>
        <w:footnoteRef/>
      </w:r>
      <w:r>
        <w:t xml:space="preserve"> </w:t>
      </w:r>
      <w:r>
        <w:rPr>
          <w:lang w:val="en-US"/>
        </w:rPr>
        <w:t xml:space="preserve">Ibid, p. </w:t>
      </w:r>
      <w:r w:rsidR="00627195">
        <w:rPr>
          <w:lang w:val="en-US"/>
        </w:rPr>
        <w:t>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DD680" w14:textId="77777777" w:rsidR="003022E8" w:rsidRDefault="003022E8">
    <w:pPr>
      <w:pStyle w:val="Header"/>
      <w:jc w:val="right"/>
    </w:pPr>
    <w:r>
      <w:fldChar w:fldCharType="begin"/>
    </w:r>
    <w:r>
      <w:instrText xml:space="preserve"> PAGE   \* MERGEFORMAT </w:instrText>
    </w:r>
    <w:r>
      <w:fldChar w:fldCharType="separate"/>
    </w:r>
    <w:r>
      <w:rPr>
        <w:noProof/>
      </w:rPr>
      <w:t>2</w:t>
    </w:r>
    <w:r>
      <w:rPr>
        <w:noProof/>
      </w:rPr>
      <w:fldChar w:fldCharType="end"/>
    </w:r>
  </w:p>
  <w:p w14:paraId="190C406F" w14:textId="77777777" w:rsidR="003022E8" w:rsidRDefault="003022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297926">
    <w:abstractNumId w:val="18"/>
  </w:num>
  <w:num w:numId="2" w16cid:durableId="2046251209">
    <w:abstractNumId w:val="20"/>
  </w:num>
  <w:num w:numId="3" w16cid:durableId="1129711029">
    <w:abstractNumId w:val="9"/>
  </w:num>
  <w:num w:numId="4" w16cid:durableId="1888878964">
    <w:abstractNumId w:val="6"/>
  </w:num>
  <w:num w:numId="5" w16cid:durableId="727388147">
    <w:abstractNumId w:val="2"/>
  </w:num>
  <w:num w:numId="6" w16cid:durableId="304087523">
    <w:abstractNumId w:val="4"/>
  </w:num>
  <w:num w:numId="7" w16cid:durableId="401022446">
    <w:abstractNumId w:val="13"/>
  </w:num>
  <w:num w:numId="8" w16cid:durableId="1906604035">
    <w:abstractNumId w:val="21"/>
  </w:num>
  <w:num w:numId="9" w16cid:durableId="939096853">
    <w:abstractNumId w:val="23"/>
  </w:num>
  <w:num w:numId="10" w16cid:durableId="749236202">
    <w:abstractNumId w:val="5"/>
  </w:num>
  <w:num w:numId="11" w16cid:durableId="1495340228">
    <w:abstractNumId w:val="19"/>
  </w:num>
  <w:num w:numId="12" w16cid:durableId="806969797">
    <w:abstractNumId w:val="22"/>
  </w:num>
  <w:num w:numId="13" w16cid:durableId="1756823715">
    <w:abstractNumId w:val="11"/>
  </w:num>
  <w:num w:numId="14" w16cid:durableId="402603302">
    <w:abstractNumId w:val="14"/>
  </w:num>
  <w:num w:numId="15" w16cid:durableId="1794321478">
    <w:abstractNumId w:val="16"/>
  </w:num>
  <w:num w:numId="16" w16cid:durableId="12187118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082487762">
    <w:abstractNumId w:val="10"/>
  </w:num>
  <w:num w:numId="18" w16cid:durableId="210738255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814634472">
    <w:abstractNumId w:val="12"/>
  </w:num>
  <w:num w:numId="20" w16cid:durableId="1936162550">
    <w:abstractNumId w:val="17"/>
  </w:num>
  <w:num w:numId="21" w16cid:durableId="1075930368">
    <w:abstractNumId w:val="3"/>
  </w:num>
  <w:num w:numId="22" w16cid:durableId="1182889609">
    <w:abstractNumId w:val="7"/>
  </w:num>
  <w:num w:numId="23" w16cid:durableId="548763197">
    <w:abstractNumId w:val="15"/>
  </w:num>
  <w:num w:numId="24" w16cid:durableId="595209951">
    <w:abstractNumId w:val="8"/>
  </w:num>
  <w:num w:numId="25" w16cid:durableId="363868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30B2"/>
    <w:rsid w:val="00004EC7"/>
    <w:rsid w:val="00012E22"/>
    <w:rsid w:val="00013545"/>
    <w:rsid w:val="00014D6E"/>
    <w:rsid w:val="00022345"/>
    <w:rsid w:val="00023B8B"/>
    <w:rsid w:val="00026363"/>
    <w:rsid w:val="000271AF"/>
    <w:rsid w:val="000275E2"/>
    <w:rsid w:val="00036028"/>
    <w:rsid w:val="0004042B"/>
    <w:rsid w:val="00042FD9"/>
    <w:rsid w:val="00043549"/>
    <w:rsid w:val="00046A16"/>
    <w:rsid w:val="00047074"/>
    <w:rsid w:val="00047EB1"/>
    <w:rsid w:val="00050093"/>
    <w:rsid w:val="00051F75"/>
    <w:rsid w:val="00053AB4"/>
    <w:rsid w:val="000553B2"/>
    <w:rsid w:val="00064608"/>
    <w:rsid w:val="00065632"/>
    <w:rsid w:val="00066585"/>
    <w:rsid w:val="00076A0B"/>
    <w:rsid w:val="000854DF"/>
    <w:rsid w:val="0009456B"/>
    <w:rsid w:val="000A22A9"/>
    <w:rsid w:val="000A5BA5"/>
    <w:rsid w:val="000A6D49"/>
    <w:rsid w:val="000A7D62"/>
    <w:rsid w:val="000B2328"/>
    <w:rsid w:val="000B54CD"/>
    <w:rsid w:val="000C09C9"/>
    <w:rsid w:val="000C4460"/>
    <w:rsid w:val="000C4C41"/>
    <w:rsid w:val="000C6AFF"/>
    <w:rsid w:val="000D02E3"/>
    <w:rsid w:val="000D0E66"/>
    <w:rsid w:val="000E2C46"/>
    <w:rsid w:val="000E3682"/>
    <w:rsid w:val="000E3751"/>
    <w:rsid w:val="000E6A3A"/>
    <w:rsid w:val="000F1DE6"/>
    <w:rsid w:val="000F499C"/>
    <w:rsid w:val="000F5B3D"/>
    <w:rsid w:val="000F6249"/>
    <w:rsid w:val="0010199D"/>
    <w:rsid w:val="00101CA8"/>
    <w:rsid w:val="00101E46"/>
    <w:rsid w:val="001051E9"/>
    <w:rsid w:val="001070F2"/>
    <w:rsid w:val="00111283"/>
    <w:rsid w:val="001115BF"/>
    <w:rsid w:val="0011161A"/>
    <w:rsid w:val="00112F59"/>
    <w:rsid w:val="0011382F"/>
    <w:rsid w:val="00117640"/>
    <w:rsid w:val="0012185A"/>
    <w:rsid w:val="00122619"/>
    <w:rsid w:val="001240BE"/>
    <w:rsid w:val="00126F6F"/>
    <w:rsid w:val="00127E37"/>
    <w:rsid w:val="00136387"/>
    <w:rsid w:val="001413B6"/>
    <w:rsid w:val="00143055"/>
    <w:rsid w:val="00143F82"/>
    <w:rsid w:val="001503E6"/>
    <w:rsid w:val="00153FFD"/>
    <w:rsid w:val="00154696"/>
    <w:rsid w:val="00165047"/>
    <w:rsid w:val="001664B2"/>
    <w:rsid w:val="00172497"/>
    <w:rsid w:val="00174E58"/>
    <w:rsid w:val="00185266"/>
    <w:rsid w:val="0019017A"/>
    <w:rsid w:val="0019104C"/>
    <w:rsid w:val="00195232"/>
    <w:rsid w:val="00195B54"/>
    <w:rsid w:val="001A569E"/>
    <w:rsid w:val="001A59BE"/>
    <w:rsid w:val="001B1914"/>
    <w:rsid w:val="001B5819"/>
    <w:rsid w:val="001C0B52"/>
    <w:rsid w:val="001C1005"/>
    <w:rsid w:val="001C4B2D"/>
    <w:rsid w:val="001C52F7"/>
    <w:rsid w:val="001D27C1"/>
    <w:rsid w:val="001D3B89"/>
    <w:rsid w:val="001E0E06"/>
    <w:rsid w:val="001E1B94"/>
    <w:rsid w:val="001E3DCF"/>
    <w:rsid w:val="001E4398"/>
    <w:rsid w:val="001E4BAE"/>
    <w:rsid w:val="001E5257"/>
    <w:rsid w:val="001F301D"/>
    <w:rsid w:val="001F4CE1"/>
    <w:rsid w:val="00200B03"/>
    <w:rsid w:val="002039DE"/>
    <w:rsid w:val="00205488"/>
    <w:rsid w:val="00206873"/>
    <w:rsid w:val="00212CC8"/>
    <w:rsid w:val="002132DC"/>
    <w:rsid w:val="002147A8"/>
    <w:rsid w:val="00216211"/>
    <w:rsid w:val="00220273"/>
    <w:rsid w:val="002210D8"/>
    <w:rsid w:val="00222984"/>
    <w:rsid w:val="0022446F"/>
    <w:rsid w:val="00224B95"/>
    <w:rsid w:val="0023006E"/>
    <w:rsid w:val="00230F35"/>
    <w:rsid w:val="002359D0"/>
    <w:rsid w:val="00237A71"/>
    <w:rsid w:val="00243BEE"/>
    <w:rsid w:val="002456F2"/>
    <w:rsid w:val="0024597A"/>
    <w:rsid w:val="00251771"/>
    <w:rsid w:val="00252DE3"/>
    <w:rsid w:val="00252ED4"/>
    <w:rsid w:val="0025416B"/>
    <w:rsid w:val="0025530E"/>
    <w:rsid w:val="00256A14"/>
    <w:rsid w:val="00260408"/>
    <w:rsid w:val="00261198"/>
    <w:rsid w:val="0026378C"/>
    <w:rsid w:val="00264C81"/>
    <w:rsid w:val="002650D7"/>
    <w:rsid w:val="00266036"/>
    <w:rsid w:val="00270857"/>
    <w:rsid w:val="002715FA"/>
    <w:rsid w:val="002724CB"/>
    <w:rsid w:val="00276002"/>
    <w:rsid w:val="00276ABC"/>
    <w:rsid w:val="00277421"/>
    <w:rsid w:val="00283DF3"/>
    <w:rsid w:val="00290783"/>
    <w:rsid w:val="00291838"/>
    <w:rsid w:val="0029214E"/>
    <w:rsid w:val="00293128"/>
    <w:rsid w:val="002A3EBA"/>
    <w:rsid w:val="002A4265"/>
    <w:rsid w:val="002A4954"/>
    <w:rsid w:val="002A73C3"/>
    <w:rsid w:val="002C1630"/>
    <w:rsid w:val="002C2C4E"/>
    <w:rsid w:val="002C34DE"/>
    <w:rsid w:val="002C395B"/>
    <w:rsid w:val="002C55E9"/>
    <w:rsid w:val="002C6BA8"/>
    <w:rsid w:val="002D20A7"/>
    <w:rsid w:val="002D2A04"/>
    <w:rsid w:val="002D36B0"/>
    <w:rsid w:val="002D7BF3"/>
    <w:rsid w:val="002E2BA0"/>
    <w:rsid w:val="002E67CE"/>
    <w:rsid w:val="002E6ED2"/>
    <w:rsid w:val="002E7985"/>
    <w:rsid w:val="002F1475"/>
    <w:rsid w:val="002F3078"/>
    <w:rsid w:val="002F4232"/>
    <w:rsid w:val="002F467C"/>
    <w:rsid w:val="002F530B"/>
    <w:rsid w:val="003022E8"/>
    <w:rsid w:val="0030415F"/>
    <w:rsid w:val="00305185"/>
    <w:rsid w:val="00307B22"/>
    <w:rsid w:val="00310FEE"/>
    <w:rsid w:val="00315A4F"/>
    <w:rsid w:val="00315B82"/>
    <w:rsid w:val="003228E9"/>
    <w:rsid w:val="00326631"/>
    <w:rsid w:val="0032714A"/>
    <w:rsid w:val="00327E24"/>
    <w:rsid w:val="003307A7"/>
    <w:rsid w:val="0033152A"/>
    <w:rsid w:val="00337A70"/>
    <w:rsid w:val="00341D2F"/>
    <w:rsid w:val="00345285"/>
    <w:rsid w:val="00346F79"/>
    <w:rsid w:val="00351F4B"/>
    <w:rsid w:val="00357B33"/>
    <w:rsid w:val="00362AFD"/>
    <w:rsid w:val="00366011"/>
    <w:rsid w:val="00367283"/>
    <w:rsid w:val="0037012A"/>
    <w:rsid w:val="00374E80"/>
    <w:rsid w:val="003753CA"/>
    <w:rsid w:val="003756BA"/>
    <w:rsid w:val="0038342D"/>
    <w:rsid w:val="003854A5"/>
    <w:rsid w:val="00386D5E"/>
    <w:rsid w:val="00396FB5"/>
    <w:rsid w:val="00397E8D"/>
    <w:rsid w:val="003A0AF0"/>
    <w:rsid w:val="003A344D"/>
    <w:rsid w:val="003A78AE"/>
    <w:rsid w:val="003B15A2"/>
    <w:rsid w:val="003C03A9"/>
    <w:rsid w:val="003C3F4F"/>
    <w:rsid w:val="003C406C"/>
    <w:rsid w:val="003C6282"/>
    <w:rsid w:val="003C7136"/>
    <w:rsid w:val="003C7F6F"/>
    <w:rsid w:val="003D0A84"/>
    <w:rsid w:val="003D17AD"/>
    <w:rsid w:val="003D2D2C"/>
    <w:rsid w:val="003D3B91"/>
    <w:rsid w:val="003D6255"/>
    <w:rsid w:val="003E08A3"/>
    <w:rsid w:val="003E08F3"/>
    <w:rsid w:val="003E7421"/>
    <w:rsid w:val="003E74A7"/>
    <w:rsid w:val="003F0393"/>
    <w:rsid w:val="003F0AD2"/>
    <w:rsid w:val="003F1005"/>
    <w:rsid w:val="003F737B"/>
    <w:rsid w:val="00401B73"/>
    <w:rsid w:val="00404BB7"/>
    <w:rsid w:val="00406EE5"/>
    <w:rsid w:val="0040732D"/>
    <w:rsid w:val="00413172"/>
    <w:rsid w:val="00421892"/>
    <w:rsid w:val="00423340"/>
    <w:rsid w:val="004250DD"/>
    <w:rsid w:val="00434B95"/>
    <w:rsid w:val="00435174"/>
    <w:rsid w:val="00435A00"/>
    <w:rsid w:val="00435D3D"/>
    <w:rsid w:val="0043758C"/>
    <w:rsid w:val="0044129B"/>
    <w:rsid w:val="00441D8B"/>
    <w:rsid w:val="004428B7"/>
    <w:rsid w:val="00444CB4"/>
    <w:rsid w:val="00447497"/>
    <w:rsid w:val="0045394F"/>
    <w:rsid w:val="00456F71"/>
    <w:rsid w:val="00460A5C"/>
    <w:rsid w:val="004627BA"/>
    <w:rsid w:val="00463A65"/>
    <w:rsid w:val="00464803"/>
    <w:rsid w:val="00465D22"/>
    <w:rsid w:val="00467872"/>
    <w:rsid w:val="004724D6"/>
    <w:rsid w:val="00475271"/>
    <w:rsid w:val="00475C78"/>
    <w:rsid w:val="004779DB"/>
    <w:rsid w:val="004822FB"/>
    <w:rsid w:val="00487151"/>
    <w:rsid w:val="00487B36"/>
    <w:rsid w:val="00492636"/>
    <w:rsid w:val="00492A15"/>
    <w:rsid w:val="00494E12"/>
    <w:rsid w:val="00494E81"/>
    <w:rsid w:val="004A024B"/>
    <w:rsid w:val="004B51AE"/>
    <w:rsid w:val="004B65D1"/>
    <w:rsid w:val="004B6827"/>
    <w:rsid w:val="004B73BA"/>
    <w:rsid w:val="004C3968"/>
    <w:rsid w:val="004C41AC"/>
    <w:rsid w:val="004C73AB"/>
    <w:rsid w:val="004C79CE"/>
    <w:rsid w:val="004D02FD"/>
    <w:rsid w:val="004D0536"/>
    <w:rsid w:val="004D066B"/>
    <w:rsid w:val="004D19F9"/>
    <w:rsid w:val="004D2097"/>
    <w:rsid w:val="004D3773"/>
    <w:rsid w:val="004D479E"/>
    <w:rsid w:val="004E06FD"/>
    <w:rsid w:val="004E6CC0"/>
    <w:rsid w:val="004E7F29"/>
    <w:rsid w:val="004F1A3E"/>
    <w:rsid w:val="0050224C"/>
    <w:rsid w:val="0050317A"/>
    <w:rsid w:val="00516474"/>
    <w:rsid w:val="00521E0F"/>
    <w:rsid w:val="00522F20"/>
    <w:rsid w:val="00526CFF"/>
    <w:rsid w:val="00530A76"/>
    <w:rsid w:val="00531109"/>
    <w:rsid w:val="00534191"/>
    <w:rsid w:val="00537B4C"/>
    <w:rsid w:val="00540BAA"/>
    <w:rsid w:val="00541C8D"/>
    <w:rsid w:val="005429EF"/>
    <w:rsid w:val="005524B3"/>
    <w:rsid w:val="00553412"/>
    <w:rsid w:val="0055513E"/>
    <w:rsid w:val="00557FB3"/>
    <w:rsid w:val="00562547"/>
    <w:rsid w:val="005627D4"/>
    <w:rsid w:val="00566195"/>
    <w:rsid w:val="00575838"/>
    <w:rsid w:val="00576A7D"/>
    <w:rsid w:val="00576F5D"/>
    <w:rsid w:val="005833CD"/>
    <w:rsid w:val="005845DD"/>
    <w:rsid w:val="0058726A"/>
    <w:rsid w:val="00590E9A"/>
    <w:rsid w:val="00593BC6"/>
    <w:rsid w:val="005942E9"/>
    <w:rsid w:val="005A1B95"/>
    <w:rsid w:val="005A551C"/>
    <w:rsid w:val="005A598F"/>
    <w:rsid w:val="005B1F3A"/>
    <w:rsid w:val="005B6824"/>
    <w:rsid w:val="005C0BF6"/>
    <w:rsid w:val="005C0EC8"/>
    <w:rsid w:val="005C33F6"/>
    <w:rsid w:val="005C6560"/>
    <w:rsid w:val="005C65B2"/>
    <w:rsid w:val="005C7016"/>
    <w:rsid w:val="005D1373"/>
    <w:rsid w:val="005D179B"/>
    <w:rsid w:val="005D3205"/>
    <w:rsid w:val="005E39ED"/>
    <w:rsid w:val="005E72CF"/>
    <w:rsid w:val="005F0C47"/>
    <w:rsid w:val="00603DF3"/>
    <w:rsid w:val="006042EB"/>
    <w:rsid w:val="00604BD0"/>
    <w:rsid w:val="00605484"/>
    <w:rsid w:val="00605E7F"/>
    <w:rsid w:val="00605F2E"/>
    <w:rsid w:val="00607CCE"/>
    <w:rsid w:val="00610318"/>
    <w:rsid w:val="00610841"/>
    <w:rsid w:val="00610F3E"/>
    <w:rsid w:val="0061127D"/>
    <w:rsid w:val="00617023"/>
    <w:rsid w:val="00622E04"/>
    <w:rsid w:val="006232C9"/>
    <w:rsid w:val="00626193"/>
    <w:rsid w:val="00627195"/>
    <w:rsid w:val="00632937"/>
    <w:rsid w:val="00633337"/>
    <w:rsid w:val="006367FD"/>
    <w:rsid w:val="00640D30"/>
    <w:rsid w:val="00642226"/>
    <w:rsid w:val="0064350C"/>
    <w:rsid w:val="006503E2"/>
    <w:rsid w:val="006529BD"/>
    <w:rsid w:val="00652CF7"/>
    <w:rsid w:val="006563BF"/>
    <w:rsid w:val="0065654E"/>
    <w:rsid w:val="00662A40"/>
    <w:rsid w:val="00665C65"/>
    <w:rsid w:val="006716BA"/>
    <w:rsid w:val="0067343B"/>
    <w:rsid w:val="006805EC"/>
    <w:rsid w:val="00682BB4"/>
    <w:rsid w:val="00685827"/>
    <w:rsid w:val="006858B9"/>
    <w:rsid w:val="00691819"/>
    <w:rsid w:val="00693C4D"/>
    <w:rsid w:val="006A0266"/>
    <w:rsid w:val="006A038B"/>
    <w:rsid w:val="006A205D"/>
    <w:rsid w:val="006A63FB"/>
    <w:rsid w:val="006A65E9"/>
    <w:rsid w:val="006B031B"/>
    <w:rsid w:val="006B1DB1"/>
    <w:rsid w:val="006B4F9B"/>
    <w:rsid w:val="006B7FA2"/>
    <w:rsid w:val="006C0A3A"/>
    <w:rsid w:val="006C5E96"/>
    <w:rsid w:val="006C6422"/>
    <w:rsid w:val="006D3E89"/>
    <w:rsid w:val="006E00B8"/>
    <w:rsid w:val="006E3889"/>
    <w:rsid w:val="006E4F24"/>
    <w:rsid w:val="006F08B7"/>
    <w:rsid w:val="006F36E1"/>
    <w:rsid w:val="006F5CC1"/>
    <w:rsid w:val="006F7A77"/>
    <w:rsid w:val="00702398"/>
    <w:rsid w:val="00702783"/>
    <w:rsid w:val="00705B82"/>
    <w:rsid w:val="00706A7C"/>
    <w:rsid w:val="0071539A"/>
    <w:rsid w:val="00715920"/>
    <w:rsid w:val="0071782E"/>
    <w:rsid w:val="00717B11"/>
    <w:rsid w:val="00722037"/>
    <w:rsid w:val="0072209E"/>
    <w:rsid w:val="00724C5D"/>
    <w:rsid w:val="00726DF0"/>
    <w:rsid w:val="00727B7C"/>
    <w:rsid w:val="00730908"/>
    <w:rsid w:val="00731390"/>
    <w:rsid w:val="00732194"/>
    <w:rsid w:val="00747366"/>
    <w:rsid w:val="00751BE2"/>
    <w:rsid w:val="007555D2"/>
    <w:rsid w:val="007611BD"/>
    <w:rsid w:val="00762134"/>
    <w:rsid w:val="00765417"/>
    <w:rsid w:val="00767A0A"/>
    <w:rsid w:val="00770733"/>
    <w:rsid w:val="007723DC"/>
    <w:rsid w:val="00773D0E"/>
    <w:rsid w:val="00774594"/>
    <w:rsid w:val="007764F1"/>
    <w:rsid w:val="00780838"/>
    <w:rsid w:val="00783D5A"/>
    <w:rsid w:val="00787713"/>
    <w:rsid w:val="00790E2F"/>
    <w:rsid w:val="00793AAD"/>
    <w:rsid w:val="00795631"/>
    <w:rsid w:val="00797374"/>
    <w:rsid w:val="007A0A1C"/>
    <w:rsid w:val="007A41F0"/>
    <w:rsid w:val="007B00DB"/>
    <w:rsid w:val="007B721A"/>
    <w:rsid w:val="007C098A"/>
    <w:rsid w:val="007C2992"/>
    <w:rsid w:val="007C6F33"/>
    <w:rsid w:val="007D31E6"/>
    <w:rsid w:val="007D7715"/>
    <w:rsid w:val="007E59AE"/>
    <w:rsid w:val="007E66C7"/>
    <w:rsid w:val="007E69BF"/>
    <w:rsid w:val="007F331C"/>
    <w:rsid w:val="007F7B53"/>
    <w:rsid w:val="00801FBA"/>
    <w:rsid w:val="00802D5A"/>
    <w:rsid w:val="00810A54"/>
    <w:rsid w:val="00812F89"/>
    <w:rsid w:val="00813927"/>
    <w:rsid w:val="0081509F"/>
    <w:rsid w:val="00815D32"/>
    <w:rsid w:val="008237BE"/>
    <w:rsid w:val="00823895"/>
    <w:rsid w:val="00826525"/>
    <w:rsid w:val="0083442E"/>
    <w:rsid w:val="008369E2"/>
    <w:rsid w:val="00837579"/>
    <w:rsid w:val="00837ED4"/>
    <w:rsid w:val="00840B95"/>
    <w:rsid w:val="00842421"/>
    <w:rsid w:val="0084272E"/>
    <w:rsid w:val="00843867"/>
    <w:rsid w:val="00843DE9"/>
    <w:rsid w:val="00850B8D"/>
    <w:rsid w:val="0085721F"/>
    <w:rsid w:val="00860711"/>
    <w:rsid w:val="0086124E"/>
    <w:rsid w:val="008616FC"/>
    <w:rsid w:val="00861A27"/>
    <w:rsid w:val="0086467A"/>
    <w:rsid w:val="00864E6A"/>
    <w:rsid w:val="0086675C"/>
    <w:rsid w:val="00870BA2"/>
    <w:rsid w:val="00873FF0"/>
    <w:rsid w:val="00882771"/>
    <w:rsid w:val="00884EAC"/>
    <w:rsid w:val="00885339"/>
    <w:rsid w:val="00885B9F"/>
    <w:rsid w:val="00890F3E"/>
    <w:rsid w:val="008942D9"/>
    <w:rsid w:val="0089447F"/>
    <w:rsid w:val="0089611E"/>
    <w:rsid w:val="00897EC1"/>
    <w:rsid w:val="008A2885"/>
    <w:rsid w:val="008A4DCC"/>
    <w:rsid w:val="008A7797"/>
    <w:rsid w:val="008B2E4D"/>
    <w:rsid w:val="008B3A97"/>
    <w:rsid w:val="008C4689"/>
    <w:rsid w:val="008C7DBF"/>
    <w:rsid w:val="008D03F0"/>
    <w:rsid w:val="008D674F"/>
    <w:rsid w:val="008D6992"/>
    <w:rsid w:val="008D76ED"/>
    <w:rsid w:val="008E525C"/>
    <w:rsid w:val="008E7044"/>
    <w:rsid w:val="008F09BF"/>
    <w:rsid w:val="008F1BDC"/>
    <w:rsid w:val="008F5000"/>
    <w:rsid w:val="008F681E"/>
    <w:rsid w:val="00901157"/>
    <w:rsid w:val="009015A4"/>
    <w:rsid w:val="00903AD0"/>
    <w:rsid w:val="00904B19"/>
    <w:rsid w:val="00906E4D"/>
    <w:rsid w:val="00906FE0"/>
    <w:rsid w:val="00907686"/>
    <w:rsid w:val="00907A8F"/>
    <w:rsid w:val="00913F7B"/>
    <w:rsid w:val="00914769"/>
    <w:rsid w:val="00923865"/>
    <w:rsid w:val="00925C1D"/>
    <w:rsid w:val="009312A7"/>
    <w:rsid w:val="009322D1"/>
    <w:rsid w:val="009328F1"/>
    <w:rsid w:val="00937157"/>
    <w:rsid w:val="00946F38"/>
    <w:rsid w:val="00947CA8"/>
    <w:rsid w:val="00951E77"/>
    <w:rsid w:val="0095491F"/>
    <w:rsid w:val="00954A66"/>
    <w:rsid w:val="009557B8"/>
    <w:rsid w:val="00955A39"/>
    <w:rsid w:val="009568FB"/>
    <w:rsid w:val="00963B31"/>
    <w:rsid w:val="00967256"/>
    <w:rsid w:val="009710FC"/>
    <w:rsid w:val="00973B44"/>
    <w:rsid w:val="00973D78"/>
    <w:rsid w:val="009750BA"/>
    <w:rsid w:val="00975FCD"/>
    <w:rsid w:val="009801D3"/>
    <w:rsid w:val="00981E55"/>
    <w:rsid w:val="0098397E"/>
    <w:rsid w:val="009850F0"/>
    <w:rsid w:val="0098546F"/>
    <w:rsid w:val="009A07AC"/>
    <w:rsid w:val="009A1326"/>
    <w:rsid w:val="009A37EE"/>
    <w:rsid w:val="009A3D0A"/>
    <w:rsid w:val="009A509E"/>
    <w:rsid w:val="009A61DC"/>
    <w:rsid w:val="009A6781"/>
    <w:rsid w:val="009B2D10"/>
    <w:rsid w:val="009B5788"/>
    <w:rsid w:val="009C01A3"/>
    <w:rsid w:val="009C1A08"/>
    <w:rsid w:val="009C23BA"/>
    <w:rsid w:val="009C2B18"/>
    <w:rsid w:val="009C396A"/>
    <w:rsid w:val="009C5308"/>
    <w:rsid w:val="009C59C3"/>
    <w:rsid w:val="009D2ED5"/>
    <w:rsid w:val="009D3A86"/>
    <w:rsid w:val="009D3C73"/>
    <w:rsid w:val="009D6124"/>
    <w:rsid w:val="009E3799"/>
    <w:rsid w:val="009E4C6F"/>
    <w:rsid w:val="009E69ED"/>
    <w:rsid w:val="009E7B24"/>
    <w:rsid w:val="009F2623"/>
    <w:rsid w:val="009F2776"/>
    <w:rsid w:val="009F6C85"/>
    <w:rsid w:val="00A01795"/>
    <w:rsid w:val="00A02C62"/>
    <w:rsid w:val="00A06B94"/>
    <w:rsid w:val="00A06FC6"/>
    <w:rsid w:val="00A11D9E"/>
    <w:rsid w:val="00A2073F"/>
    <w:rsid w:val="00A2364A"/>
    <w:rsid w:val="00A276EB"/>
    <w:rsid w:val="00A303FE"/>
    <w:rsid w:val="00A32519"/>
    <w:rsid w:val="00A33157"/>
    <w:rsid w:val="00A355D9"/>
    <w:rsid w:val="00A41032"/>
    <w:rsid w:val="00A41AF9"/>
    <w:rsid w:val="00A4282A"/>
    <w:rsid w:val="00A46437"/>
    <w:rsid w:val="00A466BF"/>
    <w:rsid w:val="00A507E4"/>
    <w:rsid w:val="00A52145"/>
    <w:rsid w:val="00A5765B"/>
    <w:rsid w:val="00A6066C"/>
    <w:rsid w:val="00A62E68"/>
    <w:rsid w:val="00A66AA1"/>
    <w:rsid w:val="00A674E4"/>
    <w:rsid w:val="00A745B6"/>
    <w:rsid w:val="00A83447"/>
    <w:rsid w:val="00A936A1"/>
    <w:rsid w:val="00A972E4"/>
    <w:rsid w:val="00A9744A"/>
    <w:rsid w:val="00AA14AE"/>
    <w:rsid w:val="00AA1A84"/>
    <w:rsid w:val="00AA319F"/>
    <w:rsid w:val="00AA4A31"/>
    <w:rsid w:val="00AA554B"/>
    <w:rsid w:val="00AA6DBD"/>
    <w:rsid w:val="00AB3175"/>
    <w:rsid w:val="00AB4E41"/>
    <w:rsid w:val="00AC36E3"/>
    <w:rsid w:val="00AC6213"/>
    <w:rsid w:val="00AC62FC"/>
    <w:rsid w:val="00AD2200"/>
    <w:rsid w:val="00AD5554"/>
    <w:rsid w:val="00AD5D5A"/>
    <w:rsid w:val="00AE0B81"/>
    <w:rsid w:val="00AE319A"/>
    <w:rsid w:val="00AE3217"/>
    <w:rsid w:val="00AF5965"/>
    <w:rsid w:val="00B01C39"/>
    <w:rsid w:val="00B0331A"/>
    <w:rsid w:val="00B048A7"/>
    <w:rsid w:val="00B075D3"/>
    <w:rsid w:val="00B11E29"/>
    <w:rsid w:val="00B15741"/>
    <w:rsid w:val="00B21E8E"/>
    <w:rsid w:val="00B30A90"/>
    <w:rsid w:val="00B319E3"/>
    <w:rsid w:val="00B335A9"/>
    <w:rsid w:val="00B344B4"/>
    <w:rsid w:val="00B34964"/>
    <w:rsid w:val="00B36F4A"/>
    <w:rsid w:val="00B414E3"/>
    <w:rsid w:val="00B42501"/>
    <w:rsid w:val="00B45BE5"/>
    <w:rsid w:val="00B45FEF"/>
    <w:rsid w:val="00B462B1"/>
    <w:rsid w:val="00B47CEF"/>
    <w:rsid w:val="00B54DA6"/>
    <w:rsid w:val="00B5563C"/>
    <w:rsid w:val="00B56E7B"/>
    <w:rsid w:val="00B63E4B"/>
    <w:rsid w:val="00B65350"/>
    <w:rsid w:val="00B7027D"/>
    <w:rsid w:val="00B7226B"/>
    <w:rsid w:val="00B72F46"/>
    <w:rsid w:val="00B7658E"/>
    <w:rsid w:val="00B76B58"/>
    <w:rsid w:val="00B81E5D"/>
    <w:rsid w:val="00B82778"/>
    <w:rsid w:val="00B94CDB"/>
    <w:rsid w:val="00B96983"/>
    <w:rsid w:val="00B9724B"/>
    <w:rsid w:val="00BA0FE0"/>
    <w:rsid w:val="00BA11BD"/>
    <w:rsid w:val="00BA2D09"/>
    <w:rsid w:val="00BA4FC9"/>
    <w:rsid w:val="00BA55BD"/>
    <w:rsid w:val="00BA655B"/>
    <w:rsid w:val="00BB0B58"/>
    <w:rsid w:val="00BB555C"/>
    <w:rsid w:val="00BB5CBF"/>
    <w:rsid w:val="00BB6FB7"/>
    <w:rsid w:val="00BC0A7C"/>
    <w:rsid w:val="00BC17F1"/>
    <w:rsid w:val="00BC2F5A"/>
    <w:rsid w:val="00BC5C21"/>
    <w:rsid w:val="00BC5DA9"/>
    <w:rsid w:val="00BC77BC"/>
    <w:rsid w:val="00BD1F46"/>
    <w:rsid w:val="00BE7476"/>
    <w:rsid w:val="00BE7B7A"/>
    <w:rsid w:val="00BF1207"/>
    <w:rsid w:val="00BF22DC"/>
    <w:rsid w:val="00BF3D29"/>
    <w:rsid w:val="00BF6291"/>
    <w:rsid w:val="00BF64C1"/>
    <w:rsid w:val="00BF79B3"/>
    <w:rsid w:val="00C02886"/>
    <w:rsid w:val="00C036B8"/>
    <w:rsid w:val="00C04CCF"/>
    <w:rsid w:val="00C11649"/>
    <w:rsid w:val="00C129C7"/>
    <w:rsid w:val="00C12B11"/>
    <w:rsid w:val="00C169BD"/>
    <w:rsid w:val="00C17EE6"/>
    <w:rsid w:val="00C22A88"/>
    <w:rsid w:val="00C25BC8"/>
    <w:rsid w:val="00C26A80"/>
    <w:rsid w:val="00C27749"/>
    <w:rsid w:val="00C323A2"/>
    <w:rsid w:val="00C41BE4"/>
    <w:rsid w:val="00C41EEF"/>
    <w:rsid w:val="00C50676"/>
    <w:rsid w:val="00C53D26"/>
    <w:rsid w:val="00C57784"/>
    <w:rsid w:val="00C57A92"/>
    <w:rsid w:val="00C65E05"/>
    <w:rsid w:val="00C65E7F"/>
    <w:rsid w:val="00C66F47"/>
    <w:rsid w:val="00C7055A"/>
    <w:rsid w:val="00C7095A"/>
    <w:rsid w:val="00C81738"/>
    <w:rsid w:val="00C84531"/>
    <w:rsid w:val="00C86586"/>
    <w:rsid w:val="00C8674E"/>
    <w:rsid w:val="00C90302"/>
    <w:rsid w:val="00C92C04"/>
    <w:rsid w:val="00C92F46"/>
    <w:rsid w:val="00C93CD4"/>
    <w:rsid w:val="00C94C1C"/>
    <w:rsid w:val="00C95BDB"/>
    <w:rsid w:val="00CA54C8"/>
    <w:rsid w:val="00CB0387"/>
    <w:rsid w:val="00CB1229"/>
    <w:rsid w:val="00CB1A2E"/>
    <w:rsid w:val="00CB5E37"/>
    <w:rsid w:val="00CC52A3"/>
    <w:rsid w:val="00CD0B04"/>
    <w:rsid w:val="00CD4C00"/>
    <w:rsid w:val="00CE003C"/>
    <w:rsid w:val="00CE0D93"/>
    <w:rsid w:val="00CE14ED"/>
    <w:rsid w:val="00CE3B79"/>
    <w:rsid w:val="00CE509C"/>
    <w:rsid w:val="00CE5436"/>
    <w:rsid w:val="00CE71C6"/>
    <w:rsid w:val="00CF0DB8"/>
    <w:rsid w:val="00CF558A"/>
    <w:rsid w:val="00D00BDC"/>
    <w:rsid w:val="00D01B6C"/>
    <w:rsid w:val="00D0258C"/>
    <w:rsid w:val="00D054EA"/>
    <w:rsid w:val="00D0754F"/>
    <w:rsid w:val="00D109E9"/>
    <w:rsid w:val="00D1508F"/>
    <w:rsid w:val="00D21DFB"/>
    <w:rsid w:val="00D22E47"/>
    <w:rsid w:val="00D25998"/>
    <w:rsid w:val="00D27573"/>
    <w:rsid w:val="00D328AB"/>
    <w:rsid w:val="00D34C7E"/>
    <w:rsid w:val="00D361EB"/>
    <w:rsid w:val="00D3665F"/>
    <w:rsid w:val="00D429CC"/>
    <w:rsid w:val="00D459DC"/>
    <w:rsid w:val="00D5466C"/>
    <w:rsid w:val="00D55300"/>
    <w:rsid w:val="00D56EFA"/>
    <w:rsid w:val="00D652FF"/>
    <w:rsid w:val="00D67BF8"/>
    <w:rsid w:val="00D71CC0"/>
    <w:rsid w:val="00D73E42"/>
    <w:rsid w:val="00D75E74"/>
    <w:rsid w:val="00D84FF7"/>
    <w:rsid w:val="00D90DCD"/>
    <w:rsid w:val="00D92A22"/>
    <w:rsid w:val="00D96C74"/>
    <w:rsid w:val="00D96DEE"/>
    <w:rsid w:val="00D9782A"/>
    <w:rsid w:val="00DA1457"/>
    <w:rsid w:val="00DA1537"/>
    <w:rsid w:val="00DA1FB5"/>
    <w:rsid w:val="00DA3217"/>
    <w:rsid w:val="00DA3E0F"/>
    <w:rsid w:val="00DA45E3"/>
    <w:rsid w:val="00DA71E8"/>
    <w:rsid w:val="00DA7984"/>
    <w:rsid w:val="00DB185F"/>
    <w:rsid w:val="00DB201D"/>
    <w:rsid w:val="00DB43BB"/>
    <w:rsid w:val="00DC3471"/>
    <w:rsid w:val="00DD363B"/>
    <w:rsid w:val="00DE54B1"/>
    <w:rsid w:val="00DE6ACD"/>
    <w:rsid w:val="00DF01BE"/>
    <w:rsid w:val="00E14D2E"/>
    <w:rsid w:val="00E205B3"/>
    <w:rsid w:val="00E26AAE"/>
    <w:rsid w:val="00E326EF"/>
    <w:rsid w:val="00E32730"/>
    <w:rsid w:val="00E3766D"/>
    <w:rsid w:val="00E376C5"/>
    <w:rsid w:val="00E377D8"/>
    <w:rsid w:val="00E4178C"/>
    <w:rsid w:val="00E41A89"/>
    <w:rsid w:val="00E43B4E"/>
    <w:rsid w:val="00E45B27"/>
    <w:rsid w:val="00E47742"/>
    <w:rsid w:val="00E502BA"/>
    <w:rsid w:val="00E506F0"/>
    <w:rsid w:val="00E57529"/>
    <w:rsid w:val="00E62D82"/>
    <w:rsid w:val="00E67719"/>
    <w:rsid w:val="00E67EE8"/>
    <w:rsid w:val="00E75761"/>
    <w:rsid w:val="00E77243"/>
    <w:rsid w:val="00E80F92"/>
    <w:rsid w:val="00E81704"/>
    <w:rsid w:val="00E84311"/>
    <w:rsid w:val="00E84F5D"/>
    <w:rsid w:val="00E85ED7"/>
    <w:rsid w:val="00E929D1"/>
    <w:rsid w:val="00E9441F"/>
    <w:rsid w:val="00EA55A9"/>
    <w:rsid w:val="00EB669F"/>
    <w:rsid w:val="00EC1BBB"/>
    <w:rsid w:val="00EC7546"/>
    <w:rsid w:val="00ED2D63"/>
    <w:rsid w:val="00ED383B"/>
    <w:rsid w:val="00ED5C99"/>
    <w:rsid w:val="00EE0B5A"/>
    <w:rsid w:val="00EE3ED8"/>
    <w:rsid w:val="00EE4C90"/>
    <w:rsid w:val="00EF0384"/>
    <w:rsid w:val="00EF20CB"/>
    <w:rsid w:val="00EF433E"/>
    <w:rsid w:val="00EF584C"/>
    <w:rsid w:val="00EF7091"/>
    <w:rsid w:val="00F02924"/>
    <w:rsid w:val="00F0346B"/>
    <w:rsid w:val="00F03D7F"/>
    <w:rsid w:val="00F03FF2"/>
    <w:rsid w:val="00F115A2"/>
    <w:rsid w:val="00F15BA0"/>
    <w:rsid w:val="00F1661E"/>
    <w:rsid w:val="00F2453C"/>
    <w:rsid w:val="00F25F53"/>
    <w:rsid w:val="00F262F0"/>
    <w:rsid w:val="00F30FC0"/>
    <w:rsid w:val="00F346BE"/>
    <w:rsid w:val="00F34864"/>
    <w:rsid w:val="00F44BE4"/>
    <w:rsid w:val="00F46480"/>
    <w:rsid w:val="00F608DA"/>
    <w:rsid w:val="00F60E28"/>
    <w:rsid w:val="00F73533"/>
    <w:rsid w:val="00F75EB5"/>
    <w:rsid w:val="00F76D4B"/>
    <w:rsid w:val="00F802B8"/>
    <w:rsid w:val="00F80D5C"/>
    <w:rsid w:val="00F861FE"/>
    <w:rsid w:val="00F87DFF"/>
    <w:rsid w:val="00F91D40"/>
    <w:rsid w:val="00F922F0"/>
    <w:rsid w:val="00F9361C"/>
    <w:rsid w:val="00F944EB"/>
    <w:rsid w:val="00FA02B7"/>
    <w:rsid w:val="00FA07E9"/>
    <w:rsid w:val="00FA12A0"/>
    <w:rsid w:val="00FA2A4C"/>
    <w:rsid w:val="00FA5E5D"/>
    <w:rsid w:val="00FB56C3"/>
    <w:rsid w:val="00FB7168"/>
    <w:rsid w:val="00FC12E0"/>
    <w:rsid w:val="00FD0348"/>
    <w:rsid w:val="00FD3328"/>
    <w:rsid w:val="00FD4BFB"/>
    <w:rsid w:val="00FE0CBA"/>
    <w:rsid w:val="00FE45DF"/>
    <w:rsid w:val="00FE7A0E"/>
    <w:rsid w:val="00FF1125"/>
    <w:rsid w:val="00FF3B7A"/>
    <w:rsid w:val="00FF5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BD41FF"/>
  <w15:chartTrackingRefBased/>
  <w15:docId w15:val="{37E702FC-D8A9-40D7-BA83-EBC4F2D9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CE5436"/>
    <w:rPr>
      <w:sz w:val="20"/>
      <w:szCs w:val="20"/>
    </w:rPr>
  </w:style>
  <w:style w:type="character" w:customStyle="1" w:styleId="FootnoteTextChar">
    <w:name w:val="Footnote Text Char"/>
    <w:basedOn w:val="DefaultParagraphFont"/>
    <w:link w:val="FootnoteText"/>
    <w:rsid w:val="00CE5436"/>
    <w:rPr>
      <w:lang w:val="en-GB" w:eastAsia="zh-CN"/>
    </w:rPr>
  </w:style>
  <w:style w:type="character" w:styleId="FootnoteReference">
    <w:name w:val="footnote reference"/>
    <w:basedOn w:val="DefaultParagraphFont"/>
    <w:rsid w:val="00CE5436"/>
    <w:rPr>
      <w:vertAlign w:val="superscript"/>
    </w:rPr>
  </w:style>
  <w:style w:type="character" w:styleId="Hyperlink">
    <w:name w:val="Hyperlink"/>
    <w:basedOn w:val="DefaultParagraphFont"/>
    <w:rsid w:val="00C323A2"/>
    <w:rPr>
      <w:color w:val="0563C1" w:themeColor="hyperlink"/>
      <w:u w:val="single"/>
    </w:rPr>
  </w:style>
  <w:style w:type="character" w:styleId="UnresolvedMention">
    <w:name w:val="Unresolved Mention"/>
    <w:basedOn w:val="DefaultParagraphFont"/>
    <w:uiPriority w:val="99"/>
    <w:semiHidden/>
    <w:unhideWhenUsed/>
    <w:rsid w:val="00C323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88E5A-2967-4F86-B621-887BDD145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2907</TotalTime>
  <Pages>13</Pages>
  <Words>4667</Words>
  <Characters>26607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Kevin House</cp:lastModifiedBy>
  <cp:revision>613</cp:revision>
  <cp:lastPrinted>2011-03-31T19:57:00Z</cp:lastPrinted>
  <dcterms:created xsi:type="dcterms:W3CDTF">2022-04-30T18:46:00Z</dcterms:created>
  <dcterms:modified xsi:type="dcterms:W3CDTF">2022-05-02T21:17:00Z</dcterms:modified>
</cp:coreProperties>
</file>