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E0D9BF" w14:textId="77777777" w:rsidR="001904E0" w:rsidRDefault="001904E0"/>
    <w:p w14:paraId="263EAEA8" w14:textId="2409DC96" w:rsidR="002B4889" w:rsidRDefault="002B4889" w:rsidP="002B4889">
      <w:pPr>
        <w:spacing w:line="360" w:lineRule="auto"/>
        <w:rPr>
          <w:rFonts w:ascii="Arial" w:hAnsi="Arial" w:cs="Arial"/>
          <w:sz w:val="24"/>
          <w:szCs w:val="24"/>
        </w:rPr>
      </w:pPr>
      <w:r w:rsidRPr="002B4889">
        <w:rPr>
          <w:rFonts w:ascii="Arial" w:hAnsi="Arial" w:cs="Arial"/>
          <w:sz w:val="24"/>
          <w:szCs w:val="24"/>
        </w:rPr>
        <w:t>Contents</w:t>
      </w:r>
    </w:p>
    <w:p w14:paraId="5A1ECE21" w14:textId="35697D54" w:rsidR="002B4889" w:rsidRDefault="002B4889" w:rsidP="002B488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Well-being, Care and Healthy Lifestyles Poster</w:t>
      </w:r>
    </w:p>
    <w:p w14:paraId="658ECDE8" w14:textId="190F7652" w:rsidR="002B4889" w:rsidRDefault="007D4CD4" w:rsidP="002B488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Obesity</w:t>
      </w:r>
      <w:r w:rsidR="002B4889">
        <w:rPr>
          <w:rFonts w:ascii="Arial" w:hAnsi="Arial" w:cs="Arial"/>
          <w:sz w:val="24"/>
          <w:szCs w:val="24"/>
        </w:rPr>
        <w:t xml:space="preserve"> Presentation</w:t>
      </w:r>
    </w:p>
    <w:p w14:paraId="7187FBF1" w14:textId="5D549CA5" w:rsidR="002B4889" w:rsidRDefault="002B4889" w:rsidP="002B488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2A223483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26983188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1D3FEE71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180F36C0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0C250424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77AB07E1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59A7E42D" w14:textId="77777777" w:rsidR="00DF4A1E" w:rsidRDefault="00DF4A1E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6933FAD8" w14:textId="77777777" w:rsidR="00F9075F" w:rsidRDefault="00F9075F" w:rsidP="00DF4A1E">
      <w:pPr>
        <w:spacing w:line="360" w:lineRule="auto"/>
      </w:pPr>
    </w:p>
    <w:p w14:paraId="34EE940E" w14:textId="77777777" w:rsidR="00F9075F" w:rsidRDefault="00F9075F" w:rsidP="00DF4A1E">
      <w:pPr>
        <w:spacing w:line="360" w:lineRule="auto"/>
      </w:pPr>
    </w:p>
    <w:p w14:paraId="4562BC4E" w14:textId="77777777" w:rsidR="00F9075F" w:rsidRDefault="00F9075F" w:rsidP="00DF4A1E">
      <w:pPr>
        <w:spacing w:line="360" w:lineRule="auto"/>
      </w:pPr>
    </w:p>
    <w:p w14:paraId="3B3E48D9" w14:textId="77777777" w:rsidR="00F9075F" w:rsidRDefault="00F9075F" w:rsidP="00DF4A1E">
      <w:pPr>
        <w:spacing w:line="360" w:lineRule="auto"/>
      </w:pPr>
    </w:p>
    <w:p w14:paraId="6BE3DA54" w14:textId="77777777" w:rsidR="00F9075F" w:rsidRDefault="00F9075F" w:rsidP="00DF4A1E">
      <w:pPr>
        <w:spacing w:line="360" w:lineRule="auto"/>
      </w:pPr>
    </w:p>
    <w:p w14:paraId="521A5D67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785596B9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16DEC508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6A74306E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7F68351F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0E8E5C4C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30ECE02D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21AB35B3" w14:textId="77777777" w:rsidR="00F9075F" w:rsidRPr="007821DF" w:rsidRDefault="00F9075F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3F2CBB95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536E35E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0133357" w14:textId="62A618EF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9176942" wp14:editId="110A7512">
            <wp:extent cx="5731510" cy="3223895"/>
            <wp:effectExtent l="0" t="0" r="2540" b="0"/>
            <wp:docPr id="3178436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84362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A2ED0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3B51C52" w14:textId="6463750C" w:rsidR="00687D96" w:rsidRDefault="003656D8" w:rsidP="0064078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68E2AA5" wp14:editId="48FBBD6E">
            <wp:extent cx="5731510" cy="3223895"/>
            <wp:effectExtent l="0" t="0" r="2540" b="0"/>
            <wp:docPr id="21393931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39315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E2306" w14:textId="77777777" w:rsidR="003656D8" w:rsidRDefault="003656D8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9C9A013" w14:textId="3683417A" w:rsidR="003656D8" w:rsidRDefault="003656D8" w:rsidP="0064078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473B438" wp14:editId="470F28D0">
            <wp:extent cx="5731510" cy="3223895"/>
            <wp:effectExtent l="0" t="0" r="2540" b="0"/>
            <wp:docPr id="16628373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83737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C856CD" w14:textId="77777777" w:rsidR="003656D8" w:rsidRDefault="003656D8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A70E999" w14:textId="1967BA0B" w:rsidR="003656D8" w:rsidRDefault="003656D8" w:rsidP="0064078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B58F06B" wp14:editId="44511497">
            <wp:extent cx="5731510" cy="3223895"/>
            <wp:effectExtent l="0" t="0" r="2540" b="0"/>
            <wp:docPr id="16386448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64486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2C96B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17010D23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2749E1EF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780C37FA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AD74F90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BCD0C6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6ECBE0A4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2BAC0D22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1DAFE2EA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BA36B4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60246685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9EF49CE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260C514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2EB3A98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F06AE7A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636D542F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989E5C4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3A6FFE0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7909DC14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42BA9C1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05C842E5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15AC2499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B3AA8BD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A79BDC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1DB439F4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8508FC6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2728DD8A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A7856DC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2EE8DEE1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59B0E18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74ED52AB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635F5F50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786A261F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303C70C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0E9F0FAD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C81183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A032C1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674B2FB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2D7BFE5E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34AFFA1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A5C0A97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19BAE896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78679FFF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FAA7460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F03C2F0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58C67FAC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34A936E3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7C379742" w14:textId="77777777" w:rsidR="00687D96" w:rsidRDefault="00687D96" w:rsidP="0064078B">
      <w:pPr>
        <w:spacing w:line="360" w:lineRule="auto"/>
        <w:rPr>
          <w:rFonts w:ascii="Arial" w:hAnsi="Arial" w:cs="Arial"/>
          <w:sz w:val="24"/>
          <w:szCs w:val="24"/>
        </w:rPr>
      </w:pPr>
    </w:p>
    <w:p w14:paraId="48B6ABC0" w14:textId="5AAB6467" w:rsidR="00242F73" w:rsidRPr="0064078B" w:rsidRDefault="00F9075F" w:rsidP="0064078B">
      <w:pPr>
        <w:spacing w:line="360" w:lineRule="auto"/>
        <w:rPr>
          <w:rFonts w:ascii="Arial" w:hAnsi="Arial" w:cs="Arial"/>
          <w:sz w:val="24"/>
          <w:szCs w:val="24"/>
        </w:rPr>
      </w:pPr>
      <w:r w:rsidRPr="007821DF">
        <w:rPr>
          <w:rFonts w:ascii="Arial" w:hAnsi="Arial" w:cs="Arial"/>
          <w:sz w:val="24"/>
          <w:szCs w:val="24"/>
        </w:rPr>
        <w:t>References for poster:</w:t>
      </w:r>
    </w:p>
    <w:p w14:paraId="3EA08376" w14:textId="77777777" w:rsidR="00B9209C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E86B9A">
        <w:rPr>
          <w:rFonts w:ascii="Arial" w:hAnsi="Arial" w:cs="Arial"/>
          <w:sz w:val="24"/>
          <w:szCs w:val="24"/>
        </w:rPr>
        <w:t>Abou Jaoude, G.J., Leiva-Granados, R., Mcgranahan, R. </w:t>
      </w:r>
      <w:r w:rsidRPr="00E86B9A">
        <w:rPr>
          <w:rFonts w:ascii="Arial" w:hAnsi="Arial" w:cs="Arial"/>
          <w:i/>
          <w:iCs/>
          <w:sz w:val="24"/>
          <w:szCs w:val="24"/>
        </w:rPr>
        <w:t>et al.</w:t>
      </w:r>
      <w:r w:rsidRPr="00E86B9A">
        <w:rPr>
          <w:rFonts w:ascii="Arial" w:hAnsi="Arial" w:cs="Arial"/>
          <w:sz w:val="24"/>
          <w:szCs w:val="24"/>
        </w:rPr>
        <w:t> Universal Primary School Interventions to Improve Child Social–Emotional and Mental Health Outcomes: A Systematic Review of Economic Evaluations. </w:t>
      </w:r>
      <w:r w:rsidRPr="00E86B9A">
        <w:rPr>
          <w:rFonts w:ascii="Arial" w:hAnsi="Arial" w:cs="Arial"/>
          <w:i/>
          <w:iCs/>
          <w:sz w:val="24"/>
          <w:szCs w:val="24"/>
        </w:rPr>
        <w:t>School Mental Health</w:t>
      </w:r>
      <w:r w:rsidRPr="00E86B9A">
        <w:rPr>
          <w:rFonts w:ascii="Arial" w:hAnsi="Arial" w:cs="Arial"/>
          <w:sz w:val="24"/>
          <w:szCs w:val="24"/>
        </w:rPr>
        <w:t> </w:t>
      </w:r>
      <w:r w:rsidRPr="00E86B9A">
        <w:rPr>
          <w:rFonts w:ascii="Arial" w:hAnsi="Arial" w:cs="Arial"/>
          <w:b/>
          <w:bCs/>
          <w:sz w:val="24"/>
          <w:szCs w:val="24"/>
        </w:rPr>
        <w:t>16</w:t>
      </w:r>
      <w:r w:rsidRPr="00E86B9A">
        <w:rPr>
          <w:rFonts w:ascii="Arial" w:hAnsi="Arial" w:cs="Arial"/>
          <w:sz w:val="24"/>
          <w:szCs w:val="24"/>
        </w:rPr>
        <w:t>, 291–313 (2024). https://doi.org/10.1007/s12310-024-09642-0</w:t>
      </w:r>
    </w:p>
    <w:p w14:paraId="2EE01BA9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lastRenderedPageBreak/>
        <w:t xml:space="preserve">BBC (no date)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Positive lifestyle choices – the benefits </w:t>
      </w:r>
      <w:hyperlink r:id="rId15" w:history="1">
        <w:r w:rsidRPr="005879B5">
          <w:rPr>
            <w:rStyle w:val="Hyperlink"/>
            <w:rFonts w:ascii="Arial" w:hAnsi="Arial" w:cs="Arial"/>
            <w:sz w:val="24"/>
            <w:szCs w:val="24"/>
          </w:rPr>
          <w:t>Positive lifestyle choices – the benefits - Health and wellbeing - WJEC - GCSE Physical Education Revision - WJEC - BBC Bitesize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 29 May 2025).</w:t>
      </w:r>
    </w:p>
    <w:p w14:paraId="6691FB68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Care Learning (2024)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Examples of Maslow’s Hierachy of needs in early years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5879B5">
          <w:rPr>
            <w:rStyle w:val="Hyperlink"/>
            <w:rFonts w:ascii="Arial" w:hAnsi="Arial" w:cs="Arial"/>
            <w:sz w:val="24"/>
            <w:szCs w:val="24"/>
          </w:rPr>
          <w:t>Examples of Maslow’s Hierarchy of Needs in Early Years – Care Learning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 29 May 2025).</w:t>
      </w:r>
    </w:p>
    <w:p w14:paraId="0966BCE5" w14:textId="77777777" w:rsidR="00B9209C" w:rsidRPr="005879B5" w:rsidRDefault="00B9209C" w:rsidP="0064078B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Dahlgren, G,. Whitehead, M. (2021) ‘The Dahlgren-Whitehead model of health determinants: 30 years on and still chasing rainbows. </w:t>
      </w:r>
      <w:r w:rsidRPr="005879B5">
        <w:rPr>
          <w:rFonts w:ascii="Arial" w:hAnsi="Arial" w:cs="Arial"/>
          <w:i/>
          <w:iCs/>
          <w:sz w:val="24"/>
          <w:szCs w:val="24"/>
        </w:rPr>
        <w:t>Public Health. Available on Moodle.</w:t>
      </w:r>
    </w:p>
    <w:p w14:paraId="45695730" w14:textId="77777777" w:rsidR="00B9209C" w:rsidRPr="005879B5" w:rsidRDefault="00B9209C" w:rsidP="00A70AB0">
      <w:pPr>
        <w:spacing w:after="0" w:line="240" w:lineRule="auto"/>
        <w:divId w:val="1209027594"/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</w:pPr>
      <w:r w:rsidRPr="005879B5"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>Department for education (2023) </w:t>
      </w:r>
      <w:r w:rsidRPr="005879B5">
        <w:rPr>
          <w:rFonts w:ascii="Arial" w:eastAsiaTheme="minorEastAsia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Mental health for early years children </w:t>
      </w:r>
      <w:r w:rsidRPr="005879B5"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>Available at:</w:t>
      </w:r>
      <w:r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hyperlink r:id="rId17" w:history="1">
        <w:r w:rsidRPr="005879B5">
          <w:rPr>
            <w:rFonts w:ascii="Arial" w:eastAsiaTheme="minorEastAsia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Help for early years providers : Mental health for early years children</w:t>
        </w:r>
      </w:hyperlink>
      <w:r w:rsidRPr="005879B5">
        <w:rPr>
          <w:rFonts w:ascii="Arial" w:eastAsiaTheme="minorEastAsia" w:hAnsi="Arial" w:cs="Arial"/>
          <w:kern w:val="0"/>
          <w:sz w:val="24"/>
          <w:szCs w:val="24"/>
          <w:lang w:eastAsia="en-GB"/>
          <w14:ligatures w14:val="none"/>
        </w:rPr>
        <w:t xml:space="preserve"> (Accessed: 28 May 2025).</w:t>
      </w:r>
    </w:p>
    <w:p w14:paraId="7542968A" w14:textId="77777777" w:rsidR="00B9209C" w:rsidRPr="005879B5" w:rsidRDefault="00B9209C" w:rsidP="008D0B4C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Early Years Careers (no date) </w:t>
      </w:r>
      <w:r w:rsidRPr="005879B5">
        <w:rPr>
          <w:rFonts w:ascii="Arial" w:hAnsi="Arial" w:cs="Arial"/>
          <w:i/>
          <w:iCs/>
          <w:sz w:val="24"/>
          <w:szCs w:val="24"/>
        </w:rPr>
        <w:t>Boost Child Wellbeing with Health Education in Early Years Settings 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5879B5">
          <w:rPr>
            <w:rStyle w:val="Hyperlink"/>
            <w:rFonts w:ascii="Arial" w:hAnsi="Arial" w:cs="Arial"/>
            <w:sz w:val="24"/>
            <w:szCs w:val="24"/>
          </w:rPr>
          <w:t>Boost Child Wellbeing With Health Education In Early Years Settings  - Early Years Careers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(accessed:27 May 2025).</w:t>
      </w:r>
    </w:p>
    <w:p w14:paraId="16961EA0" w14:textId="77777777" w:rsidR="00B9209C" w:rsidRPr="005879B5" w:rsidRDefault="00B9209C" w:rsidP="009636D2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El Zaatari, W., &amp; Maalouf, I. (2022). How the Bronfenbrenner Bio-ecological System Theory Explains the Development of Students’ Sense of Belonging to School? </w:t>
      </w:r>
      <w:r w:rsidRPr="005879B5">
        <w:rPr>
          <w:rFonts w:ascii="Arial" w:hAnsi="Arial" w:cs="Arial"/>
          <w:i/>
          <w:iCs/>
          <w:sz w:val="24"/>
          <w:szCs w:val="24"/>
        </w:rPr>
        <w:t>SAGE Open</w:t>
      </w:r>
      <w:r w:rsidRPr="005879B5">
        <w:rPr>
          <w:rFonts w:ascii="Arial" w:hAnsi="Arial" w:cs="Arial"/>
          <w:sz w:val="24"/>
          <w:szCs w:val="24"/>
        </w:rPr>
        <w:t xml:space="preserve">, </w:t>
      </w:r>
      <w:r w:rsidRPr="005879B5">
        <w:rPr>
          <w:rFonts w:ascii="Arial" w:hAnsi="Arial" w:cs="Arial"/>
          <w:i/>
          <w:iCs/>
          <w:sz w:val="24"/>
          <w:szCs w:val="24"/>
        </w:rPr>
        <w:t>12</w:t>
      </w:r>
      <w:r w:rsidRPr="005879B5">
        <w:rPr>
          <w:rFonts w:ascii="Arial" w:hAnsi="Arial" w:cs="Arial"/>
          <w:sz w:val="24"/>
          <w:szCs w:val="24"/>
        </w:rPr>
        <w:t xml:space="preserve">(4). </w:t>
      </w:r>
      <w:hyperlink r:id="rId19" w:history="1">
        <w:r w:rsidRPr="005879B5">
          <w:rPr>
            <w:rStyle w:val="Hyperlink"/>
            <w:rFonts w:ascii="Arial" w:hAnsi="Arial" w:cs="Arial"/>
            <w:sz w:val="24"/>
            <w:szCs w:val="24"/>
          </w:rPr>
          <w:t>https://doi.org/10.1177/21582440221134089</w:t>
        </w:r>
      </w:hyperlink>
      <w:r w:rsidRPr="005879B5">
        <w:rPr>
          <w:rFonts w:ascii="Arial" w:hAnsi="Arial" w:cs="Arial"/>
          <w:sz w:val="24"/>
          <w:szCs w:val="24"/>
        </w:rPr>
        <w:t xml:space="preserve"> (Original work published 2022)</w:t>
      </w:r>
    </w:p>
    <w:p w14:paraId="1821A895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>Farhud D. D. (2015). Impact of Lifestyle on Health. </w:t>
      </w:r>
      <w:r w:rsidRPr="005879B5">
        <w:rPr>
          <w:rFonts w:ascii="Arial" w:hAnsi="Arial" w:cs="Arial"/>
          <w:i/>
          <w:iCs/>
          <w:sz w:val="24"/>
          <w:szCs w:val="24"/>
        </w:rPr>
        <w:t>Iranian journal of public health</w:t>
      </w:r>
      <w:r w:rsidRPr="005879B5">
        <w:rPr>
          <w:rFonts w:ascii="Arial" w:hAnsi="Arial" w:cs="Arial"/>
          <w:sz w:val="24"/>
          <w:szCs w:val="24"/>
        </w:rPr>
        <w:t>, </w:t>
      </w:r>
      <w:r w:rsidRPr="005879B5">
        <w:rPr>
          <w:rFonts w:ascii="Arial" w:hAnsi="Arial" w:cs="Arial"/>
          <w:i/>
          <w:iCs/>
          <w:sz w:val="24"/>
          <w:szCs w:val="24"/>
        </w:rPr>
        <w:t>44</w:t>
      </w:r>
      <w:r w:rsidRPr="005879B5">
        <w:rPr>
          <w:rFonts w:ascii="Arial" w:hAnsi="Arial" w:cs="Arial"/>
          <w:sz w:val="24"/>
          <w:szCs w:val="24"/>
        </w:rPr>
        <w:t>(11), 1442–1444.</w:t>
      </w:r>
    </w:p>
    <w:p w14:paraId="5E4D2868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Foundation Years (2023)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Health and well-being Available at: </w:t>
      </w:r>
      <w:hyperlink r:id="rId20" w:history="1">
        <w:r w:rsidRPr="005879B5">
          <w:rPr>
            <w:rStyle w:val="Hyperlink"/>
            <w:rFonts w:ascii="Arial" w:hAnsi="Arial" w:cs="Arial"/>
            <w:sz w:val="24"/>
            <w:szCs w:val="24"/>
          </w:rPr>
          <w:t>https://www.foundationyears.org.uk/2023/10/health-and-wellbeing-2/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(accessed:26 May 2025).</w:t>
      </w:r>
    </w:p>
    <w:p w14:paraId="5113F42C" w14:textId="77777777" w:rsidR="00B9209C" w:rsidRPr="005879B5" w:rsidRDefault="00B9209C" w:rsidP="0050441A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Gov.uk (2016)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Health matters: giving every child the best start in life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5879B5">
          <w:rPr>
            <w:rStyle w:val="Hyperlink"/>
            <w:rFonts w:ascii="Arial" w:hAnsi="Arial" w:cs="Arial"/>
            <w:sz w:val="24"/>
            <w:szCs w:val="24"/>
          </w:rPr>
          <w:t>Health matters: giving every child the best start in life - GOV.UK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(accessed:27 May 2025).</w:t>
      </w:r>
    </w:p>
    <w:p w14:paraId="058B2663" w14:textId="77777777" w:rsidR="00B9209C" w:rsidRPr="005879B5" w:rsidRDefault="00B9209C" w:rsidP="0064078B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Gov.uk (2017)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Chapter 6: Social determinants of health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5879B5">
          <w:rPr>
            <w:rStyle w:val="Hyperlink"/>
            <w:rFonts w:ascii="Arial" w:hAnsi="Arial" w:cs="Arial"/>
            <w:sz w:val="24"/>
            <w:szCs w:val="24"/>
          </w:rPr>
          <w:t>Chapter 6: social determinants of health - GOV.UK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(accessed:27 May 2025).</w:t>
      </w:r>
    </w:p>
    <w:p w14:paraId="464C54BE" w14:textId="77777777" w:rsidR="00B9209C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(2025) </w:t>
      </w:r>
      <w:r>
        <w:rPr>
          <w:rFonts w:ascii="Arial" w:hAnsi="Arial" w:cs="Arial"/>
          <w:i/>
          <w:iCs/>
          <w:sz w:val="24"/>
          <w:szCs w:val="24"/>
        </w:rPr>
        <w:t xml:space="preserve">Nutrition </w:t>
      </w:r>
      <w:r>
        <w:rPr>
          <w:rFonts w:ascii="Arial" w:hAnsi="Arial" w:cs="Arial"/>
          <w:sz w:val="24"/>
          <w:szCs w:val="24"/>
        </w:rPr>
        <w:t>Available at:</w:t>
      </w:r>
      <w:r w:rsidRPr="002D58C3">
        <w:rPr>
          <w:rFonts w:ascii="Arial" w:hAnsi="Arial" w:cs="Arial"/>
          <w:sz w:val="24"/>
          <w:szCs w:val="24"/>
        </w:rPr>
        <w:t xml:space="preserve"> </w:t>
      </w:r>
      <w:hyperlink r:id="rId23" w:history="1">
        <w:r w:rsidRPr="002D58C3">
          <w:rPr>
            <w:rStyle w:val="Hyperlink"/>
            <w:rFonts w:ascii="Arial" w:hAnsi="Arial" w:cs="Arial"/>
            <w:sz w:val="24"/>
            <w:szCs w:val="24"/>
          </w:rPr>
          <w:t>Help for early years providers : Nutrition</w:t>
        </w:r>
      </w:hyperlink>
      <w:r>
        <w:rPr>
          <w:rFonts w:ascii="Arial" w:hAnsi="Arial" w:cs="Arial"/>
          <w:sz w:val="24"/>
          <w:szCs w:val="24"/>
        </w:rPr>
        <w:t xml:space="preserve"> (accessed: 1 June 2025).</w:t>
      </w:r>
    </w:p>
    <w:p w14:paraId="795BE060" w14:textId="77777777" w:rsidR="00B9209C" w:rsidRPr="005879B5" w:rsidRDefault="00B9209C" w:rsidP="00E17FAF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lastRenderedPageBreak/>
        <w:t xml:space="preserve">Holmes, J. (2014) </w:t>
      </w:r>
      <w:r w:rsidRPr="005879B5">
        <w:rPr>
          <w:rFonts w:ascii="Arial" w:hAnsi="Arial" w:cs="Arial"/>
          <w:i/>
          <w:iCs/>
          <w:sz w:val="24"/>
          <w:szCs w:val="24"/>
        </w:rPr>
        <w:t>John Bowlby and attachment theory</w:t>
      </w:r>
      <w:r w:rsidRPr="005879B5">
        <w:rPr>
          <w:rFonts w:ascii="Arial" w:hAnsi="Arial" w:cs="Arial"/>
          <w:sz w:val="24"/>
          <w:szCs w:val="24"/>
        </w:rPr>
        <w:t>. Second edition. London ; Routledge, Taylor &amp; Francis Group.</w:t>
      </w:r>
    </w:p>
    <w:p w14:paraId="54BBBD88" w14:textId="77777777" w:rsidR="00B9209C" w:rsidRDefault="00B9209C" w:rsidP="003873A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Learning Journals (no date) </w:t>
      </w:r>
      <w:r w:rsidRPr="00352D14">
        <w:rPr>
          <w:rFonts w:ascii="Arial" w:hAnsi="Arial" w:cs="Arial"/>
          <w:i/>
          <w:iCs/>
          <w:sz w:val="24"/>
          <w:szCs w:val="24"/>
        </w:rPr>
        <w:t>What is Leuven scale and how to use it.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Pr="00376B09">
        <w:t xml:space="preserve"> </w:t>
      </w:r>
      <w:hyperlink r:id="rId24" w:history="1">
        <w:r w:rsidRPr="00376B09">
          <w:rPr>
            <w:rStyle w:val="Hyperlink"/>
            <w:rFonts w:ascii="Arial" w:hAnsi="Arial" w:cs="Arial"/>
            <w:sz w:val="24"/>
            <w:szCs w:val="24"/>
          </w:rPr>
          <w:t>What Is the Leuven Scale and How to Use it</w:t>
        </w:r>
      </w:hyperlink>
      <w:r>
        <w:rPr>
          <w:rFonts w:ascii="Arial" w:hAnsi="Arial" w:cs="Arial"/>
          <w:sz w:val="24"/>
          <w:szCs w:val="24"/>
        </w:rPr>
        <w:t xml:space="preserve"> (accessed: 1 June 2025).</w:t>
      </w:r>
    </w:p>
    <w:p w14:paraId="4162F195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>Mandelli, Laura et al. “Unhealthy lifestyle impacts on biological systems involved in stress response: hypothalamic-pituitary-adrenal axis, inflammation and autonomous nervous system.” </w:t>
      </w:r>
      <w:r w:rsidRPr="005879B5">
        <w:rPr>
          <w:rFonts w:ascii="Arial" w:hAnsi="Arial" w:cs="Arial"/>
          <w:i/>
          <w:iCs/>
          <w:sz w:val="24"/>
          <w:szCs w:val="24"/>
        </w:rPr>
        <w:t>International clinical psychopharmacology</w:t>
      </w:r>
      <w:r w:rsidRPr="005879B5">
        <w:rPr>
          <w:rFonts w:ascii="Arial" w:hAnsi="Arial" w:cs="Arial"/>
          <w:sz w:val="24"/>
          <w:szCs w:val="24"/>
        </w:rPr>
        <w:t> vol. 38,3 (2023): 127-135. doi:10.1097/YIC.0000000000000437</w:t>
      </w:r>
    </w:p>
    <w:p w14:paraId="0BDABF8B" w14:textId="77777777" w:rsidR="00B9209C" w:rsidRDefault="00B9209C" w:rsidP="003873A7">
      <w:pPr>
        <w:spacing w:line="360" w:lineRule="auto"/>
        <w:rPr>
          <w:rFonts w:ascii="Arial" w:hAnsi="Arial" w:cs="Arial"/>
          <w:sz w:val="24"/>
          <w:szCs w:val="24"/>
        </w:rPr>
      </w:pPr>
      <w:r w:rsidRPr="003873A7">
        <w:rPr>
          <w:rFonts w:ascii="Arial" w:hAnsi="Arial" w:cs="Arial"/>
          <w:i/>
          <w:iCs/>
          <w:sz w:val="24"/>
          <w:szCs w:val="24"/>
        </w:rPr>
        <w:t>Manning-Morton, J. (2014) Exploring Wellbeing in the Early Years. McGraw Hill Publishing.</w:t>
      </w:r>
      <w:r>
        <w:rPr>
          <w:rFonts w:ascii="Arial" w:hAnsi="Arial" w:cs="Arial"/>
          <w:sz w:val="24"/>
          <w:szCs w:val="24"/>
        </w:rPr>
        <w:t xml:space="preserve"> </w:t>
      </w:r>
      <w:r w:rsidRPr="003873A7">
        <w:rPr>
          <w:rFonts w:ascii="Arial" w:hAnsi="Arial" w:cs="Arial"/>
          <w:sz w:val="24"/>
          <w:szCs w:val="24"/>
        </w:rPr>
        <w:t xml:space="preserve">Play Wales (2021) Developing and managing play spaces – a new toolkit. </w:t>
      </w:r>
      <w:r>
        <w:rPr>
          <w:rFonts w:ascii="Arial" w:hAnsi="Arial" w:cs="Arial"/>
          <w:sz w:val="24"/>
          <w:szCs w:val="24"/>
        </w:rPr>
        <w:t>(A</w:t>
      </w:r>
      <w:r w:rsidRPr="003873A7">
        <w:rPr>
          <w:rFonts w:ascii="Arial" w:hAnsi="Arial" w:cs="Arial"/>
          <w:sz w:val="24"/>
          <w:szCs w:val="24"/>
        </w:rPr>
        <w:t xml:space="preserve">vailable </w:t>
      </w:r>
      <w:r>
        <w:rPr>
          <w:rFonts w:ascii="Arial" w:hAnsi="Arial" w:cs="Arial"/>
          <w:sz w:val="24"/>
          <w:szCs w:val="24"/>
        </w:rPr>
        <w:t>at:</w:t>
      </w:r>
      <w:r w:rsidRPr="003873A7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3873A7">
          <w:rPr>
            <w:rStyle w:val="Hyperlink"/>
            <w:rFonts w:ascii="Arial" w:hAnsi="Arial" w:cs="Arial"/>
            <w:sz w:val="24"/>
            <w:szCs w:val="24"/>
          </w:rPr>
          <w:t>https://www.playwales.org.uk/eng/news/1534-developing-and-managing-play-spaces--</w:t>
        </w:r>
      </w:hyperlink>
      <w:hyperlink r:id="rId26" w:history="1">
        <w:r w:rsidRPr="003873A7">
          <w:rPr>
            <w:rStyle w:val="Hyperlink"/>
            <w:rFonts w:ascii="Arial" w:hAnsi="Arial" w:cs="Arial"/>
            <w:sz w:val="24"/>
            <w:szCs w:val="24"/>
          </w:rPr>
          <w:t>a-new-toolkit</w:t>
        </w:r>
      </w:hyperlink>
      <w:r>
        <w:rPr>
          <w:rFonts w:ascii="Arial" w:hAnsi="Arial" w:cs="Arial"/>
          <w:sz w:val="24"/>
          <w:szCs w:val="24"/>
        </w:rPr>
        <w:t xml:space="preserve"> (accessed: 1 June 2025).</w:t>
      </w:r>
    </w:p>
    <w:p w14:paraId="61F2E5E0" w14:textId="77777777" w:rsidR="00B9209C" w:rsidRPr="005879B5" w:rsidRDefault="00B9209C" w:rsidP="0050441A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Marmot, M. (2010)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Fair Society, Healthy Lives: Strategic review of health inequalities in England Post-2010, </w:t>
      </w:r>
      <w:r w:rsidRPr="005879B5">
        <w:rPr>
          <w:rFonts w:ascii="Arial" w:hAnsi="Arial" w:cs="Arial"/>
          <w:sz w:val="24"/>
          <w:szCs w:val="24"/>
        </w:rPr>
        <w:t>The Marmot Review.</w:t>
      </w:r>
    </w:p>
    <w:p w14:paraId="3E69ACEC" w14:textId="77777777" w:rsidR="00B9209C" w:rsidRPr="005879B5" w:rsidRDefault="00B9209C" w:rsidP="0050441A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>Musgrave, J. (2017) Supporting children’s mental health and well-being. London: Sage Publications.</w:t>
      </w:r>
    </w:p>
    <w:p w14:paraId="771BBECF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NSPCC Learning (2021)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Promoting mental health and well-being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5879B5">
          <w:rPr>
            <w:rStyle w:val="Hyperlink"/>
            <w:rFonts w:ascii="Arial" w:hAnsi="Arial" w:cs="Arial"/>
            <w:sz w:val="24"/>
            <w:szCs w:val="24"/>
          </w:rPr>
          <w:t>Promoting mental health and wellbeing | NSPCC Learning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 28 May 2025).</w:t>
      </w:r>
    </w:p>
    <w:p w14:paraId="7E740CAC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>Ochieng B. M. (2006). Factors affecting choice of a healthy lifestyle: implications for nurses. </w:t>
      </w:r>
      <w:r w:rsidRPr="005879B5">
        <w:rPr>
          <w:rFonts w:ascii="Arial" w:hAnsi="Arial" w:cs="Arial"/>
          <w:i/>
          <w:iCs/>
          <w:sz w:val="24"/>
          <w:szCs w:val="24"/>
        </w:rPr>
        <w:t>British journal of community nursing</w:t>
      </w:r>
      <w:r w:rsidRPr="005879B5">
        <w:rPr>
          <w:rFonts w:ascii="Arial" w:hAnsi="Arial" w:cs="Arial"/>
          <w:sz w:val="24"/>
          <w:szCs w:val="24"/>
        </w:rPr>
        <w:t>, </w:t>
      </w:r>
      <w:r w:rsidRPr="005879B5">
        <w:rPr>
          <w:rFonts w:ascii="Arial" w:hAnsi="Arial" w:cs="Arial"/>
          <w:i/>
          <w:iCs/>
          <w:sz w:val="24"/>
          <w:szCs w:val="24"/>
        </w:rPr>
        <w:t>11</w:t>
      </w:r>
      <w:r w:rsidRPr="005879B5">
        <w:rPr>
          <w:rFonts w:ascii="Arial" w:hAnsi="Arial" w:cs="Arial"/>
          <w:sz w:val="24"/>
          <w:szCs w:val="24"/>
        </w:rPr>
        <w:t>(2), 78–81. https://doi.org/10.12968/bjcn.2006.11.2.20445</w:t>
      </w:r>
    </w:p>
    <w:p w14:paraId="45171DE4" w14:textId="77777777" w:rsidR="00B9209C" w:rsidRPr="005879B5" w:rsidRDefault="00B9209C" w:rsidP="0050441A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>Oleribe, Obinna Ositadimma et al. “Health: redefined.” </w:t>
      </w:r>
      <w:r w:rsidRPr="005879B5">
        <w:rPr>
          <w:rFonts w:ascii="Arial" w:hAnsi="Arial" w:cs="Arial"/>
          <w:i/>
          <w:iCs/>
          <w:sz w:val="24"/>
          <w:szCs w:val="24"/>
        </w:rPr>
        <w:t>The Pan African medical journal</w:t>
      </w:r>
      <w:r w:rsidRPr="005879B5">
        <w:rPr>
          <w:rFonts w:ascii="Arial" w:hAnsi="Arial" w:cs="Arial"/>
          <w:sz w:val="24"/>
          <w:szCs w:val="24"/>
        </w:rPr>
        <w:t> vol. 30 292. 24 Aug. 2018, doi:10.11604/pamj.2018.30.292.15436</w:t>
      </w:r>
    </w:p>
    <w:p w14:paraId="22E293F7" w14:textId="77777777" w:rsidR="00B9209C" w:rsidRPr="005879B5" w:rsidRDefault="00B9209C" w:rsidP="005041CC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Raihan, N., &amp; Cogburn, M.(2022)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Stages of Change Model (Transtheoretical Model)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5879B5">
          <w:rPr>
            <w:rStyle w:val="Hyperlink"/>
            <w:rFonts w:ascii="Arial" w:hAnsi="Arial" w:cs="Arial"/>
            <w:sz w:val="24"/>
            <w:szCs w:val="24"/>
          </w:rPr>
          <w:t>Stages of Change Model - Rural Health Promotion and Disease Prevention Toolkit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 31 May 2025).</w:t>
      </w:r>
    </w:p>
    <w:p w14:paraId="69531FED" w14:textId="77777777" w:rsidR="00B9209C" w:rsidRPr="005879B5" w:rsidRDefault="00B9209C" w:rsidP="005041CC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Seong, J., (2024) </w:t>
      </w:r>
      <w:r w:rsidRPr="005879B5">
        <w:rPr>
          <w:rFonts w:ascii="Arial" w:hAnsi="Arial" w:cs="Arial"/>
          <w:i/>
          <w:iCs/>
          <w:sz w:val="24"/>
          <w:szCs w:val="24"/>
        </w:rPr>
        <w:t>Progressing through the pyramid of needs Available at:</w:t>
      </w:r>
      <w:r w:rsidRPr="005879B5">
        <w:rPr>
          <w:rFonts w:ascii="Arial" w:hAnsi="Arial" w:cs="Arial"/>
          <w:sz w:val="24"/>
          <w:szCs w:val="24"/>
        </w:rPr>
        <w:t xml:space="preserve"> </w:t>
      </w:r>
      <w:hyperlink r:id="rId29" w:history="1">
        <w:r w:rsidRPr="005879B5">
          <w:rPr>
            <w:rStyle w:val="Hyperlink"/>
            <w:rFonts w:ascii="Arial" w:hAnsi="Arial" w:cs="Arial"/>
            <w:sz w:val="24"/>
            <w:szCs w:val="24"/>
          </w:rPr>
          <w:t>Maslow's Hierarchy of Needs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 31 May 2025).</w:t>
      </w:r>
    </w:p>
    <w:p w14:paraId="34FCC5F4" w14:textId="77777777" w:rsidR="00B9209C" w:rsidRPr="005879B5" w:rsidRDefault="00B9209C" w:rsidP="007D2607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lastRenderedPageBreak/>
        <w:t xml:space="preserve">Statham, J and Chase, E (2010) </w:t>
      </w:r>
      <w:r w:rsidRPr="005879B5">
        <w:rPr>
          <w:rFonts w:ascii="Arial" w:hAnsi="Arial" w:cs="Arial"/>
          <w:i/>
          <w:iCs/>
          <w:sz w:val="24"/>
          <w:szCs w:val="24"/>
        </w:rPr>
        <w:t>Childhood Wellbeing: A brief overview. Loughborough: Childhood Wellbeing Research Centre.</w:t>
      </w:r>
    </w:p>
    <w:p w14:paraId="6042E8F9" w14:textId="77777777" w:rsidR="00B9209C" w:rsidRDefault="00B9209C" w:rsidP="00D7147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(no date) </w:t>
      </w:r>
      <w:r w:rsidRPr="00D71475">
        <w:rPr>
          <w:rFonts w:ascii="Arial" w:hAnsi="Arial" w:cs="Arial"/>
          <w:i/>
          <w:iCs/>
          <w:sz w:val="24"/>
          <w:szCs w:val="24"/>
        </w:rPr>
        <w:t>The Convention on the Rights of the Child: The children’s version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Pr="00B9209C">
        <w:t xml:space="preserve"> </w:t>
      </w:r>
      <w:hyperlink r:id="rId30" w:anchor=":~:text=42.,everyone%20knows%20about%20children's%20rights." w:history="1">
        <w:r w:rsidRPr="00B9209C">
          <w:rPr>
            <w:rStyle w:val="Hyperlink"/>
            <w:rFonts w:ascii="Arial" w:hAnsi="Arial" w:cs="Arial"/>
            <w:sz w:val="24"/>
            <w:szCs w:val="24"/>
          </w:rPr>
          <w:t>The Convention on the Rights of the Child: The children’s version | UNICEF</w:t>
        </w:r>
      </w:hyperlink>
      <w:r>
        <w:rPr>
          <w:rFonts w:ascii="Arial" w:hAnsi="Arial" w:cs="Arial"/>
          <w:sz w:val="24"/>
          <w:szCs w:val="24"/>
        </w:rPr>
        <w:t xml:space="preserve"> (accessed: 1 June 2025).</w:t>
      </w:r>
    </w:p>
    <w:p w14:paraId="01F06F4E" w14:textId="77777777" w:rsidR="00B9209C" w:rsidRPr="005879B5" w:rsidRDefault="00B9209C" w:rsidP="00DF4A1E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Welsh Government (2021)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Framework on embedding a whole-school approach to emotional and mental well-being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5879B5">
          <w:rPr>
            <w:rStyle w:val="Hyperlink"/>
            <w:rFonts w:ascii="Arial" w:hAnsi="Arial" w:cs="Arial"/>
            <w:sz w:val="24"/>
            <w:szCs w:val="24"/>
          </w:rPr>
          <w:t>WG42005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 28 May 2025).</w:t>
      </w:r>
    </w:p>
    <w:p w14:paraId="7FEAA473" w14:textId="77777777" w:rsidR="00B9209C" w:rsidRPr="005879B5" w:rsidRDefault="00B9209C" w:rsidP="0064078B">
      <w:pPr>
        <w:spacing w:line="360" w:lineRule="auto"/>
        <w:rPr>
          <w:rFonts w:ascii="Arial" w:hAnsi="Arial" w:cs="Arial"/>
          <w:sz w:val="24"/>
          <w:szCs w:val="24"/>
        </w:rPr>
      </w:pPr>
      <w:r w:rsidRPr="005879B5">
        <w:rPr>
          <w:rFonts w:ascii="Arial" w:hAnsi="Arial" w:cs="Arial"/>
          <w:sz w:val="24"/>
          <w:szCs w:val="24"/>
        </w:rPr>
        <w:t xml:space="preserve">WHO (2024) </w:t>
      </w:r>
      <w:r w:rsidRPr="005879B5">
        <w:rPr>
          <w:rFonts w:ascii="Arial" w:hAnsi="Arial" w:cs="Arial"/>
          <w:i/>
          <w:iCs/>
          <w:sz w:val="24"/>
          <w:szCs w:val="24"/>
        </w:rPr>
        <w:t xml:space="preserve">Determinants of health </w:t>
      </w:r>
      <w:r w:rsidRPr="005879B5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5879B5">
          <w:rPr>
            <w:rStyle w:val="Hyperlink"/>
            <w:rFonts w:ascii="Arial" w:hAnsi="Arial" w:cs="Arial"/>
            <w:sz w:val="24"/>
            <w:szCs w:val="24"/>
          </w:rPr>
          <w:t>Determinants of health</w:t>
        </w:r>
      </w:hyperlink>
      <w:r w:rsidRPr="005879B5">
        <w:rPr>
          <w:rFonts w:ascii="Arial" w:hAnsi="Arial" w:cs="Arial"/>
          <w:sz w:val="24"/>
          <w:szCs w:val="24"/>
        </w:rPr>
        <w:t xml:space="preserve"> (accessed:27 May 2025).</w:t>
      </w:r>
    </w:p>
    <w:p w14:paraId="3B38B4EF" w14:textId="77777777" w:rsidR="00B9209C" w:rsidRPr="00D71475" w:rsidRDefault="00B9209C" w:rsidP="00D714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962AD76" w14:textId="5DC03719" w:rsidR="00376B09" w:rsidRPr="003873A7" w:rsidRDefault="00376B09" w:rsidP="003873A7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42C932A1" w14:textId="77777777" w:rsidR="002D58C3" w:rsidRPr="000359C7" w:rsidRDefault="002D58C3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549C8DED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5EB13113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004FEE46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368A4B96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14A27164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030BDB68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2E400F89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358247EF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5D74A712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5817CE26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2469E4AA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03D22432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71FA2EBF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28DBE3A4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723AE41D" w14:textId="77777777" w:rsidR="00C84F95" w:rsidRDefault="00C84F95" w:rsidP="00DF4A1E">
      <w:pPr>
        <w:spacing w:line="360" w:lineRule="auto"/>
        <w:rPr>
          <w:rFonts w:ascii="Arial" w:hAnsi="Arial" w:cs="Arial"/>
          <w:sz w:val="24"/>
          <w:szCs w:val="24"/>
        </w:rPr>
      </w:pPr>
    </w:p>
    <w:p w14:paraId="4853D4C9" w14:textId="70B153AE" w:rsidR="00C84F95" w:rsidRPr="00C84F95" w:rsidRDefault="00C84F95" w:rsidP="00DF4A1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C84F95">
        <w:rPr>
          <w:rFonts w:ascii="Arial" w:hAnsi="Arial" w:cs="Arial"/>
          <w:b/>
          <w:bCs/>
          <w:sz w:val="24"/>
          <w:szCs w:val="24"/>
          <w:u w:val="single"/>
        </w:rPr>
        <w:t>References for presentation</w:t>
      </w:r>
    </w:p>
    <w:sectPr w:rsidR="00C84F95" w:rsidRPr="00C84F95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056D71" w14:textId="77777777" w:rsidR="003D4532" w:rsidRDefault="003D4532" w:rsidP="002B4889">
      <w:pPr>
        <w:spacing w:after="0" w:line="240" w:lineRule="auto"/>
      </w:pPr>
      <w:r>
        <w:separator/>
      </w:r>
    </w:p>
  </w:endnote>
  <w:endnote w:type="continuationSeparator" w:id="0">
    <w:p w14:paraId="543929DE" w14:textId="77777777" w:rsidR="003D4532" w:rsidRDefault="003D4532" w:rsidP="002B48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0000000000000000000"/>
    <w:charset w:val="00"/>
    <w:family w:val="roman"/>
    <w:notTrueType/>
    <w:pitch w:val="default"/>
  </w:font>
  <w:font w:name="UICTFontTextStyleBody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130398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A76D18" w14:textId="489F8508" w:rsidR="002B4889" w:rsidRDefault="002B488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B227EE" w14:textId="77777777" w:rsidR="002B4889" w:rsidRDefault="002B48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FB46E5" w14:textId="77777777" w:rsidR="003D4532" w:rsidRDefault="003D4532" w:rsidP="002B4889">
      <w:pPr>
        <w:spacing w:after="0" w:line="240" w:lineRule="auto"/>
      </w:pPr>
      <w:r>
        <w:separator/>
      </w:r>
    </w:p>
  </w:footnote>
  <w:footnote w:type="continuationSeparator" w:id="0">
    <w:p w14:paraId="17AFCC64" w14:textId="77777777" w:rsidR="003D4532" w:rsidRDefault="003D4532" w:rsidP="002B48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7EE019" w14:textId="40955A9A" w:rsidR="002B4889" w:rsidRPr="002B4889" w:rsidRDefault="002B4889">
    <w:pPr>
      <w:pStyle w:val="Header"/>
      <w:rPr>
        <w:rFonts w:ascii="Arial" w:hAnsi="Arial" w:cs="Arial"/>
        <w:sz w:val="24"/>
        <w:szCs w:val="24"/>
      </w:rPr>
    </w:pPr>
    <w:r w:rsidRPr="002B4889">
      <w:rPr>
        <w:rFonts w:ascii="Arial" w:hAnsi="Arial" w:cs="Arial"/>
        <w:sz w:val="24"/>
        <w:szCs w:val="24"/>
      </w:rPr>
      <w:t>ECEY</w:t>
    </w:r>
    <w:r>
      <w:rPr>
        <w:rFonts w:ascii="Arial" w:hAnsi="Arial" w:cs="Arial"/>
        <w:sz w:val="24"/>
        <w:szCs w:val="24"/>
      </w:rPr>
      <w:t>5009</w:t>
    </w:r>
  </w:p>
  <w:p w14:paraId="301E67B3" w14:textId="01387227" w:rsidR="002B4889" w:rsidRPr="002B4889" w:rsidRDefault="002B4889">
    <w:pPr>
      <w:pStyle w:val="Header"/>
      <w:rPr>
        <w:rFonts w:ascii="Arial" w:hAnsi="Arial" w:cs="Arial"/>
        <w:sz w:val="24"/>
        <w:szCs w:val="24"/>
      </w:rPr>
    </w:pPr>
    <w:r w:rsidRPr="002B4889">
      <w:rPr>
        <w:rFonts w:ascii="Arial" w:hAnsi="Arial" w:cs="Arial"/>
        <w:sz w:val="24"/>
        <w:szCs w:val="24"/>
      </w:rPr>
      <w:t>2405790</w:t>
    </w:r>
  </w:p>
  <w:p w14:paraId="618C6647" w14:textId="47E38F27" w:rsidR="002B4889" w:rsidRPr="002B4889" w:rsidRDefault="002B4889">
    <w:pPr>
      <w:pStyle w:val="Header"/>
      <w:rPr>
        <w:rFonts w:ascii="Arial" w:hAnsi="Arial" w:cs="Arial"/>
        <w:sz w:val="24"/>
        <w:szCs w:val="24"/>
      </w:rPr>
    </w:pPr>
    <w:r w:rsidRPr="002B4889">
      <w:rPr>
        <w:rFonts w:ascii="Arial" w:hAnsi="Arial" w:cs="Arial"/>
        <w:sz w:val="24"/>
        <w:szCs w:val="24"/>
      </w:rPr>
      <w:t xml:space="preserve">Word </w:t>
    </w:r>
    <w:r>
      <w:rPr>
        <w:rFonts w:ascii="Arial" w:hAnsi="Arial" w:cs="Arial"/>
        <w:sz w:val="24"/>
        <w:szCs w:val="24"/>
      </w:rPr>
      <w:t>C</w:t>
    </w:r>
    <w:r w:rsidRPr="002B4889">
      <w:rPr>
        <w:rFonts w:ascii="Arial" w:hAnsi="Arial" w:cs="Arial"/>
        <w:sz w:val="24"/>
        <w:szCs w:val="24"/>
      </w:rPr>
      <w:t>ount: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4A7140"/>
    <w:multiLevelType w:val="hybridMultilevel"/>
    <w:tmpl w:val="C9EE6B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2575DE"/>
    <w:multiLevelType w:val="hybridMultilevel"/>
    <w:tmpl w:val="505A1FEE"/>
    <w:lvl w:ilvl="0" w:tplc="70B8A2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9CEF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966C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9017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FEC2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AC08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7CA5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F8D4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0C1B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06624210">
    <w:abstractNumId w:val="0"/>
  </w:num>
  <w:num w:numId="2" w16cid:durableId="17875826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889"/>
    <w:rsid w:val="000014B8"/>
    <w:rsid w:val="00015341"/>
    <w:rsid w:val="00023D9E"/>
    <w:rsid w:val="000359C7"/>
    <w:rsid w:val="00035DD8"/>
    <w:rsid w:val="000E06D2"/>
    <w:rsid w:val="000F1406"/>
    <w:rsid w:val="000F3D8A"/>
    <w:rsid w:val="00101E93"/>
    <w:rsid w:val="001110F1"/>
    <w:rsid w:val="0011223B"/>
    <w:rsid w:val="00144CC2"/>
    <w:rsid w:val="00186AAB"/>
    <w:rsid w:val="001904E0"/>
    <w:rsid w:val="001934B1"/>
    <w:rsid w:val="001B403D"/>
    <w:rsid w:val="001C0229"/>
    <w:rsid w:val="001C11BB"/>
    <w:rsid w:val="001E0C79"/>
    <w:rsid w:val="00216229"/>
    <w:rsid w:val="00223D8F"/>
    <w:rsid w:val="00242F73"/>
    <w:rsid w:val="00257557"/>
    <w:rsid w:val="002612B3"/>
    <w:rsid w:val="0028092A"/>
    <w:rsid w:val="00283AA9"/>
    <w:rsid w:val="00284160"/>
    <w:rsid w:val="00293E74"/>
    <w:rsid w:val="002B4889"/>
    <w:rsid w:val="002C4A55"/>
    <w:rsid w:val="002D58C3"/>
    <w:rsid w:val="002E5926"/>
    <w:rsid w:val="00306FFE"/>
    <w:rsid w:val="00321AB4"/>
    <w:rsid w:val="00324D18"/>
    <w:rsid w:val="00327466"/>
    <w:rsid w:val="00345FB6"/>
    <w:rsid w:val="00352D14"/>
    <w:rsid w:val="0035326F"/>
    <w:rsid w:val="003632E6"/>
    <w:rsid w:val="003656D8"/>
    <w:rsid w:val="00376B09"/>
    <w:rsid w:val="003839F5"/>
    <w:rsid w:val="003873A7"/>
    <w:rsid w:val="003C50E0"/>
    <w:rsid w:val="003C73A4"/>
    <w:rsid w:val="003D2CE7"/>
    <w:rsid w:val="003D4532"/>
    <w:rsid w:val="00404551"/>
    <w:rsid w:val="00430C6F"/>
    <w:rsid w:val="004324C1"/>
    <w:rsid w:val="00472E27"/>
    <w:rsid w:val="00497FA8"/>
    <w:rsid w:val="004B1ADD"/>
    <w:rsid w:val="004B6183"/>
    <w:rsid w:val="004B61DC"/>
    <w:rsid w:val="004C0446"/>
    <w:rsid w:val="004C5643"/>
    <w:rsid w:val="004E5394"/>
    <w:rsid w:val="004F79F4"/>
    <w:rsid w:val="005041CC"/>
    <w:rsid w:val="0050441A"/>
    <w:rsid w:val="00515726"/>
    <w:rsid w:val="00524687"/>
    <w:rsid w:val="00525B7F"/>
    <w:rsid w:val="00563009"/>
    <w:rsid w:val="00584A54"/>
    <w:rsid w:val="005879B5"/>
    <w:rsid w:val="0059339D"/>
    <w:rsid w:val="00604599"/>
    <w:rsid w:val="00614EAF"/>
    <w:rsid w:val="0062506D"/>
    <w:rsid w:val="006343AF"/>
    <w:rsid w:val="0064078B"/>
    <w:rsid w:val="00642D44"/>
    <w:rsid w:val="00647931"/>
    <w:rsid w:val="006560F9"/>
    <w:rsid w:val="00660001"/>
    <w:rsid w:val="006608D5"/>
    <w:rsid w:val="00660B61"/>
    <w:rsid w:val="0067417B"/>
    <w:rsid w:val="0067654D"/>
    <w:rsid w:val="00687D96"/>
    <w:rsid w:val="006E1128"/>
    <w:rsid w:val="006F1ABE"/>
    <w:rsid w:val="00734D3C"/>
    <w:rsid w:val="007446A5"/>
    <w:rsid w:val="00752836"/>
    <w:rsid w:val="00770E98"/>
    <w:rsid w:val="007735B8"/>
    <w:rsid w:val="007821DF"/>
    <w:rsid w:val="007B2C73"/>
    <w:rsid w:val="007B7A68"/>
    <w:rsid w:val="007D2607"/>
    <w:rsid w:val="007D2BAB"/>
    <w:rsid w:val="007D4CD4"/>
    <w:rsid w:val="007F5507"/>
    <w:rsid w:val="00807B21"/>
    <w:rsid w:val="00813B03"/>
    <w:rsid w:val="00873A89"/>
    <w:rsid w:val="00875A4F"/>
    <w:rsid w:val="008C3DB6"/>
    <w:rsid w:val="008D0B4C"/>
    <w:rsid w:val="00926742"/>
    <w:rsid w:val="009636D2"/>
    <w:rsid w:val="009712E3"/>
    <w:rsid w:val="00987208"/>
    <w:rsid w:val="009A215B"/>
    <w:rsid w:val="009B391B"/>
    <w:rsid w:val="009D26D3"/>
    <w:rsid w:val="009E5BEB"/>
    <w:rsid w:val="009E6915"/>
    <w:rsid w:val="00A23029"/>
    <w:rsid w:val="00A46DB2"/>
    <w:rsid w:val="00A52845"/>
    <w:rsid w:val="00A70AB0"/>
    <w:rsid w:val="00A803C0"/>
    <w:rsid w:val="00A96160"/>
    <w:rsid w:val="00AA0088"/>
    <w:rsid w:val="00AB4696"/>
    <w:rsid w:val="00AE0F19"/>
    <w:rsid w:val="00AF19B2"/>
    <w:rsid w:val="00B2757E"/>
    <w:rsid w:val="00B47F3A"/>
    <w:rsid w:val="00B61E52"/>
    <w:rsid w:val="00B9209C"/>
    <w:rsid w:val="00BD35AC"/>
    <w:rsid w:val="00BE62B3"/>
    <w:rsid w:val="00BE7ED7"/>
    <w:rsid w:val="00BF0BF9"/>
    <w:rsid w:val="00C22D37"/>
    <w:rsid w:val="00C317C5"/>
    <w:rsid w:val="00C32379"/>
    <w:rsid w:val="00C3319C"/>
    <w:rsid w:val="00C425A8"/>
    <w:rsid w:val="00C84F95"/>
    <w:rsid w:val="00C90879"/>
    <w:rsid w:val="00CE43CA"/>
    <w:rsid w:val="00CF0CDB"/>
    <w:rsid w:val="00CF3410"/>
    <w:rsid w:val="00D2266F"/>
    <w:rsid w:val="00D331DC"/>
    <w:rsid w:val="00D71475"/>
    <w:rsid w:val="00DC0DF0"/>
    <w:rsid w:val="00DC265C"/>
    <w:rsid w:val="00DC321E"/>
    <w:rsid w:val="00DF4A1E"/>
    <w:rsid w:val="00E15065"/>
    <w:rsid w:val="00E17FAF"/>
    <w:rsid w:val="00E25A69"/>
    <w:rsid w:val="00E40149"/>
    <w:rsid w:val="00E86B9A"/>
    <w:rsid w:val="00E87086"/>
    <w:rsid w:val="00EE0D30"/>
    <w:rsid w:val="00F077CA"/>
    <w:rsid w:val="00F165B2"/>
    <w:rsid w:val="00F23DC8"/>
    <w:rsid w:val="00F31A3C"/>
    <w:rsid w:val="00F56F17"/>
    <w:rsid w:val="00F9075F"/>
    <w:rsid w:val="00F922F7"/>
    <w:rsid w:val="00FA25A9"/>
    <w:rsid w:val="00FD1DF2"/>
    <w:rsid w:val="00FE7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7CB82"/>
  <w15:chartTrackingRefBased/>
  <w15:docId w15:val="{076CE3D8-FF45-4597-B504-AB9FC5EB2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48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48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48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48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48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48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48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48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48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48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48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48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48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48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48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48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48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48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48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8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48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48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48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48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48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48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48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48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488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48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889"/>
  </w:style>
  <w:style w:type="paragraph" w:styleId="Footer">
    <w:name w:val="footer"/>
    <w:basedOn w:val="Normal"/>
    <w:link w:val="FooterChar"/>
    <w:uiPriority w:val="99"/>
    <w:unhideWhenUsed/>
    <w:rsid w:val="002B48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889"/>
  </w:style>
  <w:style w:type="character" w:styleId="Hyperlink">
    <w:name w:val="Hyperlink"/>
    <w:basedOn w:val="DefaultParagraphFont"/>
    <w:uiPriority w:val="99"/>
    <w:unhideWhenUsed/>
    <w:rsid w:val="00D226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266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25B7F"/>
    <w:rPr>
      <w:color w:val="96607D" w:themeColor="followedHyperlink"/>
      <w:u w:val="single"/>
    </w:rPr>
  </w:style>
  <w:style w:type="paragraph" w:customStyle="1" w:styleId="p1">
    <w:name w:val="p1"/>
    <w:basedOn w:val="Normal"/>
    <w:rsid w:val="004C5643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4C5643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4C56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5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1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96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793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0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2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3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2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6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2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65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87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80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6230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59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47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5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2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www.earlyyearscareers.com/eyc/health-and-safety/boost-child-wellbeing-with-health-education-in-early-years-settings/" TargetMode="External"/><Relationship Id="rId26" Type="http://schemas.openxmlformats.org/officeDocument/2006/relationships/hyperlink" Target="https://www.playwales.org.uk/eng/news/1534-developing-and-managing-play-spaces--a-new-toolki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health-matters-giving-every-child-the-best-start-in-life/health-matters-giving-every-child-the-best-start-in-life" TargetMode="External"/><Relationship Id="rId34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hyperlink" Target="https://help-for-early-years-providers.education.gov.uk/health-and-wellbeing/mental-health-for-early-years-children" TargetMode="External"/><Relationship Id="rId25" Type="http://schemas.openxmlformats.org/officeDocument/2006/relationships/hyperlink" Target="https://www.playwales.org.uk/eng/news/1534-developing-and-managing-play-spaces--a-new-toolkit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carelearning.org.uk/early-years/models-theory/examples-of-maslows-hierarchy-of-needs-in-early-years/" TargetMode="External"/><Relationship Id="rId20" Type="http://schemas.openxmlformats.org/officeDocument/2006/relationships/hyperlink" Target="https://www.foundationyears.org.uk/2023/10/health-and-wellbeing-2/" TargetMode="External"/><Relationship Id="rId29" Type="http://schemas.openxmlformats.org/officeDocument/2006/relationships/hyperlink" Target="https://www.verywellmind.com/what-is-maslows-hierarchy-of-needs-413676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learningjournals.co.uk/what-is-the-leuven-scale-and-how-to-use-it/" TargetMode="External"/><Relationship Id="rId32" Type="http://schemas.openxmlformats.org/officeDocument/2006/relationships/hyperlink" Target="https://www.who.int/news-room/questions-and-answers/item/determinants-of-health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.uk/bitesize/guides/z3shycw/revision/2" TargetMode="External"/><Relationship Id="rId23" Type="http://schemas.openxmlformats.org/officeDocument/2006/relationships/hyperlink" Target="https://help-for-early-years-providers.education.gov.uk/health-and-wellbeing/nutrition" TargetMode="External"/><Relationship Id="rId28" Type="http://schemas.openxmlformats.org/officeDocument/2006/relationships/hyperlink" Target="https://www.ruralhealthinfo.org/toolkits/health-promotion/2/theories-and-models/stages-of-change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4.svg"/><Relationship Id="rId19" Type="http://schemas.openxmlformats.org/officeDocument/2006/relationships/hyperlink" Target="https://doi.org/10.1177/21582440221134089" TargetMode="External"/><Relationship Id="rId31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hyperlink" Target="https://www.gov.uk/government/publications/health-profile-for-england/chapter-6-social-determinants-of-health" TargetMode="External"/><Relationship Id="rId27" Type="http://schemas.openxmlformats.org/officeDocument/2006/relationships/hyperlink" Target="https://learning.nspcc.org.uk/child-health-development/promoting-mental-health-wellbeing" TargetMode="External"/><Relationship Id="rId30" Type="http://schemas.openxmlformats.org/officeDocument/2006/relationships/hyperlink" Target="https://www.unicef.org/child-rights-convention/convention-text-childrens-version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2859</TotalTime>
  <Pages>9</Pages>
  <Words>1033</Words>
  <Characters>5894</Characters>
  <Application>Microsoft Office Word</Application>
  <DocSecurity>0</DocSecurity>
  <Lines>49</Lines>
  <Paragraphs>13</Paragraphs>
  <ScaleCrop>false</ScaleCrop>
  <Company/>
  <LinksUpToDate>false</LinksUpToDate>
  <CharactersWithSpaces>6914</CharactersWithSpaces>
  <SharedDoc>false</SharedDoc>
  <HLinks>
    <vt:vector size="54" baseType="variant">
      <vt:variant>
        <vt:i4>7405688</vt:i4>
      </vt:variant>
      <vt:variant>
        <vt:i4>24</vt:i4>
      </vt:variant>
      <vt:variant>
        <vt:i4>0</vt:i4>
      </vt:variant>
      <vt:variant>
        <vt:i4>5</vt:i4>
      </vt:variant>
      <vt:variant>
        <vt:lpwstr>https://www.who.int/news-room/questions-and-answers/item/determinants-of-health</vt:lpwstr>
      </vt:variant>
      <vt:variant>
        <vt:lpwstr/>
      </vt:variant>
      <vt:variant>
        <vt:i4>65611</vt:i4>
      </vt:variant>
      <vt:variant>
        <vt:i4>21</vt:i4>
      </vt:variant>
      <vt:variant>
        <vt:i4>0</vt:i4>
      </vt:variant>
      <vt:variant>
        <vt:i4>5</vt:i4>
      </vt:variant>
      <vt:variant>
        <vt:lpwstr>https://www.gov.wales/sites/default/files/publications/2021-03/framework-on-embedding-a-whole-school-approach-to-emotional-and-mental-well-being.pdf</vt:lpwstr>
      </vt:variant>
      <vt:variant>
        <vt:lpwstr/>
      </vt:variant>
      <vt:variant>
        <vt:i4>5701648</vt:i4>
      </vt:variant>
      <vt:variant>
        <vt:i4>18</vt:i4>
      </vt:variant>
      <vt:variant>
        <vt:i4>0</vt:i4>
      </vt:variant>
      <vt:variant>
        <vt:i4>5</vt:i4>
      </vt:variant>
      <vt:variant>
        <vt:lpwstr>https://learning.nspcc.org.uk/child-health-development/promoting-mental-health-wellbeing</vt:lpwstr>
      </vt:variant>
      <vt:variant>
        <vt:lpwstr/>
      </vt:variant>
      <vt:variant>
        <vt:i4>262166</vt:i4>
      </vt:variant>
      <vt:variant>
        <vt:i4>15</vt:i4>
      </vt:variant>
      <vt:variant>
        <vt:i4>0</vt:i4>
      </vt:variant>
      <vt:variant>
        <vt:i4>5</vt:i4>
      </vt:variant>
      <vt:variant>
        <vt:lpwstr>https://www.gov.uk/government/publications/health-profile-for-england/chapter-6-social-determinants-of-health</vt:lpwstr>
      </vt:variant>
      <vt:variant>
        <vt:lpwstr/>
      </vt:variant>
      <vt:variant>
        <vt:i4>6160386</vt:i4>
      </vt:variant>
      <vt:variant>
        <vt:i4>12</vt:i4>
      </vt:variant>
      <vt:variant>
        <vt:i4>0</vt:i4>
      </vt:variant>
      <vt:variant>
        <vt:i4>5</vt:i4>
      </vt:variant>
      <vt:variant>
        <vt:lpwstr>https://www.gov.uk/government/publications/health-matters-giving-every-child-the-best-start-in-life/health-matters-giving-every-child-the-best-start-in-life</vt:lpwstr>
      </vt:variant>
      <vt:variant>
        <vt:lpwstr/>
      </vt:variant>
      <vt:variant>
        <vt:i4>2949161</vt:i4>
      </vt:variant>
      <vt:variant>
        <vt:i4>9</vt:i4>
      </vt:variant>
      <vt:variant>
        <vt:i4>0</vt:i4>
      </vt:variant>
      <vt:variant>
        <vt:i4>5</vt:i4>
      </vt:variant>
      <vt:variant>
        <vt:lpwstr>https://www.foundationyears.org.uk/2023/10/health-and-wellbeing-2/</vt:lpwstr>
      </vt:variant>
      <vt:variant>
        <vt:lpwstr/>
      </vt:variant>
      <vt:variant>
        <vt:i4>1441885</vt:i4>
      </vt:variant>
      <vt:variant>
        <vt:i4>6</vt:i4>
      </vt:variant>
      <vt:variant>
        <vt:i4>0</vt:i4>
      </vt:variant>
      <vt:variant>
        <vt:i4>5</vt:i4>
      </vt:variant>
      <vt:variant>
        <vt:lpwstr>https://doi.org/10.1177/21582440221134089</vt:lpwstr>
      </vt:variant>
      <vt:variant>
        <vt:lpwstr/>
      </vt:variant>
      <vt:variant>
        <vt:i4>5242963</vt:i4>
      </vt:variant>
      <vt:variant>
        <vt:i4>3</vt:i4>
      </vt:variant>
      <vt:variant>
        <vt:i4>0</vt:i4>
      </vt:variant>
      <vt:variant>
        <vt:i4>5</vt:i4>
      </vt:variant>
      <vt:variant>
        <vt:lpwstr>https://www.earlyyearscareers.com/eyc/health-and-safety/boost-child-wellbeing-with-health-education-in-early-years-settings/</vt:lpwstr>
      </vt:variant>
      <vt:variant>
        <vt:lpwstr/>
      </vt:variant>
      <vt:variant>
        <vt:i4>7274536</vt:i4>
      </vt:variant>
      <vt:variant>
        <vt:i4>0</vt:i4>
      </vt:variant>
      <vt:variant>
        <vt:i4>0</vt:i4>
      </vt:variant>
      <vt:variant>
        <vt:i4>5</vt:i4>
      </vt:variant>
      <vt:variant>
        <vt:lpwstr>https://help-for-early-years-providers.education.gov.uk/health-and-wellbeing/mental-health-for-early-years-children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Lucie Daley</dc:creator>
  <cp:keywords/>
  <dc:description/>
  <cp:lastModifiedBy>Lucie Daley</cp:lastModifiedBy>
  <cp:revision>100</cp:revision>
  <dcterms:created xsi:type="dcterms:W3CDTF">2025-05-21T20:46:00Z</dcterms:created>
  <dcterms:modified xsi:type="dcterms:W3CDTF">2025-06-01T19:25:00Z</dcterms:modified>
</cp:coreProperties>
</file>