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EC4" w:rsidRDefault="00590EC4" w:rsidP="00590E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Joseph Ogden</w:t>
      </w:r>
    </w:p>
    <w:p w:rsidR="00590EC4" w:rsidRDefault="00590EC4" w:rsidP="00590E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1704684</w:t>
      </w:r>
    </w:p>
    <w:p w:rsidR="00590EC4" w:rsidRDefault="00590EC4" w:rsidP="00590E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Independent Project Plan</w:t>
      </w:r>
    </w:p>
    <w:p w:rsidR="00590EC4" w:rsidRDefault="00590EC4" w:rsidP="00590EC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Plutarch’s Portrayal of Lycurgus</w:t>
      </w: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2B383B" w:rsidRDefault="002B383B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030B77" w:rsidRDefault="00030B77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030B77" w:rsidRDefault="00030B77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F25916" w:rsidRDefault="00F25916" w:rsidP="00F25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Abstract</w:t>
      </w:r>
    </w:p>
    <w:p w:rsidR="001221D2" w:rsidRDefault="00F25916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Plutarch’s </w:t>
      </w:r>
      <w:r>
        <w:rPr>
          <w:rFonts w:ascii="Times New Roman" w:hAnsi="Times New Roman" w:cs="Times New Roman"/>
          <w:i/>
          <w:sz w:val="24"/>
          <w:szCs w:val="24"/>
        </w:rPr>
        <w:t>Lycurgus</w:t>
      </w:r>
      <w:r w:rsidR="006D2A35">
        <w:rPr>
          <w:rFonts w:ascii="Times New Roman" w:hAnsi="Times New Roman" w:cs="Times New Roman"/>
          <w:sz w:val="24"/>
          <w:szCs w:val="24"/>
        </w:rPr>
        <w:t xml:space="preserve"> is </w:t>
      </w:r>
      <w:r w:rsidR="00D770AF">
        <w:rPr>
          <w:rFonts w:ascii="Times New Roman" w:hAnsi="Times New Roman" w:cs="Times New Roman"/>
          <w:sz w:val="24"/>
          <w:szCs w:val="24"/>
        </w:rPr>
        <w:t>almost impossibly problematic to the historian</w:t>
      </w:r>
      <w:r w:rsidR="00C42267">
        <w:rPr>
          <w:rFonts w:ascii="Times New Roman" w:hAnsi="Times New Roman" w:cs="Times New Roman"/>
          <w:sz w:val="24"/>
          <w:szCs w:val="24"/>
        </w:rPr>
        <w:t xml:space="preserve"> owing to the potentially mythical status of its subject. </w:t>
      </w:r>
      <w:r w:rsidR="003668FC">
        <w:rPr>
          <w:rFonts w:ascii="Times New Roman" w:hAnsi="Times New Roman" w:cs="Times New Roman"/>
          <w:sz w:val="24"/>
          <w:szCs w:val="24"/>
        </w:rPr>
        <w:t xml:space="preserve">Throughout the Life, Plutarch </w:t>
      </w:r>
      <w:r w:rsidR="00C60ADA">
        <w:rPr>
          <w:rFonts w:ascii="Times New Roman" w:hAnsi="Times New Roman" w:cs="Times New Roman"/>
          <w:sz w:val="24"/>
          <w:szCs w:val="24"/>
        </w:rPr>
        <w:t xml:space="preserve">himself is </w:t>
      </w:r>
      <w:r w:rsidR="003668FC">
        <w:rPr>
          <w:rFonts w:ascii="Times New Roman" w:hAnsi="Times New Roman" w:cs="Times New Roman"/>
          <w:sz w:val="24"/>
          <w:szCs w:val="24"/>
        </w:rPr>
        <w:t>unsurprisingly reluctant to make a judgment about the accuracy of his own sources</w:t>
      </w:r>
      <w:r w:rsidR="00C60ADA">
        <w:rPr>
          <w:rFonts w:ascii="Times New Roman" w:hAnsi="Times New Roman" w:cs="Times New Roman"/>
          <w:sz w:val="24"/>
          <w:szCs w:val="24"/>
        </w:rPr>
        <w:t>, and makes such an admission within the opening lines.</w:t>
      </w:r>
      <w:r w:rsidR="001D4C78">
        <w:rPr>
          <w:rFonts w:ascii="Times New Roman" w:hAnsi="Times New Roman" w:cs="Times New Roman"/>
          <w:sz w:val="24"/>
          <w:szCs w:val="24"/>
        </w:rPr>
        <w:t xml:space="preserve"> As such, scholarship concerned with </w:t>
      </w:r>
      <w:r w:rsidR="001D4C78">
        <w:rPr>
          <w:rFonts w:ascii="Times New Roman" w:hAnsi="Times New Roman" w:cs="Times New Roman"/>
          <w:i/>
          <w:sz w:val="24"/>
          <w:szCs w:val="24"/>
        </w:rPr>
        <w:t>Lycurgus</w:t>
      </w:r>
      <w:r w:rsidR="001D4C78">
        <w:rPr>
          <w:rFonts w:ascii="Times New Roman" w:hAnsi="Times New Roman" w:cs="Times New Roman"/>
          <w:sz w:val="24"/>
          <w:szCs w:val="24"/>
        </w:rPr>
        <w:t xml:space="preserve"> often altogether dismisses its historicity and turns to alternative readings.</w:t>
      </w:r>
      <w:r w:rsidR="00C60ADA">
        <w:rPr>
          <w:rFonts w:ascii="Times New Roman" w:hAnsi="Times New Roman" w:cs="Times New Roman"/>
          <w:sz w:val="24"/>
          <w:szCs w:val="24"/>
        </w:rPr>
        <w:t xml:space="preserve"> </w:t>
      </w:r>
      <w:r w:rsidR="001D4C78">
        <w:rPr>
          <w:rFonts w:ascii="Times New Roman" w:hAnsi="Times New Roman" w:cs="Times New Roman"/>
          <w:sz w:val="24"/>
          <w:szCs w:val="24"/>
        </w:rPr>
        <w:t>It is</w:t>
      </w:r>
      <w:r w:rsidR="00C60ADA">
        <w:rPr>
          <w:rFonts w:ascii="Times New Roman" w:hAnsi="Times New Roman" w:cs="Times New Roman"/>
          <w:sz w:val="24"/>
          <w:szCs w:val="24"/>
        </w:rPr>
        <w:t xml:space="preserve"> widely accepted that Plutarch identified with Plato’s doctrines, </w:t>
      </w:r>
      <w:r w:rsidR="001D4C78">
        <w:rPr>
          <w:rFonts w:ascii="Times New Roman" w:hAnsi="Times New Roman" w:cs="Times New Roman"/>
          <w:sz w:val="24"/>
          <w:szCs w:val="24"/>
        </w:rPr>
        <w:t>leading to a common conclusion that</w:t>
      </w:r>
      <w:r w:rsidR="001221D2">
        <w:rPr>
          <w:rFonts w:ascii="Times New Roman" w:hAnsi="Times New Roman" w:cs="Times New Roman"/>
          <w:sz w:val="24"/>
          <w:szCs w:val="24"/>
        </w:rPr>
        <w:t xml:space="preserve"> </w:t>
      </w:r>
      <w:r w:rsidR="001221D2">
        <w:rPr>
          <w:rFonts w:ascii="Times New Roman" w:hAnsi="Times New Roman" w:cs="Times New Roman"/>
          <w:i/>
          <w:sz w:val="24"/>
          <w:szCs w:val="24"/>
        </w:rPr>
        <w:t xml:space="preserve">Lycurgus </w:t>
      </w:r>
      <w:r w:rsidR="001D4C78">
        <w:rPr>
          <w:rFonts w:ascii="Times New Roman" w:hAnsi="Times New Roman" w:cs="Times New Roman"/>
          <w:sz w:val="24"/>
          <w:szCs w:val="24"/>
        </w:rPr>
        <w:t>serves</w:t>
      </w:r>
      <w:r w:rsidR="00D770AF">
        <w:rPr>
          <w:rFonts w:ascii="Times New Roman" w:hAnsi="Times New Roman" w:cs="Times New Roman"/>
          <w:sz w:val="24"/>
          <w:szCs w:val="24"/>
        </w:rPr>
        <w:t xml:space="preserve"> as a</w:t>
      </w:r>
      <w:r w:rsidR="001221D2">
        <w:rPr>
          <w:rFonts w:ascii="Times New Roman" w:hAnsi="Times New Roman" w:cs="Times New Roman"/>
          <w:sz w:val="24"/>
          <w:szCs w:val="24"/>
        </w:rPr>
        <w:t xml:space="preserve"> prominent example of Plutarch’s philosophical self-expression</w:t>
      </w:r>
      <w:r w:rsidR="001D4C78">
        <w:rPr>
          <w:rFonts w:ascii="Times New Roman" w:hAnsi="Times New Roman" w:cs="Times New Roman"/>
          <w:sz w:val="24"/>
          <w:szCs w:val="24"/>
        </w:rPr>
        <w:t xml:space="preserve">, specifically </w:t>
      </w:r>
      <w:r w:rsidR="00D770AF">
        <w:rPr>
          <w:rFonts w:ascii="Times New Roman" w:hAnsi="Times New Roman" w:cs="Times New Roman"/>
          <w:sz w:val="24"/>
          <w:szCs w:val="24"/>
        </w:rPr>
        <w:t>in relation</w:t>
      </w:r>
      <w:r w:rsidR="001D4C78">
        <w:rPr>
          <w:rFonts w:ascii="Times New Roman" w:hAnsi="Times New Roman" w:cs="Times New Roman"/>
          <w:sz w:val="24"/>
          <w:szCs w:val="24"/>
        </w:rPr>
        <w:t xml:space="preserve"> to Plato’s discussion of the best regime.</w:t>
      </w:r>
    </w:p>
    <w:p w:rsidR="001D4C78" w:rsidRDefault="001D4C78" w:rsidP="00F25916">
      <w:pPr>
        <w:rPr>
          <w:rFonts w:ascii="Times New Roman" w:hAnsi="Times New Roman" w:cs="Times New Roman"/>
          <w:sz w:val="24"/>
          <w:szCs w:val="24"/>
        </w:rPr>
      </w:pPr>
    </w:p>
    <w:p w:rsidR="001D4C78" w:rsidRPr="00D90CFF" w:rsidRDefault="00D770AF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</w:t>
      </w:r>
      <w:r w:rsidR="00D90CFF">
        <w:rPr>
          <w:rFonts w:ascii="Times New Roman" w:hAnsi="Times New Roman" w:cs="Times New Roman"/>
          <w:sz w:val="24"/>
          <w:szCs w:val="24"/>
        </w:rPr>
        <w:t>rthermore, Plutarch develops Lycurgus’ character in order to satisfy the requirements of this discussion, for example by portraying him as alike to a physician whose laws are to become Sparta’s medicine</w:t>
      </w:r>
      <w:r w:rsidR="00CF306B">
        <w:rPr>
          <w:rFonts w:ascii="Times New Roman" w:hAnsi="Times New Roman" w:cs="Times New Roman"/>
          <w:sz w:val="24"/>
          <w:szCs w:val="24"/>
        </w:rPr>
        <w:t xml:space="preserve">, an analogy which </w:t>
      </w:r>
      <w:r w:rsidR="009B4380">
        <w:rPr>
          <w:rFonts w:ascii="Times New Roman" w:hAnsi="Times New Roman" w:cs="Times New Roman"/>
          <w:sz w:val="24"/>
          <w:szCs w:val="24"/>
        </w:rPr>
        <w:t>is recurrent in Plato.</w:t>
      </w:r>
      <w:r w:rsidR="00D90CFF">
        <w:rPr>
          <w:rFonts w:ascii="Times New Roman" w:hAnsi="Times New Roman" w:cs="Times New Roman"/>
          <w:sz w:val="24"/>
          <w:szCs w:val="24"/>
        </w:rPr>
        <w:t xml:space="preserve"> My argument therefore,</w:t>
      </w:r>
      <w:r w:rsidR="00F60831">
        <w:rPr>
          <w:rFonts w:ascii="Times New Roman" w:hAnsi="Times New Roman" w:cs="Times New Roman"/>
          <w:sz w:val="24"/>
          <w:szCs w:val="24"/>
        </w:rPr>
        <w:t xml:space="preserve"> in line with current scholarship,</w:t>
      </w:r>
      <w:r w:rsidR="00D90CFF">
        <w:rPr>
          <w:rFonts w:ascii="Times New Roman" w:hAnsi="Times New Roman" w:cs="Times New Roman"/>
          <w:sz w:val="24"/>
          <w:szCs w:val="24"/>
        </w:rPr>
        <w:t xml:space="preserve"> is that </w:t>
      </w:r>
      <w:r w:rsidR="00D90CFF">
        <w:rPr>
          <w:rFonts w:ascii="Times New Roman" w:hAnsi="Times New Roman" w:cs="Times New Roman"/>
          <w:i/>
          <w:sz w:val="24"/>
          <w:szCs w:val="24"/>
        </w:rPr>
        <w:t xml:space="preserve">Lycurgus </w:t>
      </w:r>
      <w:r w:rsidR="00FB4A22">
        <w:rPr>
          <w:rFonts w:ascii="Times New Roman" w:hAnsi="Times New Roman" w:cs="Times New Roman"/>
          <w:sz w:val="24"/>
          <w:szCs w:val="24"/>
        </w:rPr>
        <w:t xml:space="preserve">is </w:t>
      </w:r>
      <w:r w:rsidR="00F60831">
        <w:rPr>
          <w:rFonts w:ascii="Times New Roman" w:hAnsi="Times New Roman" w:cs="Times New Roman"/>
          <w:sz w:val="24"/>
          <w:szCs w:val="24"/>
        </w:rPr>
        <w:t xml:space="preserve">first and foremost concerned with the presentation of Lycurgus’ Sparta as a template for Plato’s </w:t>
      </w:r>
      <w:r w:rsidR="00B24CC1">
        <w:rPr>
          <w:rFonts w:ascii="Times New Roman" w:hAnsi="Times New Roman" w:cs="Times New Roman"/>
          <w:sz w:val="24"/>
          <w:szCs w:val="24"/>
        </w:rPr>
        <w:t>ideal state</w:t>
      </w:r>
      <w:r w:rsidR="00F60831">
        <w:rPr>
          <w:rFonts w:ascii="Times New Roman" w:hAnsi="Times New Roman" w:cs="Times New Roman"/>
          <w:sz w:val="24"/>
          <w:szCs w:val="24"/>
        </w:rPr>
        <w:t>.</w:t>
      </w:r>
      <w:r w:rsidR="00147CBB">
        <w:rPr>
          <w:rFonts w:ascii="Times New Roman" w:hAnsi="Times New Roman" w:cs="Times New Roman"/>
          <w:sz w:val="24"/>
          <w:szCs w:val="24"/>
        </w:rPr>
        <w:t xml:space="preserve"> I also argue that Plutarch employs Platonic ideas to challenge Epicureanism</w:t>
      </w:r>
      <w:r w:rsidR="006E6D15">
        <w:rPr>
          <w:rFonts w:ascii="Times New Roman" w:hAnsi="Times New Roman" w:cs="Times New Roman"/>
          <w:sz w:val="24"/>
          <w:szCs w:val="24"/>
        </w:rPr>
        <w:t xml:space="preserve">, by formatting Lycurgus’ reforms </w:t>
      </w:r>
      <w:r w:rsidR="00D8581E">
        <w:rPr>
          <w:rFonts w:ascii="Times New Roman" w:hAnsi="Times New Roman" w:cs="Times New Roman"/>
          <w:sz w:val="24"/>
          <w:szCs w:val="24"/>
        </w:rPr>
        <w:t xml:space="preserve">as an introduction of </w:t>
      </w:r>
      <w:r w:rsidR="00A965DB">
        <w:rPr>
          <w:rFonts w:ascii="Times New Roman" w:hAnsi="Times New Roman" w:cs="Times New Roman"/>
          <w:sz w:val="24"/>
          <w:szCs w:val="24"/>
        </w:rPr>
        <w:t xml:space="preserve">Plato’s </w:t>
      </w:r>
      <w:r w:rsidR="00D8581E">
        <w:rPr>
          <w:rFonts w:ascii="Times New Roman" w:hAnsi="Times New Roman" w:cs="Times New Roman"/>
          <w:sz w:val="24"/>
          <w:szCs w:val="24"/>
        </w:rPr>
        <w:t>virtues</w:t>
      </w:r>
      <w:r w:rsidR="00385AEC">
        <w:rPr>
          <w:rFonts w:ascii="Times New Roman" w:hAnsi="Times New Roman" w:cs="Times New Roman"/>
          <w:sz w:val="24"/>
          <w:szCs w:val="24"/>
        </w:rPr>
        <w:t xml:space="preserve"> and juxtaposing them against the corruption of the outside world</w:t>
      </w:r>
      <w:r w:rsidR="006E6D15">
        <w:rPr>
          <w:rFonts w:ascii="Times New Roman" w:hAnsi="Times New Roman" w:cs="Times New Roman"/>
          <w:sz w:val="24"/>
          <w:szCs w:val="24"/>
        </w:rPr>
        <w:t>.</w:t>
      </w:r>
      <w:r w:rsidR="00F60831">
        <w:rPr>
          <w:rFonts w:ascii="Times New Roman" w:hAnsi="Times New Roman" w:cs="Times New Roman"/>
          <w:sz w:val="24"/>
          <w:szCs w:val="24"/>
        </w:rPr>
        <w:t xml:space="preserve"> The purpose of this essay, then, will be to explore the way</w:t>
      </w:r>
      <w:r w:rsidR="00F901AA">
        <w:rPr>
          <w:rFonts w:ascii="Times New Roman" w:hAnsi="Times New Roman" w:cs="Times New Roman"/>
          <w:sz w:val="24"/>
          <w:szCs w:val="24"/>
        </w:rPr>
        <w:t>s</w:t>
      </w:r>
      <w:r w:rsidR="00F60831">
        <w:rPr>
          <w:rFonts w:ascii="Times New Roman" w:hAnsi="Times New Roman" w:cs="Times New Roman"/>
          <w:sz w:val="24"/>
          <w:szCs w:val="24"/>
        </w:rPr>
        <w:t xml:space="preserve"> in which Plutarch </w:t>
      </w:r>
      <w:r w:rsidR="001D25C7">
        <w:rPr>
          <w:rFonts w:ascii="Times New Roman" w:hAnsi="Times New Roman" w:cs="Times New Roman"/>
          <w:sz w:val="24"/>
          <w:szCs w:val="24"/>
        </w:rPr>
        <w:t xml:space="preserve">specifically </w:t>
      </w:r>
      <w:r w:rsidR="00F60831">
        <w:rPr>
          <w:rFonts w:ascii="Times New Roman" w:hAnsi="Times New Roman" w:cs="Times New Roman"/>
          <w:sz w:val="24"/>
          <w:szCs w:val="24"/>
        </w:rPr>
        <w:t xml:space="preserve">develops </w:t>
      </w:r>
      <w:r w:rsidR="001D25C7">
        <w:rPr>
          <w:rFonts w:ascii="Times New Roman" w:hAnsi="Times New Roman" w:cs="Times New Roman"/>
          <w:sz w:val="24"/>
          <w:szCs w:val="24"/>
        </w:rPr>
        <w:t>the character of Lycurgus</w:t>
      </w:r>
      <w:r w:rsidR="00147CBB">
        <w:rPr>
          <w:rFonts w:ascii="Times New Roman" w:hAnsi="Times New Roman" w:cs="Times New Roman"/>
          <w:sz w:val="24"/>
          <w:szCs w:val="24"/>
        </w:rPr>
        <w:t xml:space="preserve"> </w:t>
      </w:r>
      <w:r w:rsidR="001D25C7">
        <w:rPr>
          <w:rFonts w:ascii="Times New Roman" w:hAnsi="Times New Roman" w:cs="Times New Roman"/>
          <w:sz w:val="24"/>
          <w:szCs w:val="24"/>
        </w:rPr>
        <w:t xml:space="preserve">in order to evoke </w:t>
      </w:r>
      <w:r w:rsidR="00846B5D">
        <w:rPr>
          <w:rFonts w:ascii="Times New Roman" w:hAnsi="Times New Roman" w:cs="Times New Roman"/>
          <w:sz w:val="24"/>
          <w:szCs w:val="24"/>
        </w:rPr>
        <w:t>th</w:t>
      </w:r>
      <w:r w:rsidR="00147CBB">
        <w:rPr>
          <w:rFonts w:ascii="Times New Roman" w:hAnsi="Times New Roman" w:cs="Times New Roman"/>
          <w:sz w:val="24"/>
          <w:szCs w:val="24"/>
        </w:rPr>
        <w:t>ese</w:t>
      </w:r>
      <w:r w:rsidR="00846B5D">
        <w:rPr>
          <w:rFonts w:ascii="Times New Roman" w:hAnsi="Times New Roman" w:cs="Times New Roman"/>
          <w:sz w:val="24"/>
          <w:szCs w:val="24"/>
        </w:rPr>
        <w:t xml:space="preserve"> concept</w:t>
      </w:r>
      <w:r w:rsidR="00E1016E">
        <w:rPr>
          <w:rFonts w:ascii="Times New Roman" w:hAnsi="Times New Roman" w:cs="Times New Roman"/>
          <w:sz w:val="24"/>
          <w:szCs w:val="24"/>
        </w:rPr>
        <w:t>s</w:t>
      </w:r>
      <w:r w:rsidR="00FC7FC4">
        <w:rPr>
          <w:rFonts w:ascii="Times New Roman" w:hAnsi="Times New Roman" w:cs="Times New Roman"/>
          <w:sz w:val="24"/>
          <w:szCs w:val="24"/>
        </w:rPr>
        <w:t>.</w:t>
      </w:r>
    </w:p>
    <w:p w:rsidR="00BE3B01" w:rsidRDefault="00BE3B01" w:rsidP="00F25916">
      <w:pPr>
        <w:rPr>
          <w:rFonts w:ascii="Times New Roman" w:hAnsi="Times New Roman" w:cs="Times New Roman"/>
          <w:sz w:val="24"/>
          <w:szCs w:val="24"/>
        </w:rPr>
      </w:pPr>
    </w:p>
    <w:p w:rsidR="009F40F8" w:rsidRDefault="009F40F8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9F40F8" w:rsidRDefault="009F40F8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9F40F8" w:rsidRDefault="009F40F8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1D2245" w:rsidRDefault="001D2245" w:rsidP="00F25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Draft Structure</w:t>
      </w:r>
    </w:p>
    <w:p w:rsidR="001D2245" w:rsidRDefault="001D2245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  <w:r w:rsidR="008966B0">
        <w:rPr>
          <w:rFonts w:ascii="Times New Roman" w:hAnsi="Times New Roman" w:cs="Times New Roman"/>
          <w:sz w:val="24"/>
          <w:szCs w:val="24"/>
        </w:rPr>
        <w:t xml:space="preserve"> </w:t>
      </w:r>
      <w:r w:rsidR="0044274D">
        <w:rPr>
          <w:rFonts w:ascii="Times New Roman" w:hAnsi="Times New Roman" w:cs="Times New Roman"/>
          <w:sz w:val="24"/>
          <w:szCs w:val="24"/>
        </w:rPr>
        <w:t xml:space="preserve">and discussion of historicity </w:t>
      </w:r>
      <w:r w:rsidR="008966B0">
        <w:rPr>
          <w:rFonts w:ascii="Times New Roman" w:hAnsi="Times New Roman" w:cs="Times New Roman"/>
          <w:sz w:val="24"/>
          <w:szCs w:val="24"/>
        </w:rPr>
        <w:t>(</w:t>
      </w:r>
      <w:r w:rsidR="0044274D">
        <w:rPr>
          <w:rFonts w:ascii="Times New Roman" w:hAnsi="Times New Roman" w:cs="Times New Roman"/>
          <w:sz w:val="24"/>
          <w:szCs w:val="24"/>
        </w:rPr>
        <w:t>400-500</w:t>
      </w:r>
      <w:r w:rsidR="008966B0">
        <w:rPr>
          <w:rFonts w:ascii="Times New Roman" w:hAnsi="Times New Roman" w:cs="Times New Roman"/>
          <w:sz w:val="24"/>
          <w:szCs w:val="24"/>
        </w:rPr>
        <w:t xml:space="preserve"> words approximately)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F03BE">
        <w:rPr>
          <w:rFonts w:ascii="Times New Roman" w:hAnsi="Times New Roman" w:cs="Times New Roman"/>
          <w:sz w:val="24"/>
          <w:szCs w:val="24"/>
        </w:rPr>
        <w:t xml:space="preserve">Similar to my abstract, I will outline the problems with </w:t>
      </w:r>
      <w:r w:rsidR="003F03BE">
        <w:rPr>
          <w:rFonts w:ascii="Times New Roman" w:hAnsi="Times New Roman" w:cs="Times New Roman"/>
          <w:i/>
          <w:sz w:val="24"/>
          <w:szCs w:val="24"/>
        </w:rPr>
        <w:t>Lycurgus</w:t>
      </w:r>
      <w:r w:rsidR="003F03BE">
        <w:rPr>
          <w:rFonts w:ascii="Times New Roman" w:hAnsi="Times New Roman" w:cs="Times New Roman"/>
          <w:sz w:val="24"/>
          <w:szCs w:val="24"/>
        </w:rPr>
        <w:t xml:space="preserve"> as a historical source, </w:t>
      </w:r>
      <w:r w:rsidR="0044274D">
        <w:rPr>
          <w:rFonts w:ascii="Times New Roman" w:hAnsi="Times New Roman" w:cs="Times New Roman"/>
          <w:sz w:val="24"/>
          <w:szCs w:val="24"/>
        </w:rPr>
        <w:t xml:space="preserve">briefly explaining issues such as the unreliability of Plutarch’s sources, in particular with regards to </w:t>
      </w:r>
      <w:proofErr w:type="spellStart"/>
      <w:r w:rsidR="0044274D">
        <w:rPr>
          <w:rFonts w:ascii="Times New Roman" w:hAnsi="Times New Roman" w:cs="Times New Roman"/>
          <w:sz w:val="24"/>
          <w:szCs w:val="24"/>
        </w:rPr>
        <w:t>Ty</w:t>
      </w:r>
      <w:r w:rsidR="005C11AC">
        <w:rPr>
          <w:rFonts w:ascii="Times New Roman" w:hAnsi="Times New Roman" w:cs="Times New Roman"/>
          <w:sz w:val="24"/>
          <w:szCs w:val="24"/>
        </w:rPr>
        <w:t>r</w:t>
      </w:r>
      <w:r w:rsidR="0044274D">
        <w:rPr>
          <w:rFonts w:ascii="Times New Roman" w:hAnsi="Times New Roman" w:cs="Times New Roman"/>
          <w:sz w:val="24"/>
          <w:szCs w:val="24"/>
        </w:rPr>
        <w:t>taeus</w:t>
      </w:r>
      <w:proofErr w:type="spellEnd"/>
      <w:r w:rsidR="0044274D">
        <w:rPr>
          <w:rFonts w:ascii="Times New Roman" w:hAnsi="Times New Roman" w:cs="Times New Roman"/>
          <w:sz w:val="24"/>
          <w:szCs w:val="24"/>
        </w:rPr>
        <w:t xml:space="preserve"> and selective use of the fragments. I will also</w:t>
      </w:r>
      <w:r w:rsidR="003F03BE">
        <w:rPr>
          <w:rFonts w:ascii="Times New Roman" w:hAnsi="Times New Roman" w:cs="Times New Roman"/>
          <w:sz w:val="24"/>
          <w:szCs w:val="24"/>
        </w:rPr>
        <w:t xml:space="preserve"> explain the lens under which I will be examining the text (as a Platonic reading)</w:t>
      </w:r>
      <w:r w:rsidR="00EA2709">
        <w:rPr>
          <w:rFonts w:ascii="Times New Roman" w:hAnsi="Times New Roman" w:cs="Times New Roman"/>
          <w:sz w:val="24"/>
          <w:szCs w:val="24"/>
        </w:rPr>
        <w:t>,</w:t>
      </w:r>
      <w:r w:rsidR="00022FA5">
        <w:rPr>
          <w:rFonts w:ascii="Times New Roman" w:hAnsi="Times New Roman" w:cs="Times New Roman"/>
          <w:sz w:val="24"/>
          <w:szCs w:val="24"/>
        </w:rPr>
        <w:t xml:space="preserve"> the methods I will be using in my enquiry (an examination of the scholarship and a closely textual analysis of </w:t>
      </w:r>
      <w:r w:rsidR="00022FA5">
        <w:rPr>
          <w:rFonts w:ascii="Times New Roman" w:hAnsi="Times New Roman" w:cs="Times New Roman"/>
          <w:i/>
          <w:sz w:val="24"/>
          <w:szCs w:val="24"/>
        </w:rPr>
        <w:t>Lycurgus</w:t>
      </w:r>
      <w:r w:rsidR="00022FA5">
        <w:rPr>
          <w:rFonts w:ascii="Times New Roman" w:hAnsi="Times New Roman" w:cs="Times New Roman"/>
          <w:sz w:val="24"/>
          <w:szCs w:val="24"/>
        </w:rPr>
        <w:t>)</w:t>
      </w:r>
      <w:r w:rsidR="00EA2709">
        <w:rPr>
          <w:rFonts w:ascii="Times New Roman" w:hAnsi="Times New Roman" w:cs="Times New Roman"/>
          <w:sz w:val="24"/>
          <w:szCs w:val="24"/>
        </w:rPr>
        <w:t xml:space="preserve"> and</w:t>
      </w:r>
      <w:r w:rsidR="003F03BE">
        <w:rPr>
          <w:rFonts w:ascii="Times New Roman" w:hAnsi="Times New Roman" w:cs="Times New Roman"/>
          <w:sz w:val="24"/>
          <w:szCs w:val="24"/>
        </w:rPr>
        <w:t xml:space="preserve"> </w:t>
      </w:r>
      <w:r w:rsidR="0044274D">
        <w:rPr>
          <w:rFonts w:ascii="Times New Roman" w:hAnsi="Times New Roman" w:cs="Times New Roman"/>
          <w:sz w:val="24"/>
          <w:szCs w:val="24"/>
        </w:rPr>
        <w:t>will</w:t>
      </w:r>
      <w:r w:rsidR="003F03BE">
        <w:rPr>
          <w:rFonts w:ascii="Times New Roman" w:hAnsi="Times New Roman" w:cs="Times New Roman"/>
          <w:sz w:val="24"/>
          <w:szCs w:val="24"/>
        </w:rPr>
        <w:t xml:space="preserve"> briefly outline how my essay will be organised in order to meet the expected outcomes of my argument.</w:t>
      </w:r>
    </w:p>
    <w:p w:rsidR="0016641B" w:rsidRPr="003F03BE" w:rsidRDefault="0016641B" w:rsidP="00F25916">
      <w:pPr>
        <w:rPr>
          <w:rFonts w:ascii="Times New Roman" w:hAnsi="Times New Roman" w:cs="Times New Roman"/>
          <w:sz w:val="24"/>
          <w:szCs w:val="24"/>
        </w:rPr>
      </w:pPr>
    </w:p>
    <w:p w:rsidR="00B73E78" w:rsidRDefault="00B73E78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Section 1: </w:t>
      </w:r>
      <w:r w:rsidR="003F03BE">
        <w:rPr>
          <w:rFonts w:ascii="Times New Roman" w:hAnsi="Times New Roman" w:cs="Times New Roman"/>
          <w:sz w:val="24"/>
          <w:szCs w:val="24"/>
        </w:rPr>
        <w:t>(</w:t>
      </w:r>
      <w:r w:rsidR="008966B0">
        <w:rPr>
          <w:rFonts w:ascii="Times New Roman" w:hAnsi="Times New Roman" w:cs="Times New Roman"/>
          <w:sz w:val="24"/>
          <w:szCs w:val="24"/>
        </w:rPr>
        <w:t>1</w:t>
      </w:r>
      <w:r w:rsidR="0060571C">
        <w:rPr>
          <w:rFonts w:ascii="Times New Roman" w:hAnsi="Times New Roman" w:cs="Times New Roman"/>
          <w:sz w:val="24"/>
          <w:szCs w:val="24"/>
        </w:rPr>
        <w:t>200-1500</w:t>
      </w:r>
      <w:r>
        <w:rPr>
          <w:rFonts w:ascii="Times New Roman" w:hAnsi="Times New Roman" w:cs="Times New Roman"/>
          <w:sz w:val="24"/>
          <w:szCs w:val="24"/>
        </w:rPr>
        <w:t xml:space="preserve"> words approximately) </w:t>
      </w:r>
      <w:r w:rsidR="003F03BE">
        <w:rPr>
          <w:rFonts w:ascii="Times New Roman" w:hAnsi="Times New Roman" w:cs="Times New Roman"/>
          <w:sz w:val="24"/>
          <w:szCs w:val="24"/>
        </w:rPr>
        <w:t>This section will outline</w:t>
      </w:r>
      <w:r w:rsidR="00EA2709">
        <w:rPr>
          <w:rFonts w:ascii="Times New Roman" w:hAnsi="Times New Roman" w:cs="Times New Roman"/>
          <w:sz w:val="24"/>
          <w:szCs w:val="24"/>
        </w:rPr>
        <w:t xml:space="preserve"> the</w:t>
      </w:r>
      <w:r w:rsidR="003F03BE">
        <w:rPr>
          <w:rFonts w:ascii="Times New Roman" w:hAnsi="Times New Roman" w:cs="Times New Roman"/>
          <w:sz w:val="24"/>
          <w:szCs w:val="24"/>
        </w:rPr>
        <w:t xml:space="preserve"> </w:t>
      </w:r>
      <w:r w:rsidR="00EA2709">
        <w:rPr>
          <w:rFonts w:ascii="Times New Roman" w:hAnsi="Times New Roman" w:cs="Times New Roman"/>
          <w:sz w:val="24"/>
          <w:szCs w:val="24"/>
        </w:rPr>
        <w:t xml:space="preserve">position of </w:t>
      </w:r>
      <w:r w:rsidR="003F03BE">
        <w:rPr>
          <w:rFonts w:ascii="Times New Roman" w:hAnsi="Times New Roman" w:cs="Times New Roman"/>
          <w:sz w:val="24"/>
          <w:szCs w:val="24"/>
        </w:rPr>
        <w:t>current scholarship</w:t>
      </w:r>
      <w:r w:rsidR="00EA2709">
        <w:rPr>
          <w:rFonts w:ascii="Times New Roman" w:hAnsi="Times New Roman" w:cs="Times New Roman"/>
          <w:sz w:val="24"/>
          <w:szCs w:val="24"/>
        </w:rPr>
        <w:t xml:space="preserve">, focusing to begin with on Plutarch’s position as a Platonist in broader terms, </w:t>
      </w:r>
      <w:r w:rsidR="00311FA2">
        <w:rPr>
          <w:rFonts w:ascii="Times New Roman" w:hAnsi="Times New Roman" w:cs="Times New Roman"/>
          <w:sz w:val="24"/>
          <w:szCs w:val="24"/>
        </w:rPr>
        <w:t xml:space="preserve">and then moving towards </w:t>
      </w:r>
      <w:r w:rsidR="00D27697">
        <w:rPr>
          <w:rFonts w:ascii="Times New Roman" w:hAnsi="Times New Roman" w:cs="Times New Roman"/>
          <w:i/>
          <w:sz w:val="24"/>
          <w:szCs w:val="24"/>
        </w:rPr>
        <w:t>Lycurgus</w:t>
      </w:r>
      <w:r w:rsidR="00D27697">
        <w:rPr>
          <w:rFonts w:ascii="Times New Roman" w:hAnsi="Times New Roman" w:cs="Times New Roman"/>
          <w:sz w:val="24"/>
          <w:szCs w:val="24"/>
        </w:rPr>
        <w:t xml:space="preserve"> specifically. I will pay close attention to the work of Liebert for an important discussion of the alternative view that Plutarch is in fact using both </w:t>
      </w:r>
      <w:r w:rsidR="00D27697">
        <w:rPr>
          <w:rFonts w:ascii="Times New Roman" w:hAnsi="Times New Roman" w:cs="Times New Roman"/>
          <w:i/>
          <w:sz w:val="24"/>
          <w:szCs w:val="24"/>
        </w:rPr>
        <w:t>Lycurgus</w:t>
      </w:r>
      <w:r w:rsidR="00D27697">
        <w:rPr>
          <w:rFonts w:ascii="Times New Roman" w:hAnsi="Times New Roman" w:cs="Times New Roman"/>
          <w:sz w:val="24"/>
          <w:szCs w:val="24"/>
        </w:rPr>
        <w:t xml:space="preserve"> to challenge Plato’s best regime,</w:t>
      </w:r>
      <w:r w:rsidR="00C1266E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D27697">
        <w:rPr>
          <w:rFonts w:ascii="Times New Roman" w:hAnsi="Times New Roman" w:cs="Times New Roman"/>
          <w:sz w:val="24"/>
          <w:szCs w:val="24"/>
        </w:rPr>
        <w:t xml:space="preserve"> </w:t>
      </w:r>
      <w:r w:rsidR="0063795D">
        <w:rPr>
          <w:rFonts w:ascii="Times New Roman" w:hAnsi="Times New Roman" w:cs="Times New Roman"/>
          <w:sz w:val="24"/>
          <w:szCs w:val="24"/>
        </w:rPr>
        <w:t xml:space="preserve">as-well </w:t>
      </w:r>
      <w:r w:rsidR="008533FA">
        <w:rPr>
          <w:rFonts w:ascii="Times New Roman" w:hAnsi="Times New Roman" w:cs="Times New Roman"/>
          <w:sz w:val="24"/>
          <w:szCs w:val="24"/>
        </w:rPr>
        <w:t>as other arguments that suggest conflicting philosophies,</w:t>
      </w:r>
      <w:r w:rsidR="008533FA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63795D">
        <w:rPr>
          <w:rFonts w:ascii="Times New Roman" w:hAnsi="Times New Roman" w:cs="Times New Roman"/>
          <w:sz w:val="24"/>
          <w:szCs w:val="24"/>
        </w:rPr>
        <w:t xml:space="preserve"> </w:t>
      </w:r>
      <w:r w:rsidR="00D27697">
        <w:rPr>
          <w:rFonts w:ascii="Times New Roman" w:hAnsi="Times New Roman" w:cs="Times New Roman"/>
          <w:sz w:val="24"/>
          <w:szCs w:val="24"/>
        </w:rPr>
        <w:t>and will use my critique of th</w:t>
      </w:r>
      <w:r w:rsidR="004660CA">
        <w:rPr>
          <w:rFonts w:ascii="Times New Roman" w:hAnsi="Times New Roman" w:cs="Times New Roman"/>
          <w:sz w:val="24"/>
          <w:szCs w:val="24"/>
        </w:rPr>
        <w:t>ese</w:t>
      </w:r>
      <w:r w:rsidR="00D27697">
        <w:rPr>
          <w:rFonts w:ascii="Times New Roman" w:hAnsi="Times New Roman" w:cs="Times New Roman"/>
          <w:sz w:val="24"/>
          <w:szCs w:val="24"/>
        </w:rPr>
        <w:t xml:space="preserve"> view</w:t>
      </w:r>
      <w:r w:rsidR="004660CA">
        <w:rPr>
          <w:rFonts w:ascii="Times New Roman" w:hAnsi="Times New Roman" w:cs="Times New Roman"/>
          <w:sz w:val="24"/>
          <w:szCs w:val="24"/>
        </w:rPr>
        <w:t>s</w:t>
      </w:r>
      <w:r w:rsidR="00D27697">
        <w:rPr>
          <w:rFonts w:ascii="Times New Roman" w:hAnsi="Times New Roman" w:cs="Times New Roman"/>
          <w:sz w:val="24"/>
          <w:szCs w:val="24"/>
        </w:rPr>
        <w:t xml:space="preserve"> to indicate my own position within the scholarship.</w:t>
      </w:r>
      <w:r w:rsidR="009B63B9">
        <w:rPr>
          <w:rFonts w:ascii="Times New Roman" w:hAnsi="Times New Roman" w:cs="Times New Roman"/>
          <w:sz w:val="24"/>
          <w:szCs w:val="24"/>
        </w:rPr>
        <w:t xml:space="preserve"> </w:t>
      </w:r>
      <w:r w:rsidR="008B253A">
        <w:rPr>
          <w:rFonts w:ascii="Times New Roman" w:hAnsi="Times New Roman" w:cs="Times New Roman"/>
          <w:sz w:val="24"/>
          <w:szCs w:val="24"/>
        </w:rPr>
        <w:t xml:space="preserve">I will </w:t>
      </w:r>
      <w:r w:rsidR="00BE3B01">
        <w:rPr>
          <w:rFonts w:ascii="Times New Roman" w:hAnsi="Times New Roman" w:cs="Times New Roman"/>
          <w:sz w:val="24"/>
          <w:szCs w:val="24"/>
        </w:rPr>
        <w:t xml:space="preserve">then argue my case, </w:t>
      </w:r>
      <w:r w:rsidR="008B253A">
        <w:rPr>
          <w:rFonts w:ascii="Times New Roman" w:hAnsi="Times New Roman" w:cs="Times New Roman"/>
          <w:sz w:val="24"/>
          <w:szCs w:val="24"/>
        </w:rPr>
        <w:t>consider</w:t>
      </w:r>
      <w:r w:rsidR="00BE3B01">
        <w:rPr>
          <w:rFonts w:ascii="Times New Roman" w:hAnsi="Times New Roman" w:cs="Times New Roman"/>
          <w:sz w:val="24"/>
          <w:szCs w:val="24"/>
        </w:rPr>
        <w:t xml:space="preserve">ing </w:t>
      </w:r>
      <w:r w:rsidR="005E0C7D">
        <w:rPr>
          <w:rFonts w:ascii="Times New Roman" w:hAnsi="Times New Roman" w:cs="Times New Roman"/>
          <w:sz w:val="24"/>
          <w:szCs w:val="24"/>
        </w:rPr>
        <w:t>for</w:t>
      </w:r>
      <w:r w:rsidR="00BE3B01">
        <w:rPr>
          <w:rFonts w:ascii="Times New Roman" w:hAnsi="Times New Roman" w:cs="Times New Roman"/>
          <w:sz w:val="24"/>
          <w:szCs w:val="24"/>
        </w:rPr>
        <w:t xml:space="preserve"> example</w:t>
      </w:r>
      <w:r w:rsidR="008B253A">
        <w:rPr>
          <w:rFonts w:ascii="Times New Roman" w:hAnsi="Times New Roman" w:cs="Times New Roman"/>
          <w:sz w:val="24"/>
          <w:szCs w:val="24"/>
        </w:rPr>
        <w:t xml:space="preserve"> Boulet’s interpretation of </w:t>
      </w:r>
      <w:r w:rsidR="00BE3B01">
        <w:rPr>
          <w:rFonts w:ascii="Times New Roman" w:hAnsi="Times New Roman" w:cs="Times New Roman"/>
          <w:sz w:val="24"/>
          <w:szCs w:val="24"/>
        </w:rPr>
        <w:t>Lycurgus and Numa as representing ‘two halves of an apple’, the best regime and the best ruler respectively</w:t>
      </w:r>
      <w:r w:rsidR="00B24CC1">
        <w:rPr>
          <w:rFonts w:ascii="Times New Roman" w:hAnsi="Times New Roman" w:cs="Times New Roman"/>
          <w:sz w:val="24"/>
          <w:szCs w:val="24"/>
        </w:rPr>
        <w:t>, and how Plutarch is therefore using these as a template for Plato’s ideal state, considering that neither one could have met the specification in full, else Plato’s discussion would not be hypothetical.</w:t>
      </w:r>
      <w:r w:rsidR="002D51D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9C14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641B" w:rsidRPr="00D27697" w:rsidRDefault="0016641B" w:rsidP="00F25916">
      <w:pPr>
        <w:rPr>
          <w:rFonts w:ascii="Times New Roman" w:hAnsi="Times New Roman" w:cs="Times New Roman"/>
          <w:sz w:val="24"/>
          <w:szCs w:val="24"/>
        </w:rPr>
      </w:pPr>
    </w:p>
    <w:p w:rsidR="008966B0" w:rsidRDefault="008966B0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Section 2: (</w:t>
      </w:r>
      <w:r w:rsidR="00D27697">
        <w:rPr>
          <w:rFonts w:ascii="Times New Roman" w:hAnsi="Times New Roman" w:cs="Times New Roman"/>
          <w:sz w:val="24"/>
          <w:szCs w:val="24"/>
        </w:rPr>
        <w:t>1500</w:t>
      </w:r>
      <w:r w:rsidR="0060571C">
        <w:rPr>
          <w:rFonts w:ascii="Times New Roman" w:hAnsi="Times New Roman" w:cs="Times New Roman"/>
          <w:sz w:val="24"/>
          <w:szCs w:val="24"/>
        </w:rPr>
        <w:t xml:space="preserve">-2000 </w:t>
      </w:r>
      <w:r>
        <w:rPr>
          <w:rFonts w:ascii="Times New Roman" w:hAnsi="Times New Roman" w:cs="Times New Roman"/>
          <w:sz w:val="24"/>
          <w:szCs w:val="24"/>
        </w:rPr>
        <w:t xml:space="preserve">words approximately) </w:t>
      </w:r>
      <w:r w:rsidR="001D0F52">
        <w:rPr>
          <w:rFonts w:ascii="Times New Roman" w:hAnsi="Times New Roman" w:cs="Times New Roman"/>
          <w:sz w:val="24"/>
          <w:szCs w:val="24"/>
        </w:rPr>
        <w:t>This section will be</w:t>
      </w:r>
      <w:r w:rsidR="0060571C">
        <w:rPr>
          <w:rFonts w:ascii="Times New Roman" w:hAnsi="Times New Roman" w:cs="Times New Roman"/>
          <w:sz w:val="24"/>
          <w:szCs w:val="24"/>
        </w:rPr>
        <w:t xml:space="preserve"> more</w:t>
      </w:r>
      <w:r w:rsidR="001D0F52">
        <w:rPr>
          <w:rFonts w:ascii="Times New Roman" w:hAnsi="Times New Roman" w:cs="Times New Roman"/>
          <w:sz w:val="24"/>
          <w:szCs w:val="24"/>
        </w:rPr>
        <w:t xml:space="preserve"> closely textual, and will explore the specific ways Plutarch develops the character of Lycurgus to convey the Platonic doctrine. </w:t>
      </w:r>
      <w:r w:rsidR="00BB4498">
        <w:rPr>
          <w:rFonts w:ascii="Times New Roman" w:hAnsi="Times New Roman" w:cs="Times New Roman"/>
          <w:sz w:val="24"/>
          <w:szCs w:val="24"/>
        </w:rPr>
        <w:t>This will include</w:t>
      </w:r>
      <w:r w:rsidR="00B63972">
        <w:rPr>
          <w:rFonts w:ascii="Times New Roman" w:hAnsi="Times New Roman" w:cs="Times New Roman"/>
          <w:sz w:val="24"/>
          <w:szCs w:val="24"/>
        </w:rPr>
        <w:t>, for example,</w:t>
      </w:r>
      <w:r w:rsidR="00BB44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4498">
        <w:rPr>
          <w:rFonts w:ascii="Times New Roman" w:hAnsi="Times New Roman" w:cs="Times New Roman"/>
          <w:sz w:val="24"/>
          <w:szCs w:val="24"/>
        </w:rPr>
        <w:t>Lucchesi’s</w:t>
      </w:r>
      <w:proofErr w:type="spellEnd"/>
      <w:r w:rsidR="00BB4498">
        <w:rPr>
          <w:rFonts w:ascii="Times New Roman" w:hAnsi="Times New Roman" w:cs="Times New Roman"/>
          <w:sz w:val="24"/>
          <w:szCs w:val="24"/>
        </w:rPr>
        <w:t xml:space="preserve"> discussion of </w:t>
      </w:r>
      <w:r w:rsidR="00AE6461">
        <w:rPr>
          <w:rFonts w:ascii="Times New Roman" w:hAnsi="Times New Roman" w:cs="Times New Roman"/>
          <w:sz w:val="24"/>
          <w:szCs w:val="24"/>
        </w:rPr>
        <w:t xml:space="preserve">the use of </w:t>
      </w:r>
      <w:r w:rsidR="00BB4498">
        <w:rPr>
          <w:rFonts w:ascii="Times New Roman" w:hAnsi="Times New Roman" w:cs="Times New Roman"/>
          <w:sz w:val="24"/>
          <w:szCs w:val="24"/>
        </w:rPr>
        <w:t xml:space="preserve">medical analogies </w:t>
      </w:r>
      <w:r w:rsidR="00AE6461">
        <w:rPr>
          <w:rFonts w:ascii="Times New Roman" w:hAnsi="Times New Roman" w:cs="Times New Roman"/>
          <w:sz w:val="24"/>
          <w:szCs w:val="24"/>
        </w:rPr>
        <w:t>by both Plutarch and Plato to connect health, the soul and the g</w:t>
      </w:r>
      <w:r w:rsidR="00344CA6">
        <w:rPr>
          <w:rFonts w:ascii="Times New Roman" w:hAnsi="Times New Roman" w:cs="Times New Roman"/>
          <w:sz w:val="24"/>
          <w:szCs w:val="24"/>
        </w:rPr>
        <w:t>overnance of the state.</w:t>
      </w:r>
      <w:r w:rsidR="00277C3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344CA6">
        <w:rPr>
          <w:rFonts w:ascii="Times New Roman" w:hAnsi="Times New Roman" w:cs="Times New Roman"/>
          <w:sz w:val="24"/>
          <w:szCs w:val="24"/>
        </w:rPr>
        <w:t xml:space="preserve"> </w:t>
      </w:r>
      <w:r w:rsidR="00D74FAA">
        <w:rPr>
          <w:rFonts w:ascii="Times New Roman" w:hAnsi="Times New Roman" w:cs="Times New Roman"/>
          <w:sz w:val="24"/>
          <w:szCs w:val="24"/>
        </w:rPr>
        <w:t>I will also, as an example, look at the way in which Plutarch disassociates Lycurgus from the less virtuous aspects of Sparta</w:t>
      </w:r>
      <w:r w:rsidR="008734A5">
        <w:rPr>
          <w:rFonts w:ascii="Times New Roman" w:hAnsi="Times New Roman" w:cs="Times New Roman"/>
          <w:sz w:val="24"/>
          <w:szCs w:val="24"/>
        </w:rPr>
        <w:t xml:space="preserve"> such as the</w:t>
      </w:r>
      <w:r w:rsidR="00D74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4FAA">
        <w:rPr>
          <w:rFonts w:ascii="Times New Roman" w:hAnsi="Times New Roman" w:cs="Times New Roman"/>
          <w:sz w:val="24"/>
          <w:szCs w:val="24"/>
        </w:rPr>
        <w:t>krypteia</w:t>
      </w:r>
      <w:proofErr w:type="spellEnd"/>
      <w:r w:rsidR="00D74FAA">
        <w:rPr>
          <w:rFonts w:ascii="Times New Roman" w:hAnsi="Times New Roman" w:cs="Times New Roman"/>
          <w:sz w:val="24"/>
          <w:szCs w:val="24"/>
        </w:rPr>
        <w:t>, in order to preserve his good character</w:t>
      </w:r>
      <w:r w:rsidR="008734A5">
        <w:rPr>
          <w:rFonts w:ascii="Times New Roman" w:hAnsi="Times New Roman" w:cs="Times New Roman"/>
          <w:sz w:val="24"/>
          <w:szCs w:val="24"/>
        </w:rPr>
        <w:t>, by re-iterating the Delphic oracle.</w:t>
      </w:r>
      <w:r w:rsidR="0043062C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C04F55">
        <w:rPr>
          <w:rFonts w:ascii="Times New Roman" w:hAnsi="Times New Roman" w:cs="Times New Roman"/>
          <w:sz w:val="24"/>
          <w:szCs w:val="24"/>
        </w:rPr>
        <w:t xml:space="preserve"> </w:t>
      </w:r>
      <w:r w:rsidR="00B13A8A">
        <w:rPr>
          <w:rFonts w:ascii="Times New Roman" w:hAnsi="Times New Roman" w:cs="Times New Roman"/>
          <w:sz w:val="24"/>
          <w:szCs w:val="24"/>
        </w:rPr>
        <w:t>A discussion will also take place surrounding Plutarch’s challenge to Epicureanism</w:t>
      </w:r>
      <w:r w:rsidR="001F3992">
        <w:rPr>
          <w:rFonts w:ascii="Times New Roman" w:hAnsi="Times New Roman" w:cs="Times New Roman"/>
          <w:sz w:val="24"/>
          <w:szCs w:val="24"/>
        </w:rPr>
        <w:t>, beginning with Warren’s application of this idea to other Lives, from which I will apply it to Lycurgus.</w:t>
      </w:r>
      <w:r w:rsidR="000051CE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1F3992">
        <w:rPr>
          <w:rFonts w:ascii="Times New Roman" w:hAnsi="Times New Roman" w:cs="Times New Roman"/>
          <w:sz w:val="24"/>
          <w:szCs w:val="24"/>
        </w:rPr>
        <w:t xml:space="preserve"> I will argue that Plutarch treats the content of the reforms, most significantly regarding redistribution of land and property, as implementation of Plato’s cardinal virtues.</w:t>
      </w:r>
      <w:r w:rsidR="00F36CF6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</w:p>
    <w:p w:rsidR="00C04F55" w:rsidRDefault="00C04F55" w:rsidP="00F25916">
      <w:pPr>
        <w:rPr>
          <w:rFonts w:ascii="Times New Roman" w:hAnsi="Times New Roman" w:cs="Times New Roman"/>
          <w:sz w:val="24"/>
          <w:szCs w:val="24"/>
        </w:rPr>
      </w:pPr>
    </w:p>
    <w:p w:rsidR="00634437" w:rsidRPr="0052296C" w:rsidRDefault="00634437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Conclusion: </w:t>
      </w:r>
      <w:r w:rsidR="006721A6">
        <w:rPr>
          <w:rFonts w:ascii="Times New Roman" w:hAnsi="Times New Roman" w:cs="Times New Roman"/>
          <w:sz w:val="24"/>
          <w:szCs w:val="24"/>
        </w:rPr>
        <w:t>(</w:t>
      </w:r>
      <w:r w:rsidR="005B54C0">
        <w:rPr>
          <w:rFonts w:ascii="Times New Roman" w:hAnsi="Times New Roman" w:cs="Times New Roman"/>
          <w:sz w:val="24"/>
          <w:szCs w:val="24"/>
        </w:rPr>
        <w:t>400-500</w:t>
      </w:r>
      <w:r w:rsidR="006721A6">
        <w:rPr>
          <w:rFonts w:ascii="Times New Roman" w:hAnsi="Times New Roman" w:cs="Times New Roman"/>
          <w:sz w:val="24"/>
          <w:szCs w:val="24"/>
        </w:rPr>
        <w:t xml:space="preserve"> words approximately) </w:t>
      </w:r>
      <w:r w:rsidR="00B24CC1">
        <w:rPr>
          <w:rFonts w:ascii="Times New Roman" w:hAnsi="Times New Roman" w:cs="Times New Roman"/>
          <w:sz w:val="24"/>
          <w:szCs w:val="24"/>
        </w:rPr>
        <w:t xml:space="preserve">My conclusion will </w:t>
      </w:r>
      <w:r w:rsidR="008508AD">
        <w:rPr>
          <w:rFonts w:ascii="Times New Roman" w:hAnsi="Times New Roman" w:cs="Times New Roman"/>
          <w:sz w:val="24"/>
          <w:szCs w:val="24"/>
        </w:rPr>
        <w:t>summarise the content of the essay, drawing on my findings in section 2 in order to re-iterate my position within the scholarship and explain how my arguments support this.</w:t>
      </w:r>
      <w:r w:rsidR="00B24CC1">
        <w:rPr>
          <w:rFonts w:ascii="Times New Roman" w:hAnsi="Times New Roman" w:cs="Times New Roman"/>
          <w:sz w:val="24"/>
          <w:szCs w:val="24"/>
        </w:rPr>
        <w:t xml:space="preserve"> </w:t>
      </w:r>
      <w:r w:rsidR="0052296C">
        <w:rPr>
          <w:rFonts w:ascii="Times New Roman" w:hAnsi="Times New Roman" w:cs="Times New Roman"/>
          <w:sz w:val="24"/>
          <w:szCs w:val="24"/>
        </w:rPr>
        <w:t xml:space="preserve">I expect to have sufficiently shown that </w:t>
      </w:r>
      <w:r w:rsidR="0052296C">
        <w:rPr>
          <w:rFonts w:ascii="Times New Roman" w:hAnsi="Times New Roman" w:cs="Times New Roman"/>
          <w:i/>
          <w:sz w:val="24"/>
          <w:szCs w:val="24"/>
        </w:rPr>
        <w:t>Lycurgus</w:t>
      </w:r>
      <w:r w:rsidR="0052296C">
        <w:rPr>
          <w:rFonts w:ascii="Times New Roman" w:hAnsi="Times New Roman" w:cs="Times New Roman"/>
          <w:sz w:val="24"/>
          <w:szCs w:val="24"/>
        </w:rPr>
        <w:t xml:space="preserve"> acts as a vehicle for Plutarch’s engagement with Plato, reflection on the ‘best regime’, and challenge to other schools of thought.</w:t>
      </w:r>
    </w:p>
    <w:p w:rsidR="00BE72D9" w:rsidRDefault="00BE72D9" w:rsidP="00F25916">
      <w:pPr>
        <w:rPr>
          <w:rFonts w:ascii="Times New Roman" w:hAnsi="Times New Roman" w:cs="Times New Roman"/>
          <w:sz w:val="24"/>
          <w:szCs w:val="24"/>
        </w:rPr>
      </w:pPr>
    </w:p>
    <w:p w:rsidR="00AB2D21" w:rsidRDefault="00AB2D21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AB2D21" w:rsidRDefault="00AB2D21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BE72D9" w:rsidRDefault="00BE72D9" w:rsidP="00F25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Bibliography</w:t>
      </w:r>
    </w:p>
    <w:p w:rsidR="00BE72D9" w:rsidRDefault="00BE72D9" w:rsidP="00F2591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Ancient Sources</w:t>
      </w:r>
    </w:p>
    <w:p w:rsidR="008E43CE" w:rsidRPr="008E43CE" w:rsidRDefault="008E43CE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Aristotle, </w:t>
      </w:r>
      <w:r>
        <w:rPr>
          <w:rFonts w:ascii="Times New Roman" w:hAnsi="Times New Roman" w:cs="Times New Roman"/>
          <w:i/>
          <w:sz w:val="24"/>
          <w:szCs w:val="24"/>
        </w:rPr>
        <w:t>Nicomachean Ethics</w:t>
      </w:r>
      <w:r>
        <w:rPr>
          <w:rFonts w:ascii="Times New Roman" w:hAnsi="Times New Roman" w:cs="Times New Roman"/>
          <w:sz w:val="24"/>
          <w:szCs w:val="24"/>
        </w:rPr>
        <w:t>. Rackham, H (trans.). 1926. Cambridge, MA: Harvard University Press.</w:t>
      </w:r>
    </w:p>
    <w:p w:rsidR="004F3769" w:rsidRDefault="004F3769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Aristotle, </w:t>
      </w:r>
      <w:r>
        <w:rPr>
          <w:rFonts w:ascii="Times New Roman" w:hAnsi="Times New Roman" w:cs="Times New Roman"/>
          <w:i/>
          <w:sz w:val="24"/>
          <w:szCs w:val="24"/>
        </w:rPr>
        <w:t>Politics.</w:t>
      </w:r>
      <w:r>
        <w:rPr>
          <w:rFonts w:ascii="Times New Roman" w:hAnsi="Times New Roman" w:cs="Times New Roman"/>
          <w:sz w:val="24"/>
          <w:szCs w:val="24"/>
        </w:rPr>
        <w:t xml:space="preserve"> Rackham, H (trans.). 1932. Cambridge, MA: Harvard University Press.</w:t>
      </w:r>
    </w:p>
    <w:p w:rsidR="00A64865" w:rsidRPr="00121061" w:rsidRDefault="00A64865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Herodotus, </w:t>
      </w:r>
      <w:r w:rsidR="00121061">
        <w:rPr>
          <w:rFonts w:ascii="Times New Roman" w:hAnsi="Times New Roman" w:cs="Times New Roman"/>
          <w:i/>
          <w:sz w:val="24"/>
          <w:szCs w:val="24"/>
        </w:rPr>
        <w:t>The Histories.</w:t>
      </w:r>
      <w:r w:rsidR="00121061">
        <w:rPr>
          <w:rFonts w:ascii="Times New Roman" w:hAnsi="Times New Roman" w:cs="Times New Roman"/>
          <w:sz w:val="24"/>
          <w:szCs w:val="24"/>
        </w:rPr>
        <w:t xml:space="preserve"> Godley, A.D (trans.). 1920. Cambridge, MA: Harvard University Press. </w:t>
      </w:r>
    </w:p>
    <w:p w:rsidR="006F54CD" w:rsidRPr="006F54CD" w:rsidRDefault="006F54CD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Plato,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Philebus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Howler, H.N and Lamb, W.R.M (trans.). 1925. Cambridge, MA: Harvard University Press.</w:t>
      </w:r>
    </w:p>
    <w:p w:rsidR="009976C5" w:rsidRDefault="009976C5" w:rsidP="009976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Plato, </w:t>
      </w:r>
      <w:r>
        <w:rPr>
          <w:rFonts w:ascii="Times New Roman" w:hAnsi="Times New Roman" w:cs="Times New Roman"/>
          <w:i/>
          <w:sz w:val="24"/>
          <w:szCs w:val="24"/>
        </w:rPr>
        <w:t xml:space="preserve">Republic. </w:t>
      </w:r>
      <w:r>
        <w:rPr>
          <w:rFonts w:ascii="Times New Roman" w:hAnsi="Times New Roman" w:cs="Times New Roman"/>
          <w:sz w:val="24"/>
          <w:szCs w:val="24"/>
        </w:rPr>
        <w:t xml:space="preserve">Emlyn-Jones, C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Preddy</w:t>
      </w:r>
      <w:proofErr w:type="spellEnd"/>
      <w:r>
        <w:rPr>
          <w:rFonts w:ascii="Times New Roman" w:hAnsi="Times New Roman" w:cs="Times New Roman"/>
          <w:sz w:val="24"/>
          <w:szCs w:val="24"/>
        </w:rPr>
        <w:t>, W (trans.). 2013. Cambridge, MA: Harvard University Press.</w:t>
      </w:r>
    </w:p>
    <w:p w:rsidR="009976C5" w:rsidRDefault="009976C5" w:rsidP="009976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Plutarch, </w:t>
      </w:r>
      <w:r>
        <w:rPr>
          <w:rFonts w:ascii="Times New Roman" w:hAnsi="Times New Roman" w:cs="Times New Roman"/>
          <w:i/>
          <w:sz w:val="24"/>
          <w:szCs w:val="24"/>
        </w:rPr>
        <w:t>Comparison of Lycurgus and Numa.</w:t>
      </w:r>
      <w:r>
        <w:rPr>
          <w:rFonts w:ascii="Times New Roman" w:hAnsi="Times New Roman" w:cs="Times New Roman"/>
          <w:sz w:val="24"/>
          <w:szCs w:val="24"/>
        </w:rPr>
        <w:t xml:space="preserve"> Perrin, B (trans.). 1914. Cambridge, MA: Harvard University Press.</w:t>
      </w:r>
    </w:p>
    <w:p w:rsidR="00BE72D9" w:rsidRDefault="009C1413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Plutarch, </w:t>
      </w:r>
      <w:r>
        <w:rPr>
          <w:rFonts w:ascii="Times New Roman" w:hAnsi="Times New Roman" w:cs="Times New Roman"/>
          <w:i/>
          <w:sz w:val="24"/>
          <w:szCs w:val="24"/>
        </w:rPr>
        <w:t>Life of Lycurgus.</w:t>
      </w:r>
      <w:r>
        <w:rPr>
          <w:rFonts w:ascii="Times New Roman" w:hAnsi="Times New Roman" w:cs="Times New Roman"/>
          <w:sz w:val="24"/>
          <w:szCs w:val="24"/>
        </w:rPr>
        <w:t xml:space="preserve"> Perrin, B (trans.). 1914. Cambridge, MA: Harvard University Press.</w:t>
      </w:r>
    </w:p>
    <w:p w:rsidR="009976C5" w:rsidRDefault="009976C5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Thucydides, </w:t>
      </w:r>
      <w:r>
        <w:rPr>
          <w:rFonts w:ascii="Times New Roman" w:hAnsi="Times New Roman" w:cs="Times New Roman"/>
          <w:i/>
          <w:sz w:val="24"/>
          <w:szCs w:val="24"/>
        </w:rPr>
        <w:t xml:space="preserve">History of the Peloponnesian War. </w:t>
      </w:r>
      <w:r>
        <w:rPr>
          <w:rFonts w:ascii="Times New Roman" w:hAnsi="Times New Roman" w:cs="Times New Roman"/>
          <w:sz w:val="24"/>
          <w:szCs w:val="24"/>
        </w:rPr>
        <w:t>Smith, C.F (trans.). 1919. Cambridge, MA: Harvard University Press.</w:t>
      </w:r>
    </w:p>
    <w:p w:rsidR="004B2E1C" w:rsidRDefault="004B2E1C" w:rsidP="00F2591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Tyrtaeus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 xml:space="preserve">Fragments. </w:t>
      </w:r>
      <w:r>
        <w:rPr>
          <w:rFonts w:ascii="Times New Roman" w:hAnsi="Times New Roman" w:cs="Times New Roman"/>
          <w:sz w:val="24"/>
          <w:szCs w:val="24"/>
        </w:rPr>
        <w:t>Gerber, D.E (trans.). 1999. Cambridge, MA: Harvard University Press.</w:t>
      </w:r>
    </w:p>
    <w:p w:rsidR="00AC7E8A" w:rsidRPr="00AC7E8A" w:rsidRDefault="00AC7E8A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Xenophon, </w:t>
      </w:r>
      <w:r w:rsidRPr="00AC7E8A">
        <w:rPr>
          <w:rFonts w:ascii="Times New Roman" w:hAnsi="Times New Roman" w:cs="Times New Roman"/>
          <w:i/>
          <w:sz w:val="24"/>
          <w:szCs w:val="24"/>
        </w:rPr>
        <w:t>Constitution of the Lacedaemonians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AC7E8A">
        <w:rPr>
          <w:rFonts w:ascii="Times New Roman" w:hAnsi="Times New Roman" w:cs="Times New Roman"/>
          <w:sz w:val="24"/>
          <w:szCs w:val="24"/>
        </w:rPr>
        <w:t>Marchant,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7E8A">
        <w:rPr>
          <w:rFonts w:ascii="Times New Roman" w:hAnsi="Times New Roman" w:cs="Times New Roman"/>
          <w:sz w:val="24"/>
          <w:szCs w:val="24"/>
        </w:rPr>
        <w:t xml:space="preserve">E.C and </w:t>
      </w:r>
      <w:proofErr w:type="spellStart"/>
      <w:r w:rsidRPr="00AC7E8A">
        <w:rPr>
          <w:rFonts w:ascii="Times New Roman" w:hAnsi="Times New Roman" w:cs="Times New Roman"/>
          <w:sz w:val="24"/>
          <w:szCs w:val="24"/>
        </w:rPr>
        <w:t>Bowersock</w:t>
      </w:r>
      <w:proofErr w:type="spellEnd"/>
      <w:r w:rsidRPr="00AC7E8A">
        <w:rPr>
          <w:rFonts w:ascii="Times New Roman" w:hAnsi="Times New Roman" w:cs="Times New Roman"/>
          <w:sz w:val="24"/>
          <w:szCs w:val="24"/>
        </w:rPr>
        <w:t>, G.W</w:t>
      </w:r>
      <w:r>
        <w:rPr>
          <w:rFonts w:ascii="Times New Roman" w:hAnsi="Times New Roman" w:cs="Times New Roman"/>
          <w:sz w:val="24"/>
          <w:szCs w:val="24"/>
        </w:rPr>
        <w:t xml:space="preserve"> (trans.). 1925. Cambridge, MA: Harvard University Press.</w:t>
      </w:r>
    </w:p>
    <w:p w:rsidR="004F3769" w:rsidRPr="002F2955" w:rsidRDefault="004F3769" w:rsidP="00F25916">
      <w:pPr>
        <w:rPr>
          <w:rFonts w:ascii="Times New Roman" w:hAnsi="Times New Roman" w:cs="Times New Roman"/>
          <w:sz w:val="24"/>
          <w:szCs w:val="24"/>
        </w:rPr>
      </w:pPr>
    </w:p>
    <w:p w:rsidR="00894311" w:rsidRDefault="00894311" w:rsidP="00F25916">
      <w:pPr>
        <w:rPr>
          <w:rFonts w:ascii="Times New Roman" w:hAnsi="Times New Roman" w:cs="Times New Roman"/>
          <w:b/>
          <w:sz w:val="24"/>
          <w:szCs w:val="24"/>
        </w:rPr>
      </w:pPr>
    </w:p>
    <w:p w:rsidR="00BE72D9" w:rsidRDefault="00BE72D9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Modern Scholarship</w:t>
      </w:r>
    </w:p>
    <w:p w:rsidR="00A514CF" w:rsidRDefault="00A514CF" w:rsidP="00A514CF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Alberto, 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Divided Power And </w:t>
      </w:r>
      <w:proofErr w:type="spellStart"/>
      <w:r w:rsidRPr="004B3A65">
        <w:rPr>
          <w:rFonts w:ascii="Times New Roman" w:hAnsi="Times New Roman" w:cs="Times New Roman"/>
          <w:sz w:val="24"/>
          <w:szCs w:val="24"/>
        </w:rPr>
        <w:t>Εynomia</w:t>
      </w:r>
      <w:proofErr w:type="spellEnd"/>
      <w:r w:rsidRPr="004B3A65">
        <w:rPr>
          <w:rFonts w:ascii="Times New Roman" w:hAnsi="Times New Roman" w:cs="Times New Roman"/>
          <w:sz w:val="24"/>
          <w:szCs w:val="24"/>
        </w:rPr>
        <w:t>: Deliberative Procedures in Ancient Sparta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Classical Quarterly</w:t>
      </w:r>
      <w:r>
        <w:rPr>
          <w:rFonts w:ascii="Times New Roman" w:hAnsi="Times New Roman" w:cs="Times New Roman"/>
          <w:sz w:val="24"/>
          <w:szCs w:val="24"/>
        </w:rPr>
        <w:t>, 67(2), pp. 353-373.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Beck, M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ed.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2014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A Companion to Plutarch. </w:t>
      </w:r>
      <w:r w:rsidRPr="004B3A65">
        <w:rPr>
          <w:rFonts w:ascii="Times New Roman" w:hAnsi="Times New Roman" w:cs="Times New Roman"/>
          <w:sz w:val="24"/>
          <w:szCs w:val="24"/>
        </w:rPr>
        <w:t>Wiley-Blackwell.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Blois, L. de (2005) ‘Two Important Commonplaces in Plutarch’s Lycurgus’, in Pérez Jiménez, A. and Titchener, F. (ed.)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Historical and Biographical Values of Plutarch’s Works: Studies Devoted to Professor Philip A. </w:t>
      </w:r>
      <w:proofErr w:type="spellStart"/>
      <w:r w:rsidRPr="004B3A65">
        <w:rPr>
          <w:rFonts w:ascii="Times New Roman" w:hAnsi="Times New Roman" w:cs="Times New Roman"/>
          <w:i/>
          <w:sz w:val="24"/>
          <w:szCs w:val="24"/>
        </w:rPr>
        <w:t>Stadte</w:t>
      </w:r>
      <w:proofErr w:type="spellEnd"/>
      <w:r w:rsidRPr="004B3A65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4B3A65">
        <w:rPr>
          <w:rFonts w:ascii="Times New Roman" w:hAnsi="Times New Roman" w:cs="Times New Roman"/>
          <w:sz w:val="24"/>
          <w:szCs w:val="24"/>
        </w:rPr>
        <w:t>Málaga/Logan (Utah): International Plutarch Society</w:t>
      </w:r>
    </w:p>
    <w:p w:rsidR="009F720D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Boulet, B (2004) ‘Is Numa the Genuine Philosopher King?’ in Blois, L. de et al (ed.)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The Statesman in Plutarch's Works, Volume II: The Statesman in Plutarch's Greek and Roman Lives. </w:t>
      </w:r>
      <w:r w:rsidRPr="004B3A65">
        <w:rPr>
          <w:rFonts w:ascii="Times New Roman" w:hAnsi="Times New Roman" w:cs="Times New Roman"/>
          <w:sz w:val="24"/>
          <w:szCs w:val="24"/>
        </w:rPr>
        <w:t>Leiden: Brill.</w:t>
      </w:r>
    </w:p>
    <w:p w:rsidR="00345D41" w:rsidRDefault="00345D41" w:rsidP="00345D41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Cartledge, P (2002)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Sparta and </w:t>
      </w:r>
      <w:proofErr w:type="spellStart"/>
      <w:r w:rsidRPr="004B3A65">
        <w:rPr>
          <w:rFonts w:ascii="Times New Roman" w:hAnsi="Times New Roman" w:cs="Times New Roman"/>
          <w:i/>
          <w:sz w:val="24"/>
          <w:szCs w:val="24"/>
        </w:rPr>
        <w:t>Lakonia</w:t>
      </w:r>
      <w:proofErr w:type="spellEnd"/>
      <w:r w:rsidRPr="004B3A65">
        <w:rPr>
          <w:rFonts w:ascii="Times New Roman" w:hAnsi="Times New Roman" w:cs="Times New Roman"/>
          <w:i/>
          <w:sz w:val="24"/>
          <w:szCs w:val="24"/>
        </w:rPr>
        <w:t>: A Regional History, 1300-362 BC</w:t>
      </w:r>
      <w:r w:rsidR="00481FF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81FF2">
        <w:rPr>
          <w:rFonts w:ascii="Times New Roman" w:hAnsi="Times New Roman" w:cs="Times New Roman"/>
          <w:sz w:val="24"/>
          <w:szCs w:val="24"/>
        </w:rPr>
        <w:t>London: Routledge.</w:t>
      </w:r>
    </w:p>
    <w:p w:rsidR="008D0E00" w:rsidRPr="008D0E00" w:rsidRDefault="008D0E00" w:rsidP="00345D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Cartledge, P (2001) </w:t>
      </w:r>
      <w:r>
        <w:rPr>
          <w:rFonts w:ascii="Times New Roman" w:hAnsi="Times New Roman" w:cs="Times New Roman"/>
          <w:i/>
          <w:sz w:val="24"/>
          <w:szCs w:val="24"/>
        </w:rPr>
        <w:t xml:space="preserve">Spartan Reflections. </w:t>
      </w:r>
      <w:r>
        <w:rPr>
          <w:rFonts w:ascii="Times New Roman" w:hAnsi="Times New Roman" w:cs="Times New Roman"/>
          <w:sz w:val="24"/>
          <w:szCs w:val="24"/>
        </w:rPr>
        <w:t>Berkeley: University of California Press.</w:t>
      </w:r>
    </w:p>
    <w:p w:rsidR="009F720D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David, 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1978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The Spartan Syssitia and Plato’s Laws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The American Journal of Philology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99(4), pp. 486-495.</w:t>
      </w:r>
      <w:r w:rsidRPr="00FA3D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Fine, J.V.A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1985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The Ancient Greeks: A Critical History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Cambridge, </w:t>
      </w:r>
      <w:r w:rsidR="009C1413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: Harvard University Press.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3A65">
        <w:rPr>
          <w:rFonts w:ascii="Times New Roman" w:hAnsi="Times New Roman" w:cs="Times New Roman"/>
          <w:sz w:val="24"/>
          <w:szCs w:val="24"/>
        </w:rPr>
        <w:t>Futter</w:t>
      </w:r>
      <w:proofErr w:type="spellEnd"/>
      <w:r w:rsidRPr="004B3A65">
        <w:rPr>
          <w:rFonts w:ascii="Times New Roman" w:hAnsi="Times New Roman" w:cs="Times New Roman"/>
          <w:sz w:val="24"/>
          <w:szCs w:val="24"/>
        </w:rPr>
        <w:t xml:space="preserve">, D (2012) Plutarch, Plato and Sparta, </w:t>
      </w:r>
      <w:proofErr w:type="spellStart"/>
      <w:r w:rsidRPr="004B3A65">
        <w:rPr>
          <w:rFonts w:ascii="Times New Roman" w:hAnsi="Times New Roman" w:cs="Times New Roman"/>
          <w:i/>
          <w:sz w:val="24"/>
          <w:szCs w:val="24"/>
        </w:rPr>
        <w:t>Akroterion</w:t>
      </w:r>
      <w:proofErr w:type="spellEnd"/>
      <w:r w:rsidRPr="004B3A6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4B3A65">
        <w:rPr>
          <w:rFonts w:ascii="Times New Roman" w:hAnsi="Times New Roman" w:cs="Times New Roman"/>
          <w:sz w:val="24"/>
          <w:szCs w:val="24"/>
        </w:rPr>
        <w:t xml:space="preserve">57, pp. 35-51 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3A65">
        <w:rPr>
          <w:rFonts w:ascii="Times New Roman" w:hAnsi="Times New Roman" w:cs="Times New Roman"/>
          <w:sz w:val="24"/>
          <w:szCs w:val="24"/>
        </w:rPr>
        <w:t>Kennell</w:t>
      </w:r>
      <w:proofErr w:type="spellEnd"/>
      <w:r w:rsidRPr="004B3A65">
        <w:rPr>
          <w:rFonts w:ascii="Times New Roman" w:hAnsi="Times New Roman" w:cs="Times New Roman"/>
          <w:sz w:val="24"/>
          <w:szCs w:val="24"/>
        </w:rPr>
        <w:t xml:space="preserve">, N.M (1995) </w:t>
      </w:r>
      <w:r w:rsidRPr="004B3A65">
        <w:rPr>
          <w:rFonts w:ascii="Times New Roman" w:hAnsi="Times New Roman" w:cs="Times New Roman"/>
          <w:i/>
          <w:sz w:val="24"/>
          <w:szCs w:val="24"/>
        </w:rPr>
        <w:t>The Gymnasium of Virtue: Education &amp; Culture in Ancient Sparta.</w:t>
      </w:r>
      <w:r w:rsidRPr="004B3A65">
        <w:rPr>
          <w:rFonts w:ascii="Times New Roman" w:hAnsi="Times New Roman" w:cs="Times New Roman"/>
          <w:sz w:val="24"/>
          <w:szCs w:val="24"/>
        </w:rPr>
        <w:t xml:space="preserve"> Chapel Hill, NC: University of North Carolina Press</w:t>
      </w:r>
    </w:p>
    <w:p w:rsidR="00345D41" w:rsidRPr="00C52695" w:rsidRDefault="00345D41" w:rsidP="00345D4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3A65">
        <w:rPr>
          <w:rFonts w:ascii="Times New Roman" w:hAnsi="Times New Roman" w:cs="Times New Roman"/>
          <w:sz w:val="24"/>
          <w:szCs w:val="24"/>
        </w:rPr>
        <w:lastRenderedPageBreak/>
        <w:t>Kõiv</w:t>
      </w:r>
      <w:proofErr w:type="spellEnd"/>
      <w:r w:rsidRPr="004B3A65">
        <w:rPr>
          <w:rFonts w:ascii="Times New Roman" w:hAnsi="Times New Roman" w:cs="Times New Roman"/>
          <w:sz w:val="24"/>
          <w:szCs w:val="24"/>
        </w:rPr>
        <w:t xml:space="preserve">, M </w:t>
      </w:r>
      <w:r w:rsidR="00C52695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2005</w:t>
      </w:r>
      <w:r w:rsidR="00C52695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The Origins, Development, and Reliability of the Ancient Tradition about the Formation of the Spartan Constitution</w:t>
      </w:r>
      <w:r w:rsidR="00C52695">
        <w:rPr>
          <w:rFonts w:ascii="Times New Roman" w:hAnsi="Times New Roman" w:cs="Times New Roman"/>
          <w:sz w:val="24"/>
          <w:szCs w:val="24"/>
        </w:rPr>
        <w:t>,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iCs/>
          <w:sz w:val="24"/>
          <w:szCs w:val="24"/>
        </w:rPr>
        <w:t xml:space="preserve">Historia: </w:t>
      </w:r>
      <w:proofErr w:type="spellStart"/>
      <w:r w:rsidRPr="004B3A65">
        <w:rPr>
          <w:rFonts w:ascii="Times New Roman" w:hAnsi="Times New Roman" w:cs="Times New Roman"/>
          <w:i/>
          <w:iCs/>
          <w:sz w:val="24"/>
          <w:szCs w:val="24"/>
        </w:rPr>
        <w:t>Zeitschrift</w:t>
      </w:r>
      <w:proofErr w:type="spellEnd"/>
      <w:r w:rsidRPr="004B3A6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B3A65">
        <w:rPr>
          <w:rFonts w:ascii="Times New Roman" w:hAnsi="Times New Roman" w:cs="Times New Roman"/>
          <w:i/>
          <w:iCs/>
          <w:sz w:val="24"/>
          <w:szCs w:val="24"/>
        </w:rPr>
        <w:t>für</w:t>
      </w:r>
      <w:proofErr w:type="spellEnd"/>
      <w:r w:rsidRPr="004B3A65">
        <w:rPr>
          <w:rFonts w:ascii="Times New Roman" w:hAnsi="Times New Roman" w:cs="Times New Roman"/>
          <w:i/>
          <w:iCs/>
          <w:sz w:val="24"/>
          <w:szCs w:val="24"/>
        </w:rPr>
        <w:t xml:space="preserve"> Alte </w:t>
      </w:r>
      <w:proofErr w:type="spellStart"/>
      <w:r w:rsidRPr="004B3A65">
        <w:rPr>
          <w:rFonts w:ascii="Times New Roman" w:hAnsi="Times New Roman" w:cs="Times New Roman"/>
          <w:i/>
          <w:iCs/>
          <w:sz w:val="24"/>
          <w:szCs w:val="24"/>
        </w:rPr>
        <w:t>Geschichte</w:t>
      </w:r>
      <w:proofErr w:type="spellEnd"/>
      <w:r w:rsidR="00C52695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C52695">
        <w:rPr>
          <w:rFonts w:ascii="Times New Roman" w:hAnsi="Times New Roman" w:cs="Times New Roman"/>
          <w:iCs/>
          <w:sz w:val="24"/>
          <w:szCs w:val="24"/>
        </w:rPr>
        <w:t>54(3), pp. 233-264.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Lane, M (2013) ‘Platonizing the Spartan Politeia in Plutarch’s Lycurgus’, in Lane M and Harte V (ed.)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Politeia in Greek and Roman Philosophy. </w:t>
      </w:r>
      <w:r w:rsidRPr="004B3A65">
        <w:rPr>
          <w:rFonts w:ascii="Times New Roman" w:hAnsi="Times New Roman" w:cs="Times New Roman"/>
          <w:sz w:val="24"/>
          <w:szCs w:val="24"/>
        </w:rPr>
        <w:t>Cambridge: Cambridge University Press.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Liebert, H (2009) Plutarch’s Critique of Plato’s Best Regime, </w:t>
      </w:r>
      <w:r w:rsidRPr="004B3A65">
        <w:rPr>
          <w:rFonts w:ascii="Times New Roman" w:hAnsi="Times New Roman" w:cs="Times New Roman"/>
          <w:i/>
          <w:sz w:val="24"/>
          <w:szCs w:val="24"/>
        </w:rPr>
        <w:t>History of Political Thought</w:t>
      </w:r>
      <w:r w:rsidRPr="004B3A65">
        <w:rPr>
          <w:rFonts w:ascii="Times New Roman" w:hAnsi="Times New Roman" w:cs="Times New Roman"/>
          <w:sz w:val="24"/>
          <w:szCs w:val="24"/>
        </w:rPr>
        <w:t>, 30(2), pp. 251-271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Liebert, H (2016) </w:t>
      </w:r>
      <w:r w:rsidRPr="004B3A65">
        <w:rPr>
          <w:rFonts w:ascii="Times New Roman" w:hAnsi="Times New Roman" w:cs="Times New Roman"/>
          <w:i/>
          <w:sz w:val="24"/>
          <w:szCs w:val="24"/>
        </w:rPr>
        <w:t>Plutarch’s Politics: Between City and Empire.</w:t>
      </w:r>
      <w:r w:rsidRPr="004B3A65">
        <w:rPr>
          <w:rFonts w:ascii="Times New Roman" w:hAnsi="Times New Roman" w:cs="Times New Roman"/>
          <w:sz w:val="24"/>
          <w:szCs w:val="24"/>
        </w:rPr>
        <w:t xml:space="preserve"> Cambridge: Cambridge University Press.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3A65">
        <w:rPr>
          <w:rFonts w:ascii="Times New Roman" w:hAnsi="Times New Roman" w:cs="Times New Roman"/>
          <w:sz w:val="24"/>
          <w:szCs w:val="24"/>
        </w:rPr>
        <w:t>Lucchesi</w:t>
      </w:r>
      <w:proofErr w:type="spellEnd"/>
      <w:r w:rsidRPr="004B3A65">
        <w:rPr>
          <w:rFonts w:ascii="Times New Roman" w:hAnsi="Times New Roman" w:cs="Times New Roman"/>
          <w:sz w:val="24"/>
          <w:szCs w:val="24"/>
        </w:rPr>
        <w:t xml:space="preserve">, M.A (2014)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Plutarch on Sparta: Cultural Identities and Political Models in the Plutarchan </w:t>
      </w:r>
      <w:proofErr w:type="spellStart"/>
      <w:r w:rsidRPr="004B3A65">
        <w:rPr>
          <w:rFonts w:ascii="Times New Roman" w:hAnsi="Times New Roman" w:cs="Times New Roman"/>
          <w:i/>
          <w:sz w:val="24"/>
          <w:szCs w:val="24"/>
        </w:rPr>
        <w:t>Macrotext</w:t>
      </w:r>
      <w:proofErr w:type="spellEnd"/>
      <w:r w:rsidRPr="004B3A65">
        <w:rPr>
          <w:rFonts w:ascii="Times New Roman" w:hAnsi="Times New Roman" w:cs="Times New Roman"/>
          <w:i/>
          <w:sz w:val="24"/>
          <w:szCs w:val="24"/>
        </w:rPr>
        <w:t>.</w:t>
      </w:r>
      <w:r w:rsidRPr="004B3A65">
        <w:rPr>
          <w:rFonts w:ascii="Times New Roman" w:hAnsi="Times New Roman" w:cs="Times New Roman"/>
          <w:sz w:val="24"/>
          <w:szCs w:val="24"/>
        </w:rPr>
        <w:t xml:space="preserve"> Unpublished PhD thesis. University of Oxford.</w:t>
      </w:r>
    </w:p>
    <w:p w:rsidR="009F720D" w:rsidRPr="004B3A65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Oliver, D (2018) </w:t>
      </w:r>
      <w:r w:rsidRPr="004B3A65">
        <w:rPr>
          <w:rFonts w:ascii="Times New Roman" w:hAnsi="Times New Roman" w:cs="Times New Roman"/>
          <w:i/>
          <w:sz w:val="24"/>
          <w:szCs w:val="24"/>
        </w:rPr>
        <w:t>Military Leadership in Plutarch’s Parallel Lives</w:t>
      </w:r>
      <w:r w:rsidRPr="004B3A65">
        <w:rPr>
          <w:rFonts w:ascii="Times New Roman" w:hAnsi="Times New Roman" w:cs="Times New Roman"/>
          <w:sz w:val="24"/>
          <w:szCs w:val="24"/>
        </w:rPr>
        <w:t>. Unpublished PhD thesis. University of Edinburgh.</w:t>
      </w:r>
    </w:p>
    <w:p w:rsidR="00345D41" w:rsidRPr="00F45DC3" w:rsidRDefault="00FA3DFB" w:rsidP="00345D41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>Powell, A. and Hodkinson, S</w:t>
      </w:r>
      <w:r>
        <w:rPr>
          <w:rFonts w:ascii="Times New Roman" w:hAnsi="Times New Roman" w:cs="Times New Roman"/>
          <w:sz w:val="24"/>
          <w:szCs w:val="24"/>
        </w:rPr>
        <w:t xml:space="preserve"> (ed.)</w:t>
      </w:r>
      <w:r w:rsidRPr="004B3A65">
        <w:rPr>
          <w:rFonts w:ascii="Times New Roman" w:hAnsi="Times New Roman" w:cs="Times New Roman"/>
          <w:sz w:val="24"/>
          <w:szCs w:val="24"/>
        </w:rPr>
        <w:t xml:space="preserve"> (1994) </w:t>
      </w:r>
      <w:r w:rsidRPr="004B3A65">
        <w:rPr>
          <w:rFonts w:ascii="Times New Roman" w:hAnsi="Times New Roman" w:cs="Times New Roman"/>
          <w:i/>
          <w:sz w:val="24"/>
          <w:szCs w:val="24"/>
        </w:rPr>
        <w:t>The Shadow of Sparta</w:t>
      </w:r>
      <w:r w:rsidRPr="004B3A6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Swansea: The Classical Press of Wales.</w:t>
      </w:r>
    </w:p>
    <w:p w:rsidR="00FA3DFB" w:rsidRDefault="00345D41" w:rsidP="00FA3DFB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>Powell, A</w:t>
      </w:r>
      <w:r w:rsidR="0022534B">
        <w:rPr>
          <w:rFonts w:ascii="Times New Roman" w:hAnsi="Times New Roman" w:cs="Times New Roman"/>
          <w:sz w:val="24"/>
          <w:szCs w:val="24"/>
        </w:rPr>
        <w:t xml:space="preserve"> and</w:t>
      </w:r>
      <w:r w:rsidRPr="004B3A65">
        <w:rPr>
          <w:rFonts w:ascii="Times New Roman" w:hAnsi="Times New Roman" w:cs="Times New Roman"/>
          <w:sz w:val="24"/>
          <w:szCs w:val="24"/>
        </w:rPr>
        <w:t xml:space="preserve"> Hodkinson, S </w:t>
      </w:r>
      <w:r w:rsidR="0022534B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ed.</w:t>
      </w:r>
      <w:r w:rsidR="0022534B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="0022534B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2002</w:t>
      </w:r>
      <w:r w:rsidR="0022534B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Sparta: Beyond the Mirage</w:t>
      </w:r>
      <w:r w:rsidR="0022534B">
        <w:rPr>
          <w:rFonts w:ascii="Times New Roman" w:hAnsi="Times New Roman" w:cs="Times New Roman"/>
          <w:sz w:val="24"/>
          <w:szCs w:val="24"/>
        </w:rPr>
        <w:t>. Swansea: The Classical Press of Wales</w:t>
      </w:r>
      <w:r w:rsidR="009F720D">
        <w:rPr>
          <w:rFonts w:ascii="Times New Roman" w:hAnsi="Times New Roman" w:cs="Times New Roman"/>
          <w:sz w:val="24"/>
          <w:szCs w:val="24"/>
        </w:rPr>
        <w:t>.</w:t>
      </w:r>
      <w:r w:rsidR="00FA3DFB" w:rsidRPr="00FA3D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D41" w:rsidRDefault="00345D41" w:rsidP="00345D41">
      <w:pPr>
        <w:rPr>
          <w:rFonts w:ascii="Times New Roman" w:hAnsi="Times New Roman" w:cs="Times New Roman"/>
          <w:i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>Powell, A</w:t>
      </w:r>
      <w:r w:rsidR="0022534B">
        <w:rPr>
          <w:rFonts w:ascii="Times New Roman" w:hAnsi="Times New Roman" w:cs="Times New Roman"/>
          <w:sz w:val="24"/>
          <w:szCs w:val="24"/>
        </w:rPr>
        <w:t xml:space="preserve"> and</w:t>
      </w:r>
      <w:r w:rsidRPr="004B3A65">
        <w:rPr>
          <w:rFonts w:ascii="Times New Roman" w:hAnsi="Times New Roman" w:cs="Times New Roman"/>
          <w:sz w:val="24"/>
          <w:szCs w:val="24"/>
        </w:rPr>
        <w:t xml:space="preserve"> Hodkinson, S </w:t>
      </w:r>
      <w:r w:rsidR="0022534B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ed.</w:t>
      </w:r>
      <w:r w:rsidR="0022534B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="00227B61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2009</w:t>
      </w:r>
      <w:r w:rsidR="00227B61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Sparta: New Perspectives</w:t>
      </w:r>
      <w:r w:rsidR="0022534B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2534B">
        <w:rPr>
          <w:rFonts w:ascii="Times New Roman" w:hAnsi="Times New Roman" w:cs="Times New Roman"/>
          <w:sz w:val="24"/>
          <w:szCs w:val="24"/>
        </w:rPr>
        <w:t>Swansea: The Classical Press of Wales.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8108C3" w:rsidRPr="004B3A65" w:rsidRDefault="008108C3" w:rsidP="00345D41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>Powell, A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Pr="004B3A65">
        <w:rPr>
          <w:rFonts w:ascii="Times New Roman" w:hAnsi="Times New Roman" w:cs="Times New Roman"/>
          <w:sz w:val="24"/>
          <w:szCs w:val="24"/>
        </w:rPr>
        <w:t xml:space="preserve"> Hodkinson, S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ed.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10)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 xml:space="preserve">Sparta: </w:t>
      </w:r>
      <w:r>
        <w:rPr>
          <w:rFonts w:ascii="Times New Roman" w:hAnsi="Times New Roman" w:cs="Times New Roman"/>
          <w:i/>
          <w:sz w:val="24"/>
          <w:szCs w:val="24"/>
        </w:rPr>
        <w:t>The Body Politic</w:t>
      </w:r>
      <w:r>
        <w:rPr>
          <w:rFonts w:ascii="Times New Roman" w:hAnsi="Times New Roman" w:cs="Times New Roman"/>
          <w:sz w:val="24"/>
          <w:szCs w:val="24"/>
        </w:rPr>
        <w:t>. Swansea: The Classical Press of Wales.</w:t>
      </w:r>
    </w:p>
    <w:p w:rsidR="00345D41" w:rsidRPr="00F96B7A" w:rsidRDefault="00345D41" w:rsidP="00345D41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lastRenderedPageBreak/>
        <w:t xml:space="preserve">Rahe, P </w:t>
      </w:r>
      <w:r w:rsidR="0022534B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2016</w:t>
      </w:r>
      <w:r w:rsidR="0022534B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The Spartan Regime: Its Character, Origins, and Grand Strategy</w:t>
      </w:r>
      <w:r w:rsidR="00F96B7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F96B7A">
        <w:rPr>
          <w:rFonts w:ascii="Times New Roman" w:hAnsi="Times New Roman" w:cs="Times New Roman"/>
          <w:sz w:val="24"/>
          <w:szCs w:val="24"/>
        </w:rPr>
        <w:t>New Haven, Connecticut: Yale University Press.</w:t>
      </w:r>
    </w:p>
    <w:p w:rsidR="00345D41" w:rsidRPr="006D1EA7" w:rsidRDefault="00345D41" w:rsidP="00345D41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Tracy, H.L </w:t>
      </w:r>
      <w:r w:rsidR="00A50AA4"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1942</w:t>
      </w:r>
      <w:r w:rsidR="00A50AA4"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Notes on Plutarch’s Biographical Method</w:t>
      </w:r>
      <w:r w:rsidR="006D1EA7">
        <w:rPr>
          <w:rFonts w:ascii="Times New Roman" w:hAnsi="Times New Roman" w:cs="Times New Roman"/>
          <w:sz w:val="24"/>
          <w:szCs w:val="24"/>
        </w:rPr>
        <w:t>,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The Classical Association of the Middle West and South, Inc. (CAMWS)</w:t>
      </w:r>
      <w:r w:rsidR="006D1EA7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6D1EA7">
        <w:rPr>
          <w:rFonts w:ascii="Times New Roman" w:hAnsi="Times New Roman" w:cs="Times New Roman"/>
          <w:sz w:val="24"/>
          <w:szCs w:val="24"/>
        </w:rPr>
        <w:t>37(4), pp. 213-221.</w:t>
      </w:r>
    </w:p>
    <w:p w:rsidR="009F720D" w:rsidRPr="00C618E3" w:rsidRDefault="009F720D" w:rsidP="009F720D">
      <w:pPr>
        <w:rPr>
          <w:rFonts w:ascii="Times New Roman" w:hAnsi="Times New Roman" w:cs="Times New Roman"/>
          <w:sz w:val="24"/>
          <w:szCs w:val="24"/>
        </w:rPr>
      </w:pPr>
      <w:r w:rsidRPr="004B3A65">
        <w:rPr>
          <w:rFonts w:ascii="Times New Roman" w:hAnsi="Times New Roman" w:cs="Times New Roman"/>
          <w:sz w:val="24"/>
          <w:szCs w:val="24"/>
        </w:rPr>
        <w:t xml:space="preserve">Wardman, A.E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B3A65">
        <w:rPr>
          <w:rFonts w:ascii="Times New Roman" w:hAnsi="Times New Roman" w:cs="Times New Roman"/>
          <w:sz w:val="24"/>
          <w:szCs w:val="24"/>
        </w:rPr>
        <w:t>1971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B3A65">
        <w:rPr>
          <w:rFonts w:ascii="Times New Roman" w:hAnsi="Times New Roman" w:cs="Times New Roman"/>
          <w:sz w:val="24"/>
          <w:szCs w:val="24"/>
        </w:rPr>
        <w:t xml:space="preserve"> Plutarch’s Methods in the Lives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3A65">
        <w:rPr>
          <w:rFonts w:ascii="Times New Roman" w:hAnsi="Times New Roman" w:cs="Times New Roman"/>
          <w:sz w:val="24"/>
          <w:szCs w:val="24"/>
        </w:rPr>
        <w:t xml:space="preserve"> </w:t>
      </w:r>
      <w:r w:rsidRPr="004B3A65">
        <w:rPr>
          <w:rFonts w:ascii="Times New Roman" w:hAnsi="Times New Roman" w:cs="Times New Roman"/>
          <w:i/>
          <w:sz w:val="24"/>
          <w:szCs w:val="24"/>
        </w:rPr>
        <w:t>The Classical Quarterly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21(1), pp. 254-261.</w:t>
      </w:r>
    </w:p>
    <w:p w:rsidR="00130361" w:rsidRPr="00130361" w:rsidRDefault="00130361" w:rsidP="00F25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Warren, J (2011) Pleasure, Plutarch’s ‘Non Posse’ and Plato’s ‘Republic’, </w:t>
      </w:r>
      <w:r>
        <w:rPr>
          <w:rFonts w:ascii="Times New Roman" w:hAnsi="Times New Roman" w:cs="Times New Roman"/>
          <w:i/>
          <w:sz w:val="24"/>
          <w:szCs w:val="24"/>
        </w:rPr>
        <w:t>The Classical Quarterly</w:t>
      </w:r>
      <w:r>
        <w:rPr>
          <w:rFonts w:ascii="Times New Roman" w:hAnsi="Times New Roman" w:cs="Times New Roman"/>
          <w:sz w:val="24"/>
          <w:szCs w:val="24"/>
        </w:rPr>
        <w:t>, 61(1), pp. 278-293.</w:t>
      </w:r>
    </w:p>
    <w:sectPr w:rsidR="00130361" w:rsidRPr="00130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9C5" w:rsidRDefault="00B669C5" w:rsidP="00277C3F">
      <w:pPr>
        <w:spacing w:after="0" w:line="240" w:lineRule="auto"/>
      </w:pPr>
      <w:r>
        <w:separator/>
      </w:r>
    </w:p>
  </w:endnote>
  <w:endnote w:type="continuationSeparator" w:id="0">
    <w:p w:rsidR="00B669C5" w:rsidRDefault="00B669C5" w:rsidP="00277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9C5" w:rsidRDefault="00B669C5" w:rsidP="00277C3F">
      <w:pPr>
        <w:spacing w:after="0" w:line="240" w:lineRule="auto"/>
      </w:pPr>
      <w:r>
        <w:separator/>
      </w:r>
    </w:p>
  </w:footnote>
  <w:footnote w:type="continuationSeparator" w:id="0">
    <w:p w:rsidR="00B669C5" w:rsidRDefault="00B669C5" w:rsidP="00277C3F">
      <w:pPr>
        <w:spacing w:after="0" w:line="240" w:lineRule="auto"/>
      </w:pPr>
      <w:r>
        <w:continuationSeparator/>
      </w:r>
    </w:p>
  </w:footnote>
  <w:footnote w:id="1">
    <w:p w:rsidR="00C1266E" w:rsidRDefault="00C1266E">
      <w:pPr>
        <w:pStyle w:val="FootnoteText"/>
      </w:pPr>
      <w:r>
        <w:rPr>
          <w:rStyle w:val="FootnoteReference"/>
        </w:rPr>
        <w:footnoteRef/>
      </w:r>
      <w:r>
        <w:t xml:space="preserve"> Liebert, H, 2009, p.251-254.</w:t>
      </w:r>
    </w:p>
  </w:footnote>
  <w:footnote w:id="2">
    <w:p w:rsidR="008533FA" w:rsidRDefault="008533FA">
      <w:pPr>
        <w:pStyle w:val="FootnoteText"/>
      </w:pPr>
      <w:r>
        <w:rPr>
          <w:rStyle w:val="FootnoteReference"/>
        </w:rPr>
        <w:footnoteRef/>
      </w:r>
      <w:r>
        <w:t xml:space="preserve"> Lane, M, 2013, p.71. Lane questions whether Plutarch challenges Plato’s notion that writing underpins memory by presenting Lycurgus’ prohibition of written laws.</w:t>
      </w:r>
    </w:p>
  </w:footnote>
  <w:footnote w:id="3">
    <w:p w:rsidR="002D51D7" w:rsidRDefault="002D51D7">
      <w:pPr>
        <w:pStyle w:val="FootnoteText"/>
      </w:pPr>
      <w:r>
        <w:rPr>
          <w:rStyle w:val="FootnoteReference"/>
        </w:rPr>
        <w:footnoteRef/>
      </w:r>
      <w:r>
        <w:t xml:space="preserve"> Boulet, B, 2004, p.251-253. </w:t>
      </w:r>
    </w:p>
  </w:footnote>
  <w:footnote w:id="4">
    <w:p w:rsidR="00277C3F" w:rsidRDefault="00277C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271447">
        <w:t>Plut</w:t>
      </w:r>
      <w:proofErr w:type="spellEnd"/>
      <w:r w:rsidR="00271447">
        <w:t xml:space="preserve">. </w:t>
      </w:r>
      <w:r w:rsidR="00271447">
        <w:rPr>
          <w:i/>
        </w:rPr>
        <w:t xml:space="preserve">Lyc. </w:t>
      </w:r>
      <w:r w:rsidR="00271447">
        <w:t xml:space="preserve">5.2; </w:t>
      </w:r>
      <w:proofErr w:type="spellStart"/>
      <w:r>
        <w:t>Lucchesi</w:t>
      </w:r>
      <w:proofErr w:type="spellEnd"/>
      <w:r>
        <w:t xml:space="preserve">, M.A, 2014, p.68-69. </w:t>
      </w:r>
    </w:p>
  </w:footnote>
  <w:footnote w:id="5">
    <w:p w:rsidR="0043062C" w:rsidRPr="00F3251E" w:rsidRDefault="004306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3251E">
        <w:t>Plut</w:t>
      </w:r>
      <w:proofErr w:type="spellEnd"/>
      <w:r w:rsidR="00F3251E">
        <w:t xml:space="preserve">. </w:t>
      </w:r>
      <w:r w:rsidR="00F3251E">
        <w:rPr>
          <w:i/>
        </w:rPr>
        <w:t>Lyc.</w:t>
      </w:r>
      <w:r w:rsidR="00F3251E">
        <w:t xml:space="preserve"> 28.</w:t>
      </w:r>
    </w:p>
  </w:footnote>
  <w:footnote w:id="6">
    <w:p w:rsidR="000051CE" w:rsidRDefault="000051CE">
      <w:pPr>
        <w:pStyle w:val="FootnoteText"/>
      </w:pPr>
      <w:r>
        <w:rPr>
          <w:rStyle w:val="FootnoteReference"/>
        </w:rPr>
        <w:footnoteRef/>
      </w:r>
      <w:r>
        <w:t xml:space="preserve"> Warren</w:t>
      </w:r>
      <w:r w:rsidR="00A813CC">
        <w:t>, J, 2011, p.278-283.</w:t>
      </w:r>
    </w:p>
  </w:footnote>
  <w:footnote w:id="7">
    <w:p w:rsidR="00F36CF6" w:rsidRPr="00F36CF6" w:rsidRDefault="00F36CF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Plut</w:t>
      </w:r>
      <w:proofErr w:type="spellEnd"/>
      <w:r>
        <w:t xml:space="preserve">. </w:t>
      </w:r>
      <w:r>
        <w:rPr>
          <w:i/>
        </w:rPr>
        <w:t xml:space="preserve">Lyc. </w:t>
      </w:r>
      <w:r>
        <w:t>8-9.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B57F4"/>
    <w:multiLevelType w:val="hybridMultilevel"/>
    <w:tmpl w:val="EEDE44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C4"/>
    <w:rsid w:val="00001DEA"/>
    <w:rsid w:val="000051CE"/>
    <w:rsid w:val="00015CE9"/>
    <w:rsid w:val="00022D3C"/>
    <w:rsid w:val="00022FA5"/>
    <w:rsid w:val="00030B77"/>
    <w:rsid w:val="000431D6"/>
    <w:rsid w:val="0009644C"/>
    <w:rsid w:val="000B42E7"/>
    <w:rsid w:val="000E54F4"/>
    <w:rsid w:val="00104ABB"/>
    <w:rsid w:val="00121061"/>
    <w:rsid w:val="001221D2"/>
    <w:rsid w:val="001243E4"/>
    <w:rsid w:val="00130361"/>
    <w:rsid w:val="0014658D"/>
    <w:rsid w:val="00147CBB"/>
    <w:rsid w:val="00154AB4"/>
    <w:rsid w:val="00156C38"/>
    <w:rsid w:val="0016641B"/>
    <w:rsid w:val="001968AB"/>
    <w:rsid w:val="001A21DD"/>
    <w:rsid w:val="001D0F52"/>
    <w:rsid w:val="001D2245"/>
    <w:rsid w:val="001D25C7"/>
    <w:rsid w:val="001D4C78"/>
    <w:rsid w:val="001F3992"/>
    <w:rsid w:val="00203871"/>
    <w:rsid w:val="0022534B"/>
    <w:rsid w:val="00227B61"/>
    <w:rsid w:val="00245529"/>
    <w:rsid w:val="002506BE"/>
    <w:rsid w:val="00251F6D"/>
    <w:rsid w:val="00271447"/>
    <w:rsid w:val="00277C3F"/>
    <w:rsid w:val="00295E76"/>
    <w:rsid w:val="002B383B"/>
    <w:rsid w:val="002D307D"/>
    <w:rsid w:val="002D51D7"/>
    <w:rsid w:val="002F2955"/>
    <w:rsid w:val="002F476A"/>
    <w:rsid w:val="003104FE"/>
    <w:rsid w:val="00311FA2"/>
    <w:rsid w:val="00323F6B"/>
    <w:rsid w:val="00331978"/>
    <w:rsid w:val="00344CA6"/>
    <w:rsid w:val="00344EEE"/>
    <w:rsid w:val="00345D41"/>
    <w:rsid w:val="003479E9"/>
    <w:rsid w:val="00364D1C"/>
    <w:rsid w:val="003668FC"/>
    <w:rsid w:val="00385AEC"/>
    <w:rsid w:val="00386FC2"/>
    <w:rsid w:val="003F03BE"/>
    <w:rsid w:val="0043062C"/>
    <w:rsid w:val="0044274D"/>
    <w:rsid w:val="004660CA"/>
    <w:rsid w:val="00481FF2"/>
    <w:rsid w:val="004B1C14"/>
    <w:rsid w:val="004B2E1C"/>
    <w:rsid w:val="004B3A65"/>
    <w:rsid w:val="004D7724"/>
    <w:rsid w:val="004F3769"/>
    <w:rsid w:val="00520F05"/>
    <w:rsid w:val="0052296C"/>
    <w:rsid w:val="00553DF1"/>
    <w:rsid w:val="005551D4"/>
    <w:rsid w:val="00590EC4"/>
    <w:rsid w:val="005B54C0"/>
    <w:rsid w:val="005C11AC"/>
    <w:rsid w:val="005E0C7D"/>
    <w:rsid w:val="006045CA"/>
    <w:rsid w:val="0060571C"/>
    <w:rsid w:val="00630EAA"/>
    <w:rsid w:val="00632DF3"/>
    <w:rsid w:val="00634437"/>
    <w:rsid w:val="00634D0C"/>
    <w:rsid w:val="00635906"/>
    <w:rsid w:val="0063795D"/>
    <w:rsid w:val="006721A6"/>
    <w:rsid w:val="006D1EA7"/>
    <w:rsid w:val="006D2A35"/>
    <w:rsid w:val="006E6D15"/>
    <w:rsid w:val="006F54CD"/>
    <w:rsid w:val="00710254"/>
    <w:rsid w:val="00731EAF"/>
    <w:rsid w:val="00732E8F"/>
    <w:rsid w:val="00736887"/>
    <w:rsid w:val="00737106"/>
    <w:rsid w:val="00744013"/>
    <w:rsid w:val="007448CD"/>
    <w:rsid w:val="007B604E"/>
    <w:rsid w:val="007B6808"/>
    <w:rsid w:val="00806E00"/>
    <w:rsid w:val="008108C3"/>
    <w:rsid w:val="00846B5D"/>
    <w:rsid w:val="008508AD"/>
    <w:rsid w:val="008533FA"/>
    <w:rsid w:val="008734A5"/>
    <w:rsid w:val="00883BA3"/>
    <w:rsid w:val="00890206"/>
    <w:rsid w:val="00894311"/>
    <w:rsid w:val="008966B0"/>
    <w:rsid w:val="008969D4"/>
    <w:rsid w:val="008B253A"/>
    <w:rsid w:val="008C5976"/>
    <w:rsid w:val="008D0E00"/>
    <w:rsid w:val="008E2DDD"/>
    <w:rsid w:val="008E43CE"/>
    <w:rsid w:val="00912957"/>
    <w:rsid w:val="00944BFC"/>
    <w:rsid w:val="00967987"/>
    <w:rsid w:val="009728BB"/>
    <w:rsid w:val="00975DE9"/>
    <w:rsid w:val="009976C5"/>
    <w:rsid w:val="009B4380"/>
    <w:rsid w:val="009B63B9"/>
    <w:rsid w:val="009C1413"/>
    <w:rsid w:val="009F0168"/>
    <w:rsid w:val="009F2971"/>
    <w:rsid w:val="009F40F8"/>
    <w:rsid w:val="009F720D"/>
    <w:rsid w:val="00A50AA4"/>
    <w:rsid w:val="00A514CF"/>
    <w:rsid w:val="00A64865"/>
    <w:rsid w:val="00A74052"/>
    <w:rsid w:val="00A813CC"/>
    <w:rsid w:val="00A93648"/>
    <w:rsid w:val="00A936E9"/>
    <w:rsid w:val="00A965DB"/>
    <w:rsid w:val="00AB2D21"/>
    <w:rsid w:val="00AC7E8A"/>
    <w:rsid w:val="00AE6461"/>
    <w:rsid w:val="00B00C7D"/>
    <w:rsid w:val="00B13A8A"/>
    <w:rsid w:val="00B24CC1"/>
    <w:rsid w:val="00B63972"/>
    <w:rsid w:val="00B669C5"/>
    <w:rsid w:val="00B73E78"/>
    <w:rsid w:val="00BB4498"/>
    <w:rsid w:val="00BE3B01"/>
    <w:rsid w:val="00BE72D9"/>
    <w:rsid w:val="00BF295A"/>
    <w:rsid w:val="00C04F55"/>
    <w:rsid w:val="00C1266E"/>
    <w:rsid w:val="00C12D4E"/>
    <w:rsid w:val="00C175A3"/>
    <w:rsid w:val="00C42267"/>
    <w:rsid w:val="00C4414B"/>
    <w:rsid w:val="00C52695"/>
    <w:rsid w:val="00C5604B"/>
    <w:rsid w:val="00C56A7F"/>
    <w:rsid w:val="00C60ADA"/>
    <w:rsid w:val="00C618E3"/>
    <w:rsid w:val="00C90A50"/>
    <w:rsid w:val="00CA1764"/>
    <w:rsid w:val="00CF306B"/>
    <w:rsid w:val="00CF35D6"/>
    <w:rsid w:val="00D1593C"/>
    <w:rsid w:val="00D27697"/>
    <w:rsid w:val="00D534F5"/>
    <w:rsid w:val="00D56145"/>
    <w:rsid w:val="00D564E4"/>
    <w:rsid w:val="00D74FAA"/>
    <w:rsid w:val="00D770AF"/>
    <w:rsid w:val="00D8581E"/>
    <w:rsid w:val="00D90CFF"/>
    <w:rsid w:val="00DA685D"/>
    <w:rsid w:val="00E0288E"/>
    <w:rsid w:val="00E1016E"/>
    <w:rsid w:val="00E14E54"/>
    <w:rsid w:val="00E15B11"/>
    <w:rsid w:val="00E2652B"/>
    <w:rsid w:val="00E70C73"/>
    <w:rsid w:val="00EA2709"/>
    <w:rsid w:val="00ED65C2"/>
    <w:rsid w:val="00EF1FE8"/>
    <w:rsid w:val="00F07732"/>
    <w:rsid w:val="00F25916"/>
    <w:rsid w:val="00F3098A"/>
    <w:rsid w:val="00F3251E"/>
    <w:rsid w:val="00F36CF6"/>
    <w:rsid w:val="00F45DC3"/>
    <w:rsid w:val="00F46F9A"/>
    <w:rsid w:val="00F55D6B"/>
    <w:rsid w:val="00F60831"/>
    <w:rsid w:val="00F7097B"/>
    <w:rsid w:val="00F901AA"/>
    <w:rsid w:val="00F927CA"/>
    <w:rsid w:val="00F96B7A"/>
    <w:rsid w:val="00FA3DFB"/>
    <w:rsid w:val="00FB4A22"/>
    <w:rsid w:val="00FC1060"/>
    <w:rsid w:val="00FC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51951"/>
  <w15:chartTrackingRefBased/>
  <w15:docId w15:val="{376CFE05-043E-450F-AE28-4CDBCD05E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5D41"/>
    <w:pPr>
      <w:spacing w:after="200" w:line="276" w:lineRule="auto"/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77C3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7C3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77C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E7C81-E315-4B26-8977-50458E56D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Ogden</dc:creator>
  <cp:keywords/>
  <dc:description/>
  <cp:lastModifiedBy>Joe Ogden</cp:lastModifiedBy>
  <cp:revision>4</cp:revision>
  <dcterms:created xsi:type="dcterms:W3CDTF">2018-11-23T17:30:00Z</dcterms:created>
  <dcterms:modified xsi:type="dcterms:W3CDTF">2018-11-23T17:46:00Z</dcterms:modified>
</cp:coreProperties>
</file>