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6C80D3C">
      <w:pPr>
        <w:pStyle w:val="8"/>
        <w:jc w:val="center"/>
        <w:rPr>
          <w:rFonts w:ascii="Arial" w:hAnsi="Arial" w:cs="Arial"/>
          <w:b/>
          <w:bCs/>
          <w:color w:val="auto"/>
          <w:sz w:val="32"/>
          <w:szCs w:val="32"/>
        </w:rPr>
      </w:pPr>
    </w:p>
    <w:p w14:paraId="00A6B1E0">
      <w:pPr>
        <w:pStyle w:val="8"/>
        <w:jc w:val="center"/>
        <w:rPr>
          <w:rFonts w:ascii="Arial" w:hAnsi="Arial" w:cs="Arial"/>
          <w:b/>
          <w:bCs/>
          <w:color w:val="auto"/>
          <w:sz w:val="32"/>
          <w:szCs w:val="32"/>
        </w:rPr>
      </w:pPr>
    </w:p>
    <w:p w14:paraId="4C415AE2">
      <w:pPr>
        <w:pStyle w:val="8"/>
        <w:jc w:val="center"/>
        <w:rPr>
          <w:rFonts w:ascii="Arial" w:hAnsi="Arial" w:cs="Arial"/>
          <w:b/>
          <w:bCs/>
          <w:color w:val="auto"/>
          <w:sz w:val="32"/>
          <w:szCs w:val="32"/>
        </w:rPr>
      </w:pPr>
    </w:p>
    <w:p w14:paraId="74D82F70">
      <w:pPr>
        <w:pStyle w:val="8"/>
        <w:jc w:val="center"/>
        <w:rPr>
          <w:rFonts w:ascii="Arial" w:hAnsi="Arial" w:cs="Arial"/>
          <w:b/>
          <w:bCs/>
          <w:color w:val="auto"/>
          <w:sz w:val="32"/>
          <w:szCs w:val="32"/>
        </w:rPr>
      </w:pPr>
    </w:p>
    <w:p w14:paraId="6B285A1B">
      <w:pPr>
        <w:pStyle w:val="8"/>
        <w:jc w:val="center"/>
        <w:rPr>
          <w:rFonts w:ascii="Arial" w:hAnsi="Arial" w:cs="Arial"/>
          <w:b/>
          <w:bCs/>
          <w:color w:val="auto"/>
          <w:sz w:val="32"/>
          <w:szCs w:val="32"/>
        </w:rPr>
      </w:pPr>
      <w:r>
        <w:rPr>
          <w:rFonts w:ascii="Arial" w:hAnsi="Arial" w:cs="Arial"/>
          <w:b/>
          <w:bCs/>
          <w:color w:val="auto"/>
          <w:sz w:val="32"/>
          <w:szCs w:val="32"/>
        </w:rPr>
        <w:t xml:space="preserve">BMIH5006 </w:t>
      </w:r>
    </w:p>
    <w:p w14:paraId="252FBDA6">
      <w:pPr>
        <w:pStyle w:val="8"/>
        <w:jc w:val="center"/>
        <w:rPr>
          <w:rFonts w:ascii="Arial" w:hAnsi="Arial" w:cs="Arial"/>
          <w:b/>
          <w:bCs/>
          <w:color w:val="auto"/>
          <w:sz w:val="32"/>
          <w:szCs w:val="32"/>
        </w:rPr>
      </w:pPr>
    </w:p>
    <w:p w14:paraId="51349C3C">
      <w:pPr>
        <w:pStyle w:val="8"/>
        <w:jc w:val="center"/>
        <w:rPr>
          <w:rFonts w:ascii="Arial" w:hAnsi="Arial" w:cs="Arial"/>
          <w:b/>
          <w:bCs/>
          <w:color w:val="auto"/>
          <w:sz w:val="32"/>
          <w:szCs w:val="32"/>
        </w:rPr>
      </w:pPr>
      <w:r>
        <w:rPr>
          <w:rFonts w:ascii="Arial" w:hAnsi="Arial" w:cs="Arial"/>
          <w:b/>
          <w:bCs/>
          <w:color w:val="auto"/>
          <w:sz w:val="32"/>
          <w:szCs w:val="32"/>
        </w:rPr>
        <w:t>Sustainable Hospitality and Tourism</w:t>
      </w:r>
    </w:p>
    <w:p w14:paraId="17099671">
      <w:pPr>
        <w:pStyle w:val="8"/>
        <w:jc w:val="center"/>
        <w:rPr>
          <w:rFonts w:ascii="Arial" w:hAnsi="Arial" w:cs="Arial"/>
          <w:b/>
          <w:bCs/>
          <w:color w:val="auto"/>
          <w:sz w:val="32"/>
          <w:szCs w:val="32"/>
        </w:rPr>
      </w:pPr>
    </w:p>
    <w:p w14:paraId="5C239F61">
      <w:pPr>
        <w:pStyle w:val="8"/>
        <w:jc w:val="center"/>
        <w:rPr>
          <w:rFonts w:ascii="Arial" w:hAnsi="Arial" w:cs="Arial"/>
          <w:b/>
          <w:bCs/>
          <w:color w:val="auto"/>
          <w:sz w:val="32"/>
          <w:szCs w:val="32"/>
        </w:rPr>
      </w:pPr>
      <w:r>
        <w:rPr>
          <w:rFonts w:ascii="Arial" w:hAnsi="Arial" w:cs="Arial"/>
          <w:b/>
          <w:bCs/>
          <w:color w:val="auto"/>
          <w:sz w:val="32"/>
          <w:szCs w:val="32"/>
        </w:rPr>
        <w:t>Management</w:t>
      </w:r>
      <w:bookmarkStart w:id="9" w:name="_GoBack"/>
      <w:bookmarkEnd w:id="9"/>
    </w:p>
    <w:p w14:paraId="63E9DE9F">
      <w:pPr>
        <w:spacing w:line="276" w:lineRule="auto"/>
        <w:jc w:val="center"/>
        <w:rPr>
          <w:rFonts w:ascii="Arial" w:hAnsi="Arial" w:cs="Arial"/>
          <w:b/>
          <w:bCs/>
          <w:sz w:val="28"/>
        </w:rPr>
      </w:pPr>
      <w:r>
        <w:rPr>
          <w:rFonts w:ascii="Arial" w:hAnsi="Arial" w:cs="Arial"/>
          <w:b/>
          <w:bCs/>
          <w:sz w:val="28"/>
        </w:rPr>
        <w:t xml:space="preserve">Report </w:t>
      </w:r>
    </w:p>
    <w:p w14:paraId="3793952D">
      <w:pPr>
        <w:spacing w:line="276" w:lineRule="auto"/>
        <w:jc w:val="center"/>
        <w:rPr>
          <w:rFonts w:ascii="Arial" w:hAnsi="Arial" w:cs="Arial"/>
          <w:b/>
          <w:bCs/>
          <w:sz w:val="28"/>
        </w:rPr>
      </w:pPr>
    </w:p>
    <w:p w14:paraId="279C088D">
      <w:pPr>
        <w:spacing w:line="276" w:lineRule="auto"/>
        <w:jc w:val="center"/>
        <w:rPr>
          <w:rFonts w:ascii="Arial" w:hAnsi="Arial" w:cs="Arial"/>
          <w:b/>
          <w:bCs/>
          <w:sz w:val="28"/>
        </w:rPr>
      </w:pPr>
    </w:p>
    <w:p w14:paraId="507FB2D7">
      <w:pPr>
        <w:spacing w:line="276" w:lineRule="auto"/>
        <w:jc w:val="center"/>
        <w:rPr>
          <w:rFonts w:ascii="Arial" w:hAnsi="Arial" w:cs="Arial"/>
          <w:b/>
          <w:bCs/>
          <w:sz w:val="28"/>
        </w:rPr>
      </w:pPr>
    </w:p>
    <w:p w14:paraId="1154B085">
      <w:pPr>
        <w:keepNext w:val="0"/>
        <w:keepLines w:val="0"/>
        <w:pageBreakBefore w:val="0"/>
        <w:widowControl/>
        <w:kinsoku/>
        <w:wordWrap/>
        <w:overflowPunct/>
        <w:topLinePunct w:val="0"/>
        <w:autoSpaceDE/>
        <w:autoSpaceDN/>
        <w:bidi w:val="0"/>
        <w:adjustRightInd/>
        <w:snapToGrid/>
        <w:spacing w:after="0" w:line="360" w:lineRule="auto"/>
        <w:ind w:left="0"/>
        <w:jc w:val="right"/>
        <w:textAlignment w:val="auto"/>
        <w:rPr>
          <w:rFonts w:hint="default" w:ascii="Arial" w:hAnsi="Arial" w:cs="Arial"/>
          <w:b/>
          <w:bCs/>
          <w:sz w:val="28"/>
          <w:szCs w:val="28"/>
          <w:lang w:val="ro-RO"/>
        </w:rPr>
      </w:pPr>
      <w:r>
        <w:rPr>
          <w:rFonts w:hint="default" w:ascii="Arial" w:hAnsi="Arial" w:cs="Arial"/>
          <w:b/>
          <w:bCs/>
          <w:sz w:val="28"/>
          <w:szCs w:val="28"/>
          <w:lang w:val="ro-RO"/>
        </w:rPr>
        <w:t>Lecturer: Giulia Chifari</w:t>
      </w:r>
    </w:p>
    <w:p w14:paraId="6B65EE33">
      <w:pPr>
        <w:spacing w:line="276" w:lineRule="auto"/>
        <w:jc w:val="center"/>
        <w:rPr>
          <w:rFonts w:ascii="Arial" w:hAnsi="Arial" w:cs="Arial"/>
          <w:b/>
          <w:bCs/>
          <w:sz w:val="28"/>
        </w:rPr>
      </w:pPr>
    </w:p>
    <w:p w14:paraId="73C3FA85">
      <w:pPr>
        <w:spacing w:line="276" w:lineRule="auto"/>
        <w:jc w:val="center"/>
        <w:rPr>
          <w:rFonts w:ascii="Arial" w:hAnsi="Arial" w:cs="Arial"/>
          <w:b/>
          <w:bCs/>
          <w:sz w:val="28"/>
        </w:rPr>
      </w:pPr>
    </w:p>
    <w:p w14:paraId="0F9CB386">
      <w:pPr>
        <w:spacing w:line="276" w:lineRule="auto"/>
        <w:jc w:val="center"/>
        <w:rPr>
          <w:rFonts w:ascii="Arial" w:hAnsi="Arial" w:cs="Arial"/>
          <w:b/>
          <w:bCs/>
          <w:sz w:val="28"/>
        </w:rPr>
      </w:pPr>
    </w:p>
    <w:p w14:paraId="38725187">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p>
    <w:p w14:paraId="363E0054">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r>
        <w:rPr>
          <w:rFonts w:hint="default" w:ascii="Arial" w:hAnsi="Arial" w:cs="Arial"/>
          <w:b/>
          <w:bCs/>
          <w:sz w:val="28"/>
          <w:szCs w:val="28"/>
          <w:lang w:val="ro-RO"/>
        </w:rPr>
        <w:t>Student name:</w:t>
      </w:r>
    </w:p>
    <w:p w14:paraId="006EBEDF">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r>
        <w:rPr>
          <w:rFonts w:hint="default" w:ascii="Arial" w:hAnsi="Arial" w:cs="Arial"/>
          <w:b/>
          <w:bCs/>
          <w:sz w:val="28"/>
          <w:szCs w:val="28"/>
          <w:lang w:val="ro-RO"/>
        </w:rPr>
        <w:t>Stefan Lucian Mihaita</w:t>
      </w:r>
    </w:p>
    <w:p w14:paraId="30A75CBA">
      <w:pPr>
        <w:keepNext w:val="0"/>
        <w:keepLines w:val="0"/>
        <w:pageBreakBefore w:val="0"/>
        <w:widowControl/>
        <w:kinsoku/>
        <w:wordWrap/>
        <w:overflowPunct/>
        <w:topLinePunct w:val="0"/>
        <w:autoSpaceDE/>
        <w:autoSpaceDN/>
        <w:bidi w:val="0"/>
        <w:adjustRightInd/>
        <w:snapToGrid/>
        <w:spacing w:after="0" w:line="360" w:lineRule="auto"/>
        <w:ind w:left="0"/>
        <w:jc w:val="left"/>
        <w:textAlignment w:val="auto"/>
        <w:rPr>
          <w:rFonts w:hint="default" w:ascii="Arial" w:hAnsi="Arial" w:cs="Arial"/>
          <w:b/>
          <w:bCs/>
          <w:sz w:val="28"/>
          <w:szCs w:val="28"/>
          <w:lang w:val="ro-RO"/>
        </w:rPr>
      </w:pPr>
      <w:r>
        <w:rPr>
          <w:rFonts w:hint="default" w:ascii="Arial" w:hAnsi="Arial" w:cs="Arial"/>
          <w:b/>
          <w:bCs/>
          <w:sz w:val="28"/>
          <w:szCs w:val="28"/>
          <w:lang w:val="ro-RO"/>
        </w:rPr>
        <w:t>2234126</w:t>
      </w:r>
    </w:p>
    <w:p w14:paraId="5DA63DFA">
      <w:pPr>
        <w:spacing w:line="276" w:lineRule="auto"/>
        <w:jc w:val="center"/>
        <w:rPr>
          <w:rFonts w:ascii="Arial" w:hAnsi="Arial" w:cs="Arial"/>
          <w:b/>
          <w:bCs/>
          <w:sz w:val="28"/>
        </w:rPr>
      </w:pPr>
      <w:r>
        <w:rPr>
          <w:rFonts w:ascii="Arial" w:hAnsi="Arial" w:cs="Arial"/>
          <w:b/>
          <w:bCs/>
          <w:sz w:val="28"/>
        </w:rPr>
        <w:br w:type="page"/>
      </w:r>
    </w:p>
    <w:p w14:paraId="21FB7964">
      <w:pPr>
        <w:jc w:val="center"/>
        <w:rPr>
          <w:rFonts w:ascii="Arial" w:hAnsi="Arial" w:cs="Arial"/>
          <w:b w:val="0"/>
          <w:bCs w:val="0"/>
          <w:sz w:val="28"/>
        </w:rPr>
      </w:pPr>
    </w:p>
    <w:p w14:paraId="2F937E69">
      <w:pPr>
        <w:rPr>
          <w:rFonts w:hint="default" w:ascii="Arial" w:hAnsi="Arial" w:cs="Arial"/>
          <w:b w:val="0"/>
          <w:bCs w:val="0"/>
          <w:sz w:val="28"/>
          <w:lang w:val="ro-RO"/>
        </w:rPr>
      </w:pPr>
      <w:r>
        <w:rPr>
          <w:rFonts w:ascii="Arial" w:hAnsi="Arial" w:cs="Arial"/>
          <w:b w:val="0"/>
          <w:bCs w:val="0"/>
          <w:sz w:val="28"/>
        </w:rPr>
        <w:t>I acknowledge the use of Grammarly App and Microsoft Word Editor on 14th November 2024 to check my grammar, syntax and misspellings</w:t>
      </w:r>
      <w:r>
        <w:rPr>
          <w:rFonts w:hint="default" w:ascii="Arial" w:hAnsi="Arial" w:cs="Arial"/>
          <w:b w:val="0"/>
          <w:bCs w:val="0"/>
          <w:sz w:val="28"/>
          <w:lang w:val="ro-RO"/>
        </w:rPr>
        <w:t>.</w:t>
      </w:r>
    </w:p>
    <w:p w14:paraId="3087C727">
      <w:pPr>
        <w:jc w:val="center"/>
        <w:rPr>
          <w:rFonts w:ascii="Arial" w:hAnsi="Arial" w:cs="Arial"/>
          <w:b/>
          <w:bCs/>
          <w:sz w:val="28"/>
        </w:rPr>
      </w:pPr>
    </w:p>
    <w:p w14:paraId="068281A8">
      <w:pPr>
        <w:jc w:val="center"/>
        <w:rPr>
          <w:rFonts w:ascii="Arial" w:hAnsi="Arial" w:cs="Arial"/>
          <w:b/>
          <w:bCs/>
          <w:sz w:val="28"/>
        </w:rPr>
      </w:pPr>
    </w:p>
    <w:p w14:paraId="4AA9237A">
      <w:pPr>
        <w:jc w:val="center"/>
        <w:rPr>
          <w:rFonts w:ascii="Arial" w:hAnsi="Arial" w:cs="Arial"/>
          <w:b/>
          <w:bCs/>
          <w:sz w:val="28"/>
        </w:rPr>
      </w:pPr>
    </w:p>
    <w:p w14:paraId="309B99DA">
      <w:pPr>
        <w:jc w:val="center"/>
        <w:rPr>
          <w:rFonts w:ascii="Arial" w:hAnsi="Arial" w:cs="Arial"/>
          <w:b/>
          <w:bCs/>
          <w:sz w:val="28"/>
        </w:rPr>
      </w:pPr>
    </w:p>
    <w:p w14:paraId="69456D2D">
      <w:pPr>
        <w:jc w:val="center"/>
        <w:rPr>
          <w:rFonts w:ascii="Arial" w:hAnsi="Arial" w:cs="Arial"/>
          <w:b/>
          <w:bCs/>
          <w:sz w:val="28"/>
        </w:rPr>
      </w:pPr>
    </w:p>
    <w:p w14:paraId="1BD0EA26">
      <w:pPr>
        <w:jc w:val="center"/>
        <w:rPr>
          <w:rFonts w:ascii="Arial" w:hAnsi="Arial" w:cs="Arial"/>
          <w:b/>
          <w:bCs/>
          <w:sz w:val="28"/>
        </w:rPr>
      </w:pPr>
    </w:p>
    <w:p w14:paraId="54D32F3C">
      <w:pPr>
        <w:jc w:val="center"/>
        <w:rPr>
          <w:rFonts w:ascii="Arial" w:hAnsi="Arial" w:cs="Arial"/>
          <w:b/>
          <w:bCs/>
          <w:sz w:val="28"/>
        </w:rPr>
      </w:pPr>
    </w:p>
    <w:p w14:paraId="445622D4">
      <w:pPr>
        <w:jc w:val="center"/>
        <w:rPr>
          <w:rFonts w:ascii="Arial" w:hAnsi="Arial" w:cs="Arial"/>
          <w:b/>
          <w:bCs/>
          <w:sz w:val="28"/>
        </w:rPr>
      </w:pPr>
    </w:p>
    <w:p w14:paraId="344475BE">
      <w:pPr>
        <w:jc w:val="center"/>
        <w:rPr>
          <w:rFonts w:ascii="Arial" w:hAnsi="Arial" w:cs="Arial"/>
          <w:b/>
          <w:bCs/>
          <w:sz w:val="28"/>
        </w:rPr>
      </w:pPr>
    </w:p>
    <w:p w14:paraId="7A8BF64F">
      <w:pPr>
        <w:jc w:val="center"/>
        <w:rPr>
          <w:rFonts w:ascii="Arial" w:hAnsi="Arial" w:cs="Arial"/>
          <w:b/>
          <w:bCs/>
          <w:sz w:val="28"/>
        </w:rPr>
      </w:pPr>
    </w:p>
    <w:p w14:paraId="36539815">
      <w:pPr>
        <w:jc w:val="center"/>
        <w:rPr>
          <w:rFonts w:ascii="Arial" w:hAnsi="Arial" w:cs="Arial"/>
          <w:b/>
          <w:bCs/>
          <w:sz w:val="28"/>
        </w:rPr>
      </w:pPr>
    </w:p>
    <w:p w14:paraId="13F986EB">
      <w:pPr>
        <w:jc w:val="center"/>
        <w:rPr>
          <w:rFonts w:ascii="Arial" w:hAnsi="Arial" w:cs="Arial"/>
          <w:b/>
          <w:bCs/>
          <w:sz w:val="28"/>
        </w:rPr>
      </w:pPr>
    </w:p>
    <w:p w14:paraId="7BBBD0E3">
      <w:pPr>
        <w:jc w:val="center"/>
        <w:rPr>
          <w:rFonts w:ascii="Arial" w:hAnsi="Arial" w:cs="Arial"/>
          <w:b/>
          <w:bCs/>
          <w:sz w:val="28"/>
        </w:rPr>
      </w:pPr>
    </w:p>
    <w:p w14:paraId="71557E6B">
      <w:pPr>
        <w:jc w:val="center"/>
        <w:rPr>
          <w:rFonts w:ascii="Arial" w:hAnsi="Arial" w:cs="Arial"/>
          <w:b/>
          <w:bCs/>
          <w:sz w:val="28"/>
        </w:rPr>
      </w:pPr>
    </w:p>
    <w:p w14:paraId="5FF55F33">
      <w:pPr>
        <w:jc w:val="center"/>
        <w:rPr>
          <w:rFonts w:ascii="Arial" w:hAnsi="Arial" w:cs="Arial"/>
          <w:b/>
          <w:bCs/>
          <w:sz w:val="28"/>
        </w:rPr>
      </w:pPr>
    </w:p>
    <w:p w14:paraId="1371EEF3">
      <w:pPr>
        <w:jc w:val="both"/>
        <w:rPr>
          <w:rFonts w:ascii="Arial" w:hAnsi="Arial" w:cs="Arial"/>
          <w:b/>
          <w:bCs/>
          <w:sz w:val="28"/>
        </w:rPr>
      </w:pPr>
    </w:p>
    <w:p w14:paraId="165E13B8">
      <w:pPr>
        <w:jc w:val="center"/>
        <w:rPr>
          <w:rFonts w:ascii="Arial" w:hAnsi="Arial" w:cs="Arial"/>
          <w:b/>
          <w:bCs/>
          <w:sz w:val="28"/>
        </w:rPr>
      </w:pPr>
      <w:r>
        <w:rPr>
          <w:rFonts w:ascii="Arial" w:hAnsi="Arial" w:cs="Arial"/>
          <w:b/>
          <w:bCs/>
          <w:sz w:val="28"/>
        </w:rPr>
        <w:t>Executive Summary</w:t>
      </w:r>
    </w:p>
    <w:p w14:paraId="5FB8D6A7">
      <w:pPr>
        <w:rPr>
          <w:rFonts w:ascii="Arial" w:hAnsi="Arial" w:cs="Arial"/>
        </w:rPr>
      </w:pPr>
      <w:r>
        <w:rPr>
          <w:rFonts w:ascii="Arial" w:hAnsi="Arial" w:cs="Arial"/>
        </w:rPr>
        <w:t>This report uses a case study of the London Marriott Hotel Grosvenor Square to explore the integration of sustainable practices within the UK hospitality sector. As the hospitality industry goes green, Marriott will be well-occupied with adopting programs that improve resource conservation, minimize waste, and lower operational costs. In this report, water conservation is a critical area in which the hotel can initiate a green practice initiative to help achieve its level of sustainability. The first part of the report introduces the notion of greener practices in hospitality, including the privileges and challenges of integrating sustainability into day-to-day operations. The main findings section evaluates how low-flow fixtures and rainwater harvesting have been successful worldwide in hotels and assesses their viability at the London Marriott (Sanvitale, 2020). This initiative is beneficial not only to the environment but also to the operational efficiency of the hotel and the reputation the hotel enjoys with environmentally aware consumers. Implementing the successful recommendations allows Marriott Grosvenor Square to position itself to attain Green Key certification to standardise the best eco courses and meet growing customer expectations of eco-friendly hotels. The paper ends with a summary of the main findings and recommendations as to what can be done to achieve the hotel’s sustainability objectives.</w:t>
      </w:r>
    </w:p>
    <w:p w14:paraId="44307AA8">
      <w:pPr>
        <w:spacing w:line="276" w:lineRule="auto"/>
        <w:jc w:val="left"/>
        <w:rPr>
          <w:rFonts w:ascii="Arial" w:hAnsi="Arial" w:cs="Arial"/>
        </w:rPr>
      </w:pPr>
      <w:r>
        <w:rPr>
          <w:rFonts w:ascii="Arial" w:hAnsi="Arial" w:cs="Arial"/>
        </w:rPr>
        <w:br w:type="page"/>
      </w:r>
    </w:p>
    <w:sdt>
      <w:sdtPr>
        <w:rPr>
          <w:rFonts w:ascii="Arial" w:hAnsi="Arial" w:cs="Arial" w:eastAsiaTheme="minorHAnsi"/>
          <w:b w:val="0"/>
          <w:bCs w:val="0"/>
          <w:color w:val="auto"/>
          <w:sz w:val="24"/>
          <w:szCs w:val="22"/>
        </w:rPr>
        <w:id w:val="147479485"/>
        <w:docPartObj>
          <w:docPartGallery w:val="Table of Contents"/>
          <w:docPartUnique/>
        </w:docPartObj>
      </w:sdtPr>
      <w:sdtEndPr>
        <w:rPr>
          <w:rFonts w:ascii="Arial" w:hAnsi="Arial" w:cs="Arial" w:eastAsiaTheme="minorHAnsi"/>
          <w:b w:val="0"/>
          <w:bCs w:val="0"/>
          <w:color w:val="auto"/>
          <w:sz w:val="24"/>
          <w:szCs w:val="22"/>
        </w:rPr>
      </w:sdtEndPr>
      <w:sdtContent>
        <w:p w14:paraId="31AAFF77">
          <w:pPr>
            <w:pStyle w:val="11"/>
            <w:jc w:val="center"/>
            <w:rPr>
              <w:rFonts w:ascii="Arial" w:hAnsi="Arial" w:cs="Arial"/>
              <w:color w:val="auto"/>
            </w:rPr>
          </w:pPr>
          <w:r>
            <w:rPr>
              <w:rFonts w:ascii="Arial" w:hAnsi="Arial" w:cs="Arial"/>
              <w:color w:val="auto"/>
            </w:rPr>
            <w:t>Table of Contents</w:t>
          </w:r>
        </w:p>
        <w:p w14:paraId="06267AF8">
          <w:pPr>
            <w:pStyle w:val="9"/>
            <w:tabs>
              <w:tab w:val="right" w:leader="dot" w:pos="9350"/>
            </w:tabs>
            <w:rPr>
              <w:rFonts w:ascii="Arial" w:hAnsi="Arial" w:cs="Arial" w:eastAsiaTheme="minorEastAsia"/>
              <w:sz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"_Toc182224796" </w:instrText>
          </w:r>
          <w:r>
            <w:fldChar w:fldCharType="separate"/>
          </w:r>
          <w:r>
            <w:rPr>
              <w:rStyle w:val="7"/>
              <w:rFonts w:ascii="Arial" w:hAnsi="Arial" w:cs="Arial"/>
            </w:rPr>
            <w:t>Introduction</w:t>
          </w:r>
          <w:r>
            <w:rPr>
              <w:rFonts w:ascii="Arial" w:hAnsi="Arial" w:cs="Arial"/>
            </w:rPr>
            <w:tab/>
          </w:r>
          <w:r>
            <w:rPr>
              <w:rFonts w:hint="default" w:ascii="Arial" w:hAnsi="Arial" w:cs="Arial"/>
              <w:lang w:val="ro-RO"/>
            </w:rPr>
            <w:t>5</w:t>
          </w:r>
          <w:r>
            <w:rPr>
              <w:rFonts w:ascii="Arial" w:hAnsi="Arial" w:cs="Arial"/>
            </w:rPr>
            <w:fldChar w:fldCharType="end"/>
          </w:r>
        </w:p>
        <w:p w14:paraId="5DA2B074">
          <w:pPr>
            <w:pStyle w:val="9"/>
            <w:tabs>
              <w:tab w:val="right" w:leader="dot" w:pos="9350"/>
            </w:tabs>
            <w:rPr>
              <w:rFonts w:ascii="Arial" w:hAnsi="Arial" w:cs="Arial" w:eastAsiaTheme="minorEastAsia"/>
              <w:sz w:val="22"/>
            </w:rPr>
          </w:pPr>
          <w:r>
            <w:fldChar w:fldCharType="begin"/>
          </w:r>
          <w:r>
            <w:instrText xml:space="preserve"> HYPERLINK \l "_Toc182224797" </w:instrText>
          </w:r>
          <w:r>
            <w:fldChar w:fldCharType="separate"/>
          </w:r>
          <w:r>
            <w:rPr>
              <w:rStyle w:val="7"/>
              <w:rFonts w:ascii="Arial" w:hAnsi="Arial" w:cs="Arial"/>
            </w:rPr>
            <w:t>Main Findings</w:t>
          </w:r>
          <w:r>
            <w:rPr>
              <w:rFonts w:ascii="Arial" w:hAnsi="Arial" w:cs="Arial"/>
            </w:rPr>
            <w:tab/>
          </w:r>
          <w:r>
            <w:rPr>
              <w:rFonts w:ascii="Arial" w:hAnsi="Arial" w:cs="Arial"/>
            </w:rPr>
            <w:fldChar w:fldCharType="begin"/>
          </w:r>
          <w:r>
            <w:rPr>
              <w:rFonts w:ascii="Arial" w:hAnsi="Arial" w:cs="Arial"/>
            </w:rPr>
            <w:instrText xml:space="preserve"> PAGEREF _Toc182224797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14:paraId="35A61885">
          <w:pPr>
            <w:pStyle w:val="10"/>
            <w:tabs>
              <w:tab w:val="right" w:leader="dot" w:pos="9350"/>
            </w:tabs>
            <w:rPr>
              <w:rFonts w:ascii="Arial" w:hAnsi="Arial" w:cs="Arial"/>
            </w:rPr>
          </w:pPr>
          <w:r>
            <w:fldChar w:fldCharType="begin"/>
          </w:r>
          <w:r>
            <w:instrText xml:space="preserve"> HYPERLINK \l "_Toc182224798" </w:instrText>
          </w:r>
          <w:r>
            <w:fldChar w:fldCharType="separate"/>
          </w:r>
          <w:r>
            <w:rPr>
              <w:rStyle w:val="7"/>
              <w:rFonts w:ascii="Arial" w:hAnsi="Arial" w:cs="Arial"/>
            </w:rPr>
            <w:t>Identified Greener Practice Initiative: Water Conservation</w:t>
          </w:r>
          <w:r>
            <w:rPr>
              <w:rFonts w:ascii="Arial" w:hAnsi="Arial" w:cs="Arial"/>
            </w:rPr>
            <w:tab/>
          </w:r>
          <w:r>
            <w:rPr>
              <w:rFonts w:hint="default" w:ascii="Arial" w:hAnsi="Arial" w:cs="Arial"/>
              <w:lang w:val="ro-RO"/>
            </w:rPr>
            <w:t>6</w:t>
          </w:r>
          <w:r>
            <w:rPr>
              <w:rFonts w:ascii="Arial" w:hAnsi="Arial" w:cs="Arial"/>
            </w:rPr>
            <w:fldChar w:fldCharType="end"/>
          </w:r>
        </w:p>
        <w:p w14:paraId="1FEC0E2F">
          <w:pPr>
            <w:pStyle w:val="10"/>
            <w:tabs>
              <w:tab w:val="right" w:leader="dot" w:pos="9350"/>
            </w:tabs>
            <w:rPr>
              <w:rFonts w:ascii="Arial" w:hAnsi="Arial" w:cs="Arial"/>
            </w:rPr>
          </w:pPr>
          <w:r>
            <w:fldChar w:fldCharType="begin"/>
          </w:r>
          <w:r>
            <w:instrText xml:space="preserve"> HYPERLINK \l "_Toc182224799" </w:instrText>
          </w:r>
          <w:r>
            <w:fldChar w:fldCharType="separate"/>
          </w:r>
          <w:r>
            <w:rPr>
              <w:rStyle w:val="7"/>
              <w:rFonts w:ascii="Arial" w:hAnsi="Arial" w:cs="Arial"/>
            </w:rPr>
            <w:t>The benefits London Marriott Hotel Grosvenor Square may bring.</w:t>
          </w:r>
          <w:r>
            <w:rPr>
              <w:rFonts w:ascii="Arial" w:hAnsi="Arial" w:cs="Arial"/>
            </w:rPr>
            <w:tab/>
          </w:r>
          <w:r>
            <w:rPr>
              <w:rFonts w:hint="default" w:ascii="Arial" w:hAnsi="Arial" w:cs="Arial"/>
              <w:lang w:val="ro-RO"/>
            </w:rPr>
            <w:t>6</w:t>
          </w:r>
          <w:r>
            <w:rPr>
              <w:rFonts w:ascii="Arial" w:hAnsi="Arial" w:cs="Arial"/>
            </w:rPr>
            <w:fldChar w:fldCharType="end"/>
          </w:r>
        </w:p>
        <w:p w14:paraId="1EE81248">
          <w:pPr>
            <w:pStyle w:val="10"/>
            <w:tabs>
              <w:tab w:val="right" w:leader="dot" w:pos="9350"/>
            </w:tabs>
            <w:rPr>
              <w:rFonts w:ascii="Arial" w:hAnsi="Arial" w:cs="Arial"/>
            </w:rPr>
          </w:pPr>
          <w:r>
            <w:fldChar w:fldCharType="begin"/>
          </w:r>
          <w:r>
            <w:instrText xml:space="preserve"> HYPERLINK \l "_Toc182224800" </w:instrText>
          </w:r>
          <w:r>
            <w:fldChar w:fldCharType="separate"/>
          </w:r>
          <w:r>
            <w:rPr>
              <w:rStyle w:val="7"/>
              <w:rFonts w:ascii="Arial" w:hAnsi="Arial" w:cs="Arial"/>
            </w:rPr>
            <w:t>Implementing Water Conservation Initiatives Challenges</w:t>
          </w:r>
          <w:r>
            <w:rPr>
              <w:rFonts w:ascii="Arial" w:hAnsi="Arial" w:cs="Arial"/>
            </w:rPr>
            <w:tab/>
          </w:r>
          <w:r>
            <w:rPr>
              <w:rFonts w:hint="default" w:ascii="Arial" w:hAnsi="Arial" w:cs="Arial"/>
              <w:lang w:val="ro-RO"/>
            </w:rPr>
            <w:t>7</w:t>
          </w:r>
          <w:r>
            <w:rPr>
              <w:rFonts w:ascii="Arial" w:hAnsi="Arial" w:cs="Arial"/>
            </w:rPr>
            <w:fldChar w:fldCharType="end"/>
          </w:r>
        </w:p>
        <w:p w14:paraId="7085E4FE">
          <w:pPr>
            <w:pStyle w:val="10"/>
            <w:tabs>
              <w:tab w:val="right" w:leader="dot" w:pos="9350"/>
            </w:tabs>
            <w:rPr>
              <w:rFonts w:ascii="Arial" w:hAnsi="Arial" w:cs="Arial"/>
            </w:rPr>
          </w:pPr>
          <w:r>
            <w:fldChar w:fldCharType="begin"/>
          </w:r>
          <w:r>
            <w:instrText xml:space="preserve"> HYPERLINK \l "_Toc182224801" </w:instrText>
          </w:r>
          <w:r>
            <w:fldChar w:fldCharType="separate"/>
          </w:r>
          <w:r>
            <w:rPr>
              <w:rStyle w:val="7"/>
              <w:rFonts w:ascii="Arial" w:hAnsi="Arial" w:cs="Arial"/>
            </w:rPr>
            <w:t>Water Conservation: How Much is Cost Effective?</w:t>
          </w:r>
          <w:r>
            <w:rPr>
              <w:rFonts w:ascii="Arial" w:hAnsi="Arial" w:cs="Arial"/>
            </w:rPr>
            <w:tab/>
          </w:r>
          <w:r>
            <w:rPr>
              <w:rFonts w:hint="default" w:ascii="Arial" w:hAnsi="Arial" w:cs="Arial"/>
              <w:lang w:val="ro-RO"/>
            </w:rPr>
            <w:t>8</w:t>
          </w:r>
          <w:r>
            <w:rPr>
              <w:rFonts w:ascii="Arial" w:hAnsi="Arial" w:cs="Arial"/>
            </w:rPr>
            <w:fldChar w:fldCharType="end"/>
          </w:r>
        </w:p>
        <w:p w14:paraId="0A06F1B7">
          <w:pPr>
            <w:pStyle w:val="10"/>
            <w:tabs>
              <w:tab w:val="right" w:leader="dot" w:pos="9350"/>
            </w:tabs>
            <w:rPr>
              <w:rFonts w:ascii="Arial" w:hAnsi="Arial" w:cs="Arial"/>
            </w:rPr>
          </w:pPr>
          <w:r>
            <w:fldChar w:fldCharType="begin"/>
          </w:r>
          <w:r>
            <w:instrText xml:space="preserve"> HYPERLINK \l "_Toc182224802" </w:instrText>
          </w:r>
          <w:r>
            <w:fldChar w:fldCharType="separate"/>
          </w:r>
          <w:r>
            <w:rPr>
              <w:rStyle w:val="7"/>
              <w:rFonts w:ascii="Arial" w:hAnsi="Arial" w:cs="Arial"/>
            </w:rPr>
            <w:t>Guest and Staff Engagement</w:t>
          </w:r>
          <w:r>
            <w:rPr>
              <w:rFonts w:ascii="Arial" w:hAnsi="Arial" w:cs="Arial"/>
            </w:rPr>
            <w:tab/>
          </w:r>
          <w:r>
            <w:rPr>
              <w:rFonts w:hint="default" w:ascii="Arial" w:hAnsi="Arial" w:cs="Arial"/>
              <w:lang w:val="ro-RO"/>
            </w:rPr>
            <w:t>8</w:t>
          </w:r>
          <w:r>
            <w:rPr>
              <w:rFonts w:ascii="Arial" w:hAnsi="Arial" w:cs="Arial"/>
            </w:rPr>
            <w:fldChar w:fldCharType="end"/>
          </w:r>
        </w:p>
        <w:p w14:paraId="368E2E2F">
          <w:pPr>
            <w:pStyle w:val="10"/>
            <w:tabs>
              <w:tab w:val="right" w:leader="dot" w:pos="9350"/>
            </w:tabs>
            <w:rPr>
              <w:rFonts w:hint="default" w:ascii="Arial" w:hAnsi="Arial" w:cs="Arial"/>
              <w:lang w:val="ro-RO"/>
            </w:rPr>
          </w:pPr>
          <w:r>
            <w:fldChar w:fldCharType="begin"/>
          </w:r>
          <w:r>
            <w:instrText xml:space="preserve"> HYPERLINK \l "_Toc182224803" </w:instrText>
          </w:r>
          <w:r>
            <w:fldChar w:fldCharType="separate"/>
          </w:r>
          <w:r>
            <w:rPr>
              <w:rStyle w:val="7"/>
              <w:rFonts w:ascii="Arial" w:hAnsi="Arial" w:cs="Arial"/>
            </w:rPr>
            <w:t>Long-Term Impact</w:t>
          </w:r>
          <w:r>
            <w:rPr>
              <w:rFonts w:ascii="Arial" w:hAnsi="Arial" w:cs="Arial"/>
            </w:rPr>
            <w:tab/>
          </w:r>
          <w:r>
            <w:rPr>
              <w:rFonts w:hint="default" w:ascii="Arial" w:hAnsi="Arial" w:cs="Arial"/>
              <w:lang w:val="ro-RO"/>
            </w:rPr>
            <w:t>1</w:t>
          </w:r>
          <w:r>
            <w:rPr>
              <w:rFonts w:ascii="Arial" w:hAnsi="Arial" w:cs="Arial"/>
            </w:rPr>
            <w:fldChar w:fldCharType="end"/>
          </w:r>
          <w:r>
            <w:rPr>
              <w:rFonts w:hint="default" w:ascii="Arial" w:hAnsi="Arial" w:cs="Arial"/>
              <w:lang w:val="ro-RO"/>
            </w:rPr>
            <w:t>0</w:t>
          </w:r>
        </w:p>
        <w:p w14:paraId="7270A71A">
          <w:pPr>
            <w:pStyle w:val="9"/>
            <w:tabs>
              <w:tab w:val="right" w:leader="dot" w:pos="9350"/>
            </w:tabs>
            <w:rPr>
              <w:rFonts w:hint="default" w:ascii="Arial" w:hAnsi="Arial" w:cs="Arial" w:eastAsiaTheme="minorEastAsia"/>
              <w:sz w:val="22"/>
              <w:lang w:val="ro-RO"/>
            </w:rPr>
          </w:pPr>
          <w:r>
            <w:fldChar w:fldCharType="begin"/>
          </w:r>
          <w:r>
            <w:instrText xml:space="preserve"> HYPERLINK \l "_Toc182224804" </w:instrText>
          </w:r>
          <w:r>
            <w:fldChar w:fldCharType="separate"/>
          </w:r>
          <w:r>
            <w:rPr>
              <w:rStyle w:val="7"/>
              <w:rFonts w:ascii="Arial" w:hAnsi="Arial" w:cs="Arial"/>
            </w:rPr>
            <w:t>Conclusion and Recommendations</w:t>
          </w:r>
          <w:r>
            <w:rPr>
              <w:rFonts w:ascii="Arial" w:hAnsi="Arial" w:cs="Arial"/>
            </w:rPr>
            <w:tab/>
          </w:r>
          <w:r>
            <w:rPr>
              <w:rFonts w:hint="default" w:ascii="Arial" w:hAnsi="Arial" w:cs="Arial"/>
              <w:lang w:val="ro-RO"/>
            </w:rPr>
            <w:t>1</w:t>
          </w:r>
          <w:r>
            <w:rPr>
              <w:rFonts w:ascii="Arial" w:hAnsi="Arial" w:cs="Arial"/>
            </w:rPr>
            <w:fldChar w:fldCharType="end"/>
          </w:r>
          <w:r>
            <w:rPr>
              <w:rFonts w:hint="default" w:ascii="Arial" w:hAnsi="Arial" w:cs="Arial"/>
              <w:lang w:val="ro-RO"/>
            </w:rPr>
            <w:t>1</w:t>
          </w:r>
        </w:p>
        <w:p w14:paraId="28C6F73B">
          <w:pPr>
            <w:pStyle w:val="9"/>
            <w:tabs>
              <w:tab w:val="right" w:leader="dot" w:pos="9350"/>
            </w:tabs>
            <w:rPr>
              <w:rFonts w:hint="default" w:ascii="Arial" w:hAnsi="Arial" w:cs="Arial" w:eastAsiaTheme="minorEastAsia"/>
              <w:sz w:val="22"/>
              <w:lang w:val="ro-RO"/>
            </w:rPr>
          </w:pPr>
          <w:r>
            <w:fldChar w:fldCharType="begin"/>
          </w:r>
          <w:r>
            <w:instrText xml:space="preserve"> HYPERLINK \l "_Toc182224805" </w:instrText>
          </w:r>
          <w:r>
            <w:fldChar w:fldCharType="separate"/>
          </w:r>
          <w:r>
            <w:rPr>
              <w:rStyle w:val="7"/>
              <w:rFonts w:ascii="Arial" w:hAnsi="Arial" w:cs="Arial"/>
            </w:rPr>
            <w:t>References</w:t>
          </w:r>
          <w:r>
            <w:rPr>
              <w:rFonts w:ascii="Arial" w:hAnsi="Arial" w:cs="Arial"/>
            </w:rPr>
            <w:tab/>
          </w:r>
          <w:r>
            <w:rPr>
              <w:rFonts w:hint="default" w:ascii="Arial" w:hAnsi="Arial" w:cs="Arial"/>
              <w:lang w:val="ro-RO"/>
            </w:rPr>
            <w:t>1</w:t>
          </w:r>
          <w:r>
            <w:rPr>
              <w:rFonts w:ascii="Arial" w:hAnsi="Arial" w:cs="Arial"/>
            </w:rPr>
            <w:fldChar w:fldCharType="end"/>
          </w:r>
          <w:r>
            <w:rPr>
              <w:rFonts w:hint="default" w:ascii="Arial" w:hAnsi="Arial" w:cs="Arial"/>
              <w:lang w:val="ro-RO"/>
            </w:rPr>
            <w:t>2</w:t>
          </w:r>
        </w:p>
        <w:p w14:paraId="4282E84F">
          <w:pPr>
            <w:rPr>
              <w:rFonts w:ascii="Arial" w:hAnsi="Arial" w:cs="Arial"/>
            </w:rPr>
          </w:pPr>
          <w:r>
            <w:rPr>
              <w:rFonts w:ascii="Arial" w:hAnsi="Arial" w:cs="Arial"/>
            </w:rPr>
            <w:fldChar w:fldCharType="end"/>
          </w:r>
        </w:p>
      </w:sdtContent>
    </w:sdt>
    <w:p w14:paraId="47B9C50D">
      <w:pPr>
        <w:spacing w:line="276" w:lineRule="auto"/>
        <w:jc w:val="left"/>
        <w:rPr>
          <w:rFonts w:ascii="Arial" w:hAnsi="Arial" w:cs="Arial" w:eastAsiaTheme="majorEastAsia"/>
          <w:b/>
          <w:bCs/>
          <w:color w:val="000000" w:themeColor="text1"/>
          <w:sz w:val="28"/>
          <w:szCs w:val="28"/>
          <w14:textFill>
            <w14:solidFill>
              <w14:schemeClr w14:val="tx1"/>
            </w14:solidFill>
          </w14:textFill>
        </w:rPr>
      </w:pPr>
      <w:r>
        <w:rPr>
          <w:rFonts w:ascii="Arial" w:hAnsi="Arial" w:cs="Arial"/>
        </w:rPr>
        <w:br w:type="page"/>
      </w:r>
    </w:p>
    <w:p w14:paraId="72ADA289">
      <w:pPr>
        <w:pStyle w:val="2"/>
        <w:rPr>
          <w:rFonts w:ascii="Arial" w:hAnsi="Arial" w:cs="Arial"/>
        </w:rPr>
      </w:pPr>
      <w:bookmarkStart w:id="0" w:name="_Toc182224796"/>
      <w:r>
        <w:rPr>
          <w:rFonts w:ascii="Arial" w:hAnsi="Arial" w:cs="Arial"/>
        </w:rPr>
        <w:t>Introduction</w:t>
      </w:r>
      <w:bookmarkEnd w:id="0"/>
    </w:p>
    <w:p w14:paraId="0CF09EDA">
      <w:pPr>
        <w:rPr>
          <w:rFonts w:ascii="Arial" w:hAnsi="Arial" w:cs="Arial"/>
        </w:rPr>
      </w:pPr>
      <w:r>
        <w:rPr>
          <w:rFonts w:ascii="Arial" w:hAnsi="Arial" w:cs="Arial"/>
        </w:rPr>
        <w:t xml:space="preserve">Hotel operations focused on implementing sustainable, or 'greener', practices in the hospitality industry are defined as reducing the environmental impact of hotel operations by reducing emissions, waste, and the amount of resources consumed. According to NTB, these practices would include some or all of the following: energy conservation, water management, waste reduction, use of environmentally sustainable products, etc. All such practices are supposed to make the hotel business eco-friendly </w:t>
      </w:r>
      <w:r>
        <w:rPr>
          <w:rFonts w:ascii="Arial" w:hAnsi="Arial" w:cs="Arial"/>
          <w:bCs/>
        </w:rPr>
        <w:t xml:space="preserve">(Molina-Collado </w:t>
      </w:r>
      <w:r>
        <w:rPr>
          <w:rFonts w:ascii="Arial" w:hAnsi="Arial" w:cs="Arial"/>
          <w:bCs/>
          <w:i/>
        </w:rPr>
        <w:t>et al</w:t>
      </w:r>
      <w:r>
        <w:rPr>
          <w:rFonts w:ascii="Arial" w:hAnsi="Arial" w:cs="Arial"/>
          <w:bCs/>
        </w:rPr>
        <w:t>., 2022)</w:t>
      </w:r>
      <w:r>
        <w:rPr>
          <w:rFonts w:ascii="Arial" w:hAnsi="Arial" w:cs="Arial"/>
        </w:rPr>
        <w:t xml:space="preserve">. Implementing these practices usually aligns with getting eco-certification as a green key label, standing for commitment to sustainable management and operative responsibility. This report features an exploration of the leading integration of sustainability at the London Marriott Hotel Grosvenor Square, a large luxury hotel in London’s Mayfair district </w:t>
      </w:r>
      <w:r>
        <w:rPr>
          <w:rFonts w:ascii="Arial" w:hAnsi="Arial" w:cs="Arial"/>
          <w:bCs/>
        </w:rPr>
        <w:t>(Marriott, 2024)</w:t>
      </w:r>
      <w:r>
        <w:rPr>
          <w:rFonts w:ascii="Arial" w:hAnsi="Arial" w:cs="Arial"/>
        </w:rPr>
        <w:t>. The implementation of many sustainable practices in the hotel, but there is a chance to improve its water conservation. The hotel’s focus on reducing its ecological footprint has compelled it to become an efficient water user amid water scarcity and climate concerns. This study examines how Marriott Grosvenor Square might capitalise on pioneering water-saving technologies and policy so that it becomes a market showcase for environmentally responsible luxury hospitality in the UK.</w:t>
      </w:r>
    </w:p>
    <w:p w14:paraId="4A017898">
      <w:pPr>
        <w:spacing w:line="276" w:lineRule="auto"/>
        <w:jc w:val="left"/>
        <w:rPr>
          <w:rFonts w:ascii="Arial" w:hAnsi="Arial" w:cs="Arial" w:eastAsiaTheme="majorEastAsia"/>
          <w:b/>
          <w:bCs/>
          <w:color w:val="000000" w:themeColor="text1"/>
          <w:sz w:val="28"/>
          <w:szCs w:val="28"/>
          <w14:textFill>
            <w14:solidFill>
              <w14:schemeClr w14:val="tx1"/>
            </w14:solidFill>
          </w14:textFill>
        </w:rPr>
      </w:pPr>
      <w:r>
        <w:rPr>
          <w:rFonts w:ascii="Arial" w:hAnsi="Arial" w:cs="Arial"/>
        </w:rPr>
        <w:br w:type="page"/>
      </w:r>
    </w:p>
    <w:p w14:paraId="6E2BF74F">
      <w:pPr>
        <w:pStyle w:val="3"/>
        <w:rPr>
          <w:rFonts w:ascii="Arial" w:hAnsi="Arial" w:cs="Arial"/>
        </w:rPr>
      </w:pPr>
      <w:bookmarkStart w:id="1" w:name="_Toc182224798"/>
      <w:r>
        <w:rPr>
          <w:rFonts w:ascii="Arial" w:hAnsi="Arial" w:cs="Arial"/>
        </w:rPr>
        <w:t>Identified Greener Practice Initiative: Water Conservation</w:t>
      </w:r>
      <w:bookmarkEnd w:id="1"/>
    </w:p>
    <w:p w14:paraId="3AA4466D">
      <w:pPr>
        <w:rPr>
          <w:rFonts w:ascii="Arial" w:hAnsi="Arial" w:cs="Arial"/>
          <w:bCs/>
        </w:rPr>
      </w:pPr>
      <w:r>
        <w:rPr>
          <w:rFonts w:ascii="Arial" w:hAnsi="Arial" w:cs="Arial"/>
          <w:bCs/>
        </w:rPr>
        <w:t>Water is an increasingly essential sustainability topic applicable to the hospitality industry as it strives to meet global resource management needs. The focus of this initiative is to reduce the use of water, implement technology that would reduce or avoid waste and enhance operational efficiency. Water conservation at the London Marriott Hotel Grosvenor Square includes the installation of low-flow fixtures, rainwater harvesting systems and intelligent water management solutions (Sharma, 2023). Reducing water consumption significantly for guest comfort and service quality remains the goal.</w:t>
      </w:r>
    </w:p>
    <w:p w14:paraId="53FA6FED">
      <w:pPr>
        <w:rPr>
          <w:rFonts w:ascii="Arial" w:hAnsi="Arial" w:cs="Arial"/>
          <w:bCs/>
        </w:rPr>
      </w:pPr>
      <w:r>
        <w:rPr>
          <w:rFonts w:ascii="Arial" w:hAnsi="Arial" w:cs="Arial"/>
          <w:bCs/>
        </w:rPr>
        <w:t xml:space="preserve">Many hotels worldwide have successfully implemented water conservation initiatives, particularly those brands with solid environmental commitments. For instance, the Hilton London Bankside replaced its low-flow showerheads and faucets and installed a greywater recycling system that diverts water from showers and sinks to flush toilets (Han, 2021). The InterContinental London Park Lane has significantly saved water by installing intelligent water metering technology, which tracks water use patterns and enables real-time adjustments and efficient water use </w:t>
      </w:r>
      <w:r>
        <w:rPr>
          <w:rFonts w:ascii="Arial" w:hAnsi="Arial" w:cs="Arial"/>
          <w:bCs/>
          <w:lang w:val="en-GB"/>
        </w:rPr>
        <w:t>(</w:t>
      </w:r>
      <w:r>
        <w:rPr>
          <w:rFonts w:ascii="Arial" w:hAnsi="Arial" w:cs="Arial"/>
          <w:bCs/>
        </w:rPr>
        <w:t>Sanvitale, 2020).</w:t>
      </w:r>
    </w:p>
    <w:p w14:paraId="44A3BB53">
      <w:pPr>
        <w:pStyle w:val="3"/>
        <w:rPr>
          <w:rFonts w:ascii="Arial" w:hAnsi="Arial" w:cs="Arial"/>
        </w:rPr>
      </w:pPr>
      <w:bookmarkStart w:id="2" w:name="_Toc182224799"/>
    </w:p>
    <w:p w14:paraId="0AEC4AF1">
      <w:pPr>
        <w:pStyle w:val="3"/>
        <w:rPr>
          <w:rFonts w:ascii="Arial" w:hAnsi="Arial" w:cs="Arial"/>
        </w:rPr>
      </w:pPr>
      <w:r>
        <w:rPr>
          <w:rFonts w:ascii="Arial" w:hAnsi="Arial" w:cs="Arial"/>
        </w:rPr>
        <w:t>The benefits London Marriott Hotel Grosvenor Square may bring.</w:t>
      </w:r>
      <w:bookmarkEnd w:id="2"/>
    </w:p>
    <w:p w14:paraId="0065BE70">
      <w:pPr>
        <w:rPr>
          <w:rFonts w:ascii="Arial" w:hAnsi="Arial" w:cs="Arial"/>
          <w:bCs/>
        </w:rPr>
      </w:pPr>
      <w:r>
        <w:rPr>
          <w:rFonts w:ascii="Arial" w:hAnsi="Arial" w:cs="Arial"/>
          <w:bCs/>
        </w:rPr>
        <w:t xml:space="preserve">A water conservation initiative at the London Marriott Hotel Grosvenor Square implements several sustainability benefits. Firstly, it significantly lessens the need for water use, especially when London’s water resources will be increasingly strained as the population grows. Reducing water usage is also suitable for pocketbooks because it lowers operating costs as lower water bills are paid (Amatulli </w:t>
      </w:r>
      <w:r>
        <w:rPr>
          <w:rFonts w:ascii="Arial" w:hAnsi="Arial" w:cs="Arial"/>
          <w:bCs/>
          <w:i/>
        </w:rPr>
        <w:t>et al</w:t>
      </w:r>
      <w:r>
        <w:rPr>
          <w:rFonts w:ascii="Arial" w:hAnsi="Arial" w:cs="Arial"/>
          <w:bCs/>
        </w:rPr>
        <w:t>., 2021). Not only is this incorporation of the water-saving fixtures and systems lauded by the hotel's corporate social responsibility (CSR) goals, but they add to the hotel's brand image as being environmentally conscious, which attracts ecologically conscious consumers and acts as a competitive marketing strategy in the sustainable tourism (San Ip and Noronha, 2022).</w:t>
      </w:r>
    </w:p>
    <w:p w14:paraId="4F2306B9">
      <w:pPr>
        <w:rPr>
          <w:rFonts w:ascii="Arial" w:hAnsi="Arial" w:cs="Arial"/>
          <w:bCs/>
        </w:rPr>
      </w:pPr>
      <w:r>
        <w:rPr>
          <w:rFonts w:ascii="Arial" w:hAnsi="Arial" w:cs="Arial"/>
          <w:bCs/>
        </w:rPr>
        <w:t xml:space="preserve">There are many environmental benefits to a water conservation initiative. Good water management means better use of water resources, including more limited strain on local water resources, which are an ever-increasing problem in urban centres like London (Legrand </w:t>
      </w:r>
      <w:r>
        <w:rPr>
          <w:rFonts w:ascii="Arial" w:hAnsi="Arial" w:cs="Arial"/>
          <w:bCs/>
          <w:i/>
        </w:rPr>
        <w:t>et al</w:t>
      </w:r>
      <w:r>
        <w:rPr>
          <w:rFonts w:ascii="Arial" w:hAnsi="Arial" w:cs="Arial"/>
          <w:bCs/>
        </w:rPr>
        <w:t>., 2022). The hotel can also lower its water consumption and carbon footprint, as it takes less energy to heat and treat water. As a result, these activities will help the UK meet its wider environmental objectives, including the ambition to become net zero by 2050.</w:t>
      </w:r>
    </w:p>
    <w:p w14:paraId="7E95FCC9">
      <w:pPr>
        <w:pStyle w:val="3"/>
        <w:rPr>
          <w:rFonts w:ascii="Arial" w:hAnsi="Arial" w:cs="Arial"/>
        </w:rPr>
      </w:pPr>
      <w:bookmarkStart w:id="3" w:name="_Toc182224800"/>
    </w:p>
    <w:p w14:paraId="68709049">
      <w:pPr>
        <w:pStyle w:val="3"/>
        <w:rPr>
          <w:rFonts w:ascii="Arial" w:hAnsi="Arial" w:cs="Arial"/>
        </w:rPr>
      </w:pPr>
      <w:r>
        <w:rPr>
          <w:rFonts w:ascii="Arial" w:hAnsi="Arial" w:cs="Arial"/>
        </w:rPr>
        <w:t>Implementing Water Conservation Initiatives Challenges</w:t>
      </w:r>
      <w:bookmarkEnd w:id="3"/>
    </w:p>
    <w:p w14:paraId="4A461143">
      <w:pPr>
        <w:rPr>
          <w:rFonts w:ascii="Arial" w:hAnsi="Arial" w:cs="Arial"/>
          <w:bCs/>
        </w:rPr>
      </w:pPr>
      <w:r>
        <w:rPr>
          <w:rFonts w:ascii="Arial" w:hAnsi="Arial" w:cs="Arial"/>
          <w:bCs/>
        </w:rPr>
        <w:t>It is clear that water conservation provides both an environmental and a financial benefit, but implementation at the London Marriott Hotel Grosvenor Square may be a challenging fit. One major issue is that initial capital costs associated with installing sophisticated water-saving fixtures, metering systems, and even possible greywater recycling facilities are required to start the water-saving processes. Low-flow showerheads, intelligent water management systems and rainwater collection tanks are expensive, so the hotel may need to balance the long-run savings with the more upfront costs (Marriott, 2024).</w:t>
      </w:r>
    </w:p>
    <w:p w14:paraId="388FF1FF">
      <w:pPr>
        <w:rPr>
          <w:rFonts w:ascii="Arial" w:hAnsi="Arial" w:cs="Arial"/>
          <w:bCs/>
        </w:rPr>
      </w:pPr>
      <w:r>
        <w:rPr>
          <w:rFonts w:ascii="Arial" w:hAnsi="Arial" w:cs="Arial"/>
          <w:bCs/>
        </w:rPr>
        <w:t xml:space="preserve">The other challenge is the guest experience. Low-flow fixtures may reduce water pressure and affect guest satisfaction. Water-saving devices like CFL bulbs might require the hotel to adjust its fixtures to meet minimum illumination requirements. Marriott will likely have to spend on fixtures that pay an excellent guest experience standard but also conserve, given that maintaining the luxury feel of the resort is crucial in a cutthroat hospitality market (Anilkumar </w:t>
      </w:r>
      <w:r>
        <w:rPr>
          <w:rFonts w:ascii="Arial" w:hAnsi="Arial" w:cs="Arial"/>
          <w:bCs/>
          <w:i/>
        </w:rPr>
        <w:t>et al</w:t>
      </w:r>
      <w:r>
        <w:rPr>
          <w:rFonts w:ascii="Arial" w:hAnsi="Arial" w:cs="Arial"/>
          <w:bCs/>
        </w:rPr>
        <w:t>., 2020). It also needs training staff to run and keep new systems in working condition, sometimes requiring additional resources and time.</w:t>
      </w:r>
    </w:p>
    <w:p w14:paraId="052DE42E">
      <w:pPr>
        <w:pStyle w:val="3"/>
        <w:rPr>
          <w:rFonts w:ascii="Arial" w:hAnsi="Arial" w:cs="Arial"/>
        </w:rPr>
      </w:pPr>
      <w:bookmarkStart w:id="4" w:name="_Toc182224801"/>
    </w:p>
    <w:p w14:paraId="5B2863CC">
      <w:pPr>
        <w:pStyle w:val="3"/>
        <w:rPr>
          <w:rFonts w:ascii="Arial" w:hAnsi="Arial" w:cs="Arial"/>
        </w:rPr>
      </w:pPr>
      <w:r>
        <w:rPr>
          <w:rFonts w:ascii="Arial" w:hAnsi="Arial" w:cs="Arial"/>
        </w:rPr>
        <w:t>Water Conservation: How Much is Cost Effective?</w:t>
      </w:r>
      <w:bookmarkEnd w:id="4"/>
    </w:p>
    <w:p w14:paraId="64750DF3">
      <w:pPr>
        <w:rPr>
          <w:rFonts w:ascii="Arial" w:hAnsi="Arial" w:cs="Arial"/>
          <w:bCs/>
        </w:rPr>
      </w:pPr>
      <w:r>
        <w:rPr>
          <w:rFonts w:ascii="Arial" w:hAnsi="Arial" w:cs="Arial"/>
          <w:bCs/>
        </w:rPr>
        <w:t xml:space="preserve">All the money spent on water conservation initiatives is worth it in the long run. The early investment in low-flow fixtures or intelligent metering can be more than offset by significant long-term operational savings (Ricaurte and Jagarajan, 2023). For example, low-flow fixtures and intelligent metering can accomplish this. It is clear from studies, though, that a reduction in water consumption is achievable; a 20-30% reduction, for example, can be achieved by hotels and results in substantial financial savings, especially for such large establishments as London Marriott Hotel Grosvenor Square. In addition, water conservation is consistent with government incentives and eco-certification requirements that could even pay hotels with sound environmental practices with financial aid or a tax benefit (Sakshi </w:t>
      </w:r>
      <w:r>
        <w:rPr>
          <w:rFonts w:ascii="Arial" w:hAnsi="Arial" w:cs="Arial"/>
          <w:bCs/>
          <w:i/>
        </w:rPr>
        <w:t>et al</w:t>
      </w:r>
      <w:r>
        <w:rPr>
          <w:rFonts w:ascii="Arial" w:hAnsi="Arial" w:cs="Arial"/>
          <w:bCs/>
        </w:rPr>
        <w:t>., 2020).</w:t>
      </w:r>
    </w:p>
    <w:p w14:paraId="6729EA1A">
      <w:pPr>
        <w:rPr>
          <w:rFonts w:ascii="Arial" w:hAnsi="Arial" w:cs="Arial"/>
          <w:b/>
          <w:bCs/>
          <w:iCs/>
        </w:rPr>
      </w:pPr>
    </w:p>
    <w:p w14:paraId="770F4BE6">
      <w:pPr>
        <w:rPr>
          <w:rFonts w:ascii="Arial" w:hAnsi="Arial" w:cs="Arial"/>
          <w:b/>
          <w:bCs/>
          <w:iCs/>
        </w:rPr>
      </w:pPr>
      <w:r>
        <w:rPr>
          <w:rFonts w:ascii="Arial" w:hAnsi="Arial" w:cs="Arial"/>
          <w:b/>
          <w:bCs/>
          <w:iCs/>
        </w:rPr>
        <w:t>Realism and Feasibility</w:t>
      </w:r>
    </w:p>
    <w:p w14:paraId="03DDC240">
      <w:pPr>
        <w:rPr>
          <w:rFonts w:ascii="Arial" w:hAnsi="Arial" w:cs="Arial"/>
          <w:bCs/>
        </w:rPr>
      </w:pPr>
      <w:r>
        <w:rPr>
          <w:rFonts w:ascii="Arial" w:hAnsi="Arial" w:cs="Arial"/>
          <w:bCs/>
        </w:rPr>
        <w:t>Regarding the feasibility of implementing water conservation initiatives in the London Marriott Hotel Grosvenor Square, we have all the advanced technologies and established best practices in the industry. As with rainwater harvesting and greywater recycling systems, London’s infrastructure supports such practices now, making it a realistic case for the hotel to harbour them (Wynn and Jones, 2023). A clear roadmap for Marriott: many hotels in the UK have already incorporated such systems, so Marriott has a clear roadmap. Moreover, Marriott’s ‘Serve 360’ serves as the company’s global sustainability program for environmental stewardship, suggesting that Grosve­nor Square would get the support it needs to launch such initiatives (Marriott, 2024).</w:t>
      </w:r>
    </w:p>
    <w:p w14:paraId="5DFE76EC">
      <w:pPr>
        <w:rPr>
          <w:rFonts w:ascii="Arial" w:hAnsi="Arial" w:cs="Arial"/>
          <w:bCs/>
        </w:rPr>
      </w:pPr>
      <w:r>
        <w:rPr>
          <w:rFonts w:ascii="Arial" w:hAnsi="Arial" w:cs="Arial"/>
          <w:bCs/>
        </w:rPr>
        <w:t>On the one hand, water conservation as part of water conservation in Marriott Grosvenor Square reduces water consumption and operating costs. Conversely, it makes Marriott Grosvenor Square attractive to environmentally conscious travellers. Data suggests that a rising number of visitors would likely fork out an extra fee for green hospitality, with 83 per cent of people worldwide believing in the environmentally friendly practices market (Guix and Font, 2020). Marriott Grosvenor Square can reinforce its brand good name and loyalty for this demographic by encouraging water conservation efforts. Besides, to validate its sustainability efforts, it would also be easy to obtain an eco-certification such as Green Key, which would be a big lure for an even broader customer base pursuing responsible travel options (Bogensperger, 2023).</w:t>
      </w:r>
    </w:p>
    <w:p w14:paraId="74E1374D">
      <w:pPr>
        <w:pStyle w:val="3"/>
        <w:rPr>
          <w:rFonts w:ascii="Arial" w:hAnsi="Arial" w:cs="Arial"/>
        </w:rPr>
      </w:pPr>
      <w:bookmarkStart w:id="5" w:name="_Toc182224802"/>
    </w:p>
    <w:p w14:paraId="4F908803">
      <w:pPr>
        <w:pStyle w:val="3"/>
        <w:rPr>
          <w:rFonts w:ascii="Arial" w:hAnsi="Arial" w:cs="Arial"/>
        </w:rPr>
      </w:pPr>
      <w:r>
        <w:rPr>
          <w:rFonts w:ascii="Arial" w:hAnsi="Arial" w:cs="Arial"/>
        </w:rPr>
        <w:t>Guest and Staff Engagement</w:t>
      </w:r>
      <w:bookmarkEnd w:id="5"/>
    </w:p>
    <w:p w14:paraId="72ECD970">
      <w:pPr>
        <w:rPr>
          <w:rFonts w:ascii="Arial" w:hAnsi="Arial" w:cs="Arial"/>
        </w:rPr>
      </w:pPr>
      <w:r>
        <w:rPr>
          <w:rFonts w:ascii="Arial" w:hAnsi="Arial" w:cs="Arial"/>
        </w:rPr>
        <w:t xml:space="preserve">Guest and staff engagement is critical to water conservation initiatives since they are the primary agents of the hotel’s daily water consumption. Providing information to guests about the hotel’s water conservation efforts and the environmental benefits encourages them to take water conservation action by being water responsible. This is something like showing information about water conservation’s importance mentioning simple reminders like reusing towels or reducing water usage, which leads guests to a sense of environmental responsibility. Eco-friendly travellers lead the path, and studies have proven that they are willing to adapt their behaviours to bring sustainability when travelling (Pereira </w:t>
      </w:r>
      <w:r>
        <w:rPr>
          <w:rFonts w:ascii="Arial" w:hAnsi="Arial" w:cs="Arial"/>
          <w:i/>
        </w:rPr>
        <w:t>et al</w:t>
      </w:r>
      <w:r>
        <w:rPr>
          <w:rFonts w:ascii="Arial" w:hAnsi="Arial" w:cs="Arial"/>
        </w:rPr>
        <w:t>., 2021). By focusing on how these small actions have a positive environmental impact, the hotel can strengthen guest participation to help achieve its sustainability goals without sacrificing its guest's stay.</w:t>
      </w:r>
    </w:p>
    <w:p w14:paraId="2C8D6C7C">
      <w:pPr>
        <w:rPr>
          <w:rFonts w:ascii="Arial" w:hAnsi="Arial" w:cs="Arial"/>
        </w:rPr>
      </w:pPr>
      <w:r>
        <w:rPr>
          <w:rFonts w:ascii="Arial" w:hAnsi="Arial" w:cs="Arial"/>
        </w:rPr>
        <w:t xml:space="preserve">Staff training is vital to set up and maintain water-saving practices. In daily operations, such as housekeeping, laundry, and food service, well-trained staff can ensure efficient water use. These programs can help educate staff about what cleaning entails, what techniques can be used to minimise water wastage, achieving conservation with water use efficient equipment and regular checks to spot leaks and other water issues </w:t>
      </w:r>
      <w:r>
        <w:rPr>
          <w:rFonts w:ascii="Arial" w:hAnsi="Arial" w:cs="Arial"/>
          <w:bCs/>
        </w:rPr>
        <w:t xml:space="preserve">(Ruiz Molina </w:t>
      </w:r>
      <w:r>
        <w:rPr>
          <w:rFonts w:ascii="Arial" w:hAnsi="Arial" w:cs="Arial"/>
          <w:bCs/>
          <w:i/>
        </w:rPr>
        <w:t>et al</w:t>
      </w:r>
      <w:r>
        <w:rPr>
          <w:rFonts w:ascii="Arial" w:hAnsi="Arial" w:cs="Arial"/>
          <w:bCs/>
        </w:rPr>
        <w:t>., 2022)</w:t>
      </w:r>
      <w:r>
        <w:rPr>
          <w:rFonts w:ascii="Arial" w:hAnsi="Arial" w:cs="Arial"/>
        </w:rPr>
        <w:t xml:space="preserve">. Not only are engaged and knowledgeable employees more effective at communicating the hotel’s water conservation efforts to guests, but every guest encounter is an opportunity to help reinforce the hotel’s commitment to sustainability with a positive perception  (Khan </w:t>
      </w:r>
      <w:r>
        <w:rPr>
          <w:rFonts w:ascii="Arial" w:hAnsi="Arial" w:cs="Arial"/>
          <w:i/>
        </w:rPr>
        <w:t>et al</w:t>
      </w:r>
      <w:r>
        <w:rPr>
          <w:rFonts w:ascii="Arial" w:hAnsi="Arial" w:cs="Arial"/>
        </w:rPr>
        <w:t>., 2024). Additionally, it is demonstrated that staff participation in green initiatives elevates employees’ job satisfaction and morale due to their involvement in meaningful environmental objectives.</w:t>
      </w:r>
    </w:p>
    <w:p w14:paraId="3C4732A5">
      <w:pPr>
        <w:rPr>
          <w:rFonts w:ascii="Arial" w:hAnsi="Arial" w:cs="Arial"/>
        </w:rPr>
      </w:pPr>
      <w:r>
        <w:rPr>
          <w:rFonts w:ascii="Arial" w:hAnsi="Arial" w:cs="Arial"/>
        </w:rPr>
        <w:t xml:space="preserve">Other than in-house engagements, there is a need to contact local environmental organizations to create partnerships to boost the hotel’s water conservation and sustainability engagements </w:t>
      </w:r>
      <w:r>
        <w:rPr>
          <w:rFonts w:ascii="Arial" w:hAnsi="Arial" w:cs="Arial"/>
          <w:bCs/>
        </w:rPr>
        <w:t xml:space="preserve">(Murni </w:t>
      </w:r>
      <w:r>
        <w:rPr>
          <w:rFonts w:ascii="Arial" w:hAnsi="Arial" w:cs="Arial"/>
          <w:bCs/>
          <w:i/>
        </w:rPr>
        <w:t>et al</w:t>
      </w:r>
      <w:r>
        <w:rPr>
          <w:rFonts w:ascii="Arial" w:hAnsi="Arial" w:cs="Arial"/>
          <w:bCs/>
        </w:rPr>
        <w:t>., 2023)</w:t>
      </w:r>
      <w:r>
        <w:rPr>
          <w:rFonts w:ascii="Arial" w:hAnsi="Arial" w:cs="Arial"/>
        </w:rPr>
        <w:t>. Collaboration with concerned groups in the hotel’s area on programs and letting the hotel support local water conservation projects would help the hotel enhance its reputation as an environment-friendly and responsible business because of such guests.</w:t>
      </w:r>
    </w:p>
    <w:p w14:paraId="27AA268C">
      <w:pPr>
        <w:pStyle w:val="3"/>
        <w:rPr>
          <w:rFonts w:ascii="Arial" w:hAnsi="Arial" w:cs="Arial"/>
        </w:rPr>
      </w:pPr>
      <w:bookmarkStart w:id="6" w:name="_Toc182224803"/>
    </w:p>
    <w:p w14:paraId="5C6B61E0">
      <w:pPr>
        <w:pStyle w:val="3"/>
        <w:rPr>
          <w:rFonts w:ascii="Arial" w:hAnsi="Arial" w:cs="Arial"/>
        </w:rPr>
      </w:pPr>
      <w:r>
        <w:rPr>
          <w:rFonts w:ascii="Arial" w:hAnsi="Arial" w:cs="Arial"/>
        </w:rPr>
        <w:t>Long-Term Impact</w:t>
      </w:r>
      <w:bookmarkEnd w:id="6"/>
    </w:p>
    <w:p w14:paraId="54E46A5F">
      <w:pPr>
        <w:rPr>
          <w:rFonts w:ascii="Arial" w:hAnsi="Arial" w:cs="Arial"/>
        </w:rPr>
      </w:pPr>
      <w:r>
        <w:rPr>
          <w:rFonts w:ascii="Arial" w:hAnsi="Arial" w:cs="Arial"/>
        </w:rPr>
        <w:t xml:space="preserve">Water Conservation Initiatives at the London Marriott Hotel Grosvenor Square serve a dual purpose: financially saving and environment benefitting, contributing to the hotel being a leading sustainable provider in the hospitality sector. As a financial matter, water-saving measures have a positive ROI within 3 years </w:t>
      </w:r>
      <w:r>
        <w:rPr>
          <w:rFonts w:ascii="Arial" w:hAnsi="Arial" w:cs="Arial"/>
          <w:bCs/>
        </w:rPr>
        <w:t>(Jones and Wynn, 2023)</w:t>
      </w:r>
      <w:r>
        <w:rPr>
          <w:rFonts w:ascii="Arial" w:hAnsi="Arial" w:cs="Arial"/>
        </w:rPr>
        <w:t xml:space="preserve">. Usually, the initial costs of installing low-flow fixtures, greywater recycling systems, and bright water monitoring technology can be part of the initial costs. Still, over the long term, these investments will decrease annual water bills, which can, in turn, offset initial spending. The data from the industry also shows that if you have a comprehensive water conservation program, hotels that implement it could save 20–30 per cent in their water expenses </w:t>
      </w:r>
      <w:r>
        <w:rPr>
          <w:rFonts w:ascii="Arial" w:hAnsi="Arial" w:cs="Arial"/>
          <w:bCs/>
        </w:rPr>
        <w:t>(Marriott, 2024)</w:t>
      </w:r>
      <w:r>
        <w:rPr>
          <w:rFonts w:ascii="Arial" w:hAnsi="Arial" w:cs="Arial"/>
        </w:rPr>
        <w:t>. It has obvious potential to save a hotel in a hot spot like London much money over the years.</w:t>
      </w:r>
    </w:p>
    <w:p w14:paraId="06D4573E">
      <w:pPr>
        <w:rPr>
          <w:rFonts w:ascii="Arial" w:hAnsi="Arial" w:cs="Arial"/>
        </w:rPr>
      </w:pPr>
      <w:r>
        <w:rPr>
          <w:rFonts w:ascii="Arial" w:hAnsi="Arial" w:cs="Arial"/>
        </w:rPr>
        <w:t xml:space="preserve">The environmental benefits of long-term water conservation are far-reaching. The hotel indirectly reduces carbon emissions by reducing water usage, thus preserving and preserving local water supplies and reducing the energy needed to heat and treat water. However, the hotel’s water conservation efforts fulfil the UK government’s ambition to carry out net zero emissions by 2050, while it shows corporate social responsibility. Such initiatives would help reduce the effect of climate change and protect the water resources for the next generations </w:t>
      </w:r>
      <w:r>
        <w:rPr>
          <w:rFonts w:ascii="Arial" w:hAnsi="Arial" w:cs="Arial"/>
          <w:bCs/>
        </w:rPr>
        <w:t xml:space="preserve">(Kapoor </w:t>
      </w:r>
      <w:r>
        <w:rPr>
          <w:rFonts w:ascii="Arial" w:hAnsi="Arial" w:cs="Arial"/>
          <w:bCs/>
          <w:i/>
        </w:rPr>
        <w:t>et al</w:t>
      </w:r>
      <w:r>
        <w:rPr>
          <w:rFonts w:ascii="Arial" w:hAnsi="Arial" w:cs="Arial"/>
          <w:bCs/>
        </w:rPr>
        <w:t>., 2023)</w:t>
      </w:r>
      <w:r>
        <w:rPr>
          <w:rFonts w:ascii="Arial" w:hAnsi="Arial" w:cs="Arial"/>
        </w:rPr>
        <w:t>.</w:t>
      </w:r>
    </w:p>
    <w:p w14:paraId="5FE3A544">
      <w:pPr>
        <w:rPr>
          <w:rFonts w:ascii="Arial" w:hAnsi="Arial" w:cs="Arial"/>
        </w:rPr>
      </w:pPr>
      <w:r>
        <w:rPr>
          <w:rFonts w:ascii="Arial" w:hAnsi="Arial" w:cs="Arial"/>
        </w:rPr>
        <w:t xml:space="preserve">Additionally, a long-term commitment to sustainability will help increase the hotel’s market competition and brand reputation. With its green credentials becoming increasingly popular, guests also choose hotels that practice green tourism </w:t>
      </w:r>
      <w:r>
        <w:rPr>
          <w:rFonts w:ascii="Arial" w:hAnsi="Arial" w:cs="Arial"/>
          <w:bCs/>
        </w:rPr>
        <w:t>(Pavlova, 2023)</w:t>
      </w:r>
      <w:r>
        <w:rPr>
          <w:rFonts w:ascii="Arial" w:hAnsi="Arial" w:cs="Arial"/>
        </w:rPr>
        <w:t xml:space="preserve">. As the market of eco-conscious travellers grows, perhaps a hotel that publicly demonstrates its water conservation achievements via Key and other certifications will be rewarded by an increasing population of ‘locavores’ seeking sustainable and environmentally friendly accommodations at every turn (Kılıç </w:t>
      </w:r>
      <w:r>
        <w:rPr>
          <w:rFonts w:ascii="Arial" w:hAnsi="Arial" w:cs="Arial"/>
          <w:i/>
        </w:rPr>
        <w:t>et al</w:t>
      </w:r>
      <w:r>
        <w:rPr>
          <w:rFonts w:ascii="Arial" w:hAnsi="Arial" w:cs="Arial"/>
        </w:rPr>
        <w:t>., 2021). Moreover, research shows that hotels with a strong standing in terms of sustainability tend to retain a more affluent clientele with a higher propensity to delightingly submit and receive positive reviews in addition to obtaining more bookings and earning more revenue over time.</w:t>
      </w:r>
      <w:bookmarkStart w:id="7" w:name="_Toc182224804"/>
    </w:p>
    <w:p w14:paraId="55F6B93C">
      <w:pPr>
        <w:rPr>
          <w:rFonts w:ascii="Arial" w:hAnsi="Arial" w:cs="Arial"/>
        </w:rPr>
      </w:pPr>
    </w:p>
    <w:p w14:paraId="50246D51">
      <w:pPr>
        <w:rPr>
          <w:rFonts w:ascii="Arial" w:hAnsi="Arial" w:cs="Arial"/>
          <w:b/>
          <w:bCs/>
          <w:lang w:val="en-GB"/>
        </w:rPr>
      </w:pPr>
      <w:r>
        <w:rPr>
          <w:rFonts w:ascii="Arial" w:hAnsi="Arial" w:cs="Arial"/>
          <w:b/>
          <w:bCs/>
        </w:rPr>
        <w:t>Conclusion and Recommendations</w:t>
      </w:r>
      <w:bookmarkEnd w:id="7"/>
    </w:p>
    <w:p w14:paraId="584D8A3B">
      <w:pPr>
        <w:rPr>
          <w:rFonts w:ascii="Arial" w:hAnsi="Arial" w:cs="Arial"/>
        </w:rPr>
      </w:pPr>
      <w:r>
        <w:rPr>
          <w:rFonts w:ascii="Arial" w:hAnsi="Arial" w:cs="Arial"/>
        </w:rPr>
        <w:t>Finally, a broad water conservation project at the London Marriott Hotel Grosvenor Square would significantly improve the facility's sustainability and meet corporate and environmental goals. With a great deal that can be realised in terms of resource savings and cost reduction, as well as environmental impact, water conservation measures such as low flow fixtures, rainwater harvesting, and intelligent water management systems can be realised. They are aligned with the growing demand of travellers for eco-footpath takes and support Marriott’s corporate social responsibility efforts. To implement this initiative with a success rate high enough that this becomes the future standard, the hotel should promote the use of high-efficiency water fixtures with guest satisfaction in mind, utilising water resources judiciously. Further, the staff must be trained to properly use and maintain the new systems. Pursuing these strategies, the London Marriott Hotel Grosvenor Square demonstrates its leadership role as the most environmentally responsible hands-over hospitality to guests who prefer going green and advancing sustainability objectives further. Ultimately, the benefit for the hotel and the environment will benefit Marriott’s far-reaching yet long-term work towards sustainable growth and operational responsibility.</w:t>
      </w:r>
    </w:p>
    <w:p w14:paraId="49A45BC8">
      <w:pPr>
        <w:spacing w:line="276" w:lineRule="auto"/>
        <w:jc w:val="left"/>
        <w:rPr>
          <w:rFonts w:ascii="Arial" w:hAnsi="Arial" w:cs="Arial"/>
        </w:rPr>
      </w:pPr>
      <w:r>
        <w:rPr>
          <w:rFonts w:ascii="Arial" w:hAnsi="Arial" w:cs="Arial"/>
        </w:rPr>
        <w:br w:type="page"/>
      </w:r>
    </w:p>
    <w:p w14:paraId="385BE598">
      <w:pPr>
        <w:pStyle w:val="2"/>
        <w:rPr>
          <w:rFonts w:ascii="Arial" w:hAnsi="Arial" w:cs="Arial"/>
        </w:rPr>
      </w:pPr>
      <w:bookmarkStart w:id="8" w:name="_Toc182224805"/>
      <w:r>
        <w:rPr>
          <w:rFonts w:ascii="Arial" w:hAnsi="Arial" w:cs="Arial"/>
        </w:rPr>
        <w:t>References</w:t>
      </w:r>
      <w:bookmarkEnd w:id="8"/>
    </w:p>
    <w:p w14:paraId="7473F4BD">
      <w:pPr>
        <w:pStyle w:val="12"/>
        <w:numPr>
          <w:ilvl w:val="0"/>
          <w:numId w:val="1"/>
        </w:numPr>
        <w:rPr>
          <w:rFonts w:ascii="Arial" w:hAnsi="Arial" w:cs="Arial"/>
        </w:rPr>
      </w:pPr>
      <w:r>
        <w:rPr>
          <w:rFonts w:ascii="Arial" w:hAnsi="Arial" w:cs="Arial"/>
        </w:rPr>
        <w:t>Amatulli, C., De Angelis, M., and Stoppani, A. (2021). The appeal of sustainability in luxury hospitality: An investigation on the role of perceived integrity. </w:t>
      </w:r>
      <w:r>
        <w:rPr>
          <w:rFonts w:ascii="Arial" w:hAnsi="Arial" w:cs="Arial"/>
          <w:i/>
          <w:iCs/>
        </w:rPr>
        <w:t>Tourism Management</w:t>
      </w:r>
      <w:r>
        <w:rPr>
          <w:rFonts w:ascii="Arial" w:hAnsi="Arial" w:cs="Arial"/>
        </w:rPr>
        <w:t>, </w:t>
      </w:r>
      <w:r>
        <w:rPr>
          <w:rFonts w:ascii="Arial" w:hAnsi="Arial" w:cs="Arial"/>
          <w:i/>
          <w:iCs/>
        </w:rPr>
        <w:t>83</w:t>
      </w:r>
      <w:r>
        <w:rPr>
          <w:rFonts w:ascii="Arial" w:hAnsi="Arial" w:cs="Arial"/>
        </w:rPr>
        <w:t>, 104228.</w:t>
      </w:r>
    </w:p>
    <w:p w14:paraId="25172893">
      <w:pPr>
        <w:pStyle w:val="12"/>
        <w:numPr>
          <w:ilvl w:val="0"/>
          <w:numId w:val="1"/>
        </w:numPr>
        <w:rPr>
          <w:rFonts w:ascii="Arial" w:hAnsi="Arial" w:cs="Arial"/>
        </w:rPr>
      </w:pPr>
      <w:r>
        <w:rPr>
          <w:rFonts w:ascii="Arial" w:hAnsi="Arial" w:cs="Arial"/>
        </w:rPr>
        <w:t>Anilkumar, S., Koppar, R., and Baruah, P. (2020). Sustainability in Waste Management: a Study of International Hotels-A Review of Literatures. </w:t>
      </w:r>
      <w:r>
        <w:rPr>
          <w:rFonts w:ascii="Arial" w:hAnsi="Arial" w:cs="Arial"/>
          <w:i/>
          <w:iCs/>
        </w:rPr>
        <w:t>Emerging Aspects of Redefining Tourism and Hospitality</w:t>
      </w:r>
      <w:r>
        <w:rPr>
          <w:rFonts w:ascii="Arial" w:hAnsi="Arial" w:cs="Arial"/>
        </w:rPr>
        <w:t>, </w:t>
      </w:r>
      <w:r>
        <w:rPr>
          <w:rFonts w:ascii="Arial" w:hAnsi="Arial" w:cs="Arial"/>
          <w:i/>
          <w:iCs/>
        </w:rPr>
        <w:t>164</w:t>
      </w:r>
      <w:r>
        <w:rPr>
          <w:rFonts w:ascii="Arial" w:hAnsi="Arial" w:cs="Arial"/>
        </w:rPr>
        <w:t>.</w:t>
      </w:r>
    </w:p>
    <w:p w14:paraId="1763592F">
      <w:pPr>
        <w:pStyle w:val="12"/>
        <w:numPr>
          <w:ilvl w:val="0"/>
          <w:numId w:val="1"/>
        </w:numPr>
        <w:rPr>
          <w:rFonts w:ascii="Arial" w:hAnsi="Arial" w:cs="Arial"/>
          <w:bCs/>
        </w:rPr>
      </w:pPr>
      <w:r>
        <w:rPr>
          <w:rFonts w:ascii="Arial" w:hAnsi="Arial" w:cs="Arial"/>
          <w:bCs/>
        </w:rPr>
        <w:t xml:space="preserve">Bogensperger, C., (2023). </w:t>
      </w:r>
      <w:r>
        <w:rPr>
          <w:rFonts w:ascii="Arial" w:hAnsi="Arial" w:cs="Arial"/>
          <w:bCs/>
          <w:i/>
        </w:rPr>
        <w:t xml:space="preserve">Marriott Hotels Reach Milestones in the United Kingdom. </w:t>
      </w:r>
      <w:r>
        <w:rPr>
          <w:rFonts w:ascii="Arial" w:hAnsi="Arial" w:cs="Arial"/>
          <w:bCs/>
        </w:rPr>
        <w:t xml:space="preserve">[Online]. Available at: </w:t>
      </w:r>
      <w:r>
        <w:fldChar w:fldCharType="begin"/>
      </w:r>
      <w:r>
        <w:instrText xml:space="preserve"> HYPERLINK "https://www.greenkey.global/stories-news-1/2023/11/13-marriott-hotels-in-the-uk" </w:instrText>
      </w:r>
      <w:r>
        <w:fldChar w:fldCharType="separate"/>
      </w:r>
      <w:r>
        <w:rPr>
          <w:rStyle w:val="7"/>
          <w:rFonts w:ascii="Arial" w:hAnsi="Arial" w:cs="Arial"/>
          <w:bCs/>
        </w:rPr>
        <w:t>https://www.greenkey.global/stories-news-1/2023/11/13-marriott-hotels-in-the-uk</w:t>
      </w:r>
      <w:r>
        <w:rPr>
          <w:rStyle w:val="7"/>
          <w:rFonts w:ascii="Arial" w:hAnsi="Arial" w:cs="Arial"/>
          <w:bCs/>
        </w:rPr>
        <w:fldChar w:fldCharType="end"/>
      </w:r>
      <w:r>
        <w:rPr>
          <w:rFonts w:ascii="Arial" w:hAnsi="Arial" w:cs="Arial"/>
          <w:bCs/>
        </w:rPr>
        <w:t xml:space="preserve"> (Accessed on: 11 November 2024). </w:t>
      </w:r>
    </w:p>
    <w:p w14:paraId="69029C68">
      <w:pPr>
        <w:pStyle w:val="12"/>
        <w:numPr>
          <w:ilvl w:val="0"/>
          <w:numId w:val="1"/>
        </w:numPr>
        <w:rPr>
          <w:rFonts w:ascii="Arial" w:hAnsi="Arial" w:cs="Arial"/>
        </w:rPr>
      </w:pPr>
      <w:r>
        <w:rPr>
          <w:rFonts w:ascii="Arial" w:hAnsi="Arial" w:cs="Arial"/>
        </w:rPr>
        <w:t>Guix, M., and Font, X. (2020). The Materiality Balanced Scorecard: A framework for stakeholder-led integration of sustainable hospitality management and reporting. </w:t>
      </w:r>
      <w:r>
        <w:rPr>
          <w:rFonts w:ascii="Arial" w:hAnsi="Arial" w:cs="Arial"/>
          <w:i/>
          <w:iCs/>
        </w:rPr>
        <w:t>International Journal of Hospitality Management</w:t>
      </w:r>
      <w:r>
        <w:rPr>
          <w:rFonts w:ascii="Arial" w:hAnsi="Arial" w:cs="Arial"/>
        </w:rPr>
        <w:t>, </w:t>
      </w:r>
      <w:r>
        <w:rPr>
          <w:rFonts w:ascii="Arial" w:hAnsi="Arial" w:cs="Arial"/>
          <w:i/>
          <w:iCs/>
        </w:rPr>
        <w:t>91</w:t>
      </w:r>
      <w:r>
        <w:rPr>
          <w:rFonts w:ascii="Arial" w:hAnsi="Arial" w:cs="Arial"/>
        </w:rPr>
        <w:t>, 102634.</w:t>
      </w:r>
    </w:p>
    <w:p w14:paraId="7BE544DF">
      <w:pPr>
        <w:pStyle w:val="12"/>
        <w:numPr>
          <w:ilvl w:val="0"/>
          <w:numId w:val="1"/>
        </w:numPr>
        <w:rPr>
          <w:rFonts w:ascii="Arial" w:hAnsi="Arial" w:cs="Arial"/>
        </w:rPr>
      </w:pPr>
      <w:r>
        <w:rPr>
          <w:rFonts w:ascii="Arial" w:hAnsi="Arial" w:cs="Arial"/>
        </w:rPr>
        <w:t>Han, H. (2021). Consumer behaviour and environmental sustainability in tourism and hospitality: A review of theories, concepts, and latest research. </w:t>
      </w:r>
      <w:r>
        <w:rPr>
          <w:rFonts w:ascii="Arial" w:hAnsi="Arial" w:cs="Arial"/>
          <w:i/>
          <w:iCs/>
        </w:rPr>
        <w:t>Sustainable Consumer Behaviour and the Environment</w:t>
      </w:r>
      <w:r>
        <w:rPr>
          <w:rFonts w:ascii="Arial" w:hAnsi="Arial" w:cs="Arial"/>
        </w:rPr>
        <w:t>, 1-22.</w:t>
      </w:r>
    </w:p>
    <w:p w14:paraId="243EFA99">
      <w:pPr>
        <w:pStyle w:val="12"/>
        <w:numPr>
          <w:ilvl w:val="0"/>
          <w:numId w:val="1"/>
        </w:numPr>
        <w:rPr>
          <w:rFonts w:ascii="Arial" w:hAnsi="Arial" w:cs="Arial"/>
        </w:rPr>
      </w:pPr>
      <w:r>
        <w:rPr>
          <w:rFonts w:ascii="Arial" w:hAnsi="Arial" w:cs="Arial"/>
        </w:rPr>
        <w:t>Jones, P., and Wynn, M. G. (2023). The circular economy and natural capital in the tourism and hospitality industry. </w:t>
      </w:r>
      <w:r>
        <w:rPr>
          <w:rFonts w:ascii="Arial" w:hAnsi="Arial" w:cs="Arial"/>
          <w:i/>
          <w:iCs/>
        </w:rPr>
        <w:t>Circular Economy</w:t>
      </w:r>
      <w:r>
        <w:rPr>
          <w:rFonts w:ascii="Arial" w:hAnsi="Arial" w:cs="Arial"/>
        </w:rPr>
        <w:t>, </w:t>
      </w:r>
      <w:r>
        <w:rPr>
          <w:rFonts w:ascii="Arial" w:hAnsi="Arial" w:cs="Arial"/>
          <w:i/>
          <w:iCs/>
        </w:rPr>
        <w:t>1</w:t>
      </w:r>
      <w:r>
        <w:rPr>
          <w:rFonts w:ascii="Arial" w:hAnsi="Arial" w:cs="Arial"/>
        </w:rPr>
        <w:t>(1), 1-12.</w:t>
      </w:r>
    </w:p>
    <w:p w14:paraId="08A7B536">
      <w:pPr>
        <w:pStyle w:val="12"/>
        <w:numPr>
          <w:ilvl w:val="0"/>
          <w:numId w:val="1"/>
        </w:numPr>
        <w:rPr>
          <w:rFonts w:ascii="Arial" w:hAnsi="Arial" w:cs="Arial"/>
        </w:rPr>
      </w:pPr>
      <w:r>
        <w:rPr>
          <w:rFonts w:ascii="Arial" w:hAnsi="Arial" w:cs="Arial"/>
        </w:rPr>
        <w:t>Kapoor, R., Singh, A., and Manchanda, G. (2023). Hospitality internships and green leaders: analysing the engagement of interns with hotel sustainable development practices. </w:t>
      </w:r>
      <w:r>
        <w:rPr>
          <w:rFonts w:ascii="Arial" w:hAnsi="Arial" w:cs="Arial"/>
          <w:i/>
          <w:iCs/>
        </w:rPr>
        <w:t>Worldwide Hospitality and Tourism Themes</w:t>
      </w:r>
      <w:r>
        <w:rPr>
          <w:rFonts w:ascii="Arial" w:hAnsi="Arial" w:cs="Arial"/>
        </w:rPr>
        <w:t>, </w:t>
      </w:r>
      <w:r>
        <w:rPr>
          <w:rFonts w:ascii="Arial" w:hAnsi="Arial" w:cs="Arial"/>
          <w:i/>
          <w:iCs/>
        </w:rPr>
        <w:t>15</w:t>
      </w:r>
      <w:r>
        <w:rPr>
          <w:rFonts w:ascii="Arial" w:hAnsi="Arial" w:cs="Arial"/>
        </w:rPr>
        <w:t>(3), 295-307.</w:t>
      </w:r>
    </w:p>
    <w:p w14:paraId="7536A3E6">
      <w:pPr>
        <w:pStyle w:val="12"/>
        <w:numPr>
          <w:ilvl w:val="0"/>
          <w:numId w:val="1"/>
        </w:numPr>
        <w:rPr>
          <w:rFonts w:ascii="Arial" w:hAnsi="Arial" w:cs="Arial"/>
        </w:rPr>
      </w:pPr>
      <w:r>
        <w:rPr>
          <w:rFonts w:ascii="Arial" w:hAnsi="Arial" w:cs="Arial"/>
        </w:rPr>
        <w:t>Khan, N., Acuti, D., Lemarie, L., and Viglia, G. (2024). The intention-behaviour gap in sustainable hospitality: a critical literature review. </w:t>
      </w:r>
      <w:r>
        <w:rPr>
          <w:rFonts w:ascii="Arial" w:hAnsi="Arial" w:cs="Arial"/>
          <w:i/>
          <w:iCs/>
        </w:rPr>
        <w:t>International Journal of Contemporary Hospitality Management</w:t>
      </w:r>
      <w:r>
        <w:rPr>
          <w:rFonts w:ascii="Arial" w:hAnsi="Arial" w:cs="Arial"/>
        </w:rPr>
        <w:t>, </w:t>
      </w:r>
      <w:r>
        <w:rPr>
          <w:rFonts w:ascii="Arial" w:hAnsi="Arial" w:cs="Arial"/>
          <w:i/>
          <w:iCs/>
        </w:rPr>
        <w:t>36</w:t>
      </w:r>
      <w:r>
        <w:rPr>
          <w:rFonts w:ascii="Arial" w:hAnsi="Arial" w:cs="Arial"/>
        </w:rPr>
        <w:t>(5), 1627-1646.</w:t>
      </w:r>
    </w:p>
    <w:p w14:paraId="6FFFBAE1">
      <w:pPr>
        <w:pStyle w:val="12"/>
        <w:numPr>
          <w:ilvl w:val="0"/>
          <w:numId w:val="1"/>
        </w:numPr>
        <w:rPr>
          <w:rFonts w:ascii="Arial" w:hAnsi="Arial" w:cs="Arial"/>
        </w:rPr>
      </w:pPr>
      <w:r>
        <w:rPr>
          <w:rFonts w:ascii="Arial" w:hAnsi="Arial" w:cs="Arial"/>
        </w:rPr>
        <w:t>Kılıç, M., Uyar, A., Kuzey, C., and Karaman, A. S. (2021). Drivers and consequences of sustainability committee existence? Evidence from the hospitality and tourism industry. </w:t>
      </w:r>
      <w:r>
        <w:rPr>
          <w:rFonts w:ascii="Arial" w:hAnsi="Arial" w:cs="Arial"/>
          <w:i/>
          <w:iCs/>
        </w:rPr>
        <w:t>International Journal of Hospitality Management</w:t>
      </w:r>
      <w:r>
        <w:rPr>
          <w:rFonts w:ascii="Arial" w:hAnsi="Arial" w:cs="Arial"/>
        </w:rPr>
        <w:t>, </w:t>
      </w:r>
      <w:r>
        <w:rPr>
          <w:rFonts w:ascii="Arial" w:hAnsi="Arial" w:cs="Arial"/>
          <w:i/>
          <w:iCs/>
        </w:rPr>
        <w:t>92</w:t>
      </w:r>
      <w:r>
        <w:rPr>
          <w:rFonts w:ascii="Arial" w:hAnsi="Arial" w:cs="Arial"/>
        </w:rPr>
        <w:t>, 102753.</w:t>
      </w:r>
    </w:p>
    <w:p w14:paraId="391447F0">
      <w:pPr>
        <w:pStyle w:val="12"/>
        <w:numPr>
          <w:ilvl w:val="0"/>
          <w:numId w:val="1"/>
        </w:numPr>
        <w:rPr>
          <w:rFonts w:ascii="Arial" w:hAnsi="Arial" w:cs="Arial"/>
        </w:rPr>
      </w:pPr>
      <w:r>
        <w:rPr>
          <w:rFonts w:ascii="Arial" w:hAnsi="Arial" w:cs="Arial"/>
        </w:rPr>
        <w:t>Legrand, W., Chen, J. S., and Laeis, G. C. (2022). </w:t>
      </w:r>
      <w:r>
        <w:rPr>
          <w:rFonts w:ascii="Arial" w:hAnsi="Arial" w:cs="Arial"/>
          <w:i/>
          <w:iCs/>
        </w:rPr>
        <w:t>Sustainability in the hospitality industry: Principles of sustainable operations</w:t>
      </w:r>
      <w:r>
        <w:rPr>
          <w:rFonts w:ascii="Arial" w:hAnsi="Arial" w:cs="Arial"/>
        </w:rPr>
        <w:t>. Routledge.</w:t>
      </w:r>
    </w:p>
    <w:p w14:paraId="0B25D1E7">
      <w:pPr>
        <w:pStyle w:val="12"/>
        <w:numPr>
          <w:ilvl w:val="0"/>
          <w:numId w:val="1"/>
        </w:numPr>
        <w:rPr>
          <w:rFonts w:ascii="Arial" w:hAnsi="Arial" w:cs="Arial"/>
          <w:bCs/>
        </w:rPr>
      </w:pPr>
      <w:r>
        <w:rPr>
          <w:rFonts w:ascii="Arial" w:hAnsi="Arial" w:cs="Arial"/>
          <w:bCs/>
        </w:rPr>
        <w:t xml:space="preserve">Marriott.com (2024). </w:t>
      </w:r>
      <w:r>
        <w:rPr>
          <w:rFonts w:ascii="Arial" w:hAnsi="Arial" w:cs="Arial"/>
          <w:bCs/>
          <w:i/>
        </w:rPr>
        <w:t xml:space="preserve">2025 Sustainability and Social Impact Goals. </w:t>
      </w:r>
      <w:r>
        <w:rPr>
          <w:rFonts w:ascii="Arial" w:hAnsi="Arial" w:cs="Arial"/>
          <w:bCs/>
        </w:rPr>
        <w:t xml:space="preserve">[Online]. Available at: </w:t>
      </w:r>
      <w:r>
        <w:fldChar w:fldCharType="begin"/>
      </w:r>
      <w:r>
        <w:instrText xml:space="preserve"> HYPERLINK "https://www.marriott.com/marriottassets/marriott/LHRHR/PDF/LHRHR_Sustainable_Initiatives.pdf" </w:instrText>
      </w:r>
      <w:r>
        <w:fldChar w:fldCharType="separate"/>
      </w:r>
      <w:r>
        <w:rPr>
          <w:rStyle w:val="7"/>
          <w:rFonts w:ascii="Arial" w:hAnsi="Arial" w:cs="Arial"/>
          <w:bCs/>
        </w:rPr>
        <w:t>https://www.marriott.com/marriottassets/marriott/LHRHR/PDF/LHRHR_Sustainable_Initiatives.pdf</w:t>
      </w:r>
      <w:r>
        <w:rPr>
          <w:rStyle w:val="7"/>
          <w:rFonts w:ascii="Arial" w:hAnsi="Arial" w:cs="Arial"/>
          <w:bCs/>
        </w:rPr>
        <w:fldChar w:fldCharType="end"/>
      </w:r>
      <w:r>
        <w:rPr>
          <w:rFonts w:ascii="Arial" w:hAnsi="Arial" w:cs="Arial"/>
          <w:bCs/>
        </w:rPr>
        <w:t xml:space="preserve"> (Accessed on: 11 November 2024). </w:t>
      </w:r>
    </w:p>
    <w:p w14:paraId="4B5CE60C">
      <w:pPr>
        <w:pStyle w:val="12"/>
        <w:numPr>
          <w:ilvl w:val="0"/>
          <w:numId w:val="1"/>
        </w:numPr>
        <w:rPr>
          <w:rFonts w:ascii="Arial" w:hAnsi="Arial" w:cs="Arial"/>
          <w:bCs/>
        </w:rPr>
      </w:pPr>
      <w:r>
        <w:rPr>
          <w:rFonts w:ascii="Arial" w:hAnsi="Arial" w:cs="Arial"/>
          <w:bCs/>
        </w:rPr>
        <w:t xml:space="preserve">Marriott.com (2024). </w:t>
      </w:r>
      <w:r>
        <w:rPr>
          <w:rFonts w:ascii="Arial" w:hAnsi="Arial" w:cs="Arial"/>
          <w:bCs/>
          <w:i/>
        </w:rPr>
        <w:t xml:space="preserve">London Heathrow Marriott Hotel. </w:t>
      </w:r>
      <w:r>
        <w:rPr>
          <w:rFonts w:ascii="Arial" w:hAnsi="Arial" w:cs="Arial"/>
          <w:bCs/>
        </w:rPr>
        <w:t xml:space="preserve">[Online]. Available at: </w:t>
      </w:r>
      <w:r>
        <w:fldChar w:fldCharType="begin"/>
      </w:r>
      <w:r>
        <w:instrText xml:space="preserve"> HYPERLINK "https://www.marriott.com/en-us/hotels/lhrhr-london-heathrow-marriott-hotel/overview/sustainability/" </w:instrText>
      </w:r>
      <w:r>
        <w:fldChar w:fldCharType="separate"/>
      </w:r>
      <w:r>
        <w:rPr>
          <w:rStyle w:val="7"/>
          <w:rFonts w:ascii="Arial" w:hAnsi="Arial" w:cs="Arial"/>
          <w:bCs/>
        </w:rPr>
        <w:t>https://www.marriott.com/en-us/hotels/lhrhr-london-heathrow-marriott-hotel/overview/sustainability/</w:t>
      </w:r>
      <w:r>
        <w:rPr>
          <w:rStyle w:val="7"/>
          <w:rFonts w:ascii="Arial" w:hAnsi="Arial" w:cs="Arial"/>
          <w:bCs/>
        </w:rPr>
        <w:fldChar w:fldCharType="end"/>
      </w:r>
      <w:r>
        <w:rPr>
          <w:rFonts w:ascii="Arial" w:hAnsi="Arial" w:cs="Arial"/>
          <w:bCs/>
        </w:rPr>
        <w:t xml:space="preserve"> (Accessed on: 11 November 2024). </w:t>
      </w:r>
    </w:p>
    <w:p w14:paraId="14C7BB34">
      <w:pPr>
        <w:pStyle w:val="12"/>
        <w:numPr>
          <w:ilvl w:val="0"/>
          <w:numId w:val="1"/>
        </w:numPr>
        <w:rPr>
          <w:rFonts w:ascii="Arial" w:hAnsi="Arial" w:cs="Arial"/>
        </w:rPr>
      </w:pPr>
      <w:r>
        <w:rPr>
          <w:rFonts w:ascii="Arial" w:hAnsi="Arial" w:cs="Arial"/>
        </w:rPr>
        <w:t xml:space="preserve">Marriott.com (2024). </w:t>
      </w:r>
      <w:r>
        <w:rPr>
          <w:rFonts w:ascii="Arial" w:hAnsi="Arial" w:cs="Arial"/>
          <w:bCs/>
          <w:i/>
        </w:rPr>
        <w:t xml:space="preserve">Our Commitment to Sustainability. </w:t>
      </w:r>
      <w:r>
        <w:rPr>
          <w:rFonts w:ascii="Arial" w:hAnsi="Arial" w:cs="Arial"/>
          <w:bCs/>
        </w:rPr>
        <w:t xml:space="preserve">[Online]. </w:t>
      </w:r>
      <w:r>
        <w:rPr>
          <w:rFonts w:ascii="Arial" w:hAnsi="Arial" w:cs="Arial"/>
        </w:rPr>
        <w:t xml:space="preserve">Available at: </w:t>
      </w:r>
      <w:r>
        <w:fldChar w:fldCharType="begin"/>
      </w:r>
      <w:r>
        <w:instrText xml:space="preserve"> HYPERLINK "https://www.marriott.com/en-gb/hotels/lonwi-the-westin-london-city/overview/sustainability/" </w:instrText>
      </w:r>
      <w:r>
        <w:fldChar w:fldCharType="separate"/>
      </w:r>
      <w:r>
        <w:rPr>
          <w:rStyle w:val="7"/>
          <w:rFonts w:ascii="Arial" w:hAnsi="Arial" w:cs="Arial"/>
        </w:rPr>
        <w:t>https://www.marriott.com/en-gb/hotels/lonwi-the-westin-london-city/overview/sustainability/</w:t>
      </w:r>
      <w:r>
        <w:rPr>
          <w:rStyle w:val="7"/>
          <w:rFonts w:ascii="Arial" w:hAnsi="Arial" w:cs="Arial"/>
        </w:rPr>
        <w:fldChar w:fldCharType="end"/>
      </w:r>
      <w:r>
        <w:rPr>
          <w:rFonts w:ascii="Arial" w:hAnsi="Arial" w:cs="Arial"/>
        </w:rPr>
        <w:t xml:space="preserve"> (Accessed on: 11 November 2024). </w:t>
      </w:r>
    </w:p>
    <w:p w14:paraId="4D718BE6">
      <w:pPr>
        <w:pStyle w:val="12"/>
        <w:numPr>
          <w:ilvl w:val="0"/>
          <w:numId w:val="1"/>
        </w:numPr>
        <w:rPr>
          <w:rFonts w:ascii="Arial" w:hAnsi="Arial" w:cs="Arial"/>
        </w:rPr>
      </w:pPr>
      <w:r>
        <w:rPr>
          <w:rFonts w:ascii="Arial" w:hAnsi="Arial" w:cs="Arial"/>
        </w:rPr>
        <w:t>Molina-Collado, A., Santos-Vijande, M. L., Gómez-Rico, M., and Madera, J. M. (2022). Sustainability in hospitality and tourism: a review of key research topics from 1994 to 2020. </w:t>
      </w:r>
      <w:r>
        <w:rPr>
          <w:rFonts w:ascii="Arial" w:hAnsi="Arial" w:cs="Arial"/>
          <w:i/>
          <w:iCs/>
        </w:rPr>
        <w:t>International Journal of Contemporary Hospitality Management</w:t>
      </w:r>
      <w:r>
        <w:rPr>
          <w:rFonts w:ascii="Arial" w:hAnsi="Arial" w:cs="Arial"/>
        </w:rPr>
        <w:t>, </w:t>
      </w:r>
      <w:r>
        <w:rPr>
          <w:rFonts w:ascii="Arial" w:hAnsi="Arial" w:cs="Arial"/>
          <w:i/>
          <w:iCs/>
        </w:rPr>
        <w:t>34</w:t>
      </w:r>
      <w:r>
        <w:rPr>
          <w:rFonts w:ascii="Arial" w:hAnsi="Arial" w:cs="Arial"/>
        </w:rPr>
        <w:t>(8), 3029-3064.</w:t>
      </w:r>
    </w:p>
    <w:p w14:paraId="02EAAC8A">
      <w:pPr>
        <w:pStyle w:val="12"/>
        <w:numPr>
          <w:ilvl w:val="0"/>
          <w:numId w:val="1"/>
        </w:numPr>
        <w:rPr>
          <w:rFonts w:ascii="Arial" w:hAnsi="Arial" w:cs="Arial"/>
        </w:rPr>
      </w:pPr>
      <w:r>
        <w:rPr>
          <w:rFonts w:ascii="Arial" w:hAnsi="Arial" w:cs="Arial"/>
        </w:rPr>
        <w:t>Murni, N. G. N. S., Ruki, M., and Antara, D. M. S. (2023). Developing an Implementation Model for Gender Equality and Disability Inclusivity at Marriott Group Hotels in Bali to Foster Sustainable Tourism. </w:t>
      </w:r>
      <w:r>
        <w:rPr>
          <w:rFonts w:ascii="Arial" w:hAnsi="Arial" w:cs="Arial"/>
          <w:i/>
          <w:iCs/>
        </w:rPr>
        <w:t>International Journal of Social Science Research and Review</w:t>
      </w:r>
      <w:r>
        <w:rPr>
          <w:rFonts w:ascii="Arial" w:hAnsi="Arial" w:cs="Arial"/>
        </w:rPr>
        <w:t>, </w:t>
      </w:r>
      <w:r>
        <w:rPr>
          <w:rFonts w:ascii="Arial" w:hAnsi="Arial" w:cs="Arial"/>
          <w:i/>
          <w:iCs/>
        </w:rPr>
        <w:t>6</w:t>
      </w:r>
      <w:r>
        <w:rPr>
          <w:rFonts w:ascii="Arial" w:hAnsi="Arial" w:cs="Arial"/>
        </w:rPr>
        <w:t>(10), 169-178.</w:t>
      </w:r>
    </w:p>
    <w:p w14:paraId="346E7BDD">
      <w:pPr>
        <w:pStyle w:val="12"/>
        <w:numPr>
          <w:ilvl w:val="0"/>
          <w:numId w:val="1"/>
        </w:numPr>
        <w:rPr>
          <w:rFonts w:ascii="Arial" w:hAnsi="Arial" w:cs="Arial"/>
        </w:rPr>
      </w:pPr>
      <w:r>
        <w:rPr>
          <w:rFonts w:ascii="Arial" w:hAnsi="Arial" w:cs="Arial"/>
        </w:rPr>
        <w:t>Pavlova, V. (2023). Encouraging Employee Participation in Environmental Sustainability Practices in Luxury Hotel Company.</w:t>
      </w:r>
    </w:p>
    <w:p w14:paraId="687382B0">
      <w:pPr>
        <w:pStyle w:val="12"/>
        <w:numPr>
          <w:ilvl w:val="0"/>
          <w:numId w:val="1"/>
        </w:numPr>
        <w:rPr>
          <w:rFonts w:ascii="Arial" w:hAnsi="Arial" w:cs="Arial"/>
        </w:rPr>
      </w:pPr>
      <w:r>
        <w:rPr>
          <w:rFonts w:ascii="Arial" w:hAnsi="Arial" w:cs="Arial"/>
        </w:rPr>
        <w:t>Pereira, V., Silva, G. M., and Dias, Á. (2021). Sustainability practices in hospitality: Case study of a luxury hotel in Arrábida Natural Park. </w:t>
      </w:r>
      <w:r>
        <w:rPr>
          <w:rFonts w:ascii="Arial" w:hAnsi="Arial" w:cs="Arial"/>
          <w:i/>
          <w:iCs/>
        </w:rPr>
        <w:t>Sustainability</w:t>
      </w:r>
      <w:r>
        <w:rPr>
          <w:rFonts w:ascii="Arial" w:hAnsi="Arial" w:cs="Arial"/>
        </w:rPr>
        <w:t>, </w:t>
      </w:r>
      <w:r>
        <w:rPr>
          <w:rFonts w:ascii="Arial" w:hAnsi="Arial" w:cs="Arial"/>
          <w:i/>
          <w:iCs/>
        </w:rPr>
        <w:t>13</w:t>
      </w:r>
      <w:r>
        <w:rPr>
          <w:rFonts w:ascii="Arial" w:hAnsi="Arial" w:cs="Arial"/>
        </w:rPr>
        <w:t>(6), 3164.</w:t>
      </w:r>
    </w:p>
    <w:p w14:paraId="59F03499">
      <w:pPr>
        <w:pStyle w:val="12"/>
        <w:numPr>
          <w:ilvl w:val="0"/>
          <w:numId w:val="1"/>
        </w:numPr>
        <w:rPr>
          <w:rFonts w:ascii="Arial" w:hAnsi="Arial" w:cs="Arial"/>
        </w:rPr>
      </w:pPr>
      <w:r>
        <w:rPr>
          <w:rFonts w:ascii="Arial" w:hAnsi="Arial" w:cs="Arial"/>
        </w:rPr>
        <w:t>Ricaurte, E., and Jagarajan, R. (2023). Hotel Sustainability Benchmarking Index 2023.</w:t>
      </w:r>
    </w:p>
    <w:p w14:paraId="43ED8538">
      <w:pPr>
        <w:pStyle w:val="12"/>
        <w:numPr>
          <w:ilvl w:val="0"/>
          <w:numId w:val="1"/>
        </w:numPr>
        <w:rPr>
          <w:rFonts w:ascii="Arial" w:hAnsi="Arial" w:cs="Arial"/>
        </w:rPr>
      </w:pPr>
      <w:r>
        <w:rPr>
          <w:rFonts w:ascii="Arial" w:hAnsi="Arial" w:cs="Arial"/>
        </w:rPr>
        <w:t>Ruiz Molina, M. E., Belda-Miquel, S., Hytti, A., and Gil-Saura, I. (2022). Addressing sustainable food management in hotels: proposing a framework and examining hotel groups. </w:t>
      </w:r>
      <w:r>
        <w:rPr>
          <w:rFonts w:ascii="Arial" w:hAnsi="Arial" w:cs="Arial"/>
          <w:i/>
          <w:iCs/>
        </w:rPr>
        <w:t>British Food Journal</w:t>
      </w:r>
      <w:r>
        <w:rPr>
          <w:rFonts w:ascii="Arial" w:hAnsi="Arial" w:cs="Arial"/>
        </w:rPr>
        <w:t>, </w:t>
      </w:r>
      <w:r>
        <w:rPr>
          <w:rFonts w:ascii="Arial" w:hAnsi="Arial" w:cs="Arial"/>
          <w:i/>
          <w:iCs/>
        </w:rPr>
        <w:t>124</w:t>
      </w:r>
      <w:r>
        <w:rPr>
          <w:rFonts w:ascii="Arial" w:hAnsi="Arial" w:cs="Arial"/>
        </w:rPr>
        <w:t>(2), 462-492.</w:t>
      </w:r>
    </w:p>
    <w:p w14:paraId="35E76A2C">
      <w:pPr>
        <w:pStyle w:val="12"/>
        <w:numPr>
          <w:ilvl w:val="0"/>
          <w:numId w:val="1"/>
        </w:numPr>
        <w:rPr>
          <w:rFonts w:ascii="Arial" w:hAnsi="Arial" w:cs="Arial"/>
        </w:rPr>
      </w:pPr>
      <w:r>
        <w:rPr>
          <w:rFonts w:ascii="Arial" w:hAnsi="Arial" w:cs="Arial"/>
        </w:rPr>
        <w:t>Sakshi, Shashi, Cerchione, R., and Bansal, H. (2020). Measuring the impact of sustainability policy and practices in tourism and hospitality industry. </w:t>
      </w:r>
      <w:r>
        <w:rPr>
          <w:rFonts w:ascii="Arial" w:hAnsi="Arial" w:cs="Arial"/>
          <w:i/>
          <w:iCs/>
        </w:rPr>
        <w:t>Business Strategy and the Environment</w:t>
      </w:r>
      <w:r>
        <w:rPr>
          <w:rFonts w:ascii="Arial" w:hAnsi="Arial" w:cs="Arial"/>
        </w:rPr>
        <w:t>, </w:t>
      </w:r>
      <w:r>
        <w:rPr>
          <w:rFonts w:ascii="Arial" w:hAnsi="Arial" w:cs="Arial"/>
          <w:i/>
          <w:iCs/>
        </w:rPr>
        <w:t>29</w:t>
      </w:r>
      <w:r>
        <w:rPr>
          <w:rFonts w:ascii="Arial" w:hAnsi="Arial" w:cs="Arial"/>
        </w:rPr>
        <w:t>(3), 1109-1126.</w:t>
      </w:r>
    </w:p>
    <w:p w14:paraId="58267A37">
      <w:pPr>
        <w:pStyle w:val="12"/>
        <w:numPr>
          <w:ilvl w:val="0"/>
          <w:numId w:val="1"/>
        </w:numPr>
        <w:rPr>
          <w:rFonts w:ascii="Arial" w:hAnsi="Arial" w:cs="Arial"/>
        </w:rPr>
      </w:pPr>
      <w:r>
        <w:rPr>
          <w:rFonts w:ascii="Arial" w:hAnsi="Arial" w:cs="Arial"/>
        </w:rPr>
        <w:t>San Ip, P., and Noronha, C. (2022). Sustainability reporting during COVID-19: a study of the hospitality industry. In </w:t>
      </w:r>
      <w:r>
        <w:rPr>
          <w:rFonts w:ascii="Arial" w:hAnsi="Arial" w:cs="Arial"/>
          <w:i/>
          <w:iCs/>
        </w:rPr>
        <w:t>Comparative CSR and Sustainability</w:t>
      </w:r>
      <w:r>
        <w:rPr>
          <w:rFonts w:ascii="Arial" w:hAnsi="Arial" w:cs="Arial"/>
        </w:rPr>
        <w:t> (pp. 55-71). Routledge.</w:t>
      </w:r>
    </w:p>
    <w:p w14:paraId="5488E10D">
      <w:pPr>
        <w:pStyle w:val="12"/>
        <w:numPr>
          <w:ilvl w:val="0"/>
          <w:numId w:val="1"/>
        </w:numPr>
        <w:rPr>
          <w:rFonts w:ascii="Arial" w:hAnsi="Arial" w:cs="Arial"/>
        </w:rPr>
      </w:pPr>
      <w:r>
        <w:rPr>
          <w:rFonts w:ascii="Arial" w:hAnsi="Arial" w:cs="Arial"/>
        </w:rPr>
        <w:t>Sanvitale, A. L. (2020). Corporate Social Responsibility in the Hotel Industry: A Study of Marriott International and Odyssey Hotel Group.</w:t>
      </w:r>
    </w:p>
    <w:p w14:paraId="3E5D1734">
      <w:pPr>
        <w:pStyle w:val="12"/>
        <w:numPr>
          <w:ilvl w:val="0"/>
          <w:numId w:val="1"/>
        </w:numPr>
        <w:rPr>
          <w:rFonts w:ascii="Arial" w:hAnsi="Arial" w:cs="Arial"/>
        </w:rPr>
      </w:pPr>
      <w:r>
        <w:rPr>
          <w:rFonts w:ascii="Arial" w:hAnsi="Arial" w:cs="Arial"/>
        </w:rPr>
        <w:t>Sharma, R. (2023). Hospitality sustainable practices, a global perspective. </w:t>
      </w:r>
      <w:r>
        <w:rPr>
          <w:rFonts w:ascii="Arial" w:hAnsi="Arial" w:cs="Arial"/>
          <w:i/>
          <w:iCs/>
        </w:rPr>
        <w:t>Worldwide Hospitality and Tourism Themes</w:t>
      </w:r>
      <w:r>
        <w:rPr>
          <w:rFonts w:ascii="Arial" w:hAnsi="Arial" w:cs="Arial"/>
        </w:rPr>
        <w:t>, </w:t>
      </w:r>
      <w:r>
        <w:rPr>
          <w:rFonts w:ascii="Arial" w:hAnsi="Arial" w:cs="Arial"/>
          <w:i/>
          <w:iCs/>
        </w:rPr>
        <w:t>15</w:t>
      </w:r>
      <w:r>
        <w:rPr>
          <w:rFonts w:ascii="Arial" w:hAnsi="Arial" w:cs="Arial"/>
        </w:rPr>
        <w:t>(3), 212-219.</w:t>
      </w:r>
    </w:p>
    <w:p w14:paraId="7BC61E8B">
      <w:pPr>
        <w:pStyle w:val="12"/>
        <w:numPr>
          <w:ilvl w:val="0"/>
          <w:numId w:val="1"/>
        </w:numPr>
        <w:rPr>
          <w:rFonts w:ascii="Arial" w:hAnsi="Arial" w:cs="Arial"/>
        </w:rPr>
      </w:pPr>
      <w:r>
        <w:rPr>
          <w:rFonts w:ascii="Arial" w:hAnsi="Arial" w:cs="Arial"/>
        </w:rPr>
        <w:t>Wynn, M. G., and Jones, P. (2023). Natural Capital and Natural Asset Management in the Hospitality Industry. </w:t>
      </w:r>
      <w:r>
        <w:rPr>
          <w:rFonts w:ascii="Arial" w:hAnsi="Arial" w:cs="Arial"/>
          <w:i/>
          <w:iCs/>
        </w:rPr>
        <w:t>Athens Journal of Tourism</w:t>
      </w:r>
      <w:r>
        <w:rPr>
          <w:rFonts w:ascii="Arial" w:hAnsi="Arial" w:cs="Arial"/>
        </w:rPr>
        <w:t>, </w:t>
      </w:r>
      <w:r>
        <w:rPr>
          <w:rFonts w:ascii="Arial" w:hAnsi="Arial" w:cs="Arial"/>
          <w:i/>
          <w:iCs/>
        </w:rPr>
        <w:t>10</w:t>
      </w:r>
      <w:r>
        <w:rPr>
          <w:rFonts w:ascii="Arial" w:hAnsi="Arial" w:cs="Arial"/>
        </w:rPr>
        <w:t>(1), 9-20.</w:t>
      </w:r>
    </w:p>
    <w:p w14:paraId="0921D3DA">
      <w:pPr>
        <w:rPr>
          <w:rFonts w:ascii="Arial" w:hAnsi="Arial" w:cs="Arial"/>
          <w:bCs/>
        </w:rPr>
      </w:pPr>
    </w:p>
    <w:p w14:paraId="71C91AA6">
      <w:pPr>
        <w:rPr>
          <w:rFonts w:ascii="Arial" w:hAnsi="Arial" w:cs="Arial"/>
          <w:bCs/>
        </w:rPr>
      </w:pPr>
    </w:p>
    <w:p w14:paraId="4B1044F2">
      <w:pPr>
        <w:rPr>
          <w:rFonts w:ascii="Arial" w:hAnsi="Arial" w:cs="Arial"/>
          <w:b/>
          <w:bCs/>
        </w:rPr>
      </w:pPr>
    </w:p>
    <w:p w14:paraId="56F0AE57"/>
    <w:sectPr>
      <w:footerReference r:id="rId5" w:type="default"/>
      <w:pgSz w:w="12240" w:h="15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alibri">
    <w:panose1 w:val="020F0502020204030204"/>
    <w:charset w:val="86"/>
    <w:family w:val="swiss"/>
    <w:pitch w:val="default"/>
    <w:sig w:usb0="E4002EFF" w:usb1="C000247B" w:usb2="00000009" w:usb3="00000000" w:csb0="200001FF" w:csb1="00000000"/>
  </w:font>
  <w:font w:name="Segoe Print">
    <w:panose1 w:val="02000600000000000000"/>
    <w:charset w:val="00"/>
    <w:family w:val="auto"/>
    <w:pitch w:val="default"/>
    <w:sig w:usb0="0000028F" w:usb1="00000000" w:usb2="00000000" w:usb3="00000000" w:csb0="2000009F" w:csb1="47010000"/>
  </w:font>
  <w:font w:name="Aptos">
    <w:altName w:val="Segoe Print"/>
    <w:panose1 w:val="00000000000000000000"/>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25826345"/>
      <w:docPartObj>
        <w:docPartGallery w:val="autotext"/>
      </w:docPartObj>
    </w:sdtPr>
    <w:sdtContent>
      <w:p w14:paraId="1B54F327">
        <w:pPr>
          <w:pStyle w:val="6"/>
          <w:jc w:val="center"/>
        </w:pPr>
        <w:r>
          <w:fldChar w:fldCharType="begin"/>
        </w:r>
        <w:r>
          <w:instrText xml:space="preserve"> PAGE   \* MERGEFORMAT </w:instrText>
        </w:r>
        <w:r>
          <w:fldChar w:fldCharType="separate"/>
        </w:r>
        <w:r>
          <w:t>5</w:t>
        </w:r>
        <w:r>
          <w:fldChar w:fldCharType="end"/>
        </w:r>
      </w:p>
    </w:sdtContent>
  </w:sdt>
  <w:p w14:paraId="2500E6A7">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A724474"/>
    <w:multiLevelType w:val="multilevel"/>
    <w:tmpl w:val="4A724474"/>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F0D3CCE"/>
    <w:rsid w:val="41FD0E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qFormat/>
    <w:uiPriority w:val="9"/>
    <w:pPr>
      <w:keepNext/>
      <w:keepLines/>
      <w:spacing w:before="480" w:after="0"/>
      <w:outlineLvl w:val="0"/>
    </w:pPr>
    <w:rPr>
      <w:rFonts w:eastAsiaTheme="majorEastAsia" w:cstheme="majorBidi"/>
      <w:b/>
      <w:bCs/>
      <w:color w:val="000000" w:themeColor="text1"/>
      <w:sz w:val="28"/>
      <w:szCs w:val="28"/>
      <w14:textFill>
        <w14:solidFill>
          <w14:schemeClr w14:val="tx1"/>
        </w14:solidFill>
      </w14:textFill>
    </w:rPr>
  </w:style>
  <w:style w:type="paragraph" w:styleId="3">
    <w:name w:val="heading 2"/>
    <w:basedOn w:val="1"/>
    <w:next w:val="1"/>
    <w:unhideWhenUsed/>
    <w:qFormat/>
    <w:uiPriority w:val="9"/>
    <w:pPr>
      <w:keepNext/>
      <w:keepLines/>
      <w:spacing w:before="200" w:after="0"/>
      <w:outlineLvl w:val="1"/>
    </w:pPr>
    <w:rPr>
      <w:rFonts w:eastAsiaTheme="majorEastAsia" w:cstheme="majorBidi"/>
      <w:b/>
      <w:bCs/>
      <w:color w:val="000000" w:themeColor="text1"/>
      <w:sz w:val="26"/>
      <w:szCs w:val="26"/>
      <w14:textFill>
        <w14:solidFill>
          <w14:schemeClr w14:val="tx1"/>
        </w14:solidFill>
      </w14:textFill>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nhideWhenUsed/>
    <w:qFormat/>
    <w:uiPriority w:val="99"/>
    <w:pPr>
      <w:tabs>
        <w:tab w:val="center" w:pos="4680"/>
        <w:tab w:val="right" w:pos="9360"/>
      </w:tabs>
      <w:spacing w:after="0" w:line="240" w:lineRule="auto"/>
    </w:pPr>
  </w:style>
  <w:style w:type="character" w:styleId="7">
    <w:name w:val="Hyperlink"/>
    <w:basedOn w:val="4"/>
    <w:unhideWhenUsed/>
    <w:uiPriority w:val="99"/>
    <w:rPr>
      <w:color w:val="0563C1" w:themeColor="hyperlink"/>
      <w:u w:val="single"/>
      <w14:textFill>
        <w14:solidFill>
          <w14:schemeClr w14:val="hlink"/>
        </w14:solidFill>
      </w14:textFill>
    </w:rPr>
  </w:style>
  <w:style w:type="paragraph" w:styleId="8">
    <w:name w:val="Title"/>
    <w:basedOn w:val="1"/>
    <w:next w:val="1"/>
    <w:qFormat/>
    <w:uiPriority w:val="10"/>
    <w:pPr>
      <w:pBdr>
        <w:bottom w:val="single" w:color="5B9BD5" w:themeColor="accent1" w:sz="8" w:space="4"/>
      </w:pBdr>
      <w:spacing w:after="300" w:line="240" w:lineRule="auto"/>
      <w:contextualSpacing/>
    </w:pPr>
    <w:rPr>
      <w:rFonts w:asciiTheme="majorHAnsi" w:hAnsiTheme="majorHAnsi" w:eastAsiaTheme="majorEastAsia" w:cstheme="majorBidi"/>
      <w:color w:val="333F50" w:themeColor="text2" w:themeShade="BF"/>
      <w:spacing w:val="5"/>
      <w:kern w:val="28"/>
      <w:sz w:val="52"/>
      <w:szCs w:val="52"/>
    </w:r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40"/>
    </w:pPr>
  </w:style>
  <w:style w:type="paragraph" w:customStyle="1" w:styleId="11">
    <w:name w:val="TOC Heading"/>
    <w:basedOn w:val="2"/>
    <w:next w:val="1"/>
    <w:semiHidden/>
    <w:unhideWhenUsed/>
    <w:qFormat/>
    <w:uiPriority w:val="39"/>
    <w:pPr>
      <w:spacing w:line="276" w:lineRule="auto"/>
      <w:jc w:val="left"/>
      <w:outlineLvl w:val="9"/>
    </w:pPr>
    <w:rPr>
      <w:rFonts w:asciiTheme="majorHAnsi" w:hAnsiTheme="majorHAnsi"/>
      <w:color w:val="2E75B6" w:themeColor="accent1" w:themeShade="BF"/>
    </w:rPr>
  </w:style>
  <w:style w:type="paragraph" w:styleId="1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7</TotalTime>
  <ScaleCrop>false</ScaleCrop>
  <LinksUpToDate>false</LinksUpToDate>
  <CharactersWithSpaces>0</CharactersWithSpaces>
  <Application>WPS Office_12.2.0.18911_F1E327BC-269C-435d-A152-05C5408002CA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2024-11-12T11:10:00Z</dcterms:created>
  <dc:creator>HP Probook 650 G2</dc:creator>
  <cp:lastModifiedBy>lucian stefan</cp:lastModifiedBy>
  <dcterms:modified xsi:type="dcterms:W3CDTF">2024-11-15T17:16:20Z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1033-12.2.0.18911</vt:lpwstr>
  </property>
  <property fmtid="{D5CDD505-2E9C-101B-9397-08002B2CF9AE}" pid="3" name="ICV">
    <vt:lpwstr>3DA4714441284F328A9BC27808BADF60_12</vt:lpwstr>
  </property>
</Properties>
</file>