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C30B3" w14:textId="272B4B51" w:rsidR="00EA1918" w:rsidRPr="00EA1918" w:rsidRDefault="00EA1918" w:rsidP="00B36704">
      <w:pPr>
        <w:spacing w:before="100" w:beforeAutospacing="1" w:after="100" w:afterAutospacing="1" w:line="480" w:lineRule="auto"/>
        <w:outlineLvl w:val="0"/>
        <w:rPr>
          <w:rFonts w:ascii="Arial" w:eastAsia="Times New Roman" w:hAnsi="Arial" w:cs="Arial"/>
          <w:kern w:val="36"/>
          <w:lang w:eastAsia="en-GB"/>
          <w14:ligatures w14:val="none"/>
        </w:rPr>
      </w:pPr>
      <w:r w:rsidRPr="00EA1918">
        <w:rPr>
          <w:rFonts w:ascii="Arial" w:eastAsia="Times New Roman" w:hAnsi="Arial" w:cs="Arial"/>
          <w:kern w:val="36"/>
          <w:lang w:eastAsia="en-GB"/>
          <w14:ligatures w14:val="none"/>
        </w:rPr>
        <w:t>AI Acknowledgment Statement</w:t>
      </w:r>
    </w:p>
    <w:p w14:paraId="118522A4" w14:textId="5A328A25"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Generative AI tools were used during the planning stage of this assignment to support structural organisation and development of ideas. The final essay, critical analysis, and academic content were independently written, reviewed, and edited by the author to ensure academic integrity and compliance with APA guidelines.</w:t>
      </w:r>
    </w:p>
    <w:p w14:paraId="3B8EAF5E" w14:textId="088F3D23" w:rsidR="00EA1918" w:rsidRPr="00EA1918" w:rsidRDefault="00EA1918" w:rsidP="00EA1918">
      <w:pPr>
        <w:spacing w:after="0" w:line="480" w:lineRule="auto"/>
        <w:rPr>
          <w:rFonts w:ascii="Arial" w:eastAsia="Times New Roman" w:hAnsi="Arial" w:cs="Arial"/>
          <w:kern w:val="0"/>
          <w:lang w:eastAsia="en-GB"/>
          <w14:ligatures w14:val="none"/>
        </w:rPr>
      </w:pPr>
    </w:p>
    <w:p w14:paraId="5A6FDF7F"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2D2FEAC7"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3B4AF043"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499656A2" w14:textId="77777777" w:rsidR="00EA1918" w:rsidRPr="00EA1918"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6830A660"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1749FFE1"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0DA29DF4"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31B3A8ED"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277FBE34"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11D2B050" w14:textId="77777777" w:rsidR="00EA1918" w:rsidRPr="00B36704"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6E400229" w14:textId="77777777" w:rsidR="00EA1918" w:rsidRDefault="00EA1918"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472E9A78" w14:textId="77777777" w:rsidR="00B36704" w:rsidRPr="00B36704" w:rsidRDefault="00B36704" w:rsidP="00EA1918">
      <w:pPr>
        <w:spacing w:before="100" w:beforeAutospacing="1" w:after="100" w:afterAutospacing="1" w:line="480" w:lineRule="auto"/>
        <w:outlineLvl w:val="0"/>
        <w:rPr>
          <w:rFonts w:ascii="Arial" w:eastAsia="Times New Roman" w:hAnsi="Arial" w:cs="Arial"/>
          <w:kern w:val="36"/>
          <w:lang w:eastAsia="en-GB"/>
          <w14:ligatures w14:val="none"/>
        </w:rPr>
      </w:pPr>
    </w:p>
    <w:p w14:paraId="3683FA4A" w14:textId="66120F7C" w:rsidR="00EA1918" w:rsidRPr="00EA1918" w:rsidRDefault="00EA1918" w:rsidP="00EA1918">
      <w:pPr>
        <w:spacing w:before="100" w:beforeAutospacing="1" w:after="100" w:afterAutospacing="1" w:line="480" w:lineRule="auto"/>
        <w:jc w:val="center"/>
        <w:outlineLvl w:val="0"/>
        <w:rPr>
          <w:rFonts w:ascii="Arial" w:eastAsia="Times New Roman" w:hAnsi="Arial" w:cs="Arial"/>
          <w:b/>
          <w:bCs/>
          <w:kern w:val="36"/>
          <w:sz w:val="28"/>
          <w:szCs w:val="28"/>
          <w:lang w:val="ru-RU" w:eastAsia="en-GB"/>
          <w14:ligatures w14:val="none"/>
        </w:rPr>
      </w:pPr>
      <w:r w:rsidRPr="00EA1918">
        <w:rPr>
          <w:rFonts w:ascii="Arial" w:eastAsia="Times New Roman" w:hAnsi="Arial" w:cs="Arial"/>
          <w:b/>
          <w:bCs/>
          <w:kern w:val="36"/>
          <w:sz w:val="28"/>
          <w:szCs w:val="28"/>
          <w:lang w:eastAsia="en-GB"/>
          <w14:ligatures w14:val="none"/>
        </w:rPr>
        <w:lastRenderedPageBreak/>
        <w:t>Essay Structure Overview</w:t>
      </w:r>
    </w:p>
    <w:p w14:paraId="43C8C396" w14:textId="1889D3A0"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Introduction (p. </w:t>
      </w:r>
      <w:r w:rsidR="00B36704" w:rsidRPr="00B36704">
        <w:rPr>
          <w:rFonts w:ascii="Arial" w:eastAsia="Times New Roman" w:hAnsi="Arial" w:cs="Arial"/>
          <w:kern w:val="0"/>
          <w:lang w:eastAsia="en-GB"/>
          <w14:ligatures w14:val="none"/>
        </w:rPr>
        <w:t>3</w:t>
      </w:r>
      <w:r w:rsidRPr="00EA1918">
        <w:rPr>
          <w:rFonts w:ascii="Arial" w:eastAsia="Times New Roman" w:hAnsi="Arial" w:cs="Arial"/>
          <w:kern w:val="0"/>
          <w:lang w:eastAsia="en-GB"/>
          <w14:ligatures w14:val="none"/>
        </w:rPr>
        <w:t>)</w:t>
      </w:r>
    </w:p>
    <w:p w14:paraId="2280C1A1" w14:textId="20E02179"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1. Nature of the Recovery Coordinator Role (p. </w:t>
      </w:r>
      <w:r w:rsidR="00B36704" w:rsidRPr="00B36704">
        <w:rPr>
          <w:rFonts w:ascii="Arial" w:eastAsia="Times New Roman" w:hAnsi="Arial" w:cs="Arial"/>
          <w:kern w:val="0"/>
          <w:lang w:eastAsia="en-GB"/>
          <w14:ligatures w14:val="none"/>
        </w:rPr>
        <w:t>3</w:t>
      </w:r>
      <w:r w:rsidRPr="00EA1918">
        <w:rPr>
          <w:rFonts w:ascii="Arial" w:eastAsia="Times New Roman" w:hAnsi="Arial" w:cs="Arial"/>
          <w:kern w:val="0"/>
          <w:lang w:eastAsia="en-GB"/>
          <w14:ligatures w14:val="none"/>
        </w:rPr>
        <w:t>)</w:t>
      </w:r>
    </w:p>
    <w:p w14:paraId="16DD1E59" w14:textId="5170EEE8"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2. Establishing the Helping Relationship (p. </w:t>
      </w:r>
      <w:r w:rsidR="00B36704" w:rsidRPr="00B36704">
        <w:rPr>
          <w:rFonts w:ascii="Arial" w:eastAsia="Times New Roman" w:hAnsi="Arial" w:cs="Arial"/>
          <w:kern w:val="0"/>
          <w:lang w:eastAsia="en-GB"/>
          <w14:ligatures w14:val="none"/>
        </w:rPr>
        <w:t>4</w:t>
      </w:r>
      <w:r w:rsidRPr="00EA1918">
        <w:rPr>
          <w:rFonts w:ascii="Arial" w:eastAsia="Times New Roman" w:hAnsi="Arial" w:cs="Arial"/>
          <w:kern w:val="0"/>
          <w:lang w:eastAsia="en-GB"/>
          <w14:ligatures w14:val="none"/>
        </w:rPr>
        <w:t>)</w:t>
      </w:r>
    </w:p>
    <w:p w14:paraId="68DE85A8" w14:textId="39DEE3FA"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3. Maintaining the Helping Relationship (p. </w:t>
      </w:r>
      <w:r w:rsidR="00B36704" w:rsidRPr="00B36704">
        <w:rPr>
          <w:rFonts w:ascii="Arial" w:eastAsia="Times New Roman" w:hAnsi="Arial" w:cs="Arial"/>
          <w:kern w:val="0"/>
          <w:lang w:eastAsia="en-GB"/>
          <w14:ligatures w14:val="none"/>
        </w:rPr>
        <w:t>5</w:t>
      </w:r>
      <w:r w:rsidRPr="00EA1918">
        <w:rPr>
          <w:rFonts w:ascii="Arial" w:eastAsia="Times New Roman" w:hAnsi="Arial" w:cs="Arial"/>
          <w:kern w:val="0"/>
          <w:lang w:eastAsia="en-GB"/>
          <w14:ligatures w14:val="none"/>
        </w:rPr>
        <w:t>)</w:t>
      </w:r>
    </w:p>
    <w:p w14:paraId="7C055B6A" w14:textId="4CD387DD"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4. Managing the Helping Process (Recovery Planning) (p. </w:t>
      </w:r>
      <w:r w:rsidR="00B36704" w:rsidRPr="00B36704">
        <w:rPr>
          <w:rFonts w:ascii="Arial" w:eastAsia="Times New Roman" w:hAnsi="Arial" w:cs="Arial"/>
          <w:kern w:val="0"/>
          <w:lang w:eastAsia="en-GB"/>
          <w14:ligatures w14:val="none"/>
        </w:rPr>
        <w:t>6</w:t>
      </w:r>
      <w:r w:rsidRPr="00EA1918">
        <w:rPr>
          <w:rFonts w:ascii="Arial" w:eastAsia="Times New Roman" w:hAnsi="Arial" w:cs="Arial"/>
          <w:kern w:val="0"/>
          <w:lang w:eastAsia="en-GB"/>
          <w14:ligatures w14:val="none"/>
        </w:rPr>
        <w:t>)</w:t>
      </w:r>
    </w:p>
    <w:p w14:paraId="772E2984" w14:textId="597ED255"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5. Working with Groups (p. </w:t>
      </w:r>
      <w:r w:rsidR="00B36704" w:rsidRPr="00B36704">
        <w:rPr>
          <w:rFonts w:ascii="Arial" w:eastAsia="Times New Roman" w:hAnsi="Arial" w:cs="Arial"/>
          <w:kern w:val="0"/>
          <w:lang w:eastAsia="en-GB"/>
          <w14:ligatures w14:val="none"/>
        </w:rPr>
        <w:t>6</w:t>
      </w:r>
      <w:r w:rsidRPr="00EA1918">
        <w:rPr>
          <w:rFonts w:ascii="Arial" w:eastAsia="Times New Roman" w:hAnsi="Arial" w:cs="Arial"/>
          <w:kern w:val="0"/>
          <w:lang w:eastAsia="en-GB"/>
          <w14:ligatures w14:val="none"/>
        </w:rPr>
        <w:t>)</w:t>
      </w:r>
    </w:p>
    <w:p w14:paraId="126826B2" w14:textId="53C7BF57"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6. Ethical and Professional Conduct (p. </w:t>
      </w:r>
      <w:r w:rsidR="00B36704" w:rsidRPr="00B36704">
        <w:rPr>
          <w:rFonts w:ascii="Arial" w:eastAsia="Times New Roman" w:hAnsi="Arial" w:cs="Arial"/>
          <w:kern w:val="0"/>
          <w:lang w:eastAsia="en-GB"/>
          <w14:ligatures w14:val="none"/>
        </w:rPr>
        <w:t>7</w:t>
      </w:r>
      <w:r w:rsidRPr="00EA1918">
        <w:rPr>
          <w:rFonts w:ascii="Arial" w:eastAsia="Times New Roman" w:hAnsi="Arial" w:cs="Arial"/>
          <w:kern w:val="0"/>
          <w:lang w:eastAsia="en-GB"/>
          <w14:ligatures w14:val="none"/>
        </w:rPr>
        <w:t>)</w:t>
      </w:r>
    </w:p>
    <w:p w14:paraId="02938B55" w14:textId="1008E74F"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7. Self-Awareness and Reflective Practice (p. </w:t>
      </w:r>
      <w:r w:rsidR="00B36704" w:rsidRPr="00B36704">
        <w:rPr>
          <w:rFonts w:ascii="Arial" w:eastAsia="Times New Roman" w:hAnsi="Arial" w:cs="Arial"/>
          <w:kern w:val="0"/>
          <w:lang w:eastAsia="en-GB"/>
          <w14:ligatures w14:val="none"/>
        </w:rPr>
        <w:t>8</w:t>
      </w:r>
      <w:r w:rsidRPr="00EA1918">
        <w:rPr>
          <w:rFonts w:ascii="Arial" w:eastAsia="Times New Roman" w:hAnsi="Arial" w:cs="Arial"/>
          <w:kern w:val="0"/>
          <w:lang w:eastAsia="en-GB"/>
          <w14:ligatures w14:val="none"/>
        </w:rPr>
        <w:t>)</w:t>
      </w:r>
    </w:p>
    <w:p w14:paraId="6152B489" w14:textId="19C8939C"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8. Limits of Competence (p. </w:t>
      </w:r>
      <w:r w:rsidR="00B36704" w:rsidRPr="00B36704">
        <w:rPr>
          <w:rFonts w:ascii="Arial" w:eastAsia="Times New Roman" w:hAnsi="Arial" w:cs="Arial"/>
          <w:kern w:val="0"/>
          <w:lang w:eastAsia="en-GB"/>
          <w14:ligatures w14:val="none"/>
        </w:rPr>
        <w:t>9</w:t>
      </w:r>
      <w:r w:rsidRPr="00EA1918">
        <w:rPr>
          <w:rFonts w:ascii="Arial" w:eastAsia="Times New Roman" w:hAnsi="Arial" w:cs="Arial"/>
          <w:kern w:val="0"/>
          <w:lang w:eastAsia="en-GB"/>
          <w14:ligatures w14:val="none"/>
        </w:rPr>
        <w:t>)</w:t>
      </w:r>
    </w:p>
    <w:p w14:paraId="30C5749A" w14:textId="52F1696C"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 xml:space="preserve">Conclusion (p. </w:t>
      </w:r>
      <w:r w:rsidR="00B36704" w:rsidRPr="00B36704">
        <w:rPr>
          <w:rFonts w:ascii="Arial" w:eastAsia="Times New Roman" w:hAnsi="Arial" w:cs="Arial"/>
          <w:kern w:val="0"/>
          <w:lang w:eastAsia="en-GB"/>
          <w14:ligatures w14:val="none"/>
        </w:rPr>
        <w:t>9</w:t>
      </w:r>
      <w:r w:rsidRPr="00EA1918">
        <w:rPr>
          <w:rFonts w:ascii="Arial" w:eastAsia="Times New Roman" w:hAnsi="Arial" w:cs="Arial"/>
          <w:kern w:val="0"/>
          <w:lang w:eastAsia="en-GB"/>
          <w14:ligatures w14:val="none"/>
        </w:rPr>
        <w:t>)</w:t>
      </w:r>
    </w:p>
    <w:p w14:paraId="221707E5" w14:textId="2161273E"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References (</w:t>
      </w:r>
      <w:r w:rsidR="00B36704">
        <w:rPr>
          <w:rFonts w:ascii="Arial" w:eastAsia="Times New Roman" w:hAnsi="Arial" w:cs="Arial"/>
          <w:kern w:val="0"/>
          <w:lang w:eastAsia="en-GB"/>
          <w14:ligatures w14:val="none"/>
        </w:rPr>
        <w:t>p. 10</w:t>
      </w:r>
      <w:r w:rsidRPr="00EA1918">
        <w:rPr>
          <w:rFonts w:ascii="Arial" w:eastAsia="Times New Roman" w:hAnsi="Arial" w:cs="Arial"/>
          <w:kern w:val="0"/>
          <w:lang w:eastAsia="en-GB"/>
          <w14:ligatures w14:val="none"/>
        </w:rPr>
        <w:t>)</w:t>
      </w:r>
    </w:p>
    <w:p w14:paraId="456CCAB4" w14:textId="77777777" w:rsidR="00EA1918" w:rsidRDefault="00EA1918" w:rsidP="00EA1918">
      <w:pPr>
        <w:spacing w:before="100" w:beforeAutospacing="1" w:after="100" w:afterAutospacing="1" w:line="480" w:lineRule="auto"/>
        <w:outlineLvl w:val="0"/>
        <w:rPr>
          <w:rFonts w:ascii="Arial" w:eastAsia="Times New Roman" w:hAnsi="Arial" w:cs="Arial"/>
          <w:kern w:val="36"/>
          <w:lang w:val="ru-RU" w:eastAsia="en-GB"/>
          <w14:ligatures w14:val="none"/>
        </w:rPr>
      </w:pPr>
    </w:p>
    <w:p w14:paraId="6E489A24" w14:textId="77777777" w:rsidR="00EA1918" w:rsidRDefault="00EA1918" w:rsidP="00EA1918">
      <w:pPr>
        <w:spacing w:before="100" w:beforeAutospacing="1" w:after="100" w:afterAutospacing="1" w:line="480" w:lineRule="auto"/>
        <w:outlineLvl w:val="0"/>
        <w:rPr>
          <w:rFonts w:ascii="Arial" w:eastAsia="Times New Roman" w:hAnsi="Arial" w:cs="Arial"/>
          <w:kern w:val="36"/>
          <w:lang w:val="ru-RU" w:eastAsia="en-GB"/>
          <w14:ligatures w14:val="none"/>
        </w:rPr>
      </w:pPr>
    </w:p>
    <w:p w14:paraId="428E35DE" w14:textId="77777777" w:rsidR="00EA1918" w:rsidRDefault="00EA1918" w:rsidP="00EA1918">
      <w:pPr>
        <w:spacing w:before="100" w:beforeAutospacing="1" w:after="100" w:afterAutospacing="1" w:line="480" w:lineRule="auto"/>
        <w:outlineLvl w:val="0"/>
        <w:rPr>
          <w:rFonts w:ascii="Arial" w:eastAsia="Times New Roman" w:hAnsi="Arial" w:cs="Arial"/>
          <w:kern w:val="36"/>
          <w:lang w:val="ru-RU" w:eastAsia="en-GB"/>
          <w14:ligatures w14:val="none"/>
        </w:rPr>
      </w:pPr>
    </w:p>
    <w:p w14:paraId="1EE8FB64" w14:textId="77777777" w:rsidR="00EA1918" w:rsidRDefault="00EA1918" w:rsidP="00EA1918">
      <w:pPr>
        <w:spacing w:before="100" w:beforeAutospacing="1" w:after="100" w:afterAutospacing="1" w:line="480" w:lineRule="auto"/>
        <w:outlineLvl w:val="0"/>
        <w:rPr>
          <w:rFonts w:ascii="Arial" w:eastAsia="Times New Roman" w:hAnsi="Arial" w:cs="Arial"/>
          <w:kern w:val="36"/>
          <w:lang w:val="ru-RU" w:eastAsia="en-GB"/>
          <w14:ligatures w14:val="none"/>
        </w:rPr>
      </w:pPr>
    </w:p>
    <w:p w14:paraId="200AE17D" w14:textId="77777777" w:rsidR="00EA1918" w:rsidRPr="00EA1918" w:rsidRDefault="00EA1918" w:rsidP="00EA1918">
      <w:pPr>
        <w:spacing w:before="100" w:beforeAutospacing="1" w:after="100" w:afterAutospacing="1" w:line="480" w:lineRule="auto"/>
        <w:outlineLvl w:val="0"/>
        <w:rPr>
          <w:rFonts w:ascii="Arial" w:eastAsia="Times New Roman" w:hAnsi="Arial" w:cs="Arial"/>
          <w:kern w:val="36"/>
          <w:lang w:val="ru-RU" w:eastAsia="en-GB"/>
          <w14:ligatures w14:val="none"/>
        </w:rPr>
      </w:pPr>
    </w:p>
    <w:p w14:paraId="1BB357FC" w14:textId="36731183" w:rsidR="00EA1918" w:rsidRPr="00EA1918" w:rsidRDefault="00EA1918" w:rsidP="00B36704">
      <w:pPr>
        <w:spacing w:before="100" w:beforeAutospacing="1" w:after="100" w:afterAutospacing="1" w:line="480" w:lineRule="auto"/>
        <w:jc w:val="center"/>
        <w:outlineLvl w:val="0"/>
        <w:rPr>
          <w:rFonts w:ascii="Arial" w:eastAsia="Times New Roman" w:hAnsi="Arial" w:cs="Arial"/>
          <w:b/>
          <w:bCs/>
          <w:kern w:val="36"/>
          <w:sz w:val="32"/>
          <w:szCs w:val="32"/>
          <w:lang w:val="ru-RU" w:eastAsia="en-GB"/>
          <w14:ligatures w14:val="none"/>
        </w:rPr>
      </w:pPr>
      <w:r w:rsidRPr="00EA1918">
        <w:rPr>
          <w:rFonts w:ascii="Arial" w:eastAsia="Times New Roman" w:hAnsi="Arial" w:cs="Arial"/>
          <w:b/>
          <w:bCs/>
          <w:kern w:val="36"/>
          <w:sz w:val="32"/>
          <w:szCs w:val="32"/>
          <w:lang w:eastAsia="en-GB"/>
          <w14:ligatures w14:val="none"/>
        </w:rPr>
        <w:lastRenderedPageBreak/>
        <w:t>Counselling Skills Areas of Competence in the Role of a Recovery Coordinator</w:t>
      </w:r>
    </w:p>
    <w:p w14:paraId="0D531C9C" w14:textId="77738F8D" w:rsidR="00EA1918" w:rsidRPr="00EA1918" w:rsidRDefault="00EA1918" w:rsidP="00EA1918">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Introduction</w:t>
      </w:r>
    </w:p>
    <w:p w14:paraId="47D106AE" w14:textId="125701B2" w:rsidR="00B36704"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This essay critically evaluates the counselling skills areas of competence required for the role of a Recovery Coordinator working within a third-sector organisation in Cardiff that supports individuals affected by substance misuse. Although this role does not constitute formal psychotherapy, counselling skills are fundamental to effective engagement, structured recovery planning, and group facilitation. The discussion draws on the British Association for Counselling and Psychotherapy (BACP, 2020) Counselling Skills Competence Framework and integrates relevant literature, including McLeod (2025), McLeod and McLeod (2011), Egan (2013), Reeves and Bond (2021), Elliott et al. (2014), and Frankel et al. (2012). It will be argued that competence in this role requires relational sensitivity, ethical vigilance, structured intervention skills, and clear professional boundaries. Counselling skills are essential, yet their application must remain within defined limits of competence to ensure safe and ethically responsible practice.</w:t>
      </w:r>
    </w:p>
    <w:p w14:paraId="17CF519E" w14:textId="38FA1103"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Nature of the Professional Role</w:t>
      </w:r>
    </w:p>
    <w:p w14:paraId="0EA30BC1" w14:textId="6C6B64B9"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The Recovery Coordinator operates in a helping role that combines emotional support with practical interventions, such as housing and employment assistance. According to Westergaard (2017), helping professionals frequently use counselling skills without functioning as counsellors or psychotherapists. This distinction is critical. While counselling involves deeper psychological exploration, the Recovery Coordinator’s role remains structured, goal-oriented, and service-based.</w:t>
      </w:r>
    </w:p>
    <w:p w14:paraId="3B99BA86" w14:textId="6F03F5BB"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lastRenderedPageBreak/>
        <w:t xml:space="preserve">Substance misuse often intersects with trauma, mental health difficulties, poverty, and social marginalisation. McLeod (2025) emphasises the social purpose of counselling and the importance of recognising structural inequalities. Many </w:t>
      </w:r>
      <w:proofErr w:type="gramStart"/>
      <w:r w:rsidRPr="00EA1918">
        <w:rPr>
          <w:rFonts w:ascii="Arial" w:eastAsia="Times New Roman" w:hAnsi="Arial" w:cs="Arial"/>
          <w:kern w:val="0"/>
          <w:lang w:eastAsia="en-GB"/>
          <w14:ligatures w14:val="none"/>
        </w:rPr>
        <w:t>individuals</w:t>
      </w:r>
      <w:proofErr w:type="gramEnd"/>
      <w:r w:rsidRPr="00EA1918">
        <w:rPr>
          <w:rFonts w:ascii="Arial" w:eastAsia="Times New Roman" w:hAnsi="Arial" w:cs="Arial"/>
          <w:kern w:val="0"/>
          <w:lang w:eastAsia="en-GB"/>
          <w14:ligatures w14:val="none"/>
        </w:rPr>
        <w:t xml:space="preserve"> experiencing addiction face systemic disadvantage and stigma. Therefore, competence in this role requires not only interpersonal skills but also awareness of social context. Without such awareness, professionals risk individualising problems that are partly structural.</w:t>
      </w:r>
    </w:p>
    <w:p w14:paraId="6D58C3CF" w14:textId="2EE8C070" w:rsidR="00B36704"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However, recognising social context does not mean overstepping professional boundaries. The Recovery Coordinator must maintain clarity of role and avoid engaging in therapeutic work beyond training. This aligns with the BACP (2020) domain “Working Within Competence.”</w:t>
      </w:r>
    </w:p>
    <w:p w14:paraId="1E424D18" w14:textId="015CD058"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eastAsia="en-GB"/>
          <w14:ligatures w14:val="none"/>
        </w:rPr>
      </w:pPr>
      <w:r w:rsidRPr="00EA1918">
        <w:rPr>
          <w:rFonts w:ascii="Arial" w:eastAsia="Times New Roman" w:hAnsi="Arial" w:cs="Arial"/>
          <w:b/>
          <w:bCs/>
          <w:kern w:val="0"/>
          <w:lang w:eastAsia="en-GB"/>
          <w14:ligatures w14:val="none"/>
        </w:rPr>
        <w:t>Establishing and Developing the Helping Relationship</w:t>
      </w:r>
    </w:p>
    <w:p w14:paraId="06207EF5" w14:textId="60B161E9"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The BACP (2020) domain “Establishing and Developing the Helping Relationship” identifies empathy, active listening, respect, and collaboration as core competences. In addiction services, trust may be fragile due to prior negative experiences with professionals or institutional systems.</w:t>
      </w:r>
    </w:p>
    <w:p w14:paraId="1F71BAB4" w14:textId="10060C5A"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Elliott et al. (2014) argue that empathy is not merely emotional warmth but involves accurate </w:t>
      </w:r>
      <w:proofErr w:type="spellStart"/>
      <w:r w:rsidRPr="00EA1918">
        <w:rPr>
          <w:rFonts w:ascii="Arial" w:eastAsia="Times New Roman" w:hAnsi="Arial" w:cs="Arial"/>
          <w:kern w:val="0"/>
          <w:lang w:eastAsia="en-GB"/>
          <w14:ligatures w14:val="none"/>
        </w:rPr>
        <w:t>attunement</w:t>
      </w:r>
      <w:proofErr w:type="spellEnd"/>
      <w:r w:rsidRPr="00EA1918">
        <w:rPr>
          <w:rFonts w:ascii="Arial" w:eastAsia="Times New Roman" w:hAnsi="Arial" w:cs="Arial"/>
          <w:kern w:val="0"/>
          <w:lang w:eastAsia="en-GB"/>
          <w14:ligatures w14:val="none"/>
        </w:rPr>
        <w:t xml:space="preserve"> to the client’s internal experience. Within recovery work, empathy reduces shame and defensiveness. Accurate reflection allows clients to feel understood rather than judged. McLeod and McLeod (2011) emphasise the practical importance of attending behaviour, minimal encouragers, and reflective statements.</w:t>
      </w:r>
    </w:p>
    <w:p w14:paraId="4C1535C8" w14:textId="53149C6E"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However, empathy alone does not guarantee change. Frankel et al. (2012) suggest that even non-directive approaches implicitly guide clients. Therefore, the Recovery </w:t>
      </w:r>
      <w:r w:rsidRPr="00EA1918">
        <w:rPr>
          <w:rFonts w:ascii="Arial" w:eastAsia="Times New Roman" w:hAnsi="Arial" w:cs="Arial"/>
          <w:kern w:val="0"/>
          <w:lang w:eastAsia="en-GB"/>
          <w14:ligatures w14:val="none"/>
        </w:rPr>
        <w:lastRenderedPageBreak/>
        <w:t>Coordinator must recognise that relational influence is unavoidable. Competence involves using influence ethically and transparently.</w:t>
      </w:r>
    </w:p>
    <w:p w14:paraId="26F6D9B2" w14:textId="322B5A10" w:rsidR="00B36704"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Furthermore, over-identification with clients may compromise professional judgement. The BACP (2020) framework highlights the importance of purposeful relationships. Warmth must be balanced with containment. Thus, this domain requires both emotional </w:t>
      </w:r>
      <w:r w:rsidRPr="00EA1918">
        <w:rPr>
          <w:rFonts w:ascii="Arial" w:eastAsia="Times New Roman" w:hAnsi="Arial" w:cs="Arial"/>
          <w:kern w:val="0"/>
          <w:lang w:eastAsia="en-GB"/>
          <w14:ligatures w14:val="none"/>
        </w:rPr>
        <w:t>atonement</w:t>
      </w:r>
      <w:r w:rsidRPr="00EA1918">
        <w:rPr>
          <w:rFonts w:ascii="Arial" w:eastAsia="Times New Roman" w:hAnsi="Arial" w:cs="Arial"/>
          <w:kern w:val="0"/>
          <w:lang w:eastAsia="en-GB"/>
          <w14:ligatures w14:val="none"/>
        </w:rPr>
        <w:t xml:space="preserve"> and disciplined boundaries.</w:t>
      </w:r>
    </w:p>
    <w:p w14:paraId="633312A5" w14:textId="670A5475"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eastAsia="en-GB"/>
          <w14:ligatures w14:val="none"/>
        </w:rPr>
      </w:pPr>
      <w:r w:rsidRPr="00EA1918">
        <w:rPr>
          <w:rFonts w:ascii="Arial" w:eastAsia="Times New Roman" w:hAnsi="Arial" w:cs="Arial"/>
          <w:b/>
          <w:bCs/>
          <w:kern w:val="0"/>
          <w:lang w:eastAsia="en-GB"/>
          <w14:ligatures w14:val="none"/>
        </w:rPr>
        <w:t>Maintaining the Helping Relationship and Supporting Change</w:t>
      </w:r>
    </w:p>
    <w:p w14:paraId="153F22B4" w14:textId="442AD554"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The BACP (2020) domain “Maintaining the Helping Relationship” includes monitoring emotional processes and ensuring that responsibility for change remains with the client. Recovery is rarely linear. Relapse may occur and can challenge both practitioner and client.</w:t>
      </w:r>
    </w:p>
    <w:p w14:paraId="083ADCC0" w14:textId="3A46D63A"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Egan’s (2013) Skilled Helper model promotes structured exploration and goal clarification. However, there is a tension between structure and autonomy. If the Recovery Coordinator becomes overly directive, client agency may be reduced. If the approach is too passive, clients may lack guidance.</w:t>
      </w:r>
    </w:p>
    <w:p w14:paraId="306BABFC" w14:textId="4A953953"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Frankel et al. (2012) demonstrate that even non-directive approaches shape client decisions through subtle influence. This suggests that neutrality is never absolute. Competence therefore involves awareness of influence and careful use of guidance. Encouraging autonomy while providing structure reflects ethical balance.</w:t>
      </w:r>
    </w:p>
    <w:p w14:paraId="13F451E7" w14:textId="633EC5F7"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Rescuing behaviour presents a risk. In attempting to protect clients from relapse consequences, professionals may unintentionally reduce responsibility. The BACP </w:t>
      </w:r>
      <w:r w:rsidRPr="00EA1918">
        <w:rPr>
          <w:rFonts w:ascii="Arial" w:eastAsia="Times New Roman" w:hAnsi="Arial" w:cs="Arial"/>
          <w:kern w:val="0"/>
          <w:lang w:eastAsia="en-GB"/>
          <w14:ligatures w14:val="none"/>
        </w:rPr>
        <w:lastRenderedPageBreak/>
        <w:t>(2020) framework emphasises collaboration rather than control. Therefore, competence requires empowering clients rather than solving problems for them.</w:t>
      </w:r>
    </w:p>
    <w:p w14:paraId="7BAAF215" w14:textId="231F0438"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Managing the Helping Process: Recovery Planning</w:t>
      </w:r>
    </w:p>
    <w:p w14:paraId="3210E8A0" w14:textId="77F19927"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Within the BACP (2020) domain “Managing the Helping Process,” competence includes clarifying goals, summarising discussions, and reviewing progress. Recovery planning requires structured communication skills.</w:t>
      </w:r>
    </w:p>
    <w:p w14:paraId="51198869" w14:textId="0A8D71F2"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McLeod and McLeod (2011) highlight the importance of summarising to consolidate understanding. Egan (2013) suggests breaking large goals into manageable steps to enhance self-efficacy. However, addiction recovery is complex. Clients may express unrealistic goals influenced by guilt or external pressure.</w:t>
      </w:r>
    </w:p>
    <w:p w14:paraId="32FB0924" w14:textId="6F58FF4B"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Competence involves gentle challenge without discouragement. This requires relational sensitivity and critical judgement. Relapse should not be framed as moral failure but as part of behavioural change processes. Such reframing aligns with a non-judgemental stance and reduces shame.</w:t>
      </w:r>
    </w:p>
    <w:p w14:paraId="36C42293" w14:textId="64AEC9A8"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Thus, managing the helping process requires flexibility, collaboration, and realistic pacing.</w:t>
      </w:r>
    </w:p>
    <w:p w14:paraId="4D5AC10D" w14:textId="4446CACB"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Working with Groups: Ethical and Power Considerations</w:t>
      </w:r>
    </w:p>
    <w:p w14:paraId="2DACEF08" w14:textId="77777777"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The BACP (2020) domain “Working with Groups” recognises that group facilitation requires specific competences. Relapse prevention groups may provide peer support but also introduce ethical complexity.</w:t>
      </w:r>
    </w:p>
    <w:p w14:paraId="5E5AE18B" w14:textId="77777777"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p>
    <w:p w14:paraId="03792A38" w14:textId="6ADEB2D2"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lastRenderedPageBreak/>
        <w:t>Confidentiality is a central concern. Unlike individual sessions, facilitators cannot fully control members’ behaviour outside the group. Therefore, competence includes transparent explanation of confidentiality limits and shared responsibility agreements. However, enforcement remains uncertain, creating ethical vulnerability.</w:t>
      </w:r>
    </w:p>
    <w:p w14:paraId="16FF037D" w14:textId="7C7F23C3"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Power dynamics also require attention. Dominant members may unintentionally silence others. Social hierarchies related to gender, age, or confidence may shape participation. McLeod (2025) highlights the importance of recognising social context within therapeutic spaces. Failure to address power imbalances may reproduce marginalisation.</w:t>
      </w:r>
    </w:p>
    <w:p w14:paraId="34AB159B" w14:textId="348BEB3F"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Comparison processes may also occur. Success stories may inspire some participants but trigger shame in others. Facilitators must monitor emotional climate continuously. This requires emotional regulation and authority.</w:t>
      </w:r>
    </w:p>
    <w:p w14:paraId="25172EB2" w14:textId="041735BA"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Safeguarding further complicates group work. If a participant discloses high-risk behaviour, the facilitator must balance confidentiality with duty of care. Reeves and Bond (2021) emphasise that ethical decision-making requires careful reasoning rather than rigid rule application. Thus, group competence demands ethical judgement, leadership, and reflexivity.</w:t>
      </w:r>
    </w:p>
    <w:p w14:paraId="6183B552" w14:textId="76CCB004"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Ethical and Professional Conduct</w:t>
      </w:r>
    </w:p>
    <w:p w14:paraId="0B98EB94" w14:textId="25898B61"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The BACP (2020) domain “Ethical and Professional Conduct” emphasises safeguarding, confidentiality, record-keeping, and professional integrity. Substance misuse services frequently involve risk scenarios, including relapse, self-harm, and legal issues.</w:t>
      </w:r>
    </w:p>
    <w:p w14:paraId="7B976698" w14:textId="28B4E0BB"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lastRenderedPageBreak/>
        <w:t>Clear communication about confidentiality limits is essential. Clients must understand circumstances under which information may be shared. Ethical practice requires transparency from the outset.</w:t>
      </w:r>
    </w:p>
    <w:p w14:paraId="311B3EAD" w14:textId="3E1E2D44"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Reeves and Bond (2021) argue that ethical practice involves navigating tensions between autonomy and protection. In recovery services, these tensions are common. Multi-agency collaboration further increases complexity. Accurate documentation and professional communication are necessary to ensure coordinated care.</w:t>
      </w:r>
    </w:p>
    <w:p w14:paraId="22CB7BA7" w14:textId="76DBE866"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Importantly, recognising limits of competence protects clients. Attempting trauma therapy without training may destabilise individuals. The BACP (2020) domain “Working Within Competence” requires timely referral and supervision. Ethical maturity involves disciplined restraint.</w:t>
      </w:r>
    </w:p>
    <w:p w14:paraId="6348B2DA" w14:textId="26BB608C"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Self-Awareness and Reflective Practice</w:t>
      </w:r>
    </w:p>
    <w:p w14:paraId="2B9F2940" w14:textId="7D73A256"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Self-awareness is central to competent practice. McLeod (2009) emphasises reflective capacity as essential for ethical integrity. Addiction work may evoke frustration, compassion fatigue, or unconscious bias.</w:t>
      </w:r>
    </w:p>
    <w:p w14:paraId="1E144F39" w14:textId="5827C862"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Without reflection, practitioners may respond defensively to relapse. Supervision provides structured reflection and emotional processing. Awareness of personal attitudes toward substance use is particularly important. Moral judgement undermines non-judgemental practice.</w:t>
      </w:r>
    </w:p>
    <w:p w14:paraId="25F3ED5E" w14:textId="41CE1F20" w:rsid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Thus, reflective practice supports resilience and ethical consistency.</w:t>
      </w:r>
    </w:p>
    <w:p w14:paraId="5A1EB94A" w14:textId="77777777" w:rsidR="00B36704" w:rsidRPr="00EA1918" w:rsidRDefault="00B36704" w:rsidP="00EA1918">
      <w:pPr>
        <w:spacing w:before="100" w:beforeAutospacing="1" w:after="100" w:afterAutospacing="1" w:line="480" w:lineRule="auto"/>
        <w:rPr>
          <w:rFonts w:ascii="Arial" w:eastAsia="Times New Roman" w:hAnsi="Arial" w:cs="Arial"/>
          <w:kern w:val="0"/>
          <w:lang w:val="ru-RU" w:eastAsia="en-GB"/>
          <w14:ligatures w14:val="none"/>
        </w:rPr>
      </w:pPr>
    </w:p>
    <w:p w14:paraId="28EDE3D8" w14:textId="67B72652"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lastRenderedPageBreak/>
        <w:t>Limits of Competence</w:t>
      </w:r>
    </w:p>
    <w:p w14:paraId="4C9F7023" w14:textId="7845FAD7"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Although counselling skills are fundamental to the Recovery Coordinator role, the practitioner is not a psychotherapist. The BACP (2020) domain “Working Within Competence” clearly states that practitioners must recognise limitations and seek appropriate support.</w:t>
      </w:r>
    </w:p>
    <w:p w14:paraId="0E158D6B" w14:textId="2FB50F41"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Complex trauma processing, psychiatric assessment, and deep psychological interventions exceed the role’s scope. Attempting such interventions may cause harm. Counselling skills function as supportive tools within structured recovery work, not replacements for specialist therapy.</w:t>
      </w:r>
    </w:p>
    <w:p w14:paraId="63F5A350" w14:textId="1EBA9849"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Professional competence therefore includes both relational engagement and disciplined boundary maintenance.</w:t>
      </w:r>
    </w:p>
    <w:p w14:paraId="16AE5743" w14:textId="501701E9" w:rsidR="00EA1918" w:rsidRPr="00EA1918" w:rsidRDefault="00EA1918" w:rsidP="00B36704">
      <w:pPr>
        <w:spacing w:before="100" w:beforeAutospacing="1" w:after="100" w:afterAutospacing="1" w:line="480" w:lineRule="auto"/>
        <w:outlineLvl w:val="1"/>
        <w:rPr>
          <w:rFonts w:ascii="Arial" w:eastAsia="Times New Roman" w:hAnsi="Arial" w:cs="Arial"/>
          <w:b/>
          <w:bCs/>
          <w:kern w:val="0"/>
          <w:lang w:val="ru-RU" w:eastAsia="en-GB"/>
          <w14:ligatures w14:val="none"/>
        </w:rPr>
      </w:pPr>
      <w:r w:rsidRPr="00EA1918">
        <w:rPr>
          <w:rFonts w:ascii="Arial" w:eastAsia="Times New Roman" w:hAnsi="Arial" w:cs="Arial"/>
          <w:b/>
          <w:bCs/>
          <w:kern w:val="0"/>
          <w:lang w:eastAsia="en-GB"/>
          <w14:ligatures w14:val="none"/>
        </w:rPr>
        <w:t>Conclusion</w:t>
      </w:r>
    </w:p>
    <w:p w14:paraId="39566F98" w14:textId="77777777" w:rsidR="00EA1918" w:rsidRPr="00EA1918" w:rsidRDefault="00EA1918" w:rsidP="00EA1918">
      <w:pPr>
        <w:spacing w:before="100" w:beforeAutospacing="1" w:after="100" w:afterAutospacing="1" w:line="480" w:lineRule="auto"/>
        <w:rPr>
          <w:rFonts w:ascii="Arial" w:eastAsia="Times New Roman" w:hAnsi="Arial" w:cs="Arial"/>
          <w:kern w:val="0"/>
          <w:lang w:eastAsia="en-GB"/>
          <w14:ligatures w14:val="none"/>
        </w:rPr>
      </w:pPr>
      <w:r w:rsidRPr="00EA1918">
        <w:rPr>
          <w:rFonts w:ascii="Arial" w:eastAsia="Times New Roman" w:hAnsi="Arial" w:cs="Arial"/>
          <w:kern w:val="0"/>
          <w:lang w:eastAsia="en-GB"/>
          <w14:ligatures w14:val="none"/>
        </w:rPr>
        <w:t>In conclusion, the Recovery Coordinator role requires sophisticated application of counselling skills within clearly defined professional limits. The BACP (2020) competence domains provide a structured framework for establishing and maintaining helping relationships, managing recovery planning, facilitating group work, and ensuring ethical practice. Critical analysis demonstrates that effective recovery work depends on balancing empathy with structure, influence with autonomy, and care with professional restraint. Counselling skills enhance recovery support but must remain embedded within ethical awareness, social context recognition, and disciplined boundaries to ensure safe and responsible practice.</w:t>
      </w:r>
    </w:p>
    <w:p w14:paraId="4403F448" w14:textId="266C7F2D" w:rsidR="00EA1918" w:rsidRPr="00EA1918" w:rsidRDefault="00EA1918" w:rsidP="00EA1918">
      <w:pPr>
        <w:spacing w:after="0" w:line="480" w:lineRule="auto"/>
        <w:rPr>
          <w:rFonts w:ascii="Arial" w:eastAsia="Times New Roman" w:hAnsi="Arial" w:cs="Arial"/>
          <w:kern w:val="0"/>
          <w:lang w:val="ru-RU" w:eastAsia="en-GB"/>
          <w14:ligatures w14:val="none"/>
        </w:rPr>
      </w:pPr>
    </w:p>
    <w:p w14:paraId="55227D52" w14:textId="34252C2D" w:rsidR="00EA1918" w:rsidRPr="00EA1918" w:rsidRDefault="00EA1918" w:rsidP="00B36704">
      <w:pPr>
        <w:spacing w:before="100" w:beforeAutospacing="1" w:after="100" w:afterAutospacing="1" w:line="480" w:lineRule="auto"/>
        <w:jc w:val="center"/>
        <w:outlineLvl w:val="0"/>
        <w:rPr>
          <w:rFonts w:ascii="Arial" w:eastAsia="Times New Roman" w:hAnsi="Arial" w:cs="Arial"/>
          <w:b/>
          <w:bCs/>
          <w:kern w:val="36"/>
          <w:lang w:val="ru-RU" w:eastAsia="en-GB"/>
          <w14:ligatures w14:val="none"/>
        </w:rPr>
      </w:pPr>
      <w:r w:rsidRPr="00EA1918">
        <w:rPr>
          <w:rFonts w:ascii="Arial" w:eastAsia="Times New Roman" w:hAnsi="Arial" w:cs="Arial"/>
          <w:b/>
          <w:bCs/>
          <w:kern w:val="36"/>
          <w:lang w:eastAsia="en-GB"/>
          <w14:ligatures w14:val="none"/>
        </w:rPr>
        <w:lastRenderedPageBreak/>
        <w:t>References</w:t>
      </w:r>
    </w:p>
    <w:p w14:paraId="44031E0D" w14:textId="2FD43E6B"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British Association for Counselling and Psychotherapy. (2020). </w:t>
      </w:r>
      <w:r w:rsidRPr="00EA1918">
        <w:rPr>
          <w:rFonts w:ascii="Arial" w:eastAsia="Times New Roman" w:hAnsi="Arial" w:cs="Arial"/>
          <w:i/>
          <w:iCs/>
          <w:kern w:val="0"/>
          <w:lang w:eastAsia="en-GB"/>
          <w14:ligatures w14:val="none"/>
        </w:rPr>
        <w:t>A guide to the BACP counselling skills competence framework</w:t>
      </w:r>
      <w:r w:rsidRPr="00EA1918">
        <w:rPr>
          <w:rFonts w:ascii="Arial" w:eastAsia="Times New Roman" w:hAnsi="Arial" w:cs="Arial"/>
          <w:kern w:val="0"/>
          <w:lang w:eastAsia="en-GB"/>
          <w14:ligatures w14:val="none"/>
        </w:rPr>
        <w:t>. https://www.bacp.co.uk</w:t>
      </w:r>
    </w:p>
    <w:p w14:paraId="378B4E2D" w14:textId="7C6B58BF"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Egan, G. (2013). </w:t>
      </w:r>
      <w:r w:rsidRPr="00EA1918">
        <w:rPr>
          <w:rFonts w:ascii="Arial" w:eastAsia="Times New Roman" w:hAnsi="Arial" w:cs="Arial"/>
          <w:i/>
          <w:iCs/>
          <w:kern w:val="0"/>
          <w:lang w:eastAsia="en-GB"/>
          <w14:ligatures w14:val="none"/>
        </w:rPr>
        <w:t>The skilled helper: A problem-management and opportunity-development approach</w:t>
      </w:r>
      <w:r w:rsidRPr="00EA1918">
        <w:rPr>
          <w:rFonts w:ascii="Arial" w:eastAsia="Times New Roman" w:hAnsi="Arial" w:cs="Arial"/>
          <w:kern w:val="0"/>
          <w:lang w:eastAsia="en-GB"/>
          <w14:ligatures w14:val="none"/>
        </w:rPr>
        <w:t xml:space="preserve"> (10th ed.). Brooks/Cole.</w:t>
      </w:r>
    </w:p>
    <w:p w14:paraId="7DC19B3F" w14:textId="3D389B56"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Elliott, R., Bohart, A. C., Watson, J. C., &amp; Greenberg, L. S. (2014). Empathy: Philosophical and psychological perspectives. </w:t>
      </w:r>
      <w:r w:rsidRPr="00EA1918">
        <w:rPr>
          <w:rFonts w:ascii="Arial" w:eastAsia="Times New Roman" w:hAnsi="Arial" w:cs="Arial"/>
          <w:i/>
          <w:iCs/>
          <w:kern w:val="0"/>
          <w:lang w:eastAsia="en-GB"/>
          <w14:ligatures w14:val="none"/>
        </w:rPr>
        <w:t>Psychotherapy</w:t>
      </w:r>
      <w:r w:rsidRPr="00EA1918">
        <w:rPr>
          <w:rFonts w:ascii="Arial" w:eastAsia="Times New Roman" w:hAnsi="Arial" w:cs="Arial"/>
          <w:kern w:val="0"/>
          <w:lang w:eastAsia="en-GB"/>
          <w14:ligatures w14:val="none"/>
        </w:rPr>
        <w:t>, 51(1), 43–49.</w:t>
      </w:r>
    </w:p>
    <w:p w14:paraId="1A6EAD16" w14:textId="3FAC0723"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Frankel, M., Rachlin, H., &amp; Yip-</w:t>
      </w:r>
      <w:proofErr w:type="spellStart"/>
      <w:r w:rsidRPr="00EA1918">
        <w:rPr>
          <w:rFonts w:ascii="Arial" w:eastAsia="Times New Roman" w:hAnsi="Arial" w:cs="Arial"/>
          <w:kern w:val="0"/>
          <w:lang w:eastAsia="en-GB"/>
          <w14:ligatures w14:val="none"/>
        </w:rPr>
        <w:t>Bannicq</w:t>
      </w:r>
      <w:proofErr w:type="spellEnd"/>
      <w:r w:rsidRPr="00EA1918">
        <w:rPr>
          <w:rFonts w:ascii="Arial" w:eastAsia="Times New Roman" w:hAnsi="Arial" w:cs="Arial"/>
          <w:kern w:val="0"/>
          <w:lang w:eastAsia="en-GB"/>
          <w14:ligatures w14:val="none"/>
        </w:rPr>
        <w:t xml:space="preserve">, M. (2012). How nondirective therapy directs: The power of empathy in the context of unconditional positive regard. </w:t>
      </w:r>
      <w:r w:rsidRPr="00EA1918">
        <w:rPr>
          <w:rFonts w:ascii="Arial" w:eastAsia="Times New Roman" w:hAnsi="Arial" w:cs="Arial"/>
          <w:i/>
          <w:iCs/>
          <w:kern w:val="0"/>
          <w:lang w:eastAsia="en-GB"/>
          <w14:ligatures w14:val="none"/>
        </w:rPr>
        <w:t>Person-</w:t>
      </w:r>
      <w:proofErr w:type="spellStart"/>
      <w:r w:rsidRPr="00EA1918">
        <w:rPr>
          <w:rFonts w:ascii="Arial" w:eastAsia="Times New Roman" w:hAnsi="Arial" w:cs="Arial"/>
          <w:i/>
          <w:iCs/>
          <w:kern w:val="0"/>
          <w:lang w:eastAsia="en-GB"/>
          <w14:ligatures w14:val="none"/>
        </w:rPr>
        <w:t>Centered</w:t>
      </w:r>
      <w:proofErr w:type="spellEnd"/>
      <w:r w:rsidRPr="00EA1918">
        <w:rPr>
          <w:rFonts w:ascii="Arial" w:eastAsia="Times New Roman" w:hAnsi="Arial" w:cs="Arial"/>
          <w:i/>
          <w:iCs/>
          <w:kern w:val="0"/>
          <w:lang w:eastAsia="en-GB"/>
          <w14:ligatures w14:val="none"/>
        </w:rPr>
        <w:t xml:space="preserve"> &amp; Experiential Psychotherapies</w:t>
      </w:r>
      <w:r w:rsidRPr="00EA1918">
        <w:rPr>
          <w:rFonts w:ascii="Arial" w:eastAsia="Times New Roman" w:hAnsi="Arial" w:cs="Arial"/>
          <w:kern w:val="0"/>
          <w:lang w:eastAsia="en-GB"/>
          <w14:ligatures w14:val="none"/>
        </w:rPr>
        <w:t>, 11(3), 205–214.</w:t>
      </w:r>
    </w:p>
    <w:p w14:paraId="59AF2208" w14:textId="459A9BD6"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McLeod, J. (2009). </w:t>
      </w:r>
      <w:r w:rsidRPr="00EA1918">
        <w:rPr>
          <w:rFonts w:ascii="Arial" w:eastAsia="Times New Roman" w:hAnsi="Arial" w:cs="Arial"/>
          <w:i/>
          <w:iCs/>
          <w:kern w:val="0"/>
          <w:lang w:eastAsia="en-GB"/>
          <w14:ligatures w14:val="none"/>
        </w:rPr>
        <w:t>An introduction to counselling</w:t>
      </w:r>
      <w:r w:rsidRPr="00EA1918">
        <w:rPr>
          <w:rFonts w:ascii="Arial" w:eastAsia="Times New Roman" w:hAnsi="Arial" w:cs="Arial"/>
          <w:kern w:val="0"/>
          <w:lang w:eastAsia="en-GB"/>
          <w14:ligatures w14:val="none"/>
        </w:rPr>
        <w:t xml:space="preserve"> (5th ed.). Open University Press.</w:t>
      </w:r>
    </w:p>
    <w:p w14:paraId="1B650B04" w14:textId="57593D94"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McLeod, J. (2025). </w:t>
      </w:r>
      <w:r w:rsidRPr="00EA1918">
        <w:rPr>
          <w:rFonts w:ascii="Arial" w:eastAsia="Times New Roman" w:hAnsi="Arial" w:cs="Arial"/>
          <w:i/>
          <w:iCs/>
          <w:kern w:val="0"/>
          <w:lang w:eastAsia="en-GB"/>
          <w14:ligatures w14:val="none"/>
        </w:rPr>
        <w:t>An introduction to counselling and psychotherapy: Theory, research, practice, and social purpose</w:t>
      </w:r>
      <w:r w:rsidRPr="00EA1918">
        <w:rPr>
          <w:rFonts w:ascii="Arial" w:eastAsia="Times New Roman" w:hAnsi="Arial" w:cs="Arial"/>
          <w:kern w:val="0"/>
          <w:lang w:eastAsia="en-GB"/>
          <w14:ligatures w14:val="none"/>
        </w:rPr>
        <w:t xml:space="preserve"> (7th ed.). Open University Press.</w:t>
      </w:r>
    </w:p>
    <w:p w14:paraId="3AB304C3" w14:textId="159C32A1"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McLeod, J., &amp; McLeod, J. (2011). </w:t>
      </w:r>
      <w:r w:rsidRPr="00EA1918">
        <w:rPr>
          <w:rFonts w:ascii="Arial" w:eastAsia="Times New Roman" w:hAnsi="Arial" w:cs="Arial"/>
          <w:i/>
          <w:iCs/>
          <w:kern w:val="0"/>
          <w:lang w:eastAsia="en-GB"/>
          <w14:ligatures w14:val="none"/>
        </w:rPr>
        <w:t>Counselling skills: A practical guide for counsellors and helping professionals</w:t>
      </w:r>
      <w:r w:rsidRPr="00EA1918">
        <w:rPr>
          <w:rFonts w:ascii="Arial" w:eastAsia="Times New Roman" w:hAnsi="Arial" w:cs="Arial"/>
          <w:kern w:val="0"/>
          <w:lang w:eastAsia="en-GB"/>
          <w14:ligatures w14:val="none"/>
        </w:rPr>
        <w:t xml:space="preserve"> (2nd ed.). Open University Press.</w:t>
      </w:r>
    </w:p>
    <w:p w14:paraId="7130DA53" w14:textId="244F187E"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Reeves, A., &amp; Bond, T. (2021). </w:t>
      </w:r>
      <w:r w:rsidRPr="00EA1918">
        <w:rPr>
          <w:rFonts w:ascii="Arial" w:eastAsia="Times New Roman" w:hAnsi="Arial" w:cs="Arial"/>
          <w:i/>
          <w:iCs/>
          <w:kern w:val="0"/>
          <w:lang w:eastAsia="en-GB"/>
          <w14:ligatures w14:val="none"/>
        </w:rPr>
        <w:t>Standards and ethics for counselling in action</w:t>
      </w:r>
      <w:r w:rsidRPr="00EA1918">
        <w:rPr>
          <w:rFonts w:ascii="Arial" w:eastAsia="Times New Roman" w:hAnsi="Arial" w:cs="Arial"/>
          <w:kern w:val="0"/>
          <w:lang w:eastAsia="en-GB"/>
          <w14:ligatures w14:val="none"/>
        </w:rPr>
        <w:t xml:space="preserve"> (5th ed.). Sage.</w:t>
      </w:r>
    </w:p>
    <w:p w14:paraId="0ABAD154" w14:textId="597EAB74" w:rsidR="00EA1918" w:rsidRPr="00EA1918" w:rsidRDefault="00EA1918" w:rsidP="00EA1918">
      <w:pPr>
        <w:spacing w:before="100" w:beforeAutospacing="1" w:after="100" w:afterAutospacing="1" w:line="480" w:lineRule="auto"/>
        <w:rPr>
          <w:rFonts w:ascii="Arial" w:eastAsia="Times New Roman" w:hAnsi="Arial" w:cs="Arial"/>
          <w:kern w:val="0"/>
          <w:lang w:val="ru-RU" w:eastAsia="en-GB"/>
          <w14:ligatures w14:val="none"/>
        </w:rPr>
      </w:pPr>
      <w:r w:rsidRPr="00EA1918">
        <w:rPr>
          <w:rFonts w:ascii="Arial" w:eastAsia="Times New Roman" w:hAnsi="Arial" w:cs="Arial"/>
          <w:kern w:val="0"/>
          <w:lang w:eastAsia="en-GB"/>
          <w14:ligatures w14:val="none"/>
        </w:rPr>
        <w:t xml:space="preserve">Westergaard, J. (2017). </w:t>
      </w:r>
      <w:r w:rsidRPr="00EA1918">
        <w:rPr>
          <w:rFonts w:ascii="Arial" w:eastAsia="Times New Roman" w:hAnsi="Arial" w:cs="Arial"/>
          <w:i/>
          <w:iCs/>
          <w:kern w:val="0"/>
          <w:lang w:eastAsia="en-GB"/>
          <w14:ligatures w14:val="none"/>
        </w:rPr>
        <w:t>An introduction to helping skills: Counselling, coaching and mentoring</w:t>
      </w:r>
      <w:r w:rsidRPr="00EA1918">
        <w:rPr>
          <w:rFonts w:ascii="Arial" w:eastAsia="Times New Roman" w:hAnsi="Arial" w:cs="Arial"/>
          <w:kern w:val="0"/>
          <w:lang w:eastAsia="en-GB"/>
          <w14:ligatures w14:val="none"/>
        </w:rPr>
        <w:t>. Sage.</w:t>
      </w:r>
    </w:p>
    <w:sectPr w:rsidR="00EA1918" w:rsidRPr="00EA1918" w:rsidSect="00EA1918">
      <w:footerReference w:type="even" r:id="rId8"/>
      <w:footerReference w:type="default" r:id="rId9"/>
      <w:pgSz w:w="11906" w:h="16838"/>
      <w:pgMar w:top="1440" w:right="1440" w:bottom="1440" w:left="1440" w:header="708" w:footer="708" w:gutter="0"/>
      <w:pgNumType w:fmt="numberInDash"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8DD1D" w14:textId="77777777" w:rsidR="002A0683" w:rsidRDefault="002A0683" w:rsidP="00EA1918">
      <w:pPr>
        <w:spacing w:after="0" w:line="240" w:lineRule="auto"/>
      </w:pPr>
      <w:r>
        <w:separator/>
      </w:r>
    </w:p>
  </w:endnote>
  <w:endnote w:type="continuationSeparator" w:id="0">
    <w:p w14:paraId="0A9CAB83" w14:textId="77777777" w:rsidR="002A0683" w:rsidRDefault="002A0683" w:rsidP="00EA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5944794"/>
      <w:docPartObj>
        <w:docPartGallery w:val="Page Numbers (Bottom of Page)"/>
        <w:docPartUnique/>
      </w:docPartObj>
    </w:sdtPr>
    <w:sdtContent>
      <w:p w14:paraId="1D7FB636" w14:textId="4607BC82" w:rsidR="00EA1918" w:rsidRDefault="00EA1918" w:rsidP="005630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F8F0A02" w14:textId="77777777" w:rsidR="00EA1918" w:rsidRDefault="00EA1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150312"/>
      <w:docPartObj>
        <w:docPartGallery w:val="Page Numbers (Bottom of Page)"/>
        <w:docPartUnique/>
      </w:docPartObj>
    </w:sdtPr>
    <w:sdtContent>
      <w:p w14:paraId="5F5C1A28" w14:textId="37480142" w:rsidR="00EA1918" w:rsidRDefault="00EA1918" w:rsidP="005630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172E1EB1" w14:textId="77777777" w:rsidR="00EA1918" w:rsidRDefault="00EA1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40DB0" w14:textId="77777777" w:rsidR="002A0683" w:rsidRDefault="002A0683" w:rsidP="00EA1918">
      <w:pPr>
        <w:spacing w:after="0" w:line="240" w:lineRule="auto"/>
      </w:pPr>
      <w:r>
        <w:separator/>
      </w:r>
    </w:p>
  </w:footnote>
  <w:footnote w:type="continuationSeparator" w:id="0">
    <w:p w14:paraId="76310FB4" w14:textId="77777777" w:rsidR="002A0683" w:rsidRDefault="002A0683" w:rsidP="00EA1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D31DF3"/>
    <w:multiLevelType w:val="multilevel"/>
    <w:tmpl w:val="032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834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18"/>
    <w:rsid w:val="002A0683"/>
    <w:rsid w:val="007A77FC"/>
    <w:rsid w:val="009A6F1C"/>
    <w:rsid w:val="00B36704"/>
    <w:rsid w:val="00EA1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D958"/>
  <w15:chartTrackingRefBased/>
  <w15:docId w15:val="{3C819598-8FC9-AE4B-A6FB-507DAD59F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1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1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918"/>
    <w:rPr>
      <w:rFonts w:eastAsiaTheme="majorEastAsia" w:cstheme="majorBidi"/>
      <w:color w:val="272727" w:themeColor="text1" w:themeTint="D8"/>
    </w:rPr>
  </w:style>
  <w:style w:type="paragraph" w:styleId="Title">
    <w:name w:val="Title"/>
    <w:basedOn w:val="Normal"/>
    <w:next w:val="Normal"/>
    <w:link w:val="TitleChar"/>
    <w:uiPriority w:val="10"/>
    <w:qFormat/>
    <w:rsid w:val="00EA1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918"/>
    <w:pPr>
      <w:spacing w:before="160"/>
      <w:jc w:val="center"/>
    </w:pPr>
    <w:rPr>
      <w:i/>
      <w:iCs/>
      <w:color w:val="404040" w:themeColor="text1" w:themeTint="BF"/>
    </w:rPr>
  </w:style>
  <w:style w:type="character" w:customStyle="1" w:styleId="QuoteChar">
    <w:name w:val="Quote Char"/>
    <w:basedOn w:val="DefaultParagraphFont"/>
    <w:link w:val="Quote"/>
    <w:uiPriority w:val="29"/>
    <w:rsid w:val="00EA1918"/>
    <w:rPr>
      <w:i/>
      <w:iCs/>
      <w:color w:val="404040" w:themeColor="text1" w:themeTint="BF"/>
    </w:rPr>
  </w:style>
  <w:style w:type="paragraph" w:styleId="ListParagraph">
    <w:name w:val="List Paragraph"/>
    <w:basedOn w:val="Normal"/>
    <w:uiPriority w:val="34"/>
    <w:qFormat/>
    <w:rsid w:val="00EA1918"/>
    <w:pPr>
      <w:ind w:left="720"/>
      <w:contextualSpacing/>
    </w:pPr>
  </w:style>
  <w:style w:type="character" w:styleId="IntenseEmphasis">
    <w:name w:val="Intense Emphasis"/>
    <w:basedOn w:val="DefaultParagraphFont"/>
    <w:uiPriority w:val="21"/>
    <w:qFormat/>
    <w:rsid w:val="00EA1918"/>
    <w:rPr>
      <w:i/>
      <w:iCs/>
      <w:color w:val="0F4761" w:themeColor="accent1" w:themeShade="BF"/>
    </w:rPr>
  </w:style>
  <w:style w:type="paragraph" w:styleId="IntenseQuote">
    <w:name w:val="Intense Quote"/>
    <w:basedOn w:val="Normal"/>
    <w:next w:val="Normal"/>
    <w:link w:val="IntenseQuoteChar"/>
    <w:uiPriority w:val="30"/>
    <w:qFormat/>
    <w:rsid w:val="00EA1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918"/>
    <w:rPr>
      <w:i/>
      <w:iCs/>
      <w:color w:val="0F4761" w:themeColor="accent1" w:themeShade="BF"/>
    </w:rPr>
  </w:style>
  <w:style w:type="character" w:styleId="IntenseReference">
    <w:name w:val="Intense Reference"/>
    <w:basedOn w:val="DefaultParagraphFont"/>
    <w:uiPriority w:val="32"/>
    <w:qFormat/>
    <w:rsid w:val="00EA1918"/>
    <w:rPr>
      <w:b/>
      <w:bCs/>
      <w:smallCaps/>
      <w:color w:val="0F4761" w:themeColor="accent1" w:themeShade="BF"/>
      <w:spacing w:val="5"/>
    </w:rPr>
  </w:style>
  <w:style w:type="paragraph" w:customStyle="1" w:styleId="p1">
    <w:name w:val="p1"/>
    <w:basedOn w:val="Normal"/>
    <w:rsid w:val="00EA19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EA1918"/>
  </w:style>
  <w:style w:type="paragraph" w:customStyle="1" w:styleId="p2">
    <w:name w:val="p2"/>
    <w:basedOn w:val="Normal"/>
    <w:rsid w:val="00EA19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EA1918"/>
  </w:style>
  <w:style w:type="character" w:customStyle="1" w:styleId="s3">
    <w:name w:val="s3"/>
    <w:basedOn w:val="DefaultParagraphFont"/>
    <w:rsid w:val="00EA1918"/>
  </w:style>
  <w:style w:type="paragraph" w:customStyle="1" w:styleId="p3">
    <w:name w:val="p3"/>
    <w:basedOn w:val="Normal"/>
    <w:rsid w:val="00EA19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4">
    <w:name w:val="p4"/>
    <w:basedOn w:val="Normal"/>
    <w:rsid w:val="00EA19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A1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918"/>
  </w:style>
  <w:style w:type="character" w:styleId="PageNumber">
    <w:name w:val="page number"/>
    <w:basedOn w:val="DefaultParagraphFont"/>
    <w:uiPriority w:val="99"/>
    <w:semiHidden/>
    <w:unhideWhenUsed/>
    <w:rsid w:val="00EA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3C1CA-E6EF-864B-8375-BA5CFBEB6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1585</Words>
  <Characters>10973</Characters>
  <Application>Microsoft Office Word</Application>
  <DocSecurity>0</DocSecurity>
  <Lines>238</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Tkachova (2416011)</dc:creator>
  <cp:keywords/>
  <dc:description/>
  <cp:lastModifiedBy>Anastasiia Tkachova (2416011)</cp:lastModifiedBy>
  <cp:revision>1</cp:revision>
  <dcterms:created xsi:type="dcterms:W3CDTF">2026-02-24T23:20:00Z</dcterms:created>
  <dcterms:modified xsi:type="dcterms:W3CDTF">2026-02-24T23:41:00Z</dcterms:modified>
</cp:coreProperties>
</file>