
<file path=[Content_Types].xml><?xml version="1.0" encoding="utf-8"?>
<Types xmlns="http://schemas.openxmlformats.org/package/2006/content-types">
  <Default Extension="rels" ContentType="application/vnd.openxmlformats-package.relationships+xml"/>
  <Default Extension="xml" ContentType="application/xml"/>
  <Override PartName="/word/settings.xml" ContentType="application/vnd.openxmlformats-officedocument.wordprocessingml.settings+xml"/>
  <Override PartName="/word/header1.xml" ContentType="application/vnd.openxmlformats-officedocument.wordprocessingml.header+xml"/>
  <Override PartName="/word/document.xml" ContentType="application/vnd.openxmlformats-officedocument.wordprocessingml.document.main+xml"/>
  <Override PartName="/docprops/app.xml" ContentType="application/vnd.openxmlformats-officedocument.extended-properties+xml"/>
  <Override PartName="/word/footer1.xml" ContentType="application/vnd.openxmlformats-officedocument.wordprocessingml.footer+xml"/>
  <Override PartName="/word/numbering.xml" ContentType="application/vnd.openxmlformats-officedocument.wordprocessingml.numbering+xml"/>
  <Override PartName="/word/styles.xml" ContentType="application/vnd.openxmlformats-officedocument.wordprocessingml.styles+xml"/>
  <Override PartName="/docprops/core.xml" ContentType="application/vnd.openxmlformats-package.core-properties+xml"/>
  <Override PartName="/word/fonttable.xml" ContentType="application/vnd.openxmlformats-officedocument.wordprocessingml.fontTable+xml"/>
  <Override PartName="/word/theme/theme1.xml" ContentType="application/vnd.openxmlformats-officedocument.them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body>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2"/>
        </w:rPr>
        <w:t xml:space="preserve">Awarding Body: </w:t>
      </w:r>
      <w:r>
        <w:rPr>
          <w:rFonts w:ascii="Times New Roman" w:cs="Times New Roman" w:hAnsi="Times New Roman"/>
          <w:b w:val="off"/>
          <w:outline w:val="off"/>
          <w:shadow w:val="off"/>
          <w:emboss w:val="off"/>
          <w:imprint w:val="off"/>
          <w:color w:val="auto"/>
          <w:spacing w:val="0"/>
          <w:sz w:val="42"/>
        </w:rPr>
        <w:t>University of Wales Trinity Saint David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2"/>
        </w:rPr>
        <w:t xml:space="preserve">Programme Name: </w:t>
      </w:r>
      <w:r>
        <w:rPr>
          <w:rFonts w:ascii="Times New Roman" w:cs="Times New Roman" w:hAnsi="Times New Roman"/>
          <w:b w:val="off"/>
          <w:outline w:val="off"/>
          <w:shadow w:val="off"/>
          <w:emboss w:val="off"/>
          <w:imprint w:val="off"/>
          <w:color w:val="auto"/>
          <w:spacing w:val="0"/>
          <w:sz w:val="42"/>
        </w:rPr>
        <w:t>BA (Hons) Business Management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2"/>
        </w:rPr>
        <w:t xml:space="preserve">Module Name: </w:t>
      </w:r>
      <w:r>
        <w:rPr>
          <w:rFonts w:ascii="Times New Roman" w:cs="Times New Roman" w:hAnsi="Times New Roman"/>
          <w:b w:val="off"/>
          <w:outline w:val="off"/>
          <w:shadow w:val="off"/>
          <w:emboss w:val="off"/>
          <w:imprint w:val="off"/>
          <w:color w:val="auto"/>
          <w:spacing w:val="0"/>
          <w:sz w:val="42"/>
        </w:rPr>
        <w:t>Accounting Fundamentals (LCBB4001)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2"/>
        </w:rPr>
        <w:t xml:space="preserve">Assignment Title: </w:t>
      </w:r>
      <w:r>
        <w:rPr>
          <w:rFonts w:ascii="Times New Roman" w:cs="Times New Roman" w:hAnsi="Times New Roman"/>
          <w:b w:val="off"/>
          <w:outline w:val="off"/>
          <w:shadow w:val="off"/>
          <w:emboss w:val="off"/>
          <w:imprint w:val="off"/>
          <w:color w:val="auto"/>
          <w:spacing w:val="0"/>
          <w:sz w:val="42"/>
        </w:rPr>
        <w:t>Assessment Part 2 – Management Accounting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2"/>
        </w:rPr>
        <w:t xml:space="preserve">Student Name and Number: </w:t>
      </w:r>
      <w:r>
        <w:rPr>
          <w:rFonts w:ascii="Times New Roman" w:cs="Times New Roman" w:hAnsi="Times New Roman"/>
          <w:b/>
          <w:outline w:val="off"/>
          <w:shadow w:val="off"/>
          <w:emboss w:val="off"/>
          <w:imprint w:val="off"/>
          <w:color w:val="auto"/>
          <w:spacing w:val="0"/>
          <w:sz w:val="42"/>
          <w:lang w:val="hu-HU"/>
        </w:rPr>
        <w:t xml:space="preserve">Peter Imre </w:t>
      </w:r>
      <w:r>
        <w:rPr>
          <w:rFonts w:ascii="Times New Roman" w:cs="Times New Roman" w:hAnsi="Times New Roman"/>
          <w:b/>
          <w:outline w:val="off"/>
          <w:shadow w:val="off"/>
          <w:emboss w:val="off"/>
          <w:imprint w:val="off"/>
          <w:color w:val="auto"/>
          <w:spacing w:val="0"/>
          <w:sz w:val="42"/>
        </w:rPr>
        <w:t xml:space="preserve"> / </w:t>
      </w:r>
      <w:r>
        <w:rPr>
          <w:rFonts w:ascii="Times New Roman" w:cs="Times New Roman" w:hAnsi="Times New Roman"/>
          <w:b w:val="off"/>
          <w:outline w:val="off"/>
          <w:shadow w:val="off"/>
          <w:emboss w:val="off"/>
          <w:imprint w:val="off"/>
          <w:color w:val="auto"/>
          <w:spacing w:val="0"/>
          <w:sz w:val="42"/>
        </w:rPr>
        <w:t>201289</w:t>
      </w:r>
      <w:r>
        <w:rPr>
          <w:rFonts w:ascii="Times New Roman" w:cs="Times New Roman" w:hAnsi="Times New Roman"/>
          <w:b w:val="off"/>
          <w:outline w:val="off"/>
          <w:shadow w:val="off"/>
          <w:emboss w:val="off"/>
          <w:imprint w:val="off"/>
          <w:color w:val="auto"/>
          <w:spacing w:val="0"/>
          <w:sz w:val="42"/>
          <w:lang w:val="hu-HU"/>
        </w:rPr>
        <w:t>6</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2"/>
        </w:rPr>
        <w:t xml:space="preserve">Tutor Name: </w:t>
      </w:r>
      <w:r>
        <w:rPr>
          <w:rFonts w:ascii="Times New Roman" w:cs="Times New Roman" w:hAnsi="Times New Roman"/>
          <w:b w:val="off"/>
          <w:outline w:val="off"/>
          <w:shadow w:val="off"/>
          <w:emboss w:val="off"/>
          <w:imprint w:val="off"/>
          <w:color w:val="auto"/>
          <w:spacing w:val="0"/>
          <w:sz w:val="42"/>
        </w:rPr>
        <w:t>Dr. Widin Bongasu Sha’ven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2"/>
        </w:rPr>
        <w:t>QUESTION 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2"/>
        </w:rPr>
        <w:t>A;</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single" w:color="auto"/>
        </w:rPr>
        <w:t>Break-even point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Contribution unit: Selling price per unit – Variable cost per unit = £11 - £6 = £5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outline w:val="off"/>
          <w:shadow w:val="off"/>
          <w:emboss w:val="off"/>
          <w:imprint w:val="off"/>
          <w:color w:val="auto"/>
          <w:spacing w:val="0"/>
          <w:sz w:val="42"/>
          <w:u w:val="none" w:color="auto"/>
        </w:rPr>
        <w:t>Break-even point</w:t>
      </w:r>
      <w:r>
        <w:rPr>
          <w:rFonts w:ascii="Times New Roman" w:cs="Times New Roman" w:hAnsi="Times New Roman"/>
          <w:b w:val="off"/>
          <w:outline w:val="off"/>
          <w:shadow w:val="off"/>
          <w:emboss w:val="off"/>
          <w:imprint w:val="off"/>
          <w:color w:val="auto"/>
          <w:spacing w:val="0"/>
          <w:sz w:val="42"/>
          <w:u w:val="none" w:color="auto"/>
        </w:rPr>
        <w:t xml:space="preserve">: Fixed costs / Contribution per unit = £350000 / £5 = </w:t>
      </w:r>
      <w:r>
        <w:rPr>
          <w:rFonts w:ascii="Times New Roman" w:cs="Times New Roman" w:hAnsi="Times New Roman"/>
          <w:b/>
          <w:outline w:val="off"/>
          <w:shadow w:val="off"/>
          <w:emboss w:val="off"/>
          <w:imprint w:val="off"/>
          <w:color w:val="auto"/>
          <w:spacing w:val="0"/>
          <w:sz w:val="42"/>
          <w:u w:val="none" w:color="auto"/>
        </w:rPr>
        <w:t>70000 unit</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outline w:val="off"/>
          <w:shadow w:val="off"/>
          <w:emboss w:val="off"/>
          <w:imprint w:val="off"/>
          <w:color w:val="auto"/>
          <w:spacing w:val="0"/>
          <w:sz w:val="42"/>
          <w:u w:val="none" w:color="auto"/>
        </w:rPr>
        <w:t>B;</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single" w:color="auto"/>
        </w:rPr>
        <w:t>Profit made on sales of 75000 units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Margin of safety = Target profit – Break even point = 75000 units - £70000 units = 5000 units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outline w:val="off"/>
          <w:shadow w:val="off"/>
          <w:emboss w:val="off"/>
          <w:imprint w:val="off"/>
          <w:color w:val="auto"/>
          <w:spacing w:val="0"/>
          <w:sz w:val="42"/>
          <w:u w:val="none" w:color="auto"/>
        </w:rPr>
        <w:t>Profit</w:t>
      </w:r>
      <w:r>
        <w:rPr>
          <w:rFonts w:ascii="Times New Roman" w:cs="Times New Roman" w:hAnsi="Times New Roman"/>
          <w:b w:val="off"/>
          <w:outline w:val="off"/>
          <w:shadow w:val="off"/>
          <w:emboss w:val="off"/>
          <w:imprint w:val="off"/>
          <w:color w:val="auto"/>
          <w:spacing w:val="0"/>
          <w:sz w:val="42"/>
          <w:u w:val="none" w:color="auto"/>
        </w:rPr>
        <w:t xml:space="preserve"> = Margin of safety x Contribution unit = £5000 x £5 = </w:t>
      </w:r>
      <w:r>
        <w:rPr>
          <w:rFonts w:ascii="Times New Roman" w:cs="Times New Roman" w:hAnsi="Times New Roman"/>
          <w:b/>
          <w:outline w:val="off"/>
          <w:shadow w:val="off"/>
          <w:emboss w:val="off"/>
          <w:imprint w:val="off"/>
          <w:color w:val="auto"/>
          <w:spacing w:val="0"/>
          <w:sz w:val="42"/>
          <w:u w:val="none" w:color="auto"/>
        </w:rPr>
        <w:t>£25000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outline w:val="off"/>
          <w:shadow w:val="off"/>
          <w:emboss w:val="off"/>
          <w:imprint w:val="off"/>
          <w:color w:val="auto"/>
          <w:spacing w:val="0"/>
          <w:sz w:val="42"/>
          <w:u w:val="none" w:color="auto"/>
        </w:rPr>
        <w:t>C;</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singl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singl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single" w:color="auto"/>
        </w:rPr>
        <w:t>New profit figure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New fixed costs: £350000 + £10000 = £360000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New variable cost per unit = £6 + £1 = £7</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New selling price: £13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New sales volume: 80000 units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Contribution unit: £13 - £7 = £6</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Break-even point: £360000 / £6 = 60000 units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Margin of safety: 80000 units – 60000 units = 20000 units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outline w:val="off"/>
          <w:shadow w:val="off"/>
          <w:emboss w:val="off"/>
          <w:imprint w:val="off"/>
          <w:color w:val="auto"/>
          <w:spacing w:val="0"/>
          <w:sz w:val="42"/>
          <w:u w:val="none" w:color="auto"/>
        </w:rPr>
        <w:t>New Profit Figure</w:t>
      </w:r>
      <w:r>
        <w:rPr>
          <w:rFonts w:ascii="Times New Roman" w:cs="Times New Roman" w:hAnsi="Times New Roman"/>
          <w:b w:val="off"/>
          <w:outline w:val="off"/>
          <w:shadow w:val="off"/>
          <w:emboss w:val="off"/>
          <w:imprint w:val="off"/>
          <w:color w:val="auto"/>
          <w:spacing w:val="0"/>
          <w:sz w:val="42"/>
          <w:u w:val="none" w:color="auto"/>
        </w:rPr>
        <w:t xml:space="preserve"> = 20000 units x £6 = </w:t>
      </w:r>
      <w:r>
        <w:rPr>
          <w:rFonts w:ascii="Times New Roman" w:cs="Times New Roman" w:hAnsi="Times New Roman"/>
          <w:b/>
          <w:outline w:val="off"/>
          <w:shadow w:val="off"/>
          <w:emboss w:val="off"/>
          <w:imprint w:val="off"/>
          <w:color w:val="auto"/>
          <w:spacing w:val="0"/>
          <w:sz w:val="42"/>
          <w:u w:val="none" w:color="auto"/>
        </w:rPr>
        <w:t>£120000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u w:val="none" w:color="auto"/>
        </w:rPr>
        <w:t>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2"/>
        </w:rPr>
        <w:t>120000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42"/>
        </w:rPr>
        <w:t>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outline w:val="off"/>
          <w:shadow w:val="off"/>
          <w:emboss w:val="off"/>
          <w:imprint w:val="off"/>
          <w:color w:val="auto"/>
          <w:spacing w:val="0"/>
          <w:sz w:val="42"/>
        </w:rPr>
        <w:t>LIMITATIONS OF BREAK-EVEN 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jc w:val="both"/>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36"/>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42"/>
        </w:rPr>
        <w:t>The break-even analysis is a highly beneficial tool as it assists organisations with decision making. Although, there are also limitations. For example, if the forecast or predicted sales do not align with the company’s intentions, the analysis will be proven ineffective. Additionally, start-ups with the same or similar products (increase in competition) may cause an impact and therefore the company’s break-even analysis could become less reliable or invalid. Another limitation would arise from retailers creating promotional offers- this can affect the number of sales. Also, if suppliers increase the cost of materials then variable costs will increase. All these factors would decrease the reliability of the analysis. Price increases can also result in a fall in sales as consumers may not be attracted to the product, and therefore the break-even analysis would not be 100% accurate. The break-even analysis only focuses on a single product. If a company produces multiple products then it is difficult to see a an overview of the full cost distribution. (Blackbourn, 2018.)</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rPr>
      </w:pPr>
      <w:r>
        <w:rPr>
          <w:rFonts w:ascii="Times New Roman" w:cs="Times New Roman" w:hAnsi="Times New Roman"/>
          <w:b w:val="off"/>
          <w:outline w:val="off"/>
          <w:shadow w:val="off"/>
          <w:emboss w:val="off"/>
          <w:imprint w:val="off"/>
          <w:color w:val="auto"/>
          <w:spacing w:val="0"/>
          <w:sz w:val="42"/>
        </w:rPr>
        <w:t>According to Riley, J the break-even analysis is a tool used for planning rather than decision-making. This is because companies usually sell multiple products so the break-even point is difficult to identify. Also, variable costs can change. If output increases, then the organisation may lower the selling price, and therefore the variable cost per unit will decrease. Additionally, fixed costs such as rent, may change due to unforeseen circumstances. For example, during the Covid-19 pandemic, many landlords had to adjust the cost of rent. (Riley J.)</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42"/>
        </w:rPr>
        <w:t>In a report regarding break-even analysis Berryman and Nobe identified that not all costs fit within the fixed or variable category. Some costs are the combination and are known as semi-variable costs. Other costs can be questionable and would not fit into those categories. These factors can make it difficult to calculate the break-even point accurately. (Berryman C., and Nobe M., 1999)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36"/>
          <w:u w:val="none" w:color="auto"/>
        </w:rPr>
      </w:pPr>
      <w:r>
        <w:rPr>
          <w:rFonts w:ascii="Times New Roman" w:cs="Times New Roman" w:hAnsi="Times New Roman"/>
          <w:b w:val="off"/>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b w:val="off"/>
          <w:outline w:val="off"/>
          <w:shadow w:val="off"/>
          <w:emboss w:val="off"/>
          <w:imprint w:val="off"/>
          <w:color w:val="auto"/>
          <w:spacing w:val="0"/>
          <w:sz w:val="40"/>
          <w:szCs w:val="40"/>
          <w:u w:val="none" w:color="auto"/>
        </w:rPr>
        <w:t> </w:t>
      </w:r>
      <w:r>
        <w:rPr>
          <w:rFonts w:ascii="Times New Roman" w:cs="Times New Roman" w:hAnsi="Times New Roman"/>
          <w:outline w:val="off"/>
          <w:shadow w:val="off"/>
          <w:emboss w:val="off"/>
          <w:imprint w:val="off"/>
          <w:color w:val="000000"/>
          <w:spacing w:val="0"/>
          <w:sz w:val="40"/>
          <w:szCs w:val="40"/>
        </w:rPr>
        <w:t>2 (a)</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Management accounting is essential to the ‘internal users’ of an organization (including Managers and employees). Management accounting provides vital information which these internal users can use for forecasting and making long term business decisions.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The areas that Management accounting can serve and benefit a business are vast. They include processes such as price setting, trend analysis, margin analysis, constraint analysis, identifying a target audience, setting budgets, financial planning and launching new products. In essence, management accounting is a vital process for every business as it helps to track performance internally, and therefore grants the company an opportunity to understand its strengths and weaknesses. Management accounting is therefore important to all organizations as it is the tool used to ensure profitability and success.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Management accounting produces reports, which can be used to guide managers adequately in areas such as cost cutting, employee satisfaction and cost of suppliers. Three examples of management accounting reports include the following: </w:t>
      </w:r>
    </w:p>
    <w:p>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220"/>
          <w:tab w:val="left" w:pos="720"/>
        </w:tabs>
        <w:spacing w:before="0" w:after="0" w:line="240" w:lineRule="auto"/>
        <w:ind w:left="720" w:right="0" w:hanging="72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Budget Report: The budget enables a business to analyze its costs across the whole organisation. Past budget reports can also help the business to forecast future budgets and also identify areas where costs can be cut. </w:t>
      </w:r>
    </w:p>
    <w:p>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220"/>
          <w:tab w:val="left" w:pos="720"/>
        </w:tabs>
        <w:spacing w:before="0" w:after="0" w:line="240" w:lineRule="auto"/>
        <w:ind w:left="720" w:right="0" w:hanging="72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Accounts Receivable Aging Report: Any organisation that offers credit to consumers would benefit from this type of report. This report collates credit balances according to age which can help the company adjust its credit payment terms and conditions to suit the payment capabilities of its customers. </w:t>
      </w:r>
    </w:p>
    <w:p>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220"/>
          <w:tab w:val="left" w:pos="720"/>
        </w:tabs>
        <w:spacing w:before="0" w:after="0" w:line="240" w:lineRule="auto"/>
        <w:ind w:left="720" w:right="0" w:hanging="72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Job Cost Report: Job costs reports enables a company to easily compare the total cost of a project against the expected revenue yielded by that project. It is a useful tool that would enable organisations to identify its most profitable areas.  </w:t>
      </w:r>
    </w:p>
    <w:p>
      <w:pPr>
        <w:framePr w:w="0" w:h="0" w:vAnchor="margin" w:hAnchor="text" w:x="0" w:y="0"/>
        <w:numPr>
          <w:ilvl w:val="0"/>
          <w:numId w:val="1"/>
        </w:numPr>
        <w:pBdr>
          <w:top w:val="none" w:sz="4" w:space="0"/>
          <w:left w:val="none" w:sz="4" w:space="0"/>
          <w:bottom w:val="none" w:sz="4" w:space="0"/>
          <w:right w:val="none" w:sz="4" w:space="0"/>
          <w:between w:val="none" w:sz="4" w:space="0"/>
          <w:bar w:val="none" w:sz="4" w:space="0"/>
        </w:pBdr>
        <w:shd w:val="clear" w:fill="auto"/>
        <w:tabs>
          <w:tab w:val="left" w:pos="220"/>
          <w:tab w:val="left" w:pos="720"/>
        </w:tabs>
        <w:spacing w:before="0" w:after="0" w:line="240" w:lineRule="auto"/>
        <w:ind w:left="720" w:right="0" w:hanging="72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Inventory and Manufacturing Report: A company that produces a physical product would find this type of report valuable. Data is collated and centralized so that cost of labour, supplies and all overheads can all be observed. This, in turn, can help identify areas of possible financial strain.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By contrast, financial accounting provides information to external users, such as current and potential investors, which can be used in any decision-making process. Financial accounting is the tool which is used to produce financial statements.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For example, financial accounting would be used to report on results of a business in its entirety, whereas management accounting would produce more detailed reports, such as the profitability of every single product/product line. We can see from this example why management accounting would be important to those responsible for ensuring the profitability and financial health of a business- the detailed reports and analysis would ensure that any areas of weakness can be improved and any areas of success can be noted.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Another difference between the two is in regards to the adherence of standards. Financial accounting must comply with the various accounting standards, whereas management accounting does not have to. Additionally, financial accounting is essentially a tool that produces historical data- whereas management accounting is a tool that can help to create or amend future processes.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Examples of financial accounting reports include the following: </w:t>
      </w:r>
    </w:p>
    <w:p>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220"/>
          <w:tab w:val="left" w:pos="720"/>
        </w:tabs>
        <w:spacing w:before="0" w:after="0" w:line="240" w:lineRule="auto"/>
        <w:ind w:left="720" w:right="0" w:hanging="72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Income statement: this identifies net income/loss </w:t>
      </w:r>
    </w:p>
    <w:p>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220"/>
          <w:tab w:val="left" w:pos="720"/>
        </w:tabs>
        <w:spacing w:before="0" w:after="0" w:line="240" w:lineRule="auto"/>
        <w:ind w:left="720" w:right="0" w:hanging="72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Statement of changes in equity </w:t>
      </w:r>
    </w:p>
    <w:p>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220"/>
          <w:tab w:val="left" w:pos="720"/>
        </w:tabs>
        <w:spacing w:before="0" w:after="0" w:line="240" w:lineRule="auto"/>
        <w:ind w:left="720" w:right="0" w:hanging="72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Balance sheet </w:t>
      </w:r>
    </w:p>
    <w:p>
      <w:pPr>
        <w:framePr w:w="0" w:h="0" w:vAnchor="margin" w:hAnchor="text" w:x="0" w:y="0"/>
        <w:numPr>
          <w:ilvl w:val="0"/>
          <w:numId w:val="2"/>
        </w:numPr>
        <w:pBdr>
          <w:top w:val="none" w:sz="4" w:space="0"/>
          <w:left w:val="none" w:sz="4" w:space="0"/>
          <w:bottom w:val="none" w:sz="4" w:space="0"/>
          <w:right w:val="none" w:sz="4" w:space="0"/>
          <w:between w:val="none" w:sz="4" w:space="0"/>
          <w:bar w:val="none" w:sz="4" w:space="0"/>
        </w:pBdr>
        <w:shd w:val="clear" w:fill="auto"/>
        <w:tabs>
          <w:tab w:val="left" w:pos="220"/>
          <w:tab w:val="left" w:pos="720"/>
        </w:tabs>
        <w:spacing w:before="0" w:after="0" w:line="240" w:lineRule="auto"/>
        <w:ind w:left="720" w:right="0" w:hanging="72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Statement of cash flows- these can include operating activities, investing activities, financing activites and any supplemental information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000000"/>
          <w:spacing w:val="0"/>
          <w:sz w:val="40"/>
          <w:szCs w:val="40"/>
        </w:rPr>
      </w:pPr>
      <w:r>
        <w:rPr>
          <w:rFonts w:ascii="Times New Roman" w:cs="Times New Roman" w:hAnsi="Times New Roman"/>
          <w:outline w:val="off"/>
          <w:shadow w:val="off"/>
          <w:emboss w:val="off"/>
          <w:imprint w:val="off"/>
          <w:color w:val="000000"/>
          <w:spacing w:val="0"/>
          <w:sz w:val="40"/>
          <w:szCs w:val="40"/>
        </w:rPr>
        <w:t>As we can see, financial accounting is a tool that serves mainly to provide information and a snapshot of their financial health. It is apparent that this tool would benefit those outside of an organisation, as mentioned earlier, such as investors, creditors and industry regulators. Management accounting serves another purpose altogether, which is to provide information that can help a company internally.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0"/>
          <w:szCs w:val="40"/>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0"/>
          <w:szCs w:val="40"/>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0"/>
          <w:szCs w:val="40"/>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0"/>
          <w:szCs w:val="40"/>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0"/>
          <w:szCs w:val="40"/>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rPr>
      </w:pPr>
      <w:r>
        <w:rPr>
          <w:rFonts w:ascii="Times New Roman" w:cs="Times New Roman" w:hAnsi="Times New Roman"/>
          <w:outline w:val="off"/>
          <w:shadow w:val="off"/>
          <w:emboss w:val="off"/>
          <w:imprint w:val="off"/>
          <w:color w:val="auto"/>
          <w:spacing w:val="0"/>
          <w:sz w:val="42"/>
        </w:rPr>
        <w:t>B;</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42"/>
          <w:u w:val="single" w:color="auto"/>
        </w:rPr>
        <w:t>Target costing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42"/>
          <w:u w:val="none" w:color="auto"/>
        </w:rPr>
        <w:t>Target costing is a cost management technique which helps to identify the cost at which a product must be produced to generate the desired level of profit, given the product’s selling price. The cost target for a product is driven by the need to sell the product at a certain market price and to achieve a target profit margin. The target costing process helps to reduce costs and estimates the target selling price based on market considerations, customer needs and expectations and competitors’ behaviours. (Mohamad M., 2020)</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42"/>
          <w:u w:val="single" w:color="auto"/>
        </w:rPr>
        <w:t>Budgets and budgeting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42"/>
          <w:u w:val="none" w:color="auto"/>
        </w:rPr>
        <w:t>Budget is a quantitative expression of a plan of action prepared in advance of the period to which it relates. It sets out the costs such as salaries, expenses and revenues that are expected to be incurred or earned in future periods. Budget shows where the money is coming from and how the company spends it. There are many purposes of the budgeting technique such as planning and control, co-ordination (get people involved), communication (everybody needs to be informed what the company agreed on), motivation (if the company performs well the budget may increase next year), evaluation (what was the plan and what is the actual outcome), authorisation of expenditure. Budgets allocate resources and assign responsibilities. (Tutor2u, 2019)</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42"/>
          <w:u w:val="single" w:color="auto"/>
        </w:rPr>
        <w:t>Capital budgeting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42"/>
          <w:u w:val="none" w:color="auto"/>
        </w:rPr>
        <w:t>Capital budgeting are financial decisions that relate to investment proposal. They help to evaluate long-term investments. Traditional and modern capital budgeting techniques can be used by the organisations to judge the feasibility of these projects. The modern methods for example Net Present Value, Internal Rate of Return, Profitability Index consider the time value of money whereas the traditional methods such as Payback Period and Average Rate of  Return do not consider the time value of money. Both methods are based on the cash inflows and the outflows of the project. (Business Jargons)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42"/>
          <w:u w:val="none" w:color="auto"/>
        </w:rPr>
        <w:t>REFERENCES: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xml:space="preserve">Blackbourn, 2018. Limitations of Break-Even.  Available at: </w:t>
      </w:r>
      <w:r>
        <w:fldChar w:fldCharType="begin"/>
      </w:r>
      <w:r>
        <w:instrText xml:space="preserve">HYPERLINK "https://www.youtube.com/watch?v=5vTKAjoRc_k"</w:instrText>
      </w:r>
      <w:r>
        <w:fldChar w:fldCharType="separate"/>
      </w:r>
      <w:r>
        <w:rPr>
          <w:rFonts w:ascii="Times New Roman" w:cs="Times New Roman" w:hAnsi="Times New Roman"/>
          <w:outline w:val="off"/>
          <w:shadow w:val="off"/>
          <w:emboss w:val="off"/>
          <w:imprint w:val="off"/>
          <w:color w:val="0000ff"/>
          <w:spacing w:val="0"/>
          <w:sz w:val="36"/>
          <w:u w:val="single" w:color="0000ff"/>
        </w:rPr>
        <w:t>https://www.youtube.com/watch?v=5vTKAjoRc_k</w:t>
      </w:r>
      <w:r>
        <w:fldChar w:fldCharType="end"/>
      </w:r>
      <w:r>
        <w:rPr>
          <w:rFonts w:ascii="Times New Roman" w:cs="Times New Roman" w:hAnsi="Times New Roman"/>
          <w:outline w:val="off"/>
          <w:shadow w:val="off"/>
          <w:emboss w:val="off"/>
          <w:imprint w:val="off"/>
          <w:color w:val="auto"/>
          <w:spacing w:val="0"/>
          <w:sz w:val="36"/>
          <w:u w:val="none" w:color="auto"/>
        </w:rPr>
        <w:t>. (Accessed on 05 January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xml:space="preserve">Riley J., Break-Even Analysis – Strengths and Limitations. Available at: </w:t>
      </w:r>
      <w:r>
        <w:fldChar w:fldCharType="begin"/>
      </w:r>
      <w:r>
        <w:instrText xml:space="preserve">HYPERLINK "https://www.tutor2u.net/business/reference/breakeven-analysis-strengths-and-limitations"</w:instrText>
      </w:r>
      <w:r>
        <w:fldChar w:fldCharType="separate"/>
      </w:r>
      <w:r>
        <w:rPr>
          <w:rFonts w:ascii="Times New Roman" w:cs="Times New Roman" w:hAnsi="Times New Roman"/>
          <w:outline w:val="off"/>
          <w:shadow w:val="off"/>
          <w:emboss w:val="off"/>
          <w:imprint w:val="off"/>
          <w:color w:val="0000ff"/>
          <w:spacing w:val="0"/>
          <w:sz w:val="36"/>
          <w:u w:val="single" w:color="0000ff"/>
        </w:rPr>
        <w:t>https://www.tutor2u.net/business/reference/breakeven-analysis-strengths-and-limitations#:~:text=Limitations%20of%20breakeven%20analysis&amp;text=Variable%20costs%20do%20not%20always,reduce%20variable%20cost%20per%20unit</w:t>
      </w:r>
      <w:r>
        <w:fldChar w:fldCharType="end"/>
      </w:r>
      <w:r>
        <w:rPr>
          <w:rFonts w:ascii="Times New Roman" w:cs="Times New Roman" w:hAnsi="Times New Roman"/>
          <w:outline w:val="off"/>
          <w:shadow w:val="off"/>
          <w:emboss w:val="off"/>
          <w:imprint w:val="off"/>
          <w:color w:val="auto"/>
          <w:spacing w:val="0"/>
          <w:sz w:val="36"/>
          <w:u w:val="none" w:color="auto"/>
        </w:rPr>
        <w:t>. (Accessed on 05 January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xml:space="preserve">Berryman C. and Nobe M., 1999. Practical Business Application of Break Even Analysis in Graduate Construction Education. Available at: </w:t>
      </w:r>
      <w:r>
        <w:fldChar w:fldCharType="begin"/>
      </w:r>
      <w:r>
        <w:instrText xml:space="preserve">HYPERLINK "http://www.ascjournal.ascweb.org/journal/1999/no1/Spring%201999,%20Vol.%204,%20No.%201,%20pp.%2026-37.pdf"</w:instrText>
      </w:r>
      <w:r>
        <w:fldChar w:fldCharType="separate"/>
      </w:r>
      <w:r>
        <w:rPr>
          <w:rFonts w:ascii="Times New Roman" w:cs="Times New Roman" w:hAnsi="Times New Roman"/>
          <w:outline w:val="off"/>
          <w:shadow w:val="off"/>
          <w:emboss w:val="off"/>
          <w:imprint w:val="off"/>
          <w:color w:val="0000ff"/>
          <w:spacing w:val="0"/>
          <w:sz w:val="36"/>
          <w:u w:val="single" w:color="0000ff"/>
        </w:rPr>
        <w:t>http://www.ascjournal.ascweb.org/journal/1999/no1/Spring%201999,%20Vol.%204,%20No.%201,%20pp.%2026-37.pdf</w:t>
      </w:r>
      <w:r>
        <w:fldChar w:fldCharType="end"/>
      </w:r>
      <w:r>
        <w:rPr>
          <w:rFonts w:ascii="Times New Roman" w:cs="Times New Roman" w:hAnsi="Times New Roman"/>
          <w:outline w:val="off"/>
          <w:shadow w:val="off"/>
          <w:emboss w:val="off"/>
          <w:imprint w:val="off"/>
          <w:color w:val="auto"/>
          <w:spacing w:val="0"/>
          <w:sz w:val="36"/>
          <w:u w:val="none" w:color="auto"/>
        </w:rPr>
        <w:t xml:space="preserve"> (Accessed on 02 January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xml:space="preserve">Accounting Simplified, 2020. 8 Differences between Financial Accounting and Management Accounting. Available at: </w:t>
      </w:r>
      <w:r>
        <w:fldChar w:fldCharType="begin"/>
      </w:r>
      <w:r>
        <w:instrText xml:space="preserve">HYPERLINK "https://accounting-simplified.com/management/introduction/difference-between-financial-management-%20accounting/"</w:instrText>
      </w:r>
      <w:r>
        <w:fldChar w:fldCharType="separate"/>
      </w:r>
      <w:r>
        <w:rPr>
          <w:rFonts w:ascii="Times New Roman" w:cs="Times New Roman" w:hAnsi="Times New Roman"/>
          <w:outline w:val="off"/>
          <w:shadow w:val="off"/>
          <w:emboss w:val="off"/>
          <w:imprint w:val="off"/>
          <w:color w:val="0000ff"/>
          <w:spacing w:val="0"/>
          <w:sz w:val="36"/>
          <w:u w:val="single" w:color="0000ff"/>
        </w:rPr>
        <w:t>https://accounting-simplified.com/management/introduction/difference-between-financial-management- accounting/#:~:text=%208%20Differences%20between%20Financial%20Accounting%20and%20Management,comply%20with%20the%20rules%20and%20principles...%20More%20</w:t>
      </w:r>
      <w:r>
        <w:fldChar w:fldCharType="end"/>
      </w:r>
      <w:r>
        <w:rPr>
          <w:rFonts w:ascii="Times New Roman" w:cs="Times New Roman" w:hAnsi="Times New Roman"/>
          <w:outline w:val="off"/>
          <w:shadow w:val="off"/>
          <w:emboss w:val="off"/>
          <w:imprint w:val="off"/>
          <w:color w:val="auto"/>
          <w:spacing w:val="0"/>
          <w:sz w:val="36"/>
          <w:u w:val="none" w:color="auto"/>
        </w:rPr>
        <w:t xml:space="preserve"> (Accessed on 08 January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xml:space="preserve">Mohamad M., 2020. Contemporary Management Accounting Techniques. Available at: </w:t>
      </w:r>
      <w:r>
        <w:fldChar w:fldCharType="begin"/>
      </w:r>
      <w:r>
        <w:instrText xml:space="preserve">HYPERLINK "https://www.youtube.com/watch?v=8EPZm0ocYzY"</w:instrText>
      </w:r>
      <w:r>
        <w:fldChar w:fldCharType="separate"/>
      </w:r>
      <w:r>
        <w:rPr>
          <w:rFonts w:ascii="Times New Roman" w:cs="Times New Roman" w:hAnsi="Times New Roman"/>
          <w:outline w:val="off"/>
          <w:shadow w:val="off"/>
          <w:emboss w:val="off"/>
          <w:imprint w:val="off"/>
          <w:color w:val="0000ff"/>
          <w:spacing w:val="0"/>
          <w:sz w:val="36"/>
          <w:u w:val="single" w:color="0000ff"/>
        </w:rPr>
        <w:t>https://www.youtube.com/watch?v=8EPZm0ocYzY</w:t>
      </w:r>
      <w:r>
        <w:fldChar w:fldCharType="end"/>
      </w:r>
      <w:r>
        <w:rPr>
          <w:rFonts w:ascii="Times New Roman" w:cs="Times New Roman" w:hAnsi="Times New Roman"/>
          <w:outline w:val="off"/>
          <w:shadow w:val="off"/>
          <w:emboss w:val="off"/>
          <w:imprint w:val="off"/>
          <w:color w:val="auto"/>
          <w:spacing w:val="0"/>
          <w:sz w:val="36"/>
          <w:u w:val="none" w:color="auto"/>
        </w:rPr>
        <w:t xml:space="preserve"> (Accessed on 08 January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xml:space="preserve">Tutor2u, 2019. Budgets and Budgeting (Introduction). Available at: </w:t>
      </w:r>
      <w:r>
        <w:fldChar w:fldCharType="begin"/>
      </w:r>
      <w:r>
        <w:instrText xml:space="preserve">HYPERLINK "https://www.youtube.com/watch?v=uyK_Dv9Bmb4"</w:instrText>
      </w:r>
      <w:r>
        <w:fldChar w:fldCharType="separate"/>
      </w:r>
      <w:r>
        <w:rPr>
          <w:rFonts w:ascii="Times New Roman" w:cs="Times New Roman" w:hAnsi="Times New Roman"/>
          <w:outline w:val="off"/>
          <w:shadow w:val="off"/>
          <w:emboss w:val="off"/>
          <w:imprint w:val="off"/>
          <w:color w:val="0000ff"/>
          <w:spacing w:val="0"/>
          <w:sz w:val="36"/>
          <w:u w:val="single" w:color="0000ff"/>
        </w:rPr>
        <w:t>https://www.youtube.com/watch?v=uyK_Dv9Bmb4</w:t>
      </w:r>
      <w:r>
        <w:fldChar w:fldCharType="end"/>
      </w:r>
      <w:r>
        <w:rPr>
          <w:rFonts w:ascii="Times New Roman" w:cs="Times New Roman" w:hAnsi="Times New Roman"/>
          <w:outline w:val="off"/>
          <w:shadow w:val="off"/>
          <w:emboss w:val="off"/>
          <w:imprint w:val="off"/>
          <w:color w:val="auto"/>
          <w:spacing w:val="0"/>
          <w:sz w:val="36"/>
          <w:u w:val="none" w:color="auto"/>
        </w:rPr>
        <w:t xml:space="preserve"> (Accessed on 08 January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xml:space="preserve">Business Jargons. Capital Budgeting Techniques. Available at: </w:t>
      </w:r>
      <w:r>
        <w:fldChar w:fldCharType="begin"/>
      </w:r>
      <w:r>
        <w:instrText xml:space="preserve">HYPERLINK "https://businessjargons.com/capital-budgeting-techniques.html"</w:instrText>
      </w:r>
      <w:r>
        <w:fldChar w:fldCharType="separate"/>
      </w:r>
      <w:r>
        <w:rPr>
          <w:rFonts w:ascii="Times New Roman" w:cs="Times New Roman" w:hAnsi="Times New Roman"/>
          <w:outline w:val="off"/>
          <w:shadow w:val="off"/>
          <w:emboss w:val="off"/>
          <w:imprint w:val="off"/>
          <w:color w:val="0000ff"/>
          <w:spacing w:val="0"/>
          <w:sz w:val="36"/>
          <w:u w:val="single" w:color="0000ff"/>
        </w:rPr>
        <w:t>https://businessjargons.com/capital-budgeting-techniques.html#:~:text=Definition%3A%20The%20Capital%20Budgeting%20Techniques%20are%20employed%20to,the%20future%20over%20the%20lifetime%20of%20the%20project</w:t>
      </w:r>
      <w:r>
        <w:fldChar w:fldCharType="end"/>
      </w:r>
      <w:r>
        <w:rPr>
          <w:rFonts w:ascii="Times New Roman" w:cs="Times New Roman" w:hAnsi="Times New Roman"/>
          <w:outline w:val="off"/>
          <w:shadow w:val="off"/>
          <w:emboss w:val="off"/>
          <w:imprint w:val="off"/>
          <w:color w:val="auto"/>
          <w:spacing w:val="0"/>
          <w:sz w:val="36"/>
          <w:u w:val="none" w:color="auto"/>
        </w:rPr>
        <w:t>. (Accessed on 08 January 2021)</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3"/>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3"/>
          <w:u w:val="none" w:color="auto"/>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outline w:val="off"/>
          <w:shadow w:val="off"/>
          <w:emboss w:val="off"/>
          <w:imprint w:val="off"/>
          <w:color w:val="auto"/>
          <w:spacing w:val="0"/>
          <w:sz w:val="36"/>
          <w:u w:val="none" w:color="auto"/>
        </w:rPr>
      </w:pPr>
      <w:r>
        <w:rPr>
          <w:rFonts w:ascii="Times New Roman" w:cs="Times New Roman" w:hAnsi="Times New Roman"/>
          <w:outline w:val="off"/>
          <w:shadow w:val="off"/>
          <w:emboss w:val="off"/>
          <w:imprint w:val="off"/>
          <w:color w:val="auto"/>
          <w:spacing w:val="0"/>
          <w:sz w:val="36"/>
          <w:u w:val="none" w:color="auto"/>
          <w:lang w:val="hu-HU"/>
        </w:rPr>
        <w:t>Peter Imre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0"/>
          <w:szCs w:val="40"/>
          <w:u w:val="none" w:color="auto"/>
        </w:rPr>
      </w:pPr>
      <w:r>
        <w:rPr>
          <w:rFonts w:ascii="Times New Roman" w:cs="Times New Roman" w:hAnsi="Times New Roman"/>
          <w:outline w:val="off"/>
          <w:shadow w:val="off"/>
          <w:emboss w:val="off"/>
          <w:imprint w:val="off"/>
          <w:color w:val="auto"/>
          <w:spacing w:val="0"/>
          <w:sz w:val="36"/>
          <w:u w:val="none" w:color="auto"/>
        </w:rPr>
        <w:t>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0"/>
          <w:szCs w:val="40"/>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spacing w:before="0" w:after="0" w:line="240" w:lineRule="auto"/>
        <w:ind w:left="0" w:right="0" w:firstLine="0"/>
        <w:rPr>
          <w:rFonts w:ascii="Times New Roman" w:cs="Times New Roman" w:hAnsi="Times New Roman"/>
          <w:b w:val="off"/>
          <w:outline w:val="off"/>
          <w:shadow w:val="off"/>
          <w:emboss w:val="off"/>
          <w:imprint w:val="off"/>
          <w:color w:val="auto"/>
          <w:spacing w:val="0"/>
          <w:sz w:val="42"/>
          <w:u w:val="none" w:color="auto"/>
        </w:rPr>
      </w:pPr>
    </w:p>
    <w:p>
      <w:pPr>
        <w:rPr>
          <w:rFonts w:ascii="Times New Roman" w:cs="Times New Roman" w:hAnsi="Times New Roman"/>
        </w:rPr>
      </w:pPr>
    </w:p>
    <w:sectPr>
      <w:headerReference w:type="default" r:id="rId5"/>
      <w:footerReference w:type="default" r:id="rId6"/>
      <w:footnotePr/>
      <w:footnotePr/>
      <w:type w:val="nextPage"/>
      <w:pgSz w:w="11906" w:h="16838" w:orient="portrait"/>
      <w:pgMar w:top="1440" w:right="1440" w:bottom="1440" w:left="1440" w:header="708" w:footer="708" w:gutter="0"/>
      <w:paperSrc w:first="1" w:other="1"/>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1">
      <w:start w:val="1"/>
      <w:numFmt w:val="bullet"/>
      <w:suff w:val="tab"/>
      <w:lvlText w:val="•"/>
      <w:lvlJc w:val="left"/>
      <w:pPr>
        <w:ind w:left="720" w:hanging="360"/>
      </w:pPr>
      <w:rPr/>
    </w:lvl>
  </w:abstractNum>
  <w:abstractNum w:abstractNumId="1">
    <w:multiLevelType w:val="hybridMultilevel"/>
    <w:lvl w:ilvl="0" w:tentative="1">
      <w:start w:val="1"/>
      <w:numFmt w:val="bullet"/>
      <w:suff w:val="tab"/>
      <w:lvlText w:val="•"/>
      <w:lvlJc w:val="left"/>
      <w:pPr>
        <w:ind w:left="720" w:hanging="360"/>
      </w:pPr>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footnotePr/>
  <w:endnotePr/>
  <w:themeFontLang w:val="hu-HU" w:eastAsia="zh-CN" w:bidi="ar-SA"/>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unhideWhenUsed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unhideWhenUsed w:val="on"/>
  </w:style>
  <w:style w:type="table" w:default="1" w:styleId="NormalTable">
    <w:name w:val="Normal Table"/>
    <w:uiPriority w:val="99"/>
    <w:semiHidden w:val="on"/>
    <w:unhideWhenUsed w:val="on"/>
    <w:qFormat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unhideWhenUsed w:val="on"/>
    <w:rPr>
      <w:vertAlign w:val="superscript"/>
    </w:rPr>
  </w:style>
  <w:style w:type="paragraph" w:styleId="Endnotetext">
    <w:name w:val="Endnote text"/>
    <w:basedOn w:val="Normal"/>
    <w:link w:val="EndnoteTextChar"/>
    <w:uiPriority w:val="99"/>
    <w:semiHidden w:val="on"/>
    <w:unhideWhenUsed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unhideWhenUsed w:val="on"/>
    <w:rPr>
      <w:vertAlign w:val="superscript"/>
    </w:rPr>
  </w:style>
  <w:style w:type="character" w:styleId="Hyperlink">
    <w:name w:val="Hyperlink"/>
    <w:basedOn w:val="DefaultParagraphFont"/>
    <w:uiPriority w:val="99"/>
    <w:unhideWhenUsed w:val="on"/>
    <w:unhideWhenUsed w:val="on"/>
    <w:rPr>
      <w:color w:val="0563c1" w:themeColor="hyperlink"/>
      <w:u w:val="single"/>
    </w:rPr>
  </w:style>
  <w:style w:type="paragraph" w:styleId="PlainText">
    <w:name w:val="Plain Text"/>
    <w:basedOn w:val="Normal"/>
    <w:link w:val="PlainTextChar"/>
    <w:uiPriority w:val="99"/>
    <w:semiHidden w:val="on"/>
    <w:unhideWhenUsed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numbering" Target="numbering.xml"/><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settings" Target="settings.xml"/></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 Imre</dc:creator>
  <cp:lastModifiedBy>Peter Imre</cp:lastModifiedBy>
</cp:coreProperties>
</file>