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5279397"/>
        <w:docPartObj>
          <w:docPartGallery w:val="Cover Pages"/>
          <w:docPartUnique/>
        </w:docPartObj>
      </w:sdtPr>
      <w:sdtEndPr>
        <w:rPr>
          <w:color w:val="FF0000"/>
        </w:rPr>
      </w:sdtEndPr>
      <w:sdtContent>
        <w:p w14:paraId="2CC234EE" w14:textId="2D6403C7" w:rsidR="00625A39" w:rsidRDefault="00625A39"/>
        <w:p w14:paraId="47BBBE0A" w14:textId="544C9FF9" w:rsidR="00625A39" w:rsidRDefault="00625A39">
          <w:pPr>
            <w:rPr>
              <w:color w:val="FF0000"/>
            </w:rPr>
          </w:pPr>
          <w:r>
            <w:rPr>
              <w:noProof/>
            </w:rPr>
            <mc:AlternateContent>
              <mc:Choice Requires="wps">
                <w:drawing>
                  <wp:anchor distT="45720" distB="45720" distL="114300" distR="114300" simplePos="0" relativeHeight="251662336" behindDoc="0" locked="0" layoutInCell="1" allowOverlap="1" wp14:anchorId="1AA1FAC9" wp14:editId="1326F599">
                    <wp:simplePos x="0" y="0"/>
                    <wp:positionH relativeFrom="margin">
                      <wp:posOffset>310259</wp:posOffset>
                    </wp:positionH>
                    <wp:positionV relativeFrom="paragraph">
                      <wp:posOffset>6725474</wp:posOffset>
                    </wp:positionV>
                    <wp:extent cx="4840605" cy="175196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0605" cy="1751965"/>
                            </a:xfrm>
                            <a:prstGeom prst="rect">
                              <a:avLst/>
                            </a:prstGeom>
                            <a:solidFill>
                              <a:srgbClr val="FFFFFF"/>
                            </a:solidFill>
                            <a:ln>
                              <a:noFill/>
                            </a:ln>
                          </wps:spPr>
                          <wps:txbx>
                            <w:txbxContent>
                              <w:p w14:paraId="6DFB1474" w14:textId="63FAAE6F" w:rsidR="00625A39" w:rsidRPr="00BC4630" w:rsidRDefault="00625A39" w:rsidP="00625A39">
                                <w:pPr>
                                  <w:rPr>
                                    <w:rFonts w:ascii="Arial" w:hAnsi="Arial" w:cs="Arial"/>
                                    <w:color w:val="4F81BD" w:themeColor="accent1"/>
                                    <w:sz w:val="28"/>
                                    <w:szCs w:val="28"/>
                                  </w:rPr>
                                </w:pPr>
                                <w:r w:rsidRPr="00BC4630">
                                  <w:rPr>
                                    <w:rFonts w:ascii="Arial" w:hAnsi="Arial" w:cs="Arial"/>
                                    <w:color w:val="000000" w:themeColor="text1"/>
                                    <w:sz w:val="28"/>
                                    <w:szCs w:val="28"/>
                                  </w:rPr>
                                  <w:t xml:space="preserve">Name: </w:t>
                                </w:r>
                                <w:r w:rsidRPr="00BC4630">
                                  <w:rPr>
                                    <w:rFonts w:ascii="Arial" w:hAnsi="Arial" w:cs="Arial"/>
                                    <w:color w:val="4F81BD" w:themeColor="accent1"/>
                                    <w:sz w:val="28"/>
                                    <w:szCs w:val="28"/>
                                  </w:rPr>
                                  <w:t>HUSNA BEGUM</w:t>
                                </w:r>
                                <w:r w:rsidRPr="00BC4630">
                                  <w:rPr>
                                    <w:rFonts w:ascii="Arial" w:hAnsi="Arial" w:cs="Arial"/>
                                    <w:color w:val="548DD4" w:themeColor="text2" w:themeTint="99"/>
                                    <w:sz w:val="28"/>
                                    <w:szCs w:val="28"/>
                                  </w:rPr>
                                  <w:br/>
                                </w:r>
                                <w:r w:rsidRPr="00BC4630">
                                  <w:rPr>
                                    <w:rFonts w:ascii="Arial" w:hAnsi="Arial" w:cs="Arial"/>
                                    <w:color w:val="000000" w:themeColor="text1"/>
                                    <w:sz w:val="28"/>
                                    <w:szCs w:val="28"/>
                                  </w:rPr>
                                  <w:t xml:space="preserve">Student ID: </w:t>
                                </w:r>
                                <w:r w:rsidRPr="00BC4630">
                                  <w:rPr>
                                    <w:rFonts w:ascii="Arial" w:hAnsi="Arial" w:cs="Arial"/>
                                    <w:color w:val="4F81BD" w:themeColor="accent1"/>
                                    <w:sz w:val="28"/>
                                    <w:szCs w:val="28"/>
                                  </w:rPr>
                                  <w:t>1915041</w:t>
                                </w:r>
                                <w:r w:rsidRPr="00BC4630">
                                  <w:rPr>
                                    <w:rFonts w:ascii="Arial" w:hAnsi="Arial" w:cs="Arial"/>
                                    <w:color w:val="548DD4" w:themeColor="text2" w:themeTint="99"/>
                                    <w:sz w:val="28"/>
                                    <w:szCs w:val="28"/>
                                  </w:rPr>
                                  <w:br/>
                                </w:r>
                                <w:r w:rsidRPr="00BC4630">
                                  <w:rPr>
                                    <w:rFonts w:ascii="Arial" w:hAnsi="Arial" w:cs="Arial"/>
                                    <w:color w:val="000000" w:themeColor="text1"/>
                                    <w:sz w:val="28"/>
                                    <w:szCs w:val="28"/>
                                  </w:rPr>
                                  <w:t xml:space="preserve">Module Code: </w:t>
                                </w:r>
                                <w:r w:rsidRPr="00BC4630">
                                  <w:rPr>
                                    <w:rFonts w:ascii="Arial" w:hAnsi="Arial" w:cs="Arial"/>
                                    <w:color w:val="4F81BD" w:themeColor="accent1"/>
                                    <w:sz w:val="28"/>
                                    <w:szCs w:val="28"/>
                                  </w:rPr>
                                  <w:t>BMHP50</w:t>
                                </w:r>
                                <w:r>
                                  <w:rPr>
                                    <w:rFonts w:ascii="Arial" w:hAnsi="Arial" w:cs="Arial"/>
                                    <w:color w:val="4F81BD" w:themeColor="accent1"/>
                                    <w:sz w:val="28"/>
                                    <w:szCs w:val="28"/>
                                  </w:rPr>
                                  <w:t>0</w:t>
                                </w:r>
                                <w:r w:rsidRPr="00BC4630">
                                  <w:rPr>
                                    <w:rFonts w:ascii="Arial" w:hAnsi="Arial" w:cs="Arial"/>
                                    <w:color w:val="4F81BD" w:themeColor="accent1"/>
                                    <w:sz w:val="28"/>
                                    <w:szCs w:val="28"/>
                                  </w:rPr>
                                  <w:t>4 (</w:t>
                                </w:r>
                                <w:r w:rsidRPr="00625A39">
                                  <w:rPr>
                                    <w:rFonts w:ascii="Arial" w:hAnsi="Arial" w:cs="Arial"/>
                                    <w:color w:val="4F81BD" w:themeColor="accent1"/>
                                    <w:sz w:val="28"/>
                                    <w:szCs w:val="28"/>
                                  </w:rPr>
                                  <w:t>Children, Young People and Families</w:t>
                                </w:r>
                                <w:r w:rsidRPr="00BC4630">
                                  <w:rPr>
                                    <w:rFonts w:ascii="Arial" w:hAnsi="Arial" w:cs="Arial"/>
                                    <w:color w:val="4F81BD" w:themeColor="accent1"/>
                                    <w:sz w:val="28"/>
                                    <w:szCs w:val="28"/>
                                  </w:rPr>
                                  <w:t>)</w:t>
                                </w:r>
                                <w:r w:rsidRPr="00BC4630">
                                  <w:rPr>
                                    <w:rFonts w:ascii="Arial" w:hAnsi="Arial" w:cs="Arial"/>
                                    <w:color w:val="548DD4" w:themeColor="text2" w:themeTint="99"/>
                                    <w:sz w:val="28"/>
                                    <w:szCs w:val="28"/>
                                  </w:rPr>
                                  <w:br/>
                                </w:r>
                                <w:r w:rsidRPr="00BC4630">
                                  <w:rPr>
                                    <w:rFonts w:ascii="Arial" w:hAnsi="Arial" w:cs="Arial"/>
                                    <w:color w:val="000000" w:themeColor="text1"/>
                                    <w:sz w:val="28"/>
                                    <w:szCs w:val="28"/>
                                  </w:rPr>
                                  <w:t xml:space="preserve">Assignment Section: </w:t>
                                </w:r>
                                <w:r w:rsidRPr="00BC4630">
                                  <w:rPr>
                                    <w:rFonts w:ascii="Arial" w:hAnsi="Arial" w:cs="Arial"/>
                                    <w:color w:val="4F81BD" w:themeColor="accent1"/>
                                    <w:sz w:val="28"/>
                                    <w:szCs w:val="28"/>
                                  </w:rPr>
                                  <w:t xml:space="preserve">Part </w:t>
                                </w:r>
                                <w:r w:rsidR="00FA0AB3">
                                  <w:rPr>
                                    <w:rFonts w:ascii="Arial" w:hAnsi="Arial" w:cs="Arial"/>
                                    <w:color w:val="4F81BD" w:themeColor="accent1"/>
                                    <w:sz w:val="28"/>
                                    <w:szCs w:val="28"/>
                                  </w:rPr>
                                  <w:t>2</w:t>
                                </w:r>
                                <w:r w:rsidRPr="00BC4630">
                                  <w:rPr>
                                    <w:rFonts w:ascii="Arial" w:hAnsi="Arial" w:cs="Arial"/>
                                    <w:color w:val="4F81BD" w:themeColor="accent1"/>
                                    <w:sz w:val="28"/>
                                    <w:szCs w:val="28"/>
                                  </w:rPr>
                                  <w:t xml:space="preserve"> </w:t>
                                </w:r>
                                <w:r w:rsidRPr="00BC4630">
                                  <w:rPr>
                                    <w:rFonts w:ascii="Arial" w:hAnsi="Arial" w:cs="Arial"/>
                                    <w:color w:val="548DD4" w:themeColor="text2" w:themeTint="99"/>
                                    <w:sz w:val="28"/>
                                    <w:szCs w:val="28"/>
                                  </w:rPr>
                                  <w:br/>
                                </w:r>
                                <w:r w:rsidRPr="00BC4630">
                                  <w:rPr>
                                    <w:rFonts w:ascii="Arial" w:hAnsi="Arial" w:cs="Arial"/>
                                    <w:color w:val="000000" w:themeColor="text1"/>
                                    <w:sz w:val="28"/>
                                    <w:szCs w:val="28"/>
                                  </w:rPr>
                                  <w:t>Lecturers Name:</w:t>
                                </w:r>
                                <w:r>
                                  <w:rPr>
                                    <w:rFonts w:ascii="Arial" w:hAnsi="Arial" w:cs="Arial"/>
                                    <w:color w:val="4F81BD" w:themeColor="accent1"/>
                                    <w:sz w:val="28"/>
                                    <w:szCs w:val="28"/>
                                  </w:rPr>
                                  <w:t xml:space="preserve"> </w:t>
                                </w:r>
                                <w:r w:rsidR="00FA0AB3">
                                  <w:rPr>
                                    <w:rFonts w:ascii="Arial" w:hAnsi="Arial" w:cs="Arial"/>
                                    <w:color w:val="4F81BD" w:themeColor="accent1"/>
                                    <w:sz w:val="28"/>
                                    <w:szCs w:val="28"/>
                                  </w:rPr>
                                  <w:t>Rachael France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1AA1FAC9" id="_x0000_t202" coordsize="21600,21600" o:spt="202" path="m,l,21600r21600,l21600,xe">
                    <v:stroke joinstyle="miter"/>
                    <v:path gradientshapeok="t" o:connecttype="rect"/>
                  </v:shapetype>
                  <v:shape id="Text Box 2" o:spid="_x0000_s1026" type="#_x0000_t202" style="position:absolute;margin-left:24.45pt;margin-top:529.55pt;width:381.15pt;height:137.95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9hqBwIAAPADAAAOAAAAZHJzL2Uyb0RvYy54bWysU8Fu2zAMvQ/YPwi6L7aDJG2NOEWXIsOA&#10;bh3Q7gNkWbaF2aJGKbGzrx8lJ1m23YbpIIgi9fj4SK3vx75jB4VOgyl4Nks5U0ZCpU1T8K+vu3e3&#10;nDkvTCU6MKrgR+X4/ebtm/VgczWHFrpKISMQ4/LBFrz13uZJ4mSreuFmYJUhZw3YC08mNkmFYiD0&#10;vkvmabpKBsDKIkjlHN0+Tk6+ifh1raR/rmunPOsKTtx83DHuZdiTzVrkDQrbanmiIf6BRS+0oaQX&#10;qEfhBduj/guq1xLBQe1nEvoE6lpLFWugarL0j2peWmFVrIXEcfYik/t/sPLz4QsyXRV8yZkRPbXo&#10;VY2evYeRzYM6g3U5Bb1YCvMjXVOXY6XOPoH85piBbStMox4QYWiVqIhdFl4mV08nHBdAyuETVJRG&#10;7D1EoLHGPkhHYjBCpy4dL50JVCRdLm4X6SolipJ82c0yu1stYw6Rn59bdP6Dgp6FQ8GRWh/hxeHJ&#10;+UBH5OeQkM1Bp6ud7rpoYFNuO2QHQWOyi+uE/ltYZ0KwgfBsQgw3sc5Q2lSkH8vxpFsJ1ZEqRpjG&#10;jr4JHVrAH5wNNHIFd9/3AhVn3UdDqt1li0WY0WgsljdzMvDaU157hJEEVXDP2XTc+mmu9xZ101Km&#10;c58eSOmdjhqElkysTrxprKI0py8Q5vbajlG/PurmJwAAAP//AwBQSwMEFAAGAAgAAAAhAMHPnQHg&#10;AAAADAEAAA8AAABkcnMvZG93bnJldi54bWxMj8tOwzAQRfdI/IM1SOyonZagNI1TVVRsWCBRkOjS&#10;jZ04wi/Zbhr+nmFFl3Pn6M6ZZjtbQyYV0+gdh2LBgCjXeTm6gcPnx8tDBSRl4aQw3ikOPyrBtr29&#10;aUQt/cW9q+mQB4IlLtWCg8451JSmTisr0sIH5XDX+2hFxjEOVEZxwXJr6JKxJ2rF6PCCFkE9a9V9&#10;H86Ww5fVo9zHt2MvzbR/7XdlmGPg/P5u3m2AZDXnfxj+9FEdWnQ6+bOTiRgOj9UaScxZuS6AIFEV&#10;xRLICaPVqmRA24ZeP9H+AgAA//8DAFBLAQItABQABgAIAAAAIQC2gziS/gAAAOEBAAATAAAAAAAA&#10;AAAAAAAAAAAAAABbQ29udGVudF9UeXBlc10ueG1sUEsBAi0AFAAGAAgAAAAhADj9If/WAAAAlAEA&#10;AAsAAAAAAAAAAAAAAAAALwEAAF9yZWxzLy5yZWxzUEsBAi0AFAAGAAgAAAAhADsP2GoHAgAA8AMA&#10;AA4AAAAAAAAAAAAAAAAALgIAAGRycy9lMm9Eb2MueG1sUEsBAi0AFAAGAAgAAAAhAMHPnQHgAAAA&#10;DAEAAA8AAAAAAAAAAAAAAAAAYQQAAGRycy9kb3ducmV2LnhtbFBLBQYAAAAABAAEAPMAAABuBQAA&#10;AAA=&#10;" stroked="f">
                    <v:textbox style="mso-fit-shape-to-text:t">
                      <w:txbxContent>
                        <w:p w14:paraId="6DFB1474" w14:textId="63FAAE6F" w:rsidR="00625A39" w:rsidRPr="00BC4630" w:rsidRDefault="00625A39" w:rsidP="00625A39">
                          <w:pPr>
                            <w:rPr>
                              <w:rFonts w:ascii="Arial" w:hAnsi="Arial" w:cs="Arial"/>
                              <w:color w:val="4F81BD" w:themeColor="accent1"/>
                              <w:sz w:val="28"/>
                              <w:szCs w:val="28"/>
                            </w:rPr>
                          </w:pPr>
                          <w:r w:rsidRPr="00BC4630">
                            <w:rPr>
                              <w:rFonts w:ascii="Arial" w:hAnsi="Arial" w:cs="Arial"/>
                              <w:color w:val="000000" w:themeColor="text1"/>
                              <w:sz w:val="28"/>
                              <w:szCs w:val="28"/>
                            </w:rPr>
                            <w:t xml:space="preserve">Name: </w:t>
                          </w:r>
                          <w:r w:rsidRPr="00BC4630">
                            <w:rPr>
                              <w:rFonts w:ascii="Arial" w:hAnsi="Arial" w:cs="Arial"/>
                              <w:color w:val="4F81BD" w:themeColor="accent1"/>
                              <w:sz w:val="28"/>
                              <w:szCs w:val="28"/>
                            </w:rPr>
                            <w:t>HUSNA BEGUM</w:t>
                          </w:r>
                          <w:r w:rsidRPr="00BC4630">
                            <w:rPr>
                              <w:rFonts w:ascii="Arial" w:hAnsi="Arial" w:cs="Arial"/>
                              <w:color w:val="548DD4" w:themeColor="text2" w:themeTint="99"/>
                              <w:sz w:val="28"/>
                              <w:szCs w:val="28"/>
                            </w:rPr>
                            <w:br/>
                          </w:r>
                          <w:r w:rsidRPr="00BC4630">
                            <w:rPr>
                              <w:rFonts w:ascii="Arial" w:hAnsi="Arial" w:cs="Arial"/>
                              <w:color w:val="000000" w:themeColor="text1"/>
                              <w:sz w:val="28"/>
                              <w:szCs w:val="28"/>
                            </w:rPr>
                            <w:t xml:space="preserve">Student ID: </w:t>
                          </w:r>
                          <w:r w:rsidRPr="00BC4630">
                            <w:rPr>
                              <w:rFonts w:ascii="Arial" w:hAnsi="Arial" w:cs="Arial"/>
                              <w:color w:val="4F81BD" w:themeColor="accent1"/>
                              <w:sz w:val="28"/>
                              <w:szCs w:val="28"/>
                            </w:rPr>
                            <w:t>1915041</w:t>
                          </w:r>
                          <w:r w:rsidRPr="00BC4630">
                            <w:rPr>
                              <w:rFonts w:ascii="Arial" w:hAnsi="Arial" w:cs="Arial"/>
                              <w:color w:val="548DD4" w:themeColor="text2" w:themeTint="99"/>
                              <w:sz w:val="28"/>
                              <w:szCs w:val="28"/>
                            </w:rPr>
                            <w:br/>
                          </w:r>
                          <w:r w:rsidRPr="00BC4630">
                            <w:rPr>
                              <w:rFonts w:ascii="Arial" w:hAnsi="Arial" w:cs="Arial"/>
                              <w:color w:val="000000" w:themeColor="text1"/>
                              <w:sz w:val="28"/>
                              <w:szCs w:val="28"/>
                            </w:rPr>
                            <w:t xml:space="preserve">Module Code: </w:t>
                          </w:r>
                          <w:r w:rsidRPr="00BC4630">
                            <w:rPr>
                              <w:rFonts w:ascii="Arial" w:hAnsi="Arial" w:cs="Arial"/>
                              <w:color w:val="4F81BD" w:themeColor="accent1"/>
                              <w:sz w:val="28"/>
                              <w:szCs w:val="28"/>
                            </w:rPr>
                            <w:t>BMHP50</w:t>
                          </w:r>
                          <w:r>
                            <w:rPr>
                              <w:rFonts w:ascii="Arial" w:hAnsi="Arial" w:cs="Arial"/>
                              <w:color w:val="4F81BD" w:themeColor="accent1"/>
                              <w:sz w:val="28"/>
                              <w:szCs w:val="28"/>
                            </w:rPr>
                            <w:t>0</w:t>
                          </w:r>
                          <w:r w:rsidRPr="00BC4630">
                            <w:rPr>
                              <w:rFonts w:ascii="Arial" w:hAnsi="Arial" w:cs="Arial"/>
                              <w:color w:val="4F81BD" w:themeColor="accent1"/>
                              <w:sz w:val="28"/>
                              <w:szCs w:val="28"/>
                            </w:rPr>
                            <w:t>4 (</w:t>
                          </w:r>
                          <w:r w:rsidRPr="00625A39">
                            <w:rPr>
                              <w:rFonts w:ascii="Arial" w:hAnsi="Arial" w:cs="Arial"/>
                              <w:color w:val="4F81BD" w:themeColor="accent1"/>
                              <w:sz w:val="28"/>
                              <w:szCs w:val="28"/>
                            </w:rPr>
                            <w:t>Children, Young People and Families</w:t>
                          </w:r>
                          <w:r w:rsidRPr="00BC4630">
                            <w:rPr>
                              <w:rFonts w:ascii="Arial" w:hAnsi="Arial" w:cs="Arial"/>
                              <w:color w:val="4F81BD" w:themeColor="accent1"/>
                              <w:sz w:val="28"/>
                              <w:szCs w:val="28"/>
                            </w:rPr>
                            <w:t>)</w:t>
                          </w:r>
                          <w:r w:rsidRPr="00BC4630">
                            <w:rPr>
                              <w:rFonts w:ascii="Arial" w:hAnsi="Arial" w:cs="Arial"/>
                              <w:color w:val="548DD4" w:themeColor="text2" w:themeTint="99"/>
                              <w:sz w:val="28"/>
                              <w:szCs w:val="28"/>
                            </w:rPr>
                            <w:br/>
                          </w:r>
                          <w:r w:rsidRPr="00BC4630">
                            <w:rPr>
                              <w:rFonts w:ascii="Arial" w:hAnsi="Arial" w:cs="Arial"/>
                              <w:color w:val="000000" w:themeColor="text1"/>
                              <w:sz w:val="28"/>
                              <w:szCs w:val="28"/>
                            </w:rPr>
                            <w:t xml:space="preserve">Assignment Section: </w:t>
                          </w:r>
                          <w:r w:rsidRPr="00BC4630">
                            <w:rPr>
                              <w:rFonts w:ascii="Arial" w:hAnsi="Arial" w:cs="Arial"/>
                              <w:color w:val="4F81BD" w:themeColor="accent1"/>
                              <w:sz w:val="28"/>
                              <w:szCs w:val="28"/>
                            </w:rPr>
                            <w:t xml:space="preserve">Part </w:t>
                          </w:r>
                          <w:r w:rsidR="00FA0AB3">
                            <w:rPr>
                              <w:rFonts w:ascii="Arial" w:hAnsi="Arial" w:cs="Arial"/>
                              <w:color w:val="4F81BD" w:themeColor="accent1"/>
                              <w:sz w:val="28"/>
                              <w:szCs w:val="28"/>
                            </w:rPr>
                            <w:t>2</w:t>
                          </w:r>
                          <w:r w:rsidRPr="00BC4630">
                            <w:rPr>
                              <w:rFonts w:ascii="Arial" w:hAnsi="Arial" w:cs="Arial"/>
                              <w:color w:val="4F81BD" w:themeColor="accent1"/>
                              <w:sz w:val="28"/>
                              <w:szCs w:val="28"/>
                            </w:rPr>
                            <w:t xml:space="preserve"> </w:t>
                          </w:r>
                          <w:r w:rsidRPr="00BC4630">
                            <w:rPr>
                              <w:rFonts w:ascii="Arial" w:hAnsi="Arial" w:cs="Arial"/>
                              <w:color w:val="548DD4" w:themeColor="text2" w:themeTint="99"/>
                              <w:sz w:val="28"/>
                              <w:szCs w:val="28"/>
                            </w:rPr>
                            <w:br/>
                          </w:r>
                          <w:r w:rsidRPr="00BC4630">
                            <w:rPr>
                              <w:rFonts w:ascii="Arial" w:hAnsi="Arial" w:cs="Arial"/>
                              <w:color w:val="000000" w:themeColor="text1"/>
                              <w:sz w:val="28"/>
                              <w:szCs w:val="28"/>
                            </w:rPr>
                            <w:t>Lecturers Name:</w:t>
                          </w:r>
                          <w:r>
                            <w:rPr>
                              <w:rFonts w:ascii="Arial" w:hAnsi="Arial" w:cs="Arial"/>
                              <w:color w:val="4F81BD" w:themeColor="accent1"/>
                              <w:sz w:val="28"/>
                              <w:szCs w:val="28"/>
                            </w:rPr>
                            <w:t xml:space="preserve"> </w:t>
                          </w:r>
                          <w:r w:rsidR="00FA0AB3">
                            <w:rPr>
                              <w:rFonts w:ascii="Arial" w:hAnsi="Arial" w:cs="Arial"/>
                              <w:color w:val="4F81BD" w:themeColor="accent1"/>
                              <w:sz w:val="28"/>
                              <w:szCs w:val="28"/>
                            </w:rPr>
                            <w:t>Rachael France</w:t>
                          </w:r>
                        </w:p>
                      </w:txbxContent>
                    </v:textbox>
                    <w10:wrap type="square" anchorx="margin"/>
                  </v:shape>
                </w:pict>
              </mc:Fallback>
            </mc:AlternateContent>
          </w:r>
          <w:r>
            <w:rPr>
              <w:noProof/>
            </w:rPr>
            <mc:AlternateContent>
              <mc:Choice Requires="wpg">
                <w:drawing>
                  <wp:anchor distT="0" distB="0" distL="114300" distR="114300" simplePos="0" relativeHeight="251659264" behindDoc="1" locked="0" layoutInCell="1" allowOverlap="1" wp14:anchorId="7B6C5A7A" wp14:editId="06D7E8B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2307FFF" w14:textId="2D1E5727" w:rsidR="00625A39" w:rsidRDefault="00625A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25A39">
                                        <w:rPr>
                                          <w:color w:val="FFFFFF" w:themeColor="background1"/>
                                          <w:sz w:val="72"/>
                                          <w:szCs w:val="72"/>
                                        </w:rPr>
                                        <w:t>Task 2 – 1000-word Individual Supporting Paper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B6C5A7A"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42307FFF" w14:textId="2D1E5727" w:rsidR="00625A39" w:rsidRDefault="00625A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25A39">
                                  <w:rPr>
                                    <w:color w:val="FFFFFF" w:themeColor="background1"/>
                                    <w:sz w:val="72"/>
                                    <w:szCs w:val="72"/>
                                  </w:rPr>
                                  <w:t>Task 2 – 1000-word Individual Supporting Paper</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53EBEEB2" wp14:editId="18488E7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7-30T00:00:00Z">
                                    <w:dateFormat w:val="yyyy"/>
                                    <w:lid w:val="en-US"/>
                                    <w:storeMappedDataAs w:val="dateTime"/>
                                    <w:calendar w:val="gregorian"/>
                                  </w:date>
                                </w:sdtPr>
                                <w:sdtContent>
                                  <w:p w14:paraId="209CFE25" w14:textId="07D2F0E4" w:rsidR="00625A39" w:rsidRDefault="00625A39">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EBEEB2"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A/vrNHaAAAABAEAAA8AAABkcnMvZG93bnJldi54&#10;bWxMj8FOwzAQRO9I/IO1SNyo00AiGuJUgIS4lEML6nkTmzjCXgfbacLfY7jAZaTVjGbe1tvFGnZS&#10;PgyOBKxXGTBFnZMD9QLeXp+uboGFiCTROFICvlSAbXN+VmMl3Ux7dTrEnqUSChUK0DGOFeeh08pi&#10;WLlRUfLenbcY0+l7Lj3OqdwanmdZyS0OlBY0jupRq+7jMFkBOe5mvd7lL8fPm2kpjfUPz9QKcXmx&#10;3N8Bi2qJf2H4wU/o0CSm1k0kAzMC0iPxV5O3uS6BtSlTFAXwpub/4ZtvAAAA//8DAFBLAQItABQA&#10;BgAIAAAAIQC2gziS/gAAAOEBAAATAAAAAAAAAAAAAAAAAAAAAABbQ29udGVudF9UeXBlc10ueG1s&#10;UEsBAi0AFAAGAAgAAAAhADj9If/WAAAAlAEAAAsAAAAAAAAAAAAAAAAALwEAAF9yZWxzLy5yZWxz&#10;UEsBAi0AFAAGAAgAAAAhAF9if2+aAgAAkAUAAA4AAAAAAAAAAAAAAAAALgIAAGRycy9lMm9Eb2Mu&#10;eG1sUEsBAi0AFAAGAAgAAAAhAA/vrNHaAAAABAEAAA8AAAAAAAAAAAAAAAAA9AQAAGRycy9kb3du&#10;cmV2LnhtbFBLBQYAAAAABAAEAPMAAAD7BQ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7-30T00:00:00Z">
                              <w:dateFormat w:val="yyyy"/>
                              <w:lid w:val="en-US"/>
                              <w:storeMappedDataAs w:val="dateTime"/>
                              <w:calendar w:val="gregorian"/>
                            </w:date>
                          </w:sdtPr>
                          <w:sdtContent>
                            <w:p w14:paraId="209CFE25" w14:textId="07D2F0E4" w:rsidR="00625A39" w:rsidRDefault="00625A39">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color w:val="FF0000"/>
            </w:rPr>
            <w:br w:type="page"/>
          </w:r>
        </w:p>
      </w:sdtContent>
    </w:sdt>
    <w:p w14:paraId="65CCCBFC" w14:textId="5ABAB4ED" w:rsidR="00312561" w:rsidRDefault="00312561" w:rsidP="00553515">
      <w:pPr>
        <w:jc w:val="both"/>
      </w:pPr>
      <w:r w:rsidRPr="00312561">
        <w:rPr>
          <w:color w:val="FF0000"/>
        </w:rPr>
        <w:lastRenderedPageBreak/>
        <w:t>You have to be specific about the reasons why the child, young person and/or family were in a position of vulnerability: what factors meant that there were specific issues in this case which might not be seen in the average family?</w:t>
      </w:r>
    </w:p>
    <w:p w14:paraId="6483BAC2" w14:textId="7CBA7C3A" w:rsidR="00E6756F" w:rsidRDefault="00E6756F" w:rsidP="00553515">
      <w:pPr>
        <w:jc w:val="both"/>
      </w:pPr>
      <w:r>
        <w:t xml:space="preserve">The family can be considered vulnerable for many different reasons. The first of these is that the mother seems to be a single-mother with no partner, this means that the children do not have any father figure. This means there is an absence of their father as well as another adult male such as a step-dad or male partner to their mother. </w:t>
      </w:r>
      <w:r w:rsidR="00B11E1B">
        <w:t xml:space="preserve">This means that the children solely rely on the mother to look after them and she has all the responsibility on her shoulders to provide for the family. </w:t>
      </w:r>
      <w:r w:rsidR="00D90BFC">
        <w:t xml:space="preserve">The children are vulnerable because they lack that extra support that they would receive from </w:t>
      </w:r>
      <w:r w:rsidR="00D817FA">
        <w:t>a combination of both parents as opposed to just one.</w:t>
      </w:r>
    </w:p>
    <w:p w14:paraId="353359E8" w14:textId="28FA7884" w:rsidR="00D817FA" w:rsidRDefault="00D817FA" w:rsidP="00553515">
      <w:pPr>
        <w:jc w:val="both"/>
      </w:pPr>
      <w:r>
        <w:t>Further to being a single-mother, the mother suffers from mental health problems</w:t>
      </w:r>
      <w:r w:rsidR="00861FD6">
        <w:t xml:space="preserve"> of depression and anxiety. This means that she is vulnerable and on top of this the children are also vulnerable</w:t>
      </w:r>
      <w:r w:rsidR="00296269">
        <w:t xml:space="preserve"> because not only do they have reduced support as they only have one parent but that parent has mental health problems which means she is less available to them and </w:t>
      </w:r>
      <w:r w:rsidR="00D66C3A">
        <w:t xml:space="preserve">not able to provide those things that a normal person would. </w:t>
      </w:r>
    </w:p>
    <w:p w14:paraId="2BEE38E5" w14:textId="4199A789" w:rsidR="00D66C3A" w:rsidRDefault="00D66C3A" w:rsidP="00553515">
      <w:pPr>
        <w:jc w:val="both"/>
      </w:pPr>
      <w:r>
        <w:t xml:space="preserve">There are also 4 children, this means that each child will get less time, attention and support than they need because of the other children. </w:t>
      </w:r>
    </w:p>
    <w:p w14:paraId="3EBCFE4C" w14:textId="2B05E2E2" w:rsidR="00D66C3A" w:rsidRDefault="00D66C3A" w:rsidP="00553515">
      <w:pPr>
        <w:jc w:val="both"/>
      </w:pPr>
      <w:r>
        <w:t>Overall</w:t>
      </w:r>
      <w:r w:rsidR="0062395B">
        <w:t>,</w:t>
      </w:r>
      <w:r>
        <w:t xml:space="preserve"> the above factors and more combine to mean that family are vulnerable in many aspects and this is occurring at the same time as a compound effect. A normal family would not have many of these problems and due to this reason the each family member is vulnerable and </w:t>
      </w:r>
      <w:r w:rsidR="0062395B">
        <w:t>needs extra support.</w:t>
      </w:r>
    </w:p>
    <w:p w14:paraId="26E6DD13" w14:textId="77777777" w:rsidR="00312561" w:rsidRDefault="00312561" w:rsidP="00553515">
      <w:pPr>
        <w:jc w:val="both"/>
        <w:rPr>
          <w:color w:val="FF0000"/>
        </w:rPr>
      </w:pPr>
      <w:r w:rsidRPr="00312561">
        <w:rPr>
          <w:color w:val="FF0000"/>
        </w:rPr>
        <w:t>You can draw on any evidence you feel is relevant, but it may be that the child, young person or family were living in specific circumstances which might have indicated a higher level of vulnerability. What do you feel were the risk factors?</w:t>
      </w:r>
    </w:p>
    <w:p w14:paraId="6D71C451" w14:textId="01BBEEDC" w:rsidR="0062395B" w:rsidRDefault="00244F21" w:rsidP="00553515">
      <w:pPr>
        <w:jc w:val="both"/>
      </w:pPr>
      <w:r>
        <w:t>The risk factors are those things which make the family vulnerable. These include being a single-parent family, mother suffering from mental health problems,</w:t>
      </w:r>
      <w:r w:rsidR="00C07150">
        <w:t xml:space="preserve"> having no income or support,</w:t>
      </w:r>
      <w:r>
        <w:t xml:space="preserve"> having a relatively large family,</w:t>
      </w:r>
      <w:r w:rsidR="00E1450D">
        <w:t xml:space="preserve"> </w:t>
      </w:r>
      <w:r w:rsidR="00F934F4">
        <w:t>adolescent</w:t>
      </w:r>
      <w:r w:rsidR="00E1450D">
        <w:t xml:space="preserve"> bo</w:t>
      </w:r>
      <w:r w:rsidR="00C07150">
        <w:t>ys with no direction</w:t>
      </w:r>
      <w:r w:rsidR="00F934F4">
        <w:t xml:space="preserve">, living in a broken home, a young nursery girl having to experience these risks at such a young age. </w:t>
      </w:r>
      <w:r w:rsidR="00C07150">
        <w:t xml:space="preserve">These risks will start from the top and cascade down compounding and affect each individual differently and more so the lower down they are in the family. </w:t>
      </w:r>
      <w:r w:rsidR="00D95E29">
        <w:t xml:space="preserve">Starting from the mother suffering </w:t>
      </w:r>
      <w:r w:rsidR="005F4A19">
        <w:t xml:space="preserve">with mental health problems, having no partner and no income to support the family, these risks first of all put her in a vulnerable position. These risks will then go on to make the children vulnerable. Since the 17 year old daughter is the oldest it should affect her the least as although she will still be majorly affected. The two adolescent boys will then be </w:t>
      </w:r>
      <w:r w:rsidR="005F4A19">
        <w:lastRenderedPageBreak/>
        <w:t>affected because they will not have a normal upbringing</w:t>
      </w:r>
      <w:r w:rsidR="00B625AF">
        <w:t xml:space="preserve"> and so will not be able to develop in many ways. They will not have financial support that other children would get from their parents, they will not get emotional support that they need growing up which in turn will most likely cause them to develop mental health problems themselves. They are more likely to resort to the streets or local area for money and may find themselves involved with drugs and crime in general.</w:t>
      </w:r>
      <w:r w:rsidR="009107C1">
        <w:t xml:space="preserve"> Finally, the most affected individual from these risk factors will be the smallest child, as she is least developed and the most vulnerable. She is not able to look after herself and relies on her family for many things such as food, clothes, shelter, emotional support and development, etc. on top of this she may also be at risk from the behaviour, mental health problems of the rest of the family, particularly the mental health of her mother and the anger issues of her brother. </w:t>
      </w:r>
    </w:p>
    <w:p w14:paraId="2D4A461A" w14:textId="77777777" w:rsidR="00625A39" w:rsidRDefault="00625A39" w:rsidP="00553515">
      <w:pPr>
        <w:jc w:val="both"/>
        <w:rPr>
          <w:color w:val="FF0000"/>
        </w:rPr>
      </w:pPr>
      <w:r w:rsidRPr="00625A39">
        <w:rPr>
          <w:color w:val="FF0000"/>
        </w:rPr>
        <w:t>You will need to explain the point at which the child, young person or family became the subject of assessment by health and social care agencies, and what action the agencies or a specific agency decided to take. Discuss and evaluate policy and the roles of multi-disciplinary services within the case study and the potential impact of their actions on the children, young people, and family.</w:t>
      </w:r>
    </w:p>
    <w:p w14:paraId="0665AB72" w14:textId="218CB00A" w:rsidR="008338FF" w:rsidRDefault="008338FF" w:rsidP="00553515">
      <w:pPr>
        <w:jc w:val="both"/>
      </w:pPr>
      <w:r>
        <w:t xml:space="preserve">The family became subject to assessment because of the various agencies that were involved with them. Most likely through the school that the children go to and other social health services from the local council. </w:t>
      </w:r>
      <w:r w:rsidR="005834DF">
        <w:t>The team to make the referral were ‘Youth Offending Team Parenting Division’, this means that one of the children, most likely one of the boys had already been identified as needing support possibly because of an offence that he had committed in the society. Other agencies were also involved, these include CAMHS, Police School Liaison Workers, Youth in Need Forensic Team Family Therapist</w:t>
      </w:r>
      <w:r w:rsidR="00655889">
        <w:t>s, Anti-Social Behaviour Team, Neighbourhood Services, Youth Inclusion and Support Panel, Job Centre Plus, Kinara Family Resource Centre and Connexxions.</w:t>
      </w:r>
    </w:p>
    <w:p w14:paraId="0CBCD0BE" w14:textId="7A6A8F0E" w:rsidR="008338FF" w:rsidRDefault="00655889" w:rsidP="00553515">
      <w:pPr>
        <w:jc w:val="both"/>
      </w:pPr>
      <w:r>
        <w:t>The actions that were taken were improving the children’s school attendance and behaviour</w:t>
      </w:r>
      <w:r w:rsidR="00236667">
        <w:t xml:space="preserve">, extracurricular activities for the children, property repairs from the neighbourhood office, parenting and employment training for the mother, counselling to manage anger of the son, take the daughter to nursery every day, continuous liaison and correspondence to support the family. </w:t>
      </w:r>
    </w:p>
    <w:p w14:paraId="69D9CA70" w14:textId="7E93D2CB" w:rsidR="00312561" w:rsidRDefault="00312561" w:rsidP="00553515">
      <w:pPr>
        <w:jc w:val="both"/>
      </w:pPr>
      <w:r>
        <w:t xml:space="preserve">The policy and legislation involved in these services come from national and international level and then down to local council level. For </w:t>
      </w:r>
      <w:r w:rsidR="00E6105C">
        <w:t>example,</w:t>
      </w:r>
      <w:r>
        <w:t xml:space="preserve"> the UNCRC is a convention for the rights of the child and is an international treaty signed by many countries including the UK. At national level there is legislation such as the equality act 2010 and the children act 1989 which are in place to protect children from harm and discrimination. </w:t>
      </w:r>
      <w:r w:rsidR="00625A39">
        <w:t xml:space="preserve">At local level there is CAF which is Common Assessment Framework which provides assessment for children to identify those that are in need, and employ </w:t>
      </w:r>
      <w:r w:rsidR="00625A39">
        <w:lastRenderedPageBreak/>
        <w:t xml:space="preserve">agencies such as CAMHS which provide care for people with mental health problems, especially children up to the age of 18. </w:t>
      </w:r>
    </w:p>
    <w:p w14:paraId="64FF1461" w14:textId="6CBB55DC" w:rsidR="00236667" w:rsidRDefault="00236667" w:rsidP="00553515">
      <w:pPr>
        <w:jc w:val="both"/>
      </w:pPr>
      <w:r>
        <w:t>It is clear to see that because there were many different services involved this was more helpful for the family. Each service is different and cannot replace another so the fact that many services were helping the family means that they could benefit and be supported from many different angles. Further to this the agencies were working together and this also means that the family can receive more help</w:t>
      </w:r>
      <w:r w:rsidR="00611064">
        <w:t xml:space="preserve">. For example one agency may pick something up about the family on one day that another agency missed or was not apparent on another day, by working together they can keep a common file and refer and communicate these issues with each other and employ the best method by which to support the family. </w:t>
      </w:r>
    </w:p>
    <w:p w14:paraId="6F44ABC6" w14:textId="77777777" w:rsidR="00625A39" w:rsidRDefault="00625A39" w:rsidP="00553515">
      <w:pPr>
        <w:jc w:val="both"/>
      </w:pPr>
      <w:r w:rsidRPr="00625A39">
        <w:rPr>
          <w:color w:val="FF0000"/>
        </w:rPr>
        <w:t>Having considered the specific details of the case as well as current policy and the actions taken by health and social care agencies, provide a critical analysis based on your perspective of what could have been done differently. Make relevant recommendations for improvements required to meet the needs of the children/young people and family involved in the case study. Give valid reasons for your suggestions supported by relevant literature and references.</w:t>
      </w:r>
    </w:p>
    <w:p w14:paraId="109A0AD5" w14:textId="2A112852" w:rsidR="00B41983" w:rsidRDefault="00B94DF7" w:rsidP="00553515">
      <w:pPr>
        <w:jc w:val="both"/>
      </w:pPr>
      <w:r>
        <w:t xml:space="preserve">I believe that the way the support </w:t>
      </w:r>
      <w:r w:rsidR="00717357">
        <w:t>from the services/agencies were given to the family was overall pretty good and helpful to the family and I would not do much differently than what was already done. However, going forward it is important to keep on working with the family, keep liaising, corresponding and supporting them</w:t>
      </w:r>
      <w:r w:rsidR="006E2BA5">
        <w:t xml:space="preserve">. Whilst doing this the services should look to be improved and the family should be observed on whether they need any additional help or services. The most important element of the support they are receiving is that it should remain consistent. </w:t>
      </w:r>
    </w:p>
    <w:p w14:paraId="7420FF10" w14:textId="77777777" w:rsidR="00625A39" w:rsidRDefault="00625A39" w:rsidP="00611064"/>
    <w:p w14:paraId="1222CC40" w14:textId="387ED0E7" w:rsidR="00312561" w:rsidRPr="00625A39" w:rsidRDefault="00312561" w:rsidP="00611064">
      <w:pPr>
        <w:rPr>
          <w:b/>
          <w:bCs/>
          <w:u w:val="single"/>
        </w:rPr>
      </w:pPr>
      <w:r w:rsidRPr="00625A39">
        <w:rPr>
          <w:b/>
          <w:bCs/>
          <w:u w:val="single"/>
        </w:rPr>
        <w:t>References</w:t>
      </w:r>
    </w:p>
    <w:p w14:paraId="58B6DEEE" w14:textId="77777777" w:rsidR="00312561" w:rsidRPr="00312561" w:rsidRDefault="00312561" w:rsidP="00312561">
      <w:r w:rsidRPr="00312561">
        <w:t>Arora, S.K., Shah, D., Chaturvedi, S. and Gupta, P., 2015. Defining and measuring vulnerability in young people. Indian journal of community medicine: official publication</w:t>
      </w:r>
    </w:p>
    <w:p w14:paraId="7A9333D0" w14:textId="77777777" w:rsidR="00312561" w:rsidRPr="00312561" w:rsidRDefault="00312561" w:rsidP="00312561">
      <w:r w:rsidRPr="00312561">
        <w:br/>
        <w:t>Barker, M., Dombrowski, S.U., Colbourn, T., Fall, C.H., Kriznik, N.M., Lawrence, W.T., Norris, S.A., Ngaiza, G., Patel, D., Skordis-Worrall, J. and Sniehotta, F.F., 2018. Intervention strategies to improve nutrition and health behaviours before conception. The Lancet, 391(10132), pp.1853-1864.</w:t>
      </w:r>
    </w:p>
    <w:p w14:paraId="7C37AD37" w14:textId="77777777" w:rsidR="00312561" w:rsidRPr="00312561" w:rsidRDefault="00312561" w:rsidP="00312561">
      <w:r w:rsidRPr="00312561">
        <w:t>Farrington, D., 2005. The Importance of Child and Adolescent Psychopathy. Journal of Abnormal Child Psychology, 33(4), pp.489-497.</w:t>
      </w:r>
    </w:p>
    <w:p w14:paraId="7EFD2484" w14:textId="77777777" w:rsidR="00312561" w:rsidRPr="00312561" w:rsidRDefault="00312561" w:rsidP="00312561">
      <w:r w:rsidRPr="00312561">
        <w:lastRenderedPageBreak/>
        <w:t>Fergusson, D.M., Boden, J.M., &amp; Horwood, L.J. (2009). Situational and generalised conduct problems and later life outcomes: Evidence from a New Zealand birth cohort. Journal of Child Psychology and Psychiatry, 50, 1084– 1092.Wiley Online Library PubMed Web of Science®</w:t>
      </w:r>
    </w:p>
    <w:p w14:paraId="506EE0CD" w14:textId="77777777" w:rsidR="00312561" w:rsidRPr="00312561" w:rsidRDefault="00312561" w:rsidP="00312561">
      <w:r w:rsidRPr="00312561">
        <w:t>GOV.U.2021.Support parents of children in the youth justice system: section 9 case management guidance.[online]Available at: Support parents of children in the youth justice system: section 9 case management guidance - GOV.UK (www.gov.uk)  [Accessed 3rd July]</w:t>
      </w:r>
    </w:p>
    <w:p w14:paraId="48B2F442" w14:textId="77777777" w:rsidR="00312561" w:rsidRPr="00312561" w:rsidRDefault="00312561" w:rsidP="00312561">
      <w:r w:rsidRPr="00312561">
        <w:t>Hallet, C. and Birchall, E., 1992. Coordination and Child Protection.</w:t>
      </w:r>
    </w:p>
    <w:p w14:paraId="14517560" w14:textId="6C27744F" w:rsidR="00312561" w:rsidRPr="00312561" w:rsidRDefault="00312561" w:rsidP="00312561">
      <w:r>
        <w:t>H</w:t>
      </w:r>
      <w:r w:rsidRPr="00312561">
        <w:t>edy, c., unell, I. and Jane, A., 2011. Children’s Needs – Parenting Capacity. [ebook] London: TSO. Available at: &lt;https://assets.publishing.service.gov.uk/government/uploads/system/uploads/attachment_data/file/182095/DFE-00108-2011-Childrens_Needs_Parenting_Capacity.pdf&gt; [Accessed 3 July 2021].</w:t>
      </w:r>
    </w:p>
    <w:p w14:paraId="14109ED9" w14:textId="77777777" w:rsidR="00312561" w:rsidRPr="00312561" w:rsidRDefault="00312561" w:rsidP="00312561">
      <w:r w:rsidRPr="00312561">
        <w:t>Mahoney, J., 2005. Organized Activities As Contexts of Development.</w:t>
      </w:r>
    </w:p>
    <w:p w14:paraId="5CAA9C6F" w14:textId="77777777" w:rsidR="00312561" w:rsidRPr="00312561" w:rsidRDefault="00312561" w:rsidP="00312561">
      <w:r w:rsidRPr="00312561">
        <w:t>Lancashire County Council (2021) Common Assessment Framework (CAF), Available at: https://www.lancashire.gov.uk/practitioners/supporting-children-and-families/common-assessment-framework/ (Accessed: 11 July 2021).Mallett, C.A., 2017. The school-to-prison pipeline: Disproportionate impact on vulnerable children and adolescents. Education and urban society, 49(6), pp.563-592.</w:t>
      </w:r>
    </w:p>
    <w:p w14:paraId="1840319B" w14:textId="77777777" w:rsidR="00312561" w:rsidRPr="00312561" w:rsidRDefault="00312561" w:rsidP="00312561">
      <w:r w:rsidRPr="00312561">
        <w:t>NHS Birmingham and Solihull Mental Health (2021) Youth First Community Child and Adolescent Forensic Service West Midlands, Available at: https://www.bsmhft.nhs.uk (Accessed: 11 July 2021).</w:t>
      </w:r>
    </w:p>
    <w:p w14:paraId="71BBD4A2" w14:textId="77777777" w:rsidR="00312561" w:rsidRPr="00312561" w:rsidRDefault="00312561" w:rsidP="00312561">
      <w:r w:rsidRPr="00312561">
        <w:t>UK Government (2021) Children Act 1989, Available at: https://www.legislation.gov.uk/ukpga/1989/41/contents (Accessed: 11 July 2021).</w:t>
      </w:r>
    </w:p>
    <w:p w14:paraId="4DD93613" w14:textId="77777777" w:rsidR="00312561" w:rsidRPr="00312561" w:rsidRDefault="00312561" w:rsidP="00312561">
      <w:r w:rsidRPr="00312561">
        <w:t>UK Government (2010) Equality Act 2010, Available at: https://www.legislation.gov.uk/ukpga/2010/15/contents (Accessed: 11 July 2021).</w:t>
      </w:r>
    </w:p>
    <w:p w14:paraId="7E8E823A" w14:textId="77777777" w:rsidR="00312561" w:rsidRDefault="00312561" w:rsidP="00312561">
      <w:r w:rsidRPr="00312561">
        <w:t>Wikle, J. (20188), “Adolescent Exposure to Community and Family in Neighborhoods with High Intergenerational Mobility”, https://www.popcenter.umd.edu/research/sponsored-events/tu2018/papers/wikle (accesed on 15th July 2021).</w:t>
      </w:r>
    </w:p>
    <w:p w14:paraId="5040D8EA" w14:textId="3C26E1D5" w:rsidR="00312561" w:rsidRDefault="00312561" w:rsidP="00312561">
      <w:r w:rsidRPr="00312561">
        <w:t>Yale Medicine.2021.Parental depression:how it affects a Child.[online] Available at :Parental Depression: How it Affects a Child &gt; Fact Sheets &gt; Yale Medicine   [Accessed 1 July 2021</w:t>
      </w:r>
    </w:p>
    <w:sectPr w:rsidR="00312561" w:rsidSect="00625A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E0A88"/>
    <w:multiLevelType w:val="hybridMultilevel"/>
    <w:tmpl w:val="CD7C9232"/>
    <w:lvl w:ilvl="0" w:tplc="0E08B88E">
      <w:start w:val="1"/>
      <w:numFmt w:val="decimal"/>
      <w:lvlText w:val="%1."/>
      <w:lvlJc w:val="left"/>
      <w:pPr>
        <w:ind w:left="720" w:hanging="360"/>
      </w:pPr>
      <w:rPr>
        <w:rFonts w:asciiTheme="minorHAnsi" w:eastAsiaTheme="minorHAnsi" w:hAnsiTheme="minorHAnsi" w:cstheme="minorBidi"/>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0D"/>
    <w:rsid w:val="0005770D"/>
    <w:rsid w:val="00236667"/>
    <w:rsid w:val="00244F21"/>
    <w:rsid w:val="00296269"/>
    <w:rsid w:val="002D28E0"/>
    <w:rsid w:val="00312561"/>
    <w:rsid w:val="00553515"/>
    <w:rsid w:val="005545C0"/>
    <w:rsid w:val="00572030"/>
    <w:rsid w:val="005834DF"/>
    <w:rsid w:val="005F4A19"/>
    <w:rsid w:val="00611064"/>
    <w:rsid w:val="0062395B"/>
    <w:rsid w:val="00625A39"/>
    <w:rsid w:val="00655889"/>
    <w:rsid w:val="006A38E5"/>
    <w:rsid w:val="006E2BA5"/>
    <w:rsid w:val="00717357"/>
    <w:rsid w:val="007B77D6"/>
    <w:rsid w:val="008338FF"/>
    <w:rsid w:val="00861FD6"/>
    <w:rsid w:val="008A2EDD"/>
    <w:rsid w:val="009107C1"/>
    <w:rsid w:val="00A053B1"/>
    <w:rsid w:val="00A20888"/>
    <w:rsid w:val="00AB5DAE"/>
    <w:rsid w:val="00B11E1B"/>
    <w:rsid w:val="00B41983"/>
    <w:rsid w:val="00B625AF"/>
    <w:rsid w:val="00B7367C"/>
    <w:rsid w:val="00B94DF7"/>
    <w:rsid w:val="00C07150"/>
    <w:rsid w:val="00D66C3A"/>
    <w:rsid w:val="00D817FA"/>
    <w:rsid w:val="00D90BFC"/>
    <w:rsid w:val="00D95E29"/>
    <w:rsid w:val="00E1450D"/>
    <w:rsid w:val="00E6105C"/>
    <w:rsid w:val="00E6756F"/>
    <w:rsid w:val="00F934F4"/>
    <w:rsid w:val="00FA0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2CC92"/>
  <w15:chartTrackingRefBased/>
  <w15:docId w15:val="{0DD39A8C-25F7-4108-9EDE-05AA0E35A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88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70D"/>
    <w:pPr>
      <w:ind w:left="720"/>
      <w:contextualSpacing/>
    </w:pPr>
  </w:style>
  <w:style w:type="paragraph" w:styleId="NoSpacing">
    <w:name w:val="No Spacing"/>
    <w:link w:val="NoSpacingChar"/>
    <w:uiPriority w:val="1"/>
    <w:qFormat/>
    <w:rsid w:val="00625A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5A3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075303">
      <w:bodyDiv w:val="1"/>
      <w:marLeft w:val="0"/>
      <w:marRight w:val="0"/>
      <w:marTop w:val="0"/>
      <w:marBottom w:val="0"/>
      <w:divBdr>
        <w:top w:val="none" w:sz="0" w:space="0" w:color="auto"/>
        <w:left w:val="none" w:sz="0" w:space="0" w:color="auto"/>
        <w:bottom w:val="none" w:sz="0" w:space="0" w:color="auto"/>
        <w:right w:val="none" w:sz="0" w:space="0" w:color="auto"/>
      </w:divBdr>
      <w:divsChild>
        <w:div w:id="1969969956">
          <w:marLeft w:val="360"/>
          <w:marRight w:val="0"/>
          <w:marTop w:val="200"/>
          <w:marBottom w:val="0"/>
          <w:divBdr>
            <w:top w:val="none" w:sz="0" w:space="0" w:color="auto"/>
            <w:left w:val="none" w:sz="0" w:space="0" w:color="auto"/>
            <w:bottom w:val="none" w:sz="0" w:space="0" w:color="auto"/>
            <w:right w:val="none" w:sz="0" w:space="0" w:color="auto"/>
          </w:divBdr>
        </w:div>
        <w:div w:id="1536505355">
          <w:marLeft w:val="360"/>
          <w:marRight w:val="0"/>
          <w:marTop w:val="200"/>
          <w:marBottom w:val="0"/>
          <w:divBdr>
            <w:top w:val="none" w:sz="0" w:space="0" w:color="auto"/>
            <w:left w:val="none" w:sz="0" w:space="0" w:color="auto"/>
            <w:bottom w:val="none" w:sz="0" w:space="0" w:color="auto"/>
            <w:right w:val="none" w:sz="0" w:space="0" w:color="auto"/>
          </w:divBdr>
        </w:div>
        <w:div w:id="361632650">
          <w:marLeft w:val="360"/>
          <w:marRight w:val="0"/>
          <w:marTop w:val="200"/>
          <w:marBottom w:val="0"/>
          <w:divBdr>
            <w:top w:val="none" w:sz="0" w:space="0" w:color="auto"/>
            <w:left w:val="none" w:sz="0" w:space="0" w:color="auto"/>
            <w:bottom w:val="none" w:sz="0" w:space="0" w:color="auto"/>
            <w:right w:val="none" w:sz="0" w:space="0" w:color="auto"/>
          </w:divBdr>
        </w:div>
        <w:div w:id="549539739">
          <w:marLeft w:val="360"/>
          <w:marRight w:val="0"/>
          <w:marTop w:val="200"/>
          <w:marBottom w:val="0"/>
          <w:divBdr>
            <w:top w:val="none" w:sz="0" w:space="0" w:color="auto"/>
            <w:left w:val="none" w:sz="0" w:space="0" w:color="auto"/>
            <w:bottom w:val="none" w:sz="0" w:space="0" w:color="auto"/>
            <w:right w:val="none" w:sz="0" w:space="0" w:color="auto"/>
          </w:divBdr>
        </w:div>
        <w:div w:id="728773257">
          <w:marLeft w:val="360"/>
          <w:marRight w:val="0"/>
          <w:marTop w:val="200"/>
          <w:marBottom w:val="0"/>
          <w:divBdr>
            <w:top w:val="none" w:sz="0" w:space="0" w:color="auto"/>
            <w:left w:val="none" w:sz="0" w:space="0" w:color="auto"/>
            <w:bottom w:val="none" w:sz="0" w:space="0" w:color="auto"/>
            <w:right w:val="none" w:sz="0" w:space="0" w:color="auto"/>
          </w:divBdr>
        </w:div>
        <w:div w:id="426584450">
          <w:marLeft w:val="360"/>
          <w:marRight w:val="0"/>
          <w:marTop w:val="200"/>
          <w:marBottom w:val="0"/>
          <w:divBdr>
            <w:top w:val="none" w:sz="0" w:space="0" w:color="auto"/>
            <w:left w:val="none" w:sz="0" w:space="0" w:color="auto"/>
            <w:bottom w:val="none" w:sz="0" w:space="0" w:color="auto"/>
            <w:right w:val="none" w:sz="0" w:space="0" w:color="auto"/>
          </w:divBdr>
        </w:div>
        <w:div w:id="116218188">
          <w:marLeft w:val="360"/>
          <w:marRight w:val="0"/>
          <w:marTop w:val="200"/>
          <w:marBottom w:val="0"/>
          <w:divBdr>
            <w:top w:val="none" w:sz="0" w:space="0" w:color="auto"/>
            <w:left w:val="none" w:sz="0" w:space="0" w:color="auto"/>
            <w:bottom w:val="none" w:sz="0" w:space="0" w:color="auto"/>
            <w:right w:val="none" w:sz="0" w:space="0" w:color="auto"/>
          </w:divBdr>
        </w:div>
        <w:div w:id="536821508">
          <w:marLeft w:val="360"/>
          <w:marRight w:val="0"/>
          <w:marTop w:val="200"/>
          <w:marBottom w:val="0"/>
          <w:divBdr>
            <w:top w:val="none" w:sz="0" w:space="0" w:color="auto"/>
            <w:left w:val="none" w:sz="0" w:space="0" w:color="auto"/>
            <w:bottom w:val="none" w:sz="0" w:space="0" w:color="auto"/>
            <w:right w:val="none" w:sz="0" w:space="0" w:color="auto"/>
          </w:divBdr>
        </w:div>
        <w:div w:id="1477330659">
          <w:marLeft w:val="360"/>
          <w:marRight w:val="0"/>
          <w:marTop w:val="200"/>
          <w:marBottom w:val="0"/>
          <w:divBdr>
            <w:top w:val="none" w:sz="0" w:space="0" w:color="auto"/>
            <w:left w:val="none" w:sz="0" w:space="0" w:color="auto"/>
            <w:bottom w:val="none" w:sz="0" w:space="0" w:color="auto"/>
            <w:right w:val="none" w:sz="0" w:space="0" w:color="auto"/>
          </w:divBdr>
        </w:div>
        <w:div w:id="548146493">
          <w:marLeft w:val="360"/>
          <w:marRight w:val="0"/>
          <w:marTop w:val="200"/>
          <w:marBottom w:val="0"/>
          <w:divBdr>
            <w:top w:val="none" w:sz="0" w:space="0" w:color="auto"/>
            <w:left w:val="none" w:sz="0" w:space="0" w:color="auto"/>
            <w:bottom w:val="none" w:sz="0" w:space="0" w:color="auto"/>
            <w:right w:val="none" w:sz="0" w:space="0" w:color="auto"/>
          </w:divBdr>
        </w:div>
        <w:div w:id="665598825">
          <w:marLeft w:val="360"/>
          <w:marRight w:val="0"/>
          <w:marTop w:val="200"/>
          <w:marBottom w:val="0"/>
          <w:divBdr>
            <w:top w:val="none" w:sz="0" w:space="0" w:color="auto"/>
            <w:left w:val="none" w:sz="0" w:space="0" w:color="auto"/>
            <w:bottom w:val="none" w:sz="0" w:space="0" w:color="auto"/>
            <w:right w:val="none" w:sz="0" w:space="0" w:color="auto"/>
          </w:divBdr>
        </w:div>
        <w:div w:id="512383693">
          <w:marLeft w:val="360"/>
          <w:marRight w:val="0"/>
          <w:marTop w:val="200"/>
          <w:marBottom w:val="0"/>
          <w:divBdr>
            <w:top w:val="none" w:sz="0" w:space="0" w:color="auto"/>
            <w:left w:val="none" w:sz="0" w:space="0" w:color="auto"/>
            <w:bottom w:val="none" w:sz="0" w:space="0" w:color="auto"/>
            <w:right w:val="none" w:sz="0" w:space="0" w:color="auto"/>
          </w:divBdr>
        </w:div>
        <w:div w:id="17512716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1055</TotalTime>
  <Pages>5</Pages>
  <Words>1590</Words>
  <Characters>9064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 – 1000-word Individual Supporting Paper</dc:title>
  <dc:subject/>
  <dc:creator>Husna Begum (1915041)</dc:creator>
  <cp:keywords/>
  <dc:description/>
  <cp:lastModifiedBy>Husna Begum (1915041)</cp:lastModifiedBy>
  <cp:revision>5</cp:revision>
  <dcterms:created xsi:type="dcterms:W3CDTF">2021-07-29T19:14:00Z</dcterms:created>
  <dcterms:modified xsi:type="dcterms:W3CDTF">2021-07-30T13:57:00Z</dcterms:modified>
</cp:coreProperties>
</file>