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Part 1</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In Wales, there are many policies and important documents that give us information about youth work. This information gives us an understanding about what is happening, where it is happening and useful information to educate youth students.</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An article from the document youth work in Wales: (principals and purposes, youth work in Wales review group, 2018) it quotes that one of the really important principals of youth work is that there is a voluntary relationship between the youths and the workers. It also states that all youths aged between 11 and 25 years old can engage in youth work. This emphasizes the voluntary relationship between the youths and the youth workers and can be seen in many books and articles.</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xml:space="preserve">For example; a reference from </w:t>
      </w:r>
      <w:proofErr w:type="spellStart"/>
      <w:r w:rsidRPr="00C847EA">
        <w:rPr>
          <w:rFonts w:ascii="Arial" w:eastAsia="Times New Roman" w:hAnsi="Arial" w:cs="Arial"/>
          <w:color w:val="222222"/>
          <w:sz w:val="24"/>
          <w:szCs w:val="24"/>
        </w:rPr>
        <w:t>Jeffs</w:t>
      </w:r>
      <w:proofErr w:type="spellEnd"/>
      <w:r w:rsidRPr="00C847EA">
        <w:rPr>
          <w:rFonts w:ascii="Arial" w:eastAsia="Times New Roman" w:hAnsi="Arial" w:cs="Arial"/>
          <w:color w:val="222222"/>
          <w:sz w:val="24"/>
          <w:szCs w:val="24"/>
        </w:rPr>
        <w:t xml:space="preserve"> and Smiths (2010) states that the voluntary principal means, all youths can choose to enter the relationship with a youth worker and also end a relationship at their own discretion.</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The Youth work Strategy for Wales (wg,2019) also talks about how youth work is based on the voluntary participation between youths and youth workers and this also helps the youths feel equal partners.</w:t>
      </w:r>
    </w:p>
    <w:p w:rsidR="00C847EA" w:rsidRDefault="00C847EA" w:rsidP="00C847EA">
      <w:pPr>
        <w:shd w:val="clear" w:color="auto" w:fill="FFFFFF"/>
        <w:spacing w:after="0" w:line="240" w:lineRule="auto"/>
        <w:rPr>
          <w:rFonts w:ascii="Arial" w:eastAsia="Times New Roman" w:hAnsi="Arial" w:cs="Arial"/>
          <w:color w:val="222222"/>
          <w:sz w:val="24"/>
          <w:szCs w:val="24"/>
        </w:rPr>
      </w:pPr>
    </w:p>
    <w:p w:rsidR="00C847EA" w:rsidRDefault="00C847EA" w:rsidP="00C847EA">
      <w:pPr>
        <w:shd w:val="clear" w:color="auto" w:fill="FFFFFF"/>
        <w:spacing w:after="0" w:line="240" w:lineRule="auto"/>
        <w:rPr>
          <w:rFonts w:ascii="Arial" w:eastAsia="Times New Roman" w:hAnsi="Arial" w:cs="Arial"/>
          <w:color w:val="222222"/>
          <w:sz w:val="24"/>
          <w:szCs w:val="24"/>
        </w:rPr>
      </w:pP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r w:rsidRPr="00C847EA">
        <w:rPr>
          <w:rFonts w:ascii="Arial" w:hAnsi="Arial" w:cs="Arial"/>
          <w:sz w:val="24"/>
          <w:szCs w:val="24"/>
        </w:rPr>
        <w:t>Adapted from: Youth Work in Wales Review Group. (2018) Youth Work in Wales: Principles and Purposes, Cardiff: Youth Work in Wales Review Group. Welsh Government. (2019) Youth Work Strategy for Wales, Cardiff: Welsh Government</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Part 2a.</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This essay will discuss youth work as a definition of the purpose of youth work. This has been made up by the CLD Standards Council Scotland. It states that it enables young people to develop holistically working with them to facilitate their personal, social and educational development. This enables them to develop their voices, there influence and place in society to reach their full potential. One of the most important things a youth worker needs is to build a relationship with young people. This is something that many people have written about, such as Blacker, who said, “A central task for any youth worker has always been the need to construct and sustain educational and social relationships with young people” (2010). Another author Jolly has the same opinion as Blacker and states, “it is no exaggeration to say that the single most important factor I defining youth work practice rests with the worker” (2010 p.6).</w:t>
      </w:r>
    </w:p>
    <w:p w:rsid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Youth workers provide youth with opportunities to learn but in a non-formal and informal way. The activities that youth workers use is like tools. Harte states in his book (2020 p.90), “They provide a key setting to enable the educational process of youth work to take place. They act as a catalyst to initiate and hasten young people’s developments and learning”.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hAnsi="Arial" w:cs="Arial"/>
          <w:sz w:val="24"/>
          <w:szCs w:val="24"/>
        </w:rPr>
        <w:t xml:space="preserve">Reference List: CLD Standards Council Scotland. (2019) Youth Work National Occupational Standards, Glasgow: CLD Standards Council Scotland. Blacker, H. (2010) </w:t>
      </w:r>
      <w:r w:rsidRPr="00C847EA">
        <w:rPr>
          <w:rFonts w:ascii="Arial" w:hAnsi="Arial" w:cs="Arial"/>
          <w:sz w:val="24"/>
          <w:szCs w:val="24"/>
        </w:rPr>
        <w:lastRenderedPageBreak/>
        <w:t xml:space="preserve">“Relationships, friendships and youth work”, in </w:t>
      </w:r>
      <w:proofErr w:type="spellStart"/>
      <w:r w:rsidRPr="00C847EA">
        <w:rPr>
          <w:rFonts w:ascii="Arial" w:hAnsi="Arial" w:cs="Arial"/>
          <w:sz w:val="24"/>
          <w:szCs w:val="24"/>
        </w:rPr>
        <w:t>Jeffs</w:t>
      </w:r>
      <w:proofErr w:type="spellEnd"/>
      <w:r w:rsidRPr="00C847EA">
        <w:rPr>
          <w:rFonts w:ascii="Arial" w:hAnsi="Arial" w:cs="Arial"/>
          <w:sz w:val="24"/>
          <w:szCs w:val="24"/>
        </w:rPr>
        <w:t xml:space="preserve">, T. &amp; Smith, M. (eds). (2010) Youth work Practice, Basingstoke: Palgrave Macmillan, pp. 15-30. </w:t>
      </w:r>
      <w:proofErr w:type="spellStart"/>
      <w:r w:rsidRPr="00C847EA">
        <w:rPr>
          <w:rFonts w:ascii="Arial" w:hAnsi="Arial" w:cs="Arial"/>
          <w:sz w:val="24"/>
          <w:szCs w:val="24"/>
        </w:rPr>
        <w:t>harte</w:t>
      </w:r>
      <w:proofErr w:type="spellEnd"/>
      <w:r w:rsidRPr="00C847EA">
        <w:rPr>
          <w:rFonts w:ascii="Arial" w:hAnsi="Arial" w:cs="Arial"/>
          <w:sz w:val="24"/>
          <w:szCs w:val="24"/>
        </w:rPr>
        <w:t xml:space="preserve">, S. (2010) “Activities in youth work”, in </w:t>
      </w:r>
      <w:proofErr w:type="spellStart"/>
      <w:r w:rsidRPr="00C847EA">
        <w:rPr>
          <w:rFonts w:ascii="Arial" w:hAnsi="Arial" w:cs="Arial"/>
          <w:sz w:val="24"/>
          <w:szCs w:val="24"/>
        </w:rPr>
        <w:t>Jeffs</w:t>
      </w:r>
      <w:proofErr w:type="spellEnd"/>
      <w:r w:rsidRPr="00C847EA">
        <w:rPr>
          <w:rFonts w:ascii="Arial" w:hAnsi="Arial" w:cs="Arial"/>
          <w:sz w:val="24"/>
          <w:szCs w:val="24"/>
        </w:rPr>
        <w:t>, T. &amp; Smith, M. (eds). (2010) Youth work Practice, Basingstoke: Palgrave Macmillan, pp. 85-100. jolly j. 2010 “Local Youth Work”, in Rogers, A. &amp; Smith, M. (eds). 2010 Journeying Together, Dorset: Russell House Publishing, pp. 1-12</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Part 2b</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1.</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If you fail to acknowledge the source of your information in the academic writing, you could be accused of plagiarism? Why is it important that students avoid this?</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It is important that students avoid this because they are merely passing of someone’s else is work as their own without taking the time to research and gain understanding for themselves.</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2.</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True. You have to reference when using direct quotations as they can go back and check up your claim on what you have stated as a quote.</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3.</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Wikipedia is a good place to search for information but also it can also give you false statements of information. You will have to ensure that the information you gather from Wikipedia is correct.</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4.</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A set of instructions that can be used in quoting referencing would be state clearly, you’re referencing. This would include your:</w:t>
      </w:r>
    </w:p>
    <w:p w:rsidR="00C847EA" w:rsidRPr="00C847EA" w:rsidRDefault="00C847EA" w:rsidP="00C847EA">
      <w:pPr>
        <w:numPr>
          <w:ilvl w:val="0"/>
          <w:numId w:val="1"/>
        </w:numPr>
        <w:shd w:val="clear" w:color="auto" w:fill="FFFFFF"/>
        <w:spacing w:after="0" w:line="233" w:lineRule="atLeast"/>
        <w:rPr>
          <w:rFonts w:ascii="Calibri" w:eastAsia="Times New Roman" w:hAnsi="Calibri" w:cs="Calibri"/>
          <w:color w:val="222222"/>
        </w:rPr>
      </w:pPr>
      <w:r w:rsidRPr="00C847EA">
        <w:rPr>
          <w:rFonts w:ascii="Calibri" w:eastAsia="Times New Roman" w:hAnsi="Calibri" w:cs="Calibri"/>
          <w:color w:val="222222"/>
        </w:rPr>
        <w:t>Direct quotation by another source</w:t>
      </w:r>
    </w:p>
    <w:p w:rsidR="00C847EA" w:rsidRPr="00C847EA" w:rsidRDefault="00C847EA" w:rsidP="00C847EA">
      <w:pPr>
        <w:numPr>
          <w:ilvl w:val="0"/>
          <w:numId w:val="1"/>
        </w:numPr>
        <w:shd w:val="clear" w:color="auto" w:fill="FFFFFF"/>
        <w:spacing w:after="0" w:line="233" w:lineRule="atLeast"/>
        <w:rPr>
          <w:rFonts w:ascii="Calibri" w:eastAsia="Times New Roman" w:hAnsi="Calibri" w:cs="Calibri"/>
          <w:color w:val="222222"/>
        </w:rPr>
      </w:pPr>
      <w:r w:rsidRPr="00C847EA">
        <w:rPr>
          <w:rFonts w:ascii="Calibri" w:eastAsia="Times New Roman" w:hAnsi="Calibri" w:cs="Calibri"/>
          <w:color w:val="222222"/>
        </w:rPr>
        <w:t>Paraphrasing or summering material</w:t>
      </w:r>
    </w:p>
    <w:p w:rsidR="00C847EA" w:rsidRPr="00C847EA" w:rsidRDefault="00C847EA" w:rsidP="00C847EA">
      <w:pPr>
        <w:numPr>
          <w:ilvl w:val="0"/>
          <w:numId w:val="1"/>
        </w:numPr>
        <w:shd w:val="clear" w:color="auto" w:fill="FFFFFF"/>
        <w:spacing w:line="233" w:lineRule="atLeast"/>
        <w:rPr>
          <w:rFonts w:ascii="Calibri" w:eastAsia="Times New Roman" w:hAnsi="Calibri" w:cs="Calibri"/>
          <w:color w:val="222222"/>
        </w:rPr>
      </w:pPr>
      <w:r w:rsidRPr="00C847EA">
        <w:rPr>
          <w:rFonts w:ascii="Calibri" w:eastAsia="Times New Roman" w:hAnsi="Calibri" w:cs="Calibri"/>
          <w:color w:val="222222"/>
        </w:rPr>
        <w:t>Citing the whole of a whole source document.</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5.</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You would begin to conduct research for an academic assignment by firstly defining the topic you are writing about. Secondly, you would gather the background information needed for you assignment. Thirdly research via books and internet, also journals. Fourth, evaluating your sources and lastly you can begin to write your assignment.</w:t>
      </w:r>
    </w:p>
    <w:p w:rsidR="00C847EA" w:rsidRDefault="00C847EA" w:rsidP="00C847EA">
      <w:pPr>
        <w:shd w:val="clear" w:color="auto" w:fill="FFFFFF"/>
        <w:spacing w:after="0" w:line="240" w:lineRule="auto"/>
        <w:rPr>
          <w:rFonts w:ascii="Arial" w:eastAsia="Times New Roman" w:hAnsi="Arial" w:cs="Arial"/>
          <w:color w:val="222222"/>
          <w:sz w:val="24"/>
          <w:szCs w:val="24"/>
        </w:rPr>
      </w:pPr>
      <w:r w:rsidRPr="00C847EA">
        <w:rPr>
          <w:rFonts w:ascii="Arial" w:eastAsia="Times New Roman" w:hAnsi="Arial" w:cs="Arial"/>
          <w:color w:val="222222"/>
          <w:sz w:val="24"/>
          <w:szCs w:val="24"/>
        </w:rPr>
        <w:t> </w:t>
      </w:r>
    </w:p>
    <w:p w:rsidR="00C847EA" w:rsidRDefault="00C847EA" w:rsidP="00C847EA">
      <w:pPr>
        <w:shd w:val="clear" w:color="auto" w:fill="FFFFFF"/>
        <w:spacing w:after="0" w:line="240" w:lineRule="auto"/>
        <w:rPr>
          <w:rFonts w:ascii="Arial" w:eastAsia="Times New Roman" w:hAnsi="Arial" w:cs="Arial"/>
          <w:color w:val="222222"/>
          <w:sz w:val="24"/>
          <w:szCs w:val="24"/>
        </w:rPr>
      </w:pPr>
    </w:p>
    <w:p w:rsidR="00C847EA" w:rsidRDefault="00C847EA" w:rsidP="00C847EA">
      <w:pPr>
        <w:shd w:val="clear" w:color="auto" w:fill="FFFFFF"/>
        <w:spacing w:after="0" w:line="240" w:lineRule="auto"/>
        <w:rPr>
          <w:rFonts w:ascii="Arial" w:eastAsia="Times New Roman" w:hAnsi="Arial" w:cs="Arial"/>
          <w:color w:val="222222"/>
          <w:sz w:val="24"/>
          <w:szCs w:val="24"/>
        </w:rPr>
      </w:pPr>
    </w:p>
    <w:p w:rsidR="00C847EA" w:rsidRDefault="00C847EA" w:rsidP="00C847EA">
      <w:pPr>
        <w:shd w:val="clear" w:color="auto" w:fill="FFFFFF"/>
        <w:spacing w:after="0" w:line="240" w:lineRule="auto"/>
        <w:rPr>
          <w:rFonts w:ascii="Arial" w:eastAsia="Times New Roman" w:hAnsi="Arial" w:cs="Arial"/>
          <w:color w:val="222222"/>
          <w:sz w:val="24"/>
          <w:szCs w:val="24"/>
        </w:rPr>
      </w:pPr>
    </w:p>
    <w:p w:rsidR="00C847EA" w:rsidRDefault="00C847EA" w:rsidP="00C847EA">
      <w:pPr>
        <w:shd w:val="clear" w:color="auto" w:fill="FFFFFF"/>
        <w:spacing w:after="0" w:line="240" w:lineRule="auto"/>
        <w:rPr>
          <w:rFonts w:ascii="Arial" w:eastAsia="Times New Roman" w:hAnsi="Arial" w:cs="Arial"/>
          <w:color w:val="222222"/>
          <w:sz w:val="24"/>
          <w:szCs w:val="24"/>
        </w:rPr>
      </w:pPr>
      <w:r>
        <w:rPr>
          <w:rFonts w:ascii="Arial" w:eastAsia="Times New Roman" w:hAnsi="Arial" w:cs="Arial"/>
          <w:color w:val="222222"/>
          <w:sz w:val="24"/>
          <w:szCs w:val="24"/>
        </w:rPr>
        <w:t>Part 3.</w:t>
      </w:r>
    </w:p>
    <w:p w:rsidR="00C847EA" w:rsidRDefault="00C847EA" w:rsidP="00C847EA">
      <w:pPr>
        <w:shd w:val="clear" w:color="auto" w:fill="FFFFFF"/>
        <w:spacing w:after="0" w:line="240" w:lineRule="auto"/>
        <w:rPr>
          <w:rFonts w:ascii="Arial" w:eastAsia="Times New Roman" w:hAnsi="Arial" w:cs="Arial"/>
          <w:color w:val="222222"/>
          <w:sz w:val="24"/>
          <w:szCs w:val="24"/>
        </w:rPr>
      </w:pPr>
    </w:p>
    <w:p w:rsidR="00C847EA" w:rsidRDefault="00C847EA" w:rsidP="00C847EA">
      <w:pPr>
        <w:rPr>
          <w:lang w:val="en-GB"/>
        </w:rPr>
      </w:pPr>
      <w:r>
        <w:rPr>
          <w:lang w:val="en-GB"/>
        </w:rPr>
        <w:t>Labelling youths’ yobs</w:t>
      </w:r>
    </w:p>
    <w:p w:rsidR="00C847EA" w:rsidRDefault="00C847EA" w:rsidP="00C847EA">
      <w:pPr>
        <w:rPr>
          <w:lang w:val="en-GB"/>
        </w:rPr>
      </w:pPr>
    </w:p>
    <w:p w:rsidR="00C847EA" w:rsidRDefault="00C847EA" w:rsidP="00C847EA">
      <w:pPr>
        <w:rPr>
          <w:lang w:val="en-GB"/>
        </w:rPr>
      </w:pPr>
      <w:r>
        <w:rPr>
          <w:lang w:val="en-GB"/>
        </w:rPr>
        <w:t xml:space="preserve">In today’s article I will be writing about </w:t>
      </w:r>
      <w:proofErr w:type="spellStart"/>
      <w:r>
        <w:rPr>
          <w:lang w:val="en-GB"/>
        </w:rPr>
        <w:t>todays</w:t>
      </w:r>
      <w:proofErr w:type="spellEnd"/>
      <w:r>
        <w:rPr>
          <w:lang w:val="en-GB"/>
        </w:rPr>
        <w:t xml:space="preserve"> youths. Whilst researching today’s youth I have come across many articles discriminating them. They have been targeted by many articles, campaigns and even MPs. I have concentrated on one article in particular. An article posted by a local </w:t>
      </w:r>
      <w:proofErr w:type="spellStart"/>
      <w:r>
        <w:rPr>
          <w:lang w:val="en-GB"/>
        </w:rPr>
        <w:t>news paper</w:t>
      </w:r>
      <w:proofErr w:type="spellEnd"/>
      <w:r>
        <w:rPr>
          <w:lang w:val="en-GB"/>
        </w:rPr>
        <w:t xml:space="preserve"> called news shopper wrote many articles in regard to their campaign on Shop a yob. The article in which I will referencing about will be Shop a Yob wins ‘praise by MPS’ published in 10</w:t>
      </w:r>
      <w:r w:rsidRPr="00CD48D3">
        <w:rPr>
          <w:vertAlign w:val="superscript"/>
          <w:lang w:val="en-GB"/>
        </w:rPr>
        <w:t>th</w:t>
      </w:r>
      <w:r>
        <w:rPr>
          <w:lang w:val="en-GB"/>
        </w:rPr>
        <w:t xml:space="preserve"> December 2002 by Richard </w:t>
      </w:r>
      <w:proofErr w:type="spellStart"/>
      <w:r>
        <w:rPr>
          <w:lang w:val="en-GB"/>
        </w:rPr>
        <w:t>Simox</w:t>
      </w:r>
      <w:proofErr w:type="spellEnd"/>
      <w:r>
        <w:rPr>
          <w:lang w:val="en-GB"/>
        </w:rPr>
        <w:t>.</w:t>
      </w:r>
    </w:p>
    <w:p w:rsidR="00C847EA" w:rsidRDefault="00C847EA" w:rsidP="00C847EA">
      <w:pPr>
        <w:rPr>
          <w:lang w:val="en-GB"/>
        </w:rPr>
      </w:pPr>
    </w:p>
    <w:p w:rsidR="00C847EA" w:rsidRDefault="00C847EA" w:rsidP="00C847EA">
      <w:pPr>
        <w:rPr>
          <w:lang w:val="en-GB"/>
        </w:rPr>
      </w:pPr>
      <w:r>
        <w:rPr>
          <w:lang w:val="en-GB"/>
        </w:rPr>
        <w:t xml:space="preserve">The shop a yob article which was published in December of 2002 clearly stated how MPs support their campaign fully. Although the shop a yob campaign was launched to prevent violence, crime and anti-social behaviour, it has had amounted impact on youths being labelled and also preaching their human rights. MP John </w:t>
      </w:r>
      <w:proofErr w:type="spellStart"/>
      <w:r>
        <w:rPr>
          <w:lang w:val="en-GB"/>
        </w:rPr>
        <w:t>Horam</w:t>
      </w:r>
      <w:proofErr w:type="spellEnd"/>
      <w:r>
        <w:rPr>
          <w:lang w:val="en-GB"/>
        </w:rPr>
        <w:t xml:space="preserve"> was said to be praising the local paper in the House of commons. He was said to be “delighted “after the local newspaper had been awarded the newspaper society’s community award the month before says fellow MPs. The article goes on further to mention that </w:t>
      </w:r>
      <w:proofErr w:type="spellStart"/>
      <w:r>
        <w:rPr>
          <w:lang w:val="en-GB"/>
        </w:rPr>
        <w:t>Horam</w:t>
      </w:r>
      <w:proofErr w:type="spellEnd"/>
      <w:r>
        <w:rPr>
          <w:lang w:val="en-GB"/>
        </w:rPr>
        <w:t xml:space="preserve"> told fellow MPs “Active local newspaper, News shopper, has run a good campaign called Shop A Yob, whereby CCTV pictures of youths involved in crimes are splashed across the pages of newspapers. The campaign has led to arrests and charges”. The campaign has said to have led to many arrests. Although this has had a great impact on the community I do however disagree with the way they have worded such a campaign and also slatted youths. Further into the article it is said by councillor Martyn </w:t>
      </w:r>
      <w:proofErr w:type="spellStart"/>
      <w:r>
        <w:rPr>
          <w:lang w:val="en-GB"/>
        </w:rPr>
        <w:t>Reddin</w:t>
      </w:r>
      <w:proofErr w:type="spellEnd"/>
      <w:r>
        <w:rPr>
          <w:lang w:val="en-GB"/>
        </w:rPr>
        <w:t xml:space="preserve"> that “At night, the town centre has become a no-go area for residents of all ages”. This was sent to the Metropolitan Police Authority Chairman Lord Toby Harris. Although MPS has back their decisions on how well the campaign has been this exposes youths of risk. As well as the backing of MPs the Chief Supt </w:t>
      </w:r>
      <w:proofErr w:type="spellStart"/>
      <w:r>
        <w:rPr>
          <w:lang w:val="en-GB"/>
        </w:rPr>
        <w:t>Dillnut</w:t>
      </w:r>
      <w:proofErr w:type="spellEnd"/>
      <w:r>
        <w:rPr>
          <w:lang w:val="en-GB"/>
        </w:rPr>
        <w:t xml:space="preserve"> also welcomed the praise of </w:t>
      </w:r>
      <w:proofErr w:type="spellStart"/>
      <w:r>
        <w:rPr>
          <w:lang w:val="en-GB"/>
        </w:rPr>
        <w:t>Horman</w:t>
      </w:r>
      <w:proofErr w:type="spellEnd"/>
      <w:r>
        <w:rPr>
          <w:lang w:val="en-GB"/>
        </w:rPr>
        <w:t xml:space="preserve"> stating, “My challenge is to ensure we maximise what resources we have”. The actions of which the campaign started has outraged many parents and guardians of youth offending as the way </w:t>
      </w:r>
      <w:proofErr w:type="spellStart"/>
      <w:r>
        <w:rPr>
          <w:lang w:val="en-GB"/>
        </w:rPr>
        <w:t>the</w:t>
      </w:r>
      <w:proofErr w:type="spellEnd"/>
      <w:r>
        <w:rPr>
          <w:lang w:val="en-GB"/>
        </w:rPr>
        <w:t xml:space="preserve"> have gone about it. Such articles like this have caused strain and worry on the guardians of the youth offenders. This could also lead to vigilantes taking the law into their own hand due to the exposures of the young people.</w:t>
      </w:r>
    </w:p>
    <w:p w:rsidR="00C847EA" w:rsidRDefault="00C847EA" w:rsidP="00C847EA">
      <w:pPr>
        <w:rPr>
          <w:lang w:val="en-GB"/>
        </w:rPr>
      </w:pPr>
      <w:r>
        <w:rPr>
          <w:lang w:val="en-GB"/>
        </w:rPr>
        <w:t xml:space="preserve">Terri </w:t>
      </w:r>
      <w:proofErr w:type="spellStart"/>
      <w:r>
        <w:rPr>
          <w:lang w:val="en-GB"/>
        </w:rPr>
        <w:t>Dowty</w:t>
      </w:r>
      <w:proofErr w:type="spellEnd"/>
      <w:r>
        <w:rPr>
          <w:lang w:val="en-GB"/>
        </w:rPr>
        <w:t>, the policy advisor to the Children’s Rights Alliance for England told the Guardian newspaper reporter Cian Byrne in October 2003 that, “We’re very worried about it. It smacks a little lynch mob behaviour”. Terri represents over 180 organisations.</w:t>
      </w:r>
    </w:p>
    <w:p w:rsidR="00C847EA" w:rsidRDefault="00C847EA" w:rsidP="00C847EA">
      <w:pPr>
        <w:rPr>
          <w:lang w:val="en-GB"/>
        </w:rPr>
      </w:pPr>
      <w:r>
        <w:rPr>
          <w:lang w:val="en-GB"/>
        </w:rPr>
        <w:t>Terri announced her fears to the Guardian article October (2003) after the sun newspaper had named the youths as well as the ages and photographs of the youngers who had the anti-behaviour orders on them.</w:t>
      </w:r>
    </w:p>
    <w:p w:rsidR="00C847EA" w:rsidRDefault="00C847EA" w:rsidP="00C847EA">
      <w:pPr>
        <w:rPr>
          <w:lang w:val="en-GB"/>
        </w:rPr>
      </w:pPr>
      <w:r>
        <w:rPr>
          <w:lang w:val="en-GB"/>
        </w:rPr>
        <w:t xml:space="preserve">Whilst the backing of the Shop A Yob has been backed by police, local authorities and even the house of commons, naming a young person under the age of 18 can be considered as an offence if they’re humans rights are reached. Article 40 of the children’s rights law states that a children and young person also have the right to privacy whilst they are being tried, and this should be respected by everyone. The </w:t>
      </w:r>
      <w:r>
        <w:rPr>
          <w:lang w:val="en-GB"/>
        </w:rPr>
        <w:lastRenderedPageBreak/>
        <w:t xml:space="preserve">media shouldn’t publish stories or information that could violate this right. The article from children’s right also states that any young person who is tried in a court should be treated without discriminating, </w:t>
      </w:r>
      <w:bookmarkStart w:id="0" w:name="_GoBack"/>
      <w:bookmarkEnd w:id="0"/>
      <w:r>
        <w:rPr>
          <w:lang w:val="en-GB"/>
        </w:rPr>
        <w:t>and care should be taken to make sure this is the case. people who need a translator in court-including those with disabilities- should have access to one. This article must stay in place for the safety and rights of a young person. I believe that the articles in which the backing of MPs jeopardise people’s views on young people and could impose a risk to them. Due to the wording and phrasing of the article I think it causes many people to assume that young people are the problem of most the crimes in the area. The backing on most the MPs and also local authorities doesn’t seem to help the families of the youth offenders or offer any support to help solve the on-going problems. I personally believe that is the article was directed more at helping and solving the problem instead of taking a full blow control attuite we wouldn’t impose risk to these young people but could help them against future crimes.</w:t>
      </w:r>
    </w:p>
    <w:p w:rsidR="00C847EA" w:rsidRDefault="00C847EA" w:rsidP="00C847EA">
      <w:pPr>
        <w:rPr>
          <w:lang w:val="en-GB"/>
        </w:rPr>
      </w:pPr>
    </w:p>
    <w:p w:rsidR="00C847EA" w:rsidRDefault="00C847EA" w:rsidP="00C847EA">
      <w:pPr>
        <w:rPr>
          <w:lang w:val="en-GB"/>
        </w:rPr>
      </w:pPr>
      <w:r>
        <w:rPr>
          <w:lang w:val="en-GB"/>
        </w:rPr>
        <w:t xml:space="preserve">References </w:t>
      </w:r>
    </w:p>
    <w:p w:rsidR="00C847EA" w:rsidRDefault="00C847EA" w:rsidP="00C847EA">
      <w:pPr>
        <w:rPr>
          <w:lang w:val="en-GB"/>
        </w:rPr>
      </w:pPr>
    </w:p>
    <w:p w:rsidR="00C847EA" w:rsidRDefault="00C847EA" w:rsidP="00C847EA">
      <w:pPr>
        <w:rPr>
          <w:lang w:val="en-GB"/>
        </w:rPr>
      </w:pPr>
      <w:r>
        <w:rPr>
          <w:lang w:val="en-GB"/>
        </w:rPr>
        <w:t xml:space="preserve"> Shop A Yob praised in House of commons (News shopper newspaper article December 10</w:t>
      </w:r>
      <w:r w:rsidRPr="00156854">
        <w:rPr>
          <w:vertAlign w:val="superscript"/>
          <w:lang w:val="en-GB"/>
        </w:rPr>
        <w:t>th</w:t>
      </w:r>
      <w:r>
        <w:rPr>
          <w:lang w:val="en-GB"/>
        </w:rPr>
        <w:t xml:space="preserve"> 2002)</w:t>
      </w:r>
    </w:p>
    <w:p w:rsidR="00C847EA" w:rsidRDefault="00C847EA" w:rsidP="00C847EA">
      <w:pPr>
        <w:rPr>
          <w:lang w:val="en-GB"/>
        </w:rPr>
      </w:pPr>
    </w:p>
    <w:p w:rsidR="00C847EA" w:rsidRDefault="00C847EA" w:rsidP="00C847EA">
      <w:pPr>
        <w:rPr>
          <w:lang w:val="en-GB"/>
        </w:rPr>
      </w:pPr>
      <w:r>
        <w:rPr>
          <w:lang w:val="en-GB"/>
        </w:rPr>
        <w:t>Suns anti yob campaign raises lunch yob fears (The Guardian newspaper October 20th 2003)</w:t>
      </w:r>
    </w:p>
    <w:p w:rsidR="00C847EA" w:rsidRDefault="00C847EA" w:rsidP="00C847EA">
      <w:pPr>
        <w:rPr>
          <w:lang w:val="en-GB"/>
        </w:rPr>
      </w:pPr>
    </w:p>
    <w:p w:rsidR="00C847EA" w:rsidRDefault="00C847EA" w:rsidP="00C847EA">
      <w:pPr>
        <w:rPr>
          <w:lang w:val="en-GB"/>
        </w:rPr>
      </w:pPr>
    </w:p>
    <w:p w:rsidR="00C847EA" w:rsidRDefault="00C847EA" w:rsidP="00C847EA">
      <w:pPr>
        <w:rPr>
          <w:lang w:val="en-GB"/>
        </w:rPr>
      </w:pPr>
    </w:p>
    <w:p w:rsidR="00C847EA" w:rsidRDefault="00C847EA" w:rsidP="00C847EA">
      <w:pPr>
        <w:rPr>
          <w:lang w:val="en-GB"/>
        </w:rPr>
      </w:pPr>
    </w:p>
    <w:p w:rsidR="00C847EA" w:rsidRDefault="00C847EA" w:rsidP="00C847EA">
      <w:pPr>
        <w:rPr>
          <w:lang w:val="en-GB"/>
        </w:rPr>
      </w:pPr>
    </w:p>
    <w:p w:rsidR="00C847EA" w:rsidRPr="00FE37D5" w:rsidRDefault="00C847EA" w:rsidP="00C847EA">
      <w:pPr>
        <w:rPr>
          <w:lang w:val="en-GB"/>
        </w:rPr>
      </w:pPr>
    </w:p>
    <w:p w:rsidR="00C847EA" w:rsidRPr="00C847EA" w:rsidRDefault="00C847EA" w:rsidP="00C847EA">
      <w:pPr>
        <w:shd w:val="clear" w:color="auto" w:fill="FFFFFF"/>
        <w:spacing w:after="0" w:line="240" w:lineRule="auto"/>
        <w:rPr>
          <w:rFonts w:ascii="Arial" w:eastAsia="Times New Roman" w:hAnsi="Arial" w:cs="Arial"/>
          <w:color w:val="222222"/>
          <w:sz w:val="24"/>
          <w:szCs w:val="24"/>
        </w:rPr>
      </w:pPr>
    </w:p>
    <w:p w:rsidR="006361D6" w:rsidRDefault="006361D6"/>
    <w:sectPr w:rsidR="006361D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232C48"/>
    <w:multiLevelType w:val="multilevel"/>
    <w:tmpl w:val="0D98D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7EA"/>
    <w:rsid w:val="006361D6"/>
    <w:rsid w:val="00C847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C5001"/>
  <w15:chartTrackingRefBased/>
  <w15:docId w15:val="{F2F66D88-DB6C-4760-B701-3EE35689F6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3452417346096754866msolistparagraph">
    <w:name w:val="m_-3452417346096754866msolistparagraph"/>
    <w:basedOn w:val="Normal"/>
    <w:rsid w:val="00C847E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96265">
      <w:bodyDiv w:val="1"/>
      <w:marLeft w:val="0"/>
      <w:marRight w:val="0"/>
      <w:marTop w:val="0"/>
      <w:marBottom w:val="0"/>
      <w:divBdr>
        <w:top w:val="none" w:sz="0" w:space="0" w:color="auto"/>
        <w:left w:val="none" w:sz="0" w:space="0" w:color="auto"/>
        <w:bottom w:val="none" w:sz="0" w:space="0" w:color="auto"/>
        <w:right w:val="none" w:sz="0" w:space="0" w:color="auto"/>
      </w:divBdr>
    </w:div>
    <w:div w:id="1576621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1376</Words>
  <Characters>7847</Characters>
  <Application>Microsoft Office Word</Application>
  <DocSecurity>0</DocSecurity>
  <Lines>65</Lines>
  <Paragraphs>18</Paragraphs>
  <ScaleCrop>false</ScaleCrop>
  <Company/>
  <LinksUpToDate>false</LinksUpToDate>
  <CharactersWithSpaces>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Jayne Elias (2015094)</dc:creator>
  <cp:keywords/>
  <dc:description/>
  <cp:lastModifiedBy>Amanda Jayne Elias (2015094)</cp:lastModifiedBy>
  <cp:revision>1</cp:revision>
  <dcterms:created xsi:type="dcterms:W3CDTF">2022-06-26T20:46:00Z</dcterms:created>
  <dcterms:modified xsi:type="dcterms:W3CDTF">2022-06-26T20:50:00Z</dcterms:modified>
</cp:coreProperties>
</file>