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4">
      <w:pPr>
        <w:spacing w:after="0" w:line="240" w:lineRule="auto"/>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05">
      <w:pPr>
        <w:pBdr>
          <w:top w:color="156082" w:space="10" w:sz="4" w:val="single"/>
          <w:bottom w:color="156082" w:space="26" w:sz="4" w:val="single"/>
        </w:pBdr>
        <w:spacing w:after="360" w:before="360" w:lineRule="auto"/>
        <w:ind w:left="864" w:right="864" w:firstLine="0"/>
        <w:rPr>
          <w:rFonts w:ascii="Calibri" w:cs="Calibri" w:eastAsia="Calibri" w:hAnsi="Calibri"/>
          <w:i w:val="1"/>
          <w:color w:val="156082"/>
        </w:rPr>
      </w:pPr>
      <w:r w:rsidDel="00000000" w:rsidR="00000000" w:rsidRPr="00000000">
        <w:rPr>
          <w:rFonts w:ascii="Calibri" w:cs="Calibri" w:eastAsia="Calibri" w:hAnsi="Calibri"/>
          <w:i w:val="1"/>
          <w:color w:val="156082"/>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1323467145" name="image2.png"/>
            <a:graphic>
              <a:graphicData uri="http://schemas.openxmlformats.org/drawingml/2006/picture">
                <pic:pic>
                  <pic:nvPicPr>
                    <pic:cNvPr descr="A close up of black text&#10;&#10;Description automatically generated" id="0" name="image2.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6">
      <w:pPr>
        <w:pBdr>
          <w:top w:color="156082" w:space="10" w:sz="4" w:val="single"/>
          <w:bottom w:color="156082" w:space="26" w:sz="4" w:val="single"/>
        </w:pBdr>
        <w:spacing w:after="360" w:before="360" w:lineRule="auto"/>
        <w:ind w:left="864" w:right="864" w:firstLine="0"/>
        <w:jc w:val="center"/>
        <w:rPr>
          <w:rFonts w:ascii="Arial" w:cs="Arial" w:eastAsia="Arial" w:hAnsi="Arial"/>
          <w:b w:val="1"/>
          <w:i w:val="1"/>
          <w:color w:val="156082"/>
          <w:sz w:val="36"/>
          <w:szCs w:val="36"/>
        </w:rPr>
      </w:pPr>
      <w:r w:rsidDel="00000000" w:rsidR="00000000" w:rsidRPr="00000000">
        <w:rPr>
          <w:rFonts w:ascii="Arial" w:cs="Arial" w:eastAsia="Arial" w:hAnsi="Arial"/>
          <w:b w:val="1"/>
          <w:smallCaps w:val="1"/>
          <w:color w:val="156082"/>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jc w:val="center"/>
        <w:rPr>
          <w:rFonts w:ascii="Arial" w:cs="Arial" w:eastAsia="Arial" w:hAnsi="Arial"/>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rPr>
      </w:pPr>
      <w:r w:rsidDel="00000000" w:rsidR="00000000" w:rsidRPr="00000000">
        <w:rPr>
          <w:rFonts w:ascii="Arial" w:cs="Arial" w:eastAsia="Arial" w:hAnsi="Arial"/>
          <w:b w:val="1"/>
          <w:rtl w:val="0"/>
        </w:rPr>
        <w:t xml:space="preserve">International Meetings Management BMIH6007</w:t>
      </w:r>
    </w:p>
    <w:p w:rsidR="00000000" w:rsidDel="00000000" w:rsidP="00000000" w:rsidRDefault="00000000" w:rsidRPr="00000000" w14:paraId="0000000A">
      <w:pPr>
        <w:jc w:val="center"/>
        <w:rPr>
          <w:rFonts w:ascii="Arial" w:cs="Arial" w:eastAsia="Arial" w:hAnsi="Arial"/>
          <w:b w:val="1"/>
          <w:i w:val="1"/>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i w:val="1"/>
          <w:rtl w:val="0"/>
        </w:rPr>
        <w:t xml:space="preserve">Planning and Delivering an International Meeting/Event: Horrible Christmas</w:t>
      </w:r>
    </w:p>
    <w:p w:rsidR="00000000" w:rsidDel="00000000" w:rsidP="00000000" w:rsidRDefault="00000000" w:rsidRPr="00000000" w14:paraId="0000000B">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D">
      <w:pPr>
        <w:rPr>
          <w:rFonts w:ascii="Arial" w:cs="Arial" w:eastAsia="Arial" w:hAnsi="Arial"/>
          <w:b w:val="1"/>
        </w:rPr>
      </w:pPr>
      <w:r w:rsidDel="00000000" w:rsidR="00000000" w:rsidRPr="00000000">
        <w:rPr>
          <w:rtl w:val="0"/>
        </w:rPr>
      </w:r>
    </w:p>
    <w:p w:rsidR="00000000" w:rsidDel="00000000" w:rsidP="00000000" w:rsidRDefault="00000000" w:rsidRPr="00000000" w14:paraId="0000000E">
      <w:pPr>
        <w:rPr>
          <w:rFonts w:ascii="Arial" w:cs="Arial" w:eastAsia="Arial" w:hAnsi="Arial"/>
          <w:b w:val="1"/>
        </w:rPr>
      </w:pPr>
      <w:r w:rsidDel="00000000" w:rsidR="00000000" w:rsidRPr="00000000">
        <w:rPr>
          <w:rFonts w:ascii="Arial" w:cs="Arial" w:eastAsia="Arial" w:hAnsi="Arial"/>
          <w:b w:val="1"/>
          <w:rtl w:val="0"/>
        </w:rPr>
        <w:t xml:space="preserve">Student Name: Georgiana Poteaca</w:t>
      </w:r>
    </w:p>
    <w:p w:rsidR="00000000" w:rsidDel="00000000" w:rsidP="00000000" w:rsidRDefault="00000000" w:rsidRPr="00000000" w14:paraId="0000000F">
      <w:pPr>
        <w:rPr>
          <w:rFonts w:ascii="Arial" w:cs="Arial" w:eastAsia="Arial" w:hAnsi="Arial"/>
          <w:b w:val="1"/>
        </w:rPr>
      </w:pPr>
      <w:r w:rsidDel="00000000" w:rsidR="00000000" w:rsidRPr="00000000">
        <w:rPr>
          <w:rFonts w:ascii="Arial" w:cs="Arial" w:eastAsia="Arial" w:hAnsi="Arial"/>
          <w:b w:val="1"/>
          <w:rtl w:val="0"/>
        </w:rPr>
        <w:t xml:space="preserve">Student ID: 2206484</w:t>
      </w:r>
    </w:p>
    <w:p w:rsidR="00000000" w:rsidDel="00000000" w:rsidP="00000000" w:rsidRDefault="00000000" w:rsidRPr="00000000" w14:paraId="00000010">
      <w:pPr>
        <w:rPr>
          <w:rFonts w:ascii="Arial" w:cs="Arial" w:eastAsia="Arial" w:hAnsi="Arial"/>
          <w:b w:val="1"/>
        </w:rPr>
      </w:pPr>
      <w:r w:rsidDel="00000000" w:rsidR="00000000" w:rsidRPr="00000000">
        <w:rPr>
          <w:rFonts w:ascii="Arial" w:cs="Arial" w:eastAsia="Arial" w:hAnsi="Arial"/>
          <w:b w:val="1"/>
          <w:rtl w:val="0"/>
        </w:rPr>
        <w:t xml:space="preserve">Tutor's Name:  Kathryn Flynn</w:t>
      </w:r>
    </w:p>
    <w:p w:rsidR="00000000" w:rsidDel="00000000" w:rsidP="00000000" w:rsidRDefault="00000000" w:rsidRPr="00000000" w14:paraId="00000011">
      <w:pPr>
        <w:rPr>
          <w:rFonts w:ascii="Arial" w:cs="Arial" w:eastAsia="Arial" w:hAnsi="Arial"/>
          <w:b w:val="1"/>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pBdr>
          <w:top w:color="156082" w:space="10" w:sz="4" w:val="single"/>
          <w:bottom w:color="156082" w:space="10" w:sz="4" w:val="single"/>
        </w:pBdr>
        <w:spacing w:after="360" w:before="360" w:lineRule="auto"/>
        <w:ind w:left="864" w:right="864" w:firstLine="0"/>
        <w:jc w:val="center"/>
        <w:rPr>
          <w:rFonts w:ascii="Arial" w:cs="Arial" w:eastAsia="Arial" w:hAnsi="Arial"/>
          <w:i w:val="1"/>
          <w:color w:val="156082"/>
          <w:sz w:val="32"/>
          <w:szCs w:val="32"/>
        </w:rPr>
      </w:pPr>
      <w:r w:rsidDel="00000000" w:rsidR="00000000" w:rsidRPr="00000000">
        <w:rPr>
          <w:rFonts w:ascii="Arial" w:cs="Arial" w:eastAsia="Arial" w:hAnsi="Arial"/>
          <w:i w:val="1"/>
          <w:color w:val="156082"/>
          <w:sz w:val="32"/>
          <w:szCs w:val="32"/>
          <w:rtl w:val="0"/>
        </w:rPr>
        <w:t xml:space="preserve">Report</w:t>
      </w:r>
    </w:p>
    <w:p w:rsidR="00000000" w:rsidDel="00000000" w:rsidP="00000000" w:rsidRDefault="00000000" w:rsidRPr="00000000" w14:paraId="00000015">
      <w:pPr>
        <w:spacing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rPr>
          <w:b w:val="1"/>
        </w:rPr>
      </w:pPr>
      <w:r w:rsidDel="00000000" w:rsidR="00000000" w:rsidRPr="00000000">
        <w:rPr>
          <w:b w:val="1"/>
          <w:rtl w:val="0"/>
        </w:rPr>
        <w:t xml:space="preserve">Table of Contents</w:t>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1. Introduction.......................................................................................................................2</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Overview of Event...............................................................................................2</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Reason for Event Selection.................................................................................2</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Location and Event Context................................................................................2</w:t>
      </w:r>
    </w:p>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2. The Event Cycle................................................................................................................2</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Defining the Event Cycle.....................................................................................2</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Event Cycle to Horrible Christmas......................................................................3</w:t>
      </w:r>
    </w:p>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3. Event Concept..................................................................................................................3</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Delegate and Guest Experience.........................................................................3</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Complete Schedule of the Event Day.................................................................3</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4. Aim and Objectives of the Event......................................................................................4</w:t>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Overarching Aim.................................................................................................4</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SMART Objectives for Horrible Christmas.........................................................5</w:t>
      </w:r>
    </w:p>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5. Event Management..........................................................................................................6</w:t>
      </w:r>
    </w:p>
    <w:p w:rsidR="00000000" w:rsidDel="00000000" w:rsidP="00000000" w:rsidRDefault="00000000" w:rsidRPr="00000000" w14:paraId="000000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Competencies that Guarantee the Success of Events.......................................6</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Significant Resources Needed...........................................................................6</w:t>
      </w:r>
    </w:p>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 Operational, Planning and Marketing Activities..................................................7</w:t>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6. Budget for the Event........................................................................................................7</w:t>
      </w:r>
    </w:p>
    <w:p w:rsidR="00000000" w:rsidDel="00000000" w:rsidP="00000000" w:rsidRDefault="00000000" w:rsidRPr="00000000" w14:paraId="0000002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Income and Expenditure Breakdown.................................................................7</w:t>
      </w:r>
    </w:p>
    <w:p w:rsidR="00000000" w:rsidDel="00000000" w:rsidP="00000000" w:rsidRDefault="00000000" w:rsidRPr="00000000" w14:paraId="0000002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 Cost and Funding Sources Analysis..................................................................8</w:t>
      </w:r>
    </w:p>
    <w:p w:rsidR="00000000" w:rsidDel="00000000" w:rsidP="00000000" w:rsidRDefault="00000000" w:rsidRPr="00000000" w14:paraId="0000002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6.3 Income Generation Strategies...........................................................................8</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7. Industry Trends, Issues and Impacts...............................................................................8</w:t>
      </w:r>
    </w:p>
    <w:p w:rsidR="00000000" w:rsidDel="00000000" w:rsidP="00000000" w:rsidRDefault="00000000" w:rsidRPr="00000000" w14:paraId="000000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Current Trends in the Meetings and Events Industry.........................................8</w:t>
      </w:r>
    </w:p>
    <w:p w:rsidR="00000000" w:rsidDel="00000000" w:rsidP="00000000" w:rsidRDefault="00000000" w:rsidRPr="00000000" w14:paraId="000000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 Issues that will affect the Event</w:t>
      </w:r>
    </w:p>
    <w:p w:rsidR="00000000" w:rsidDel="00000000" w:rsidP="00000000" w:rsidRDefault="00000000" w:rsidRPr="00000000" w14:paraId="000000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7.3 Implications of Industry Trends for Event Delivery.............................................9</w:t>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8. Situational and Cultural Considerations..........................................................................9</w:t>
      </w:r>
    </w:p>
    <w:p w:rsidR="00000000" w:rsidDel="00000000" w:rsidP="00000000" w:rsidRDefault="00000000" w:rsidRPr="00000000" w14:paraId="000000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8.1 Cultural Relevance of the Terrible Christmas Theme........................................9</w:t>
      </w:r>
    </w:p>
    <w:p w:rsidR="00000000" w:rsidDel="00000000" w:rsidP="00000000" w:rsidRDefault="00000000" w:rsidRPr="00000000" w14:paraId="0000003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8.2 Situational Analysis using SWOT.......................................................................9</w:t>
      </w:r>
    </w:p>
    <w:p w:rsidR="00000000" w:rsidDel="00000000" w:rsidP="00000000" w:rsidRDefault="00000000" w:rsidRPr="00000000" w14:paraId="0000003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8.3 Importance of Situational and Cultural Factors within Event Management.......10</w:t>
      </w:r>
    </w:p>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9. Conclusion.......................................................................................................................10</w:t>
      </w:r>
    </w:p>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10. References.....................................................................................................................11</w:t>
      </w:r>
    </w:p>
    <w:p w:rsidR="00000000" w:rsidDel="00000000" w:rsidP="00000000" w:rsidRDefault="00000000" w:rsidRPr="00000000" w14:paraId="0000003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B">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1. Introduction</w:t>
      </w:r>
    </w:p>
    <w:p w:rsidR="00000000" w:rsidDel="00000000" w:rsidP="00000000" w:rsidRDefault="00000000" w:rsidRPr="00000000" w14:paraId="0000003D">
      <w:pPr>
        <w:spacing w:line="360" w:lineRule="auto"/>
        <w:jc w:val="both"/>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1.1 Overview of Event</w:t>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rPr>
          <w:rFonts w:ascii="Arial" w:cs="Arial" w:eastAsia="Arial" w:hAnsi="Arial"/>
          <w:rtl w:val="0"/>
        </w:rPr>
        <w:t xml:space="preserve">Awful Christmas: A Festive History Adventure, by the promise of its name, seems to be a bit more immersive-right into the sometimes-surprising history behind so many of today's Christmas traditions. With historical reenactments, storytelling sessions with activities for every age, this family-friendly event will spark a new appreciation for the origins of the festive season.</w:t>
      </w:r>
    </w:p>
    <w:p w:rsidR="00000000" w:rsidDel="00000000" w:rsidP="00000000" w:rsidRDefault="00000000" w:rsidRPr="00000000" w14:paraId="0000003F">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1.2 Reason for Event Selection</w:t>
      </w:r>
    </w:p>
    <w:p w:rsidR="00000000" w:rsidDel="00000000" w:rsidP="00000000" w:rsidRDefault="00000000" w:rsidRPr="00000000" w14:paraId="00000040">
      <w:pPr>
        <w:spacing w:line="360" w:lineRule="auto"/>
        <w:jc w:val="both"/>
        <w:rPr>
          <w:rFonts w:ascii="Arial" w:cs="Arial" w:eastAsia="Arial" w:hAnsi="Arial"/>
        </w:rPr>
      </w:pPr>
      <w:r w:rsidDel="00000000" w:rsidR="00000000" w:rsidRPr="00000000">
        <w:rPr>
          <w:rFonts w:ascii="Arial" w:cs="Arial" w:eastAsia="Arial" w:hAnsi="Arial"/>
          <w:rtl w:val="0"/>
        </w:rPr>
        <w:t xml:space="preserve">This event was chosen because lately, themed events incorporating learning aspects and entertainment have become very popular. Events of this nature provide experiences remembered by an audience which in turn helps in engendering cultural understanding, and knowledge</w:t>
      </w:r>
      <w:r w:rsidDel="00000000" w:rsidR="00000000" w:rsidRPr="00000000">
        <w:rPr>
          <w:rtl w:val="0"/>
        </w:rPr>
        <w:t xml:space="preserve"> (</w:t>
      </w:r>
      <w:r w:rsidDel="00000000" w:rsidR="00000000" w:rsidRPr="00000000">
        <w:rPr>
          <w:rFonts w:ascii="Arial" w:cs="Arial" w:eastAsia="Arial" w:hAnsi="Arial"/>
          <w:rtl w:val="0"/>
        </w:rPr>
        <w:t xml:space="preserve">Goldblatt, 2013). Having historical narratives woven within a celebratory context provides a unique attraction and one not normally experienced through usual holiday programmes.</w:t>
      </w:r>
    </w:p>
    <w:p w:rsidR="00000000" w:rsidDel="00000000" w:rsidP="00000000" w:rsidRDefault="00000000" w:rsidRPr="00000000" w14:paraId="0000004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1.3 Location and Event Context </w:t>
      </w:r>
    </w:p>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Fonts w:ascii="Arial" w:cs="Arial" w:eastAsia="Arial" w:hAnsi="Arial"/>
          <w:rtl w:val="0"/>
        </w:rPr>
        <w:t xml:space="preserve">The event will be held in a historic venue, such as a local museum or centre of heritage. This adds to the authenticity and supports the educational nature of the event. Basically, Bowdin et al. (2012) stated that appropriate venue choice is connected to the success of any event since it supports the thematic experience by way of ensuring better audience engagement.</w:t>
      </w:r>
    </w:p>
    <w:p w:rsidR="00000000" w:rsidDel="00000000" w:rsidP="00000000" w:rsidRDefault="00000000" w:rsidRPr="00000000" w14:paraId="0000004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2. The Event Cycle</w:t>
      </w:r>
    </w:p>
    <w:p w:rsidR="00000000" w:rsidDel="00000000" w:rsidP="00000000" w:rsidRDefault="00000000" w:rsidRPr="00000000" w14:paraId="0000004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2.1 Defining the Event Cycle</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The event cycle is then a formal process that regulates the planning and staging of events and informs them with identifiable phases: initiation, planning, execution, and closure. According to Getz (2012), each one of these phases is important in guaranteeing that the event meets its objectives, meets stakeholder expectations, and delivers value to the attendee. Moreover, the circular nature allows event managers continuously to adopt and reflect feedback and assessment into their continuously readjusted strategies (</w:t>
      </w:r>
      <w:r w:rsidDel="00000000" w:rsidR="00000000" w:rsidRPr="00000000">
        <w:rPr>
          <w:rtl w:val="0"/>
        </w:rPr>
        <w:t xml:space="preserve">Bowdin</w:t>
      </w:r>
      <w:r w:rsidDel="00000000" w:rsidR="00000000" w:rsidRPr="00000000">
        <w:rPr>
          <w:rFonts w:ascii="Arial" w:cs="Arial" w:eastAsia="Arial" w:hAnsi="Arial"/>
          <w:rtl w:val="0"/>
        </w:rPr>
        <w:t xml:space="preserve"> et al., 2012).</w:t>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rPr>
      </w:pPr>
      <w:r w:rsidDel="00000000" w:rsidR="00000000" w:rsidRPr="00000000">
        <w:rPr>
          <w:rFonts w:ascii="Arial" w:cs="Arial" w:eastAsia="Arial" w:hAnsi="Arial"/>
          <w:b w:val="1"/>
          <w:rtl w:val="0"/>
        </w:rPr>
        <w:t xml:space="preserve">Event Cycle:</w:t>
      </w:r>
      <w:r w:rsidDel="00000000" w:rsidR="00000000" w:rsidRPr="00000000">
        <w:rPr>
          <w:rtl w:val="0"/>
        </w:rPr>
      </w:r>
    </w:p>
    <w:p w:rsidR="00000000" w:rsidDel="00000000" w:rsidP="00000000" w:rsidRDefault="00000000" w:rsidRPr="00000000" w14:paraId="00000048">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4829849" cy="3610479"/>
            <wp:effectExtent b="0" l="0" r="0" t="0"/>
            <wp:docPr descr="A diagram of a process&#10;&#10;Description automatically generated" id="1323467146" name="image1.png"/>
            <a:graphic>
              <a:graphicData uri="http://schemas.openxmlformats.org/drawingml/2006/picture">
                <pic:pic>
                  <pic:nvPicPr>
                    <pic:cNvPr descr="A diagram of a process&#10;&#10;Description automatically generated" id="0" name="image1.png"/>
                    <pic:cNvPicPr preferRelativeResize="0"/>
                  </pic:nvPicPr>
                  <pic:blipFill>
                    <a:blip r:embed="rId8"/>
                    <a:srcRect b="0" l="0" r="0" t="0"/>
                    <a:stretch>
                      <a:fillRect/>
                    </a:stretch>
                  </pic:blipFill>
                  <pic:spPr>
                    <a:xfrm>
                      <a:off x="0" y="0"/>
                      <a:ext cx="4829849" cy="3610479"/>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2.2 Event Cycle to Horrible Christmas </w:t>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rtl w:val="0"/>
        </w:rPr>
        <w:t xml:space="preserve">A Festive History Adventure In the case of Horrible Christmas, the event cycle helps to ensure complete preparation and execution: objectives and themes will be defined during the initiation phase, to be followed by planning of activities, budgeting, and marketing strategies. The execution will take place by coordinating logistics, engaging the staff, and managing attendees on the day of the event. Finally, it will be followed by post-event evaluations and collection of feedback to inform future events (Getz, 2012). This systematic approach will ensure that each stage is fully comprehended to assure further success of the event.</w:t>
      </w:r>
    </w:p>
    <w:p w:rsidR="00000000" w:rsidDel="00000000" w:rsidP="00000000" w:rsidRDefault="00000000" w:rsidRPr="00000000" w14:paraId="000000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Preparation: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 this stage, clear objectives are set, and the purpose and theme are determined to guide the entire process. What is necessary here is to outline the key goals and overall concept.</w:t>
      </w:r>
    </w:p>
    <w:p w:rsidR="00000000" w:rsidDel="00000000" w:rsidP="00000000" w:rsidRDefault="00000000" w:rsidRPr="00000000" w14:paraId="0000004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Planning: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step mainly involves organizing the logistics of the event, budgeting for it, and devising the marketing and promotion strategy so that every aspect is duly covered. According to Bowdin et al. (2012), good planning ensures smooth execution.</w:t>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Promotion: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builds awareness and creates interest in the event. Therefore, marketing strategies are put in place to attract the engagement of the targeted audience.</w:t>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Execution: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is where the plan gets into action—coordination with the team, managing logistics, and making sure the experience for the attendees is positive.</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Evaluation: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final stage consists of providing feedback on the event outcome, analysing results, and identifying areas for improvement to yield better output in future events. In this respect, according to Getz (2012), evaluation ensures continuous learning and improvement in event management.</w:t>
      </w:r>
    </w:p>
    <w:p w:rsidR="00000000" w:rsidDel="00000000" w:rsidP="00000000" w:rsidRDefault="00000000" w:rsidRPr="00000000" w14:paraId="0000005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3. Event Concept</w:t>
      </w:r>
    </w:p>
    <w:p w:rsidR="00000000" w:rsidDel="00000000" w:rsidP="00000000" w:rsidRDefault="00000000" w:rsidRPr="00000000" w14:paraId="00000052">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3.1 Delegate and Guest Experience</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This workshop will be both instructive and amusing for the members, given that The Horrible Christmas: A Festive History Adventure creates great immersion for the delegates and guests. Members will interact with historical characters through activity sessions that involve storytelling about the origins of all the Christmas traditions. Practical things include making traditional decorations or taking part in festive games from different cultures; it appealingly brings about engagement and community feeling into action. "An interactive environment does more than just adds to the experience but causes deeper learning about the themes on which the event is based" (Goldblatt, 2013). Besides, the atmosphere of festivity through music and refreshments done through a theme, and photo opportunities with historical figures will make sure that their experience of the event is joyful, memorable and the guests thus leave with knowledge and fond memories</w:t>
      </w:r>
      <w:r w:rsidDel="00000000" w:rsidR="00000000" w:rsidRPr="00000000">
        <w:rPr>
          <w:rtl w:val="0"/>
        </w:rPr>
        <w:t xml:space="preserve"> (Turn, </w:t>
      </w:r>
      <w:r w:rsidDel="00000000" w:rsidR="00000000" w:rsidRPr="00000000">
        <w:rPr>
          <w:rFonts w:ascii="Arial" w:cs="Arial" w:eastAsia="Arial" w:hAnsi="Arial"/>
          <w:rtl w:val="0"/>
        </w:rPr>
        <w:t xml:space="preserve">Norten and Wright, 2006).</w:t>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Fonts w:ascii="Arial" w:cs="Arial" w:eastAsia="Arial" w:hAnsi="Arial"/>
          <w:rtl w:val="0"/>
        </w:rPr>
        <w:t xml:space="preserve">In considering safety factors, participants will be assured of enjoying a successful and secure experience of the event. Safety considerations involve risk assessment in recognizing possible hazards of the event, undertaking crowd control policies, ensuring accessibility of emergency exits, and staff trained in providing first aid and responding to any crisis. Such precautions raise the level of participant safety, reflecting professional event management (Bowdin et al., 2012).</w:t>
      </w:r>
    </w:p>
    <w:p w:rsidR="00000000" w:rsidDel="00000000" w:rsidP="00000000" w:rsidRDefault="00000000" w:rsidRPr="00000000" w14:paraId="00000055">
      <w:pPr>
        <w:spacing w:line="360" w:lineRule="auto"/>
        <w:jc w:val="both"/>
        <w:rPr>
          <w:rFonts w:ascii="Arial" w:cs="Arial" w:eastAsia="Arial" w:hAnsi="Arial"/>
          <w:b w:val="1"/>
        </w:rPr>
      </w:pPr>
      <w:bookmarkStart w:colFirst="0" w:colLast="0" w:name="_heading=h.30j0zll" w:id="1"/>
      <w:bookmarkEnd w:id="1"/>
      <w:r w:rsidDel="00000000" w:rsidR="00000000" w:rsidRPr="00000000">
        <w:rPr>
          <w:rFonts w:ascii="Arial" w:cs="Arial" w:eastAsia="Arial" w:hAnsi="Arial"/>
          <w:b w:val="1"/>
          <w:rtl w:val="0"/>
        </w:rPr>
        <w:t xml:space="preserve">3.2 Complete Schedule of the Event Day</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9:00 a.m.-10:00 a.m. Registration and Welcome Reception</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Upon arrival, guests check in and mingle with staff dressed as historical figures while enjoying some festive refreshments.</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11:00 am - 12:00 pm: Opening Ceremony</w:t>
      </w:r>
    </w:p>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Fonts w:ascii="Arial" w:cs="Arial" w:eastAsia="Arial" w:hAnsi="Arial"/>
          <w:rtl w:val="0"/>
        </w:rPr>
        <w:t xml:space="preserve">An introduction by the event host of the day's activities, joined with the historical importance of the Christmas customs.</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12:00 PM - 1:30 PM: Participatory Workshops</w:t>
      </w:r>
    </w:p>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rtl w:val="0"/>
        </w:rPr>
        <w:t xml:space="preserve">There are different kinds of workshops, such as ornament making, traditional storytelling, and traditional festive games in other cultures.</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1:30 PM - 2:30 PM: Themed Lunch Break</w:t>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rtl w:val="0"/>
        </w:rPr>
        <w:t xml:space="preserve"> A catered lunch of traditional holiday dishes from around the world, with time for informal networking.</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2:30 PM - 4:00 PM: Historical Reenactments</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rtl w:val="0"/>
        </w:rPr>
        <w:t xml:space="preserve">Various live performances showcasing defining moments in the history of Christmas allow guests to see how many of the traditions were created.</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4:00 PM -5:00 PM: Panel Discussion </w:t>
      </w:r>
    </w:p>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Experts weigh in on the role of Christmas traditions in modern society and take questions from attendees. </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5:00 PM - 6:00 PM: Closing Remarks and Collection of Feedback </w:t>
      </w:r>
    </w:p>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rtl w:val="0"/>
        </w:rPr>
        <w:t xml:space="preserve">The event will be concluded by reflecting on the experiences gained on this day and allowing the guests present to make comments.</w:t>
      </w:r>
    </w:p>
    <w:p w:rsidR="00000000" w:rsidDel="00000000" w:rsidP="00000000" w:rsidRDefault="00000000" w:rsidRPr="00000000" w14:paraId="00000064">
      <w:pPr>
        <w:spacing w:line="360" w:lineRule="auto"/>
        <w:jc w:val="both"/>
        <w:rPr>
          <w:rFonts w:ascii="Arial" w:cs="Arial" w:eastAsia="Arial" w:hAnsi="Arial"/>
          <w:b w:val="1"/>
        </w:rPr>
      </w:pPr>
      <w:bookmarkStart w:colFirst="0" w:colLast="0" w:name="_heading=h.1fob9te" w:id="2"/>
      <w:bookmarkEnd w:id="2"/>
      <w:r w:rsidDel="00000000" w:rsidR="00000000" w:rsidRPr="00000000">
        <w:rPr>
          <w:rFonts w:ascii="Arial" w:cs="Arial" w:eastAsia="Arial" w:hAnsi="Arial"/>
          <w:b w:val="1"/>
          <w:rtl w:val="0"/>
        </w:rPr>
        <w:t xml:space="preserve">4. Aim and Objectives of the Event</w:t>
      </w:r>
    </w:p>
    <w:p w:rsidR="00000000" w:rsidDel="00000000" w:rsidP="00000000" w:rsidRDefault="00000000" w:rsidRPr="00000000" w14:paraId="0000006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4.1 Overarching Aim</w:t>
      </w:r>
    </w:p>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i w:val="1"/>
          <w:rtl w:val="0"/>
        </w:rPr>
        <w:t xml:space="preserve">Horrible Christmas</w:t>
      </w:r>
      <w:r w:rsidDel="00000000" w:rsidR="00000000" w:rsidRPr="00000000">
        <w:rPr>
          <w:rFonts w:ascii="Arial" w:cs="Arial" w:eastAsia="Arial" w:hAnsi="Arial"/>
          <w:rtl w:val="0"/>
        </w:rPr>
        <w:t xml:space="preserve">: A Festive History Adventure is an opportunity to involve the participant in a way that is as entertaining as possible, taking him or her on a journey through all the history and multiple currents entwined with Christmas. It incorporates storytelling into the interactive activity, hands-on activity, and festive entertainment with an aim to plant a deeper understanding of the cultural meaning of holidaying. This aim responds to the increasing demand for experiences that integrate learning with enjoyment, making sure that attendees celebrate the festive season but also leave with more awareness of the diverse origins of Christmas traditions.</w:t>
      </w:r>
    </w:p>
    <w:p w:rsidR="00000000" w:rsidDel="00000000" w:rsidP="00000000" w:rsidRDefault="00000000" w:rsidRPr="00000000" w14:paraId="00000067">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8">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4.2 SMART Objectives for Horrible Christmas</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2"/>
        <w:gridCol w:w="1502"/>
        <w:gridCol w:w="1503"/>
        <w:gridCol w:w="1503"/>
        <w:gridCol w:w="1503"/>
        <w:gridCol w:w="1503"/>
        <w:tblGridChange w:id="0">
          <w:tblGrid>
            <w:gridCol w:w="1502"/>
            <w:gridCol w:w="1502"/>
            <w:gridCol w:w="1503"/>
            <w:gridCol w:w="1503"/>
            <w:gridCol w:w="1503"/>
            <w:gridCol w:w="1503"/>
          </w:tblGrid>
        </w:tblGridChange>
      </w:tblGrid>
      <w:tr>
        <w:trPr>
          <w:cantSplit w:val="0"/>
          <w:tblHeader w:val="0"/>
        </w:trPr>
        <w:tc>
          <w:tcPr>
            <w:shd w:fill="bfbfbf" w:val="clear"/>
          </w:tcPr>
          <w:p w:rsidR="00000000" w:rsidDel="00000000" w:rsidP="00000000" w:rsidRDefault="00000000" w:rsidRPr="00000000" w14:paraId="0000006B">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w:t>
            </w:r>
          </w:p>
        </w:tc>
        <w:tc>
          <w:tcPr>
            <w:shd w:fill="bfbfbf" w:val="clear"/>
          </w:tcPr>
          <w:p w:rsidR="00000000" w:rsidDel="00000000" w:rsidP="00000000" w:rsidRDefault="00000000" w:rsidRPr="00000000" w14:paraId="0000006C">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Specific</w:t>
            </w:r>
          </w:p>
        </w:tc>
        <w:tc>
          <w:tcPr>
            <w:shd w:fill="bfbfbf" w:val="clear"/>
          </w:tcPr>
          <w:p w:rsidR="00000000" w:rsidDel="00000000" w:rsidP="00000000" w:rsidRDefault="00000000" w:rsidRPr="00000000" w14:paraId="0000006D">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Measurable</w:t>
            </w:r>
          </w:p>
        </w:tc>
        <w:tc>
          <w:tcPr>
            <w:shd w:fill="bfbfbf" w:val="clear"/>
          </w:tcPr>
          <w:p w:rsidR="00000000" w:rsidDel="00000000" w:rsidP="00000000" w:rsidRDefault="00000000" w:rsidRPr="00000000" w14:paraId="0000006E">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Achievable</w:t>
            </w:r>
          </w:p>
        </w:tc>
        <w:tc>
          <w:tcPr>
            <w:shd w:fill="bfbfbf" w:val="clear"/>
          </w:tcPr>
          <w:p w:rsidR="00000000" w:rsidDel="00000000" w:rsidP="00000000" w:rsidRDefault="00000000" w:rsidRPr="00000000" w14:paraId="0000006F">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Relevant</w:t>
            </w:r>
          </w:p>
        </w:tc>
        <w:tc>
          <w:tcPr>
            <w:shd w:fill="bfbfbf" w:val="clear"/>
          </w:tcPr>
          <w:p w:rsidR="00000000" w:rsidDel="00000000" w:rsidP="00000000" w:rsidRDefault="00000000" w:rsidRPr="00000000" w14:paraId="00000070">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Time-bound</w:t>
            </w:r>
          </w:p>
        </w:tc>
      </w:tr>
      <w:tr>
        <w:trPr>
          <w:cantSplit w:val="0"/>
          <w:tblHeader w:val="0"/>
        </w:trPr>
        <w:tc>
          <w:tcPr/>
          <w:p w:rsidR="00000000" w:rsidDel="00000000" w:rsidP="00000000" w:rsidRDefault="00000000" w:rsidRPr="00000000" w14:paraId="00000071">
            <w:pPr>
              <w:spacing w:line="360" w:lineRule="auto"/>
              <w:jc w:val="both"/>
              <w:rPr>
                <w:rFonts w:ascii="Arial" w:cs="Arial" w:eastAsia="Arial" w:hAnsi="Arial"/>
                <w:b w:val="1"/>
              </w:rPr>
            </w:pPr>
            <w:r w:rsidDel="00000000" w:rsidR="00000000" w:rsidRPr="00000000">
              <w:rPr>
                <w:rFonts w:ascii="Arial" w:cs="Arial" w:eastAsia="Arial" w:hAnsi="Arial"/>
                <w:b w:val="1"/>
                <w:sz w:val="22"/>
                <w:szCs w:val="22"/>
                <w:rtl w:val="0"/>
              </w:rPr>
              <w:t xml:space="preserve">Improve Attendance</w:t>
            </w:r>
            <w:r w:rsidDel="00000000" w:rsidR="00000000" w:rsidRPr="00000000">
              <w:rPr>
                <w:rtl w:val="0"/>
              </w:rPr>
            </w:r>
          </w:p>
        </w:tc>
        <w:tc>
          <w:tcPr/>
          <w:p w:rsidR="00000000" w:rsidDel="00000000" w:rsidP="00000000" w:rsidRDefault="00000000" w:rsidRPr="00000000" w14:paraId="0000007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Create a marketing campaign to attract families and/or history enthusiasts that leads to a 20% increase in the numbers attending the events.</w:t>
            </w:r>
          </w:p>
        </w:tc>
        <w:tc>
          <w:tcPr/>
          <w:p w:rsidR="00000000" w:rsidDel="00000000" w:rsidP="00000000" w:rsidRDefault="00000000" w:rsidRPr="00000000" w14:paraId="0000007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Monitor ticket sales and pre-registrations against the same period last year</w:t>
            </w:r>
          </w:p>
        </w:tc>
        <w:tc>
          <w:tcPr/>
          <w:p w:rsidR="00000000" w:rsidDel="00000000" w:rsidP="00000000" w:rsidRDefault="00000000" w:rsidRPr="00000000" w14:paraId="0000007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would be realistically achieved through effective marketing strategies, partnerships, and outreach into the community.</w:t>
            </w:r>
          </w:p>
        </w:tc>
        <w:tc>
          <w:tcPr/>
          <w:p w:rsidR="00000000" w:rsidDel="00000000" w:rsidP="00000000" w:rsidRDefault="00000000" w:rsidRPr="00000000" w14:paraId="0000007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Because an increase in attendance establishes a result of the event objective of engaging more people in the event and enhancing cultural education</w:t>
            </w:r>
          </w:p>
        </w:tc>
        <w:tc>
          <w:tcPr/>
          <w:p w:rsidR="00000000" w:rsidDel="00000000" w:rsidP="00000000" w:rsidRDefault="00000000" w:rsidRPr="00000000" w14:paraId="0000007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shall be reviewed at the end of the event date.</w:t>
            </w:r>
          </w:p>
        </w:tc>
      </w:tr>
      <w:tr>
        <w:trPr>
          <w:cantSplit w:val="0"/>
          <w:tblHeader w:val="0"/>
        </w:trPr>
        <w:tc>
          <w:tcPr/>
          <w:p w:rsidR="00000000" w:rsidDel="00000000" w:rsidP="00000000" w:rsidRDefault="00000000" w:rsidRPr="00000000" w14:paraId="00000077">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Improve Participant Satisfaction</w:t>
            </w:r>
          </w:p>
        </w:tc>
        <w:tc>
          <w:tcPr/>
          <w:p w:rsidR="00000000" w:rsidDel="00000000" w:rsidP="00000000" w:rsidRDefault="00000000" w:rsidRPr="00000000" w14:paraId="0000007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Obtain a minimum satisfaction score of 85% in post-event feedback surveys</w:t>
            </w:r>
          </w:p>
        </w:tc>
        <w:tc>
          <w:tcPr/>
          <w:p w:rsidR="00000000" w:rsidDel="00000000" w:rsidP="00000000" w:rsidRDefault="00000000" w:rsidRPr="00000000" w14:paraId="0000007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Map the level of satisfaction about activities and the overall experience with the help of feedback forms.</w:t>
            </w:r>
          </w:p>
        </w:tc>
        <w:tc>
          <w:tcPr/>
          <w:p w:rsidR="00000000" w:rsidDel="00000000" w:rsidP="00000000" w:rsidRDefault="00000000" w:rsidRPr="00000000" w14:paraId="0000007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goal is realistic, taking into account the emphasis on quality for the event and the participation in the proposed activities.</w:t>
            </w:r>
          </w:p>
        </w:tc>
        <w:tc>
          <w:tcPr/>
          <w:p w:rsidR="00000000" w:rsidDel="00000000" w:rsidP="00000000" w:rsidRDefault="00000000" w:rsidRPr="00000000" w14:paraId="0000007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High satisfaction levels detected a prosperous outcome of the event's educational and entertaining purpose.</w:t>
            </w:r>
          </w:p>
        </w:tc>
        <w:tc>
          <w:tcPr/>
          <w:p w:rsidR="00000000" w:rsidDel="00000000" w:rsidP="00000000" w:rsidRDefault="00000000" w:rsidRPr="00000000" w14:paraId="0000007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Feedback shall be collected right after the event for timely evaluation.</w:t>
            </w:r>
          </w:p>
        </w:tc>
      </w:tr>
      <w:tr>
        <w:trPr>
          <w:cantSplit w:val="0"/>
          <w:tblHeader w:val="0"/>
        </w:trPr>
        <w:tc>
          <w:tcPr/>
          <w:p w:rsidR="00000000" w:rsidDel="00000000" w:rsidP="00000000" w:rsidRDefault="00000000" w:rsidRPr="00000000" w14:paraId="0000007D">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Cultural Awareness Promotion</w:t>
            </w:r>
          </w:p>
        </w:tc>
        <w:tc>
          <w:tcPr/>
          <w:p w:rsidR="00000000" w:rsidDel="00000000" w:rsidP="00000000" w:rsidRDefault="00000000" w:rsidRPr="00000000" w14:paraId="0000007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 least 75% of participants are able to identify one new historical fact or tradition concerning Christmas.</w:t>
            </w:r>
          </w:p>
        </w:tc>
        <w:tc>
          <w:tcPr/>
          <w:p w:rsidR="00000000" w:rsidDel="00000000" w:rsidP="00000000" w:rsidRDefault="00000000" w:rsidRPr="00000000" w14:paraId="0000007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Through informal discussions during and after the event activities, prior knowledge will be assessed as to whether it was retained or not.</w:t>
            </w:r>
          </w:p>
        </w:tc>
        <w:tc>
          <w:tcPr/>
          <w:p w:rsidR="00000000" w:rsidDel="00000000" w:rsidP="00000000" w:rsidRDefault="00000000" w:rsidRPr="00000000" w14:paraId="0000008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objective is quite achievable, considering the nature of this event, which is interactive in addition to effective content delivery.</w:t>
            </w:r>
          </w:p>
        </w:tc>
        <w:tc>
          <w:tcPr/>
          <w:p w:rsidR="00000000" w:rsidDel="00000000" w:rsidP="00000000" w:rsidRDefault="00000000" w:rsidRPr="00000000" w14:paraId="0000008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is directly supporting the educational objective of Horrible Christmas, which is cultural awareness</w:t>
            </w:r>
          </w:p>
        </w:tc>
        <w:tc>
          <w:tcPr/>
          <w:p w:rsidR="00000000" w:rsidDel="00000000" w:rsidP="00000000" w:rsidRDefault="00000000" w:rsidRPr="00000000" w14:paraId="0000008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will be measured by the end of the event day to measure immediate learning outcomes.</w:t>
            </w:r>
          </w:p>
        </w:tc>
      </w:tr>
    </w:tbl>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5. Event Management</w:t>
      </w:r>
    </w:p>
    <w:p w:rsidR="00000000" w:rsidDel="00000000" w:rsidP="00000000" w:rsidRDefault="00000000" w:rsidRPr="00000000" w14:paraId="0000008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5.1 Competencies that Guarantee the Success of Events</w:t>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i w:val="1"/>
          <w:rtl w:val="0"/>
        </w:rPr>
        <w:t xml:space="preserve">Horrible Christmas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A Festive History Adventure</w:t>
      </w:r>
      <w:r w:rsidDel="00000000" w:rsidR="00000000" w:rsidRPr="00000000">
        <w:rPr>
          <w:rFonts w:ascii="Arial" w:cs="Arial" w:eastAsia="Arial" w:hAnsi="Arial"/>
          <w:rtl w:val="0"/>
        </w:rPr>
        <w:t xml:space="preserve">-effectively summoned a mix of project management, communication, and creative abilities to an event both educational and entertaining. This will require project management skills to align the event timeline with the complex, interactive programming so that everything flows smoothly from historical presentations to festive workshops and is bang on time</w:t>
      </w:r>
      <w:r w:rsidDel="00000000" w:rsidR="00000000" w:rsidRPr="00000000">
        <w:rPr>
          <w:rtl w:val="0"/>
        </w:rPr>
        <w:t xml:space="preserve"> </w:t>
      </w:r>
      <w:r w:rsidDel="00000000" w:rsidR="00000000" w:rsidRPr="00000000">
        <w:rPr>
          <w:rFonts w:ascii="Arial" w:cs="Arial" w:eastAsia="Arial" w:hAnsi="Arial"/>
          <w:rtl w:val="0"/>
        </w:rPr>
        <w:t xml:space="preserve">(Van der Wagen &amp; White, 2010; Lock, 2020). The communication abilities to coordinate among staff, historical experts, entertainers, and volunteers create this immersive educational experience</w:t>
      </w:r>
      <w:r w:rsidDel="00000000" w:rsidR="00000000" w:rsidRPr="00000000">
        <w:rPr>
          <w:rtl w:val="0"/>
        </w:rPr>
        <w:t xml:space="preserve"> </w:t>
      </w:r>
      <w:r w:rsidDel="00000000" w:rsidR="00000000" w:rsidRPr="00000000">
        <w:rPr>
          <w:rFonts w:ascii="Arial" w:cs="Arial" w:eastAsia="Arial" w:hAnsi="Arial"/>
          <w:rtl w:val="0"/>
        </w:rPr>
        <w:t xml:space="preserve">(Bowdin et al., 2012). Creativity plays an important role in creating activities and displays and making historical content engaging, accessible, and fun, therefore, the educational elements become an interactive and festive attraction.</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Technology makes the activities of managing the events much easier to handle. Organizational software will help planners and coordinators manage the whole planning process, ensuring logistics for the timing of the event. Communication applications will aid staff members in communicating effectively to increase real-time updates and responses. These will ensure better effectiveness in operation and further guarantee that an event is in operation (Getz &amp; Page, 2016).</w:t>
      </w:r>
    </w:p>
    <w:p w:rsidR="00000000" w:rsidDel="00000000" w:rsidP="00000000" w:rsidRDefault="00000000" w:rsidRPr="00000000" w14:paraId="00000088">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5.2 Significant Resources Needed </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Horrible Christmas relies on a variety of critical resources: financial resources, human resources, and venue. How closely the event adheres to its vision depends primarily on how much financial support it gets to cover advertising and marketing costs, the fee for renting the venue, and what materials are necessary to create themed decoration and interactive exhibits. Quality staff with experience in event operations, historical education, and crowd management are also quite vital to piecing together a cohesive, authentic historical experience as well</w:t>
      </w:r>
      <w:r w:rsidDel="00000000" w:rsidR="00000000" w:rsidRPr="00000000">
        <w:rPr>
          <w:rtl w:val="0"/>
        </w:rPr>
        <w:t xml:space="preserve"> </w:t>
      </w:r>
      <w:r w:rsidDel="00000000" w:rsidR="00000000" w:rsidRPr="00000000">
        <w:rPr>
          <w:rFonts w:ascii="Arial" w:cs="Arial" w:eastAsia="Arial" w:hAnsi="Arial"/>
          <w:rtl w:val="0"/>
        </w:rPr>
        <w:t xml:space="preserve">(Getz &amp; Page, 2016). It has to accommodate different stations, like workshops, performances, and areas for telling historical stories, in order to hone the occasion into a more festive and immersive atmosphere.</w:t>
      </w:r>
    </w:p>
    <w:p w:rsidR="00000000" w:rsidDel="00000000" w:rsidP="00000000" w:rsidRDefault="00000000" w:rsidRPr="00000000" w14:paraId="0000008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8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5.3 Operational, Planning and Marketing Activities </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The operational activities at Horrible Christmas would involve scheduling, setting up historical displays, and admission management to facilitate the event experience. For planning activities, the emphasis will be on budgeting, fundraising, forming partnerships with history groups in the locality, and also the historical accuracy of all materials. It would include social media campaigns targeting the families, schools, and amateur historians of the local community in conjunction with cooperation with schools and coordination of activities by local heritage groups</w:t>
      </w:r>
      <w:r w:rsidDel="00000000" w:rsidR="00000000" w:rsidRPr="00000000">
        <w:rPr>
          <w:rtl w:val="0"/>
        </w:rPr>
        <w:t xml:space="preserve"> </w:t>
      </w:r>
      <w:r w:rsidDel="00000000" w:rsidR="00000000" w:rsidRPr="00000000">
        <w:rPr>
          <w:rFonts w:ascii="Arial" w:cs="Arial" w:eastAsia="Arial" w:hAnsi="Arial"/>
          <w:rtl w:val="0"/>
        </w:rPr>
        <w:t xml:space="preserve">(Shone &amp; Parry, 2013). This would essentially be a form of targeted marketing: to achieve attendance, raise awareness, and citizen involvement that will enhance SMART objectives (Goldblatt, 2013). The culmination of all these operational, planning, and marketing efforts will render Horrible Christmas both instructive and entertaining for one and all present.</w:t>
      </w:r>
    </w:p>
    <w:p w:rsidR="00000000" w:rsidDel="00000000" w:rsidP="00000000" w:rsidRDefault="00000000" w:rsidRPr="00000000" w14:paraId="0000008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6. Budget for the Event</w:t>
      </w:r>
    </w:p>
    <w:p w:rsidR="00000000" w:rsidDel="00000000" w:rsidP="00000000" w:rsidRDefault="00000000" w:rsidRPr="00000000" w14:paraId="0000008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6.1 Income and Expenditure Breakdown</w:t>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i w:val="1"/>
          <w:rtl w:val="0"/>
        </w:rPr>
        <w:t xml:space="preserve">Horrible Christmas: A Festive History Adventure</w:t>
      </w:r>
      <w:r w:rsidDel="00000000" w:rsidR="00000000" w:rsidRPr="00000000">
        <w:rPr>
          <w:rFonts w:ascii="Arial" w:cs="Arial" w:eastAsia="Arial" w:hAnsi="Arial"/>
          <w:rtl w:val="0"/>
        </w:rPr>
        <w:t xml:space="preserve"> would require an appropriate match between projected income and projected expenses. The significant sources of income include ticket sales, sponsorships of events by companies, vendors' fees, and grants if any</w:t>
      </w:r>
      <w:r w:rsidDel="00000000" w:rsidR="00000000" w:rsidRPr="00000000">
        <w:rPr>
          <w:rtl w:val="0"/>
        </w:rPr>
        <w:t xml:space="preserve"> (</w:t>
      </w:r>
      <w:r w:rsidDel="00000000" w:rsidR="00000000" w:rsidRPr="00000000">
        <w:rPr>
          <w:rFonts w:ascii="Arial" w:cs="Arial" w:eastAsia="Arial" w:hAnsi="Arial"/>
          <w:rtl w:val="0"/>
        </w:rPr>
        <w:t xml:space="preserve">Raj, Walters, and Rashid, 2008). On the other side, potential expenses will include venue hiring, staffing expenses, marketing, decoration costs, historical displays, and interaction materials (Bowdin et al., 2012). A table of estimated income and expenses is given below:</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shd w:fill="bfbfbf" w:val="clear"/>
          </w:tcPr>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Category</w:t>
            </w:r>
          </w:p>
        </w:tc>
        <w:tc>
          <w:tcPr>
            <w:shd w:fill="bfbfbf" w:val="clear"/>
          </w:tcPr>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Income (£)</w:t>
            </w:r>
          </w:p>
        </w:tc>
        <w:tc>
          <w:tcPr>
            <w:shd w:fill="bfbfbf" w:val="clear"/>
          </w:tcPr>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Expenditure (£)</w:t>
            </w:r>
          </w:p>
        </w:tc>
      </w:tr>
      <w:tr>
        <w:trPr>
          <w:cantSplit w:val="0"/>
          <w:tblHeader w:val="0"/>
        </w:trPr>
        <w:tc>
          <w:tcPr/>
          <w:p w:rsidR="00000000" w:rsidDel="00000000" w:rsidP="00000000" w:rsidRDefault="00000000" w:rsidRPr="00000000" w14:paraId="0000009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Ticket Sales</w:t>
            </w:r>
          </w:p>
        </w:tc>
        <w:tc>
          <w:tcPr/>
          <w:p w:rsidR="00000000" w:rsidDel="00000000" w:rsidP="00000000" w:rsidRDefault="00000000" w:rsidRPr="00000000" w14:paraId="0000009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12.000</w:t>
            </w:r>
          </w:p>
        </w:tc>
        <w:tc>
          <w:tcPr/>
          <w:p w:rsidR="00000000" w:rsidDel="00000000" w:rsidP="00000000" w:rsidRDefault="00000000" w:rsidRPr="00000000" w14:paraId="00000095">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Sponsorships</w:t>
            </w:r>
          </w:p>
        </w:tc>
        <w:tc>
          <w:tcPr/>
          <w:p w:rsidR="00000000" w:rsidDel="00000000" w:rsidP="00000000" w:rsidRDefault="00000000" w:rsidRPr="00000000" w14:paraId="0000009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5.000</w:t>
            </w:r>
          </w:p>
        </w:tc>
        <w:tc>
          <w:tcPr/>
          <w:p w:rsidR="00000000" w:rsidDel="00000000" w:rsidP="00000000" w:rsidRDefault="00000000" w:rsidRPr="00000000" w14:paraId="00000098">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Vendor Fees</w:t>
            </w:r>
          </w:p>
        </w:tc>
        <w:tc>
          <w:tcPr/>
          <w:p w:rsidR="00000000" w:rsidDel="00000000" w:rsidP="00000000" w:rsidRDefault="00000000" w:rsidRPr="00000000" w14:paraId="0000009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1.500</w:t>
            </w:r>
          </w:p>
        </w:tc>
        <w:tc>
          <w:tcPr/>
          <w:p w:rsidR="00000000" w:rsidDel="00000000" w:rsidP="00000000" w:rsidRDefault="00000000" w:rsidRPr="00000000" w14:paraId="0000009B">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Grants</w:t>
            </w:r>
          </w:p>
        </w:tc>
        <w:tc>
          <w:tcPr/>
          <w:p w:rsidR="00000000" w:rsidDel="00000000" w:rsidP="00000000" w:rsidRDefault="00000000" w:rsidRPr="00000000" w14:paraId="0000009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3.000</w:t>
            </w:r>
          </w:p>
        </w:tc>
        <w:tc>
          <w:tcPr/>
          <w:p w:rsidR="00000000" w:rsidDel="00000000" w:rsidP="00000000" w:rsidRDefault="00000000" w:rsidRPr="00000000" w14:paraId="0000009E">
            <w:pPr>
              <w:spacing w:line="360" w:lineRule="auto"/>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Venue Rental</w:t>
            </w:r>
          </w:p>
        </w:tc>
        <w:tc>
          <w:tcPr/>
          <w:p w:rsidR="00000000" w:rsidDel="00000000" w:rsidP="00000000" w:rsidRDefault="00000000" w:rsidRPr="00000000" w14:paraId="000000A0">
            <w:pPr>
              <w:spacing w:line="360" w:lineRule="auto"/>
              <w:jc w:val="both"/>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4.000</w:t>
            </w:r>
          </w:p>
        </w:tc>
      </w:tr>
      <w:tr>
        <w:trPr>
          <w:cantSplit w:val="0"/>
          <w:tblHeader w:val="0"/>
        </w:trPr>
        <w:tc>
          <w:tcPr/>
          <w:p w:rsidR="00000000" w:rsidDel="00000000" w:rsidP="00000000" w:rsidRDefault="00000000" w:rsidRPr="00000000" w14:paraId="000000A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Staff Wages</w:t>
            </w:r>
          </w:p>
        </w:tc>
        <w:tc>
          <w:tcPr/>
          <w:p w:rsidR="00000000" w:rsidDel="00000000" w:rsidP="00000000" w:rsidRDefault="00000000" w:rsidRPr="00000000" w14:paraId="000000A3">
            <w:pPr>
              <w:spacing w:line="360" w:lineRule="auto"/>
              <w:jc w:val="both"/>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6.000</w:t>
            </w:r>
          </w:p>
        </w:tc>
      </w:tr>
      <w:tr>
        <w:trPr>
          <w:cantSplit w:val="0"/>
          <w:tblHeader w:val="0"/>
        </w:trPr>
        <w:tc>
          <w:tcPr/>
          <w:p w:rsidR="00000000" w:rsidDel="00000000" w:rsidP="00000000" w:rsidRDefault="00000000" w:rsidRPr="00000000" w14:paraId="000000A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Marketing</w:t>
            </w:r>
          </w:p>
        </w:tc>
        <w:tc>
          <w:tcPr/>
          <w:p w:rsidR="00000000" w:rsidDel="00000000" w:rsidP="00000000" w:rsidRDefault="00000000" w:rsidRPr="00000000" w14:paraId="000000A6">
            <w:pPr>
              <w:spacing w:line="360" w:lineRule="auto"/>
              <w:jc w:val="both"/>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3.500</w:t>
            </w:r>
          </w:p>
        </w:tc>
      </w:tr>
      <w:tr>
        <w:trPr>
          <w:cantSplit w:val="0"/>
          <w:tblHeader w:val="0"/>
        </w:trPr>
        <w:tc>
          <w:tcPr/>
          <w:p w:rsidR="00000000" w:rsidDel="00000000" w:rsidP="00000000" w:rsidRDefault="00000000" w:rsidRPr="00000000" w14:paraId="000000A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Decor &amp; Displays</w:t>
            </w:r>
          </w:p>
        </w:tc>
        <w:tc>
          <w:tcPr/>
          <w:p w:rsidR="00000000" w:rsidDel="00000000" w:rsidP="00000000" w:rsidRDefault="00000000" w:rsidRPr="00000000" w14:paraId="000000A9">
            <w:pPr>
              <w:spacing w:line="360" w:lineRule="auto"/>
              <w:jc w:val="both"/>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2.500</w:t>
            </w:r>
          </w:p>
        </w:tc>
      </w:tr>
      <w:tr>
        <w:trPr>
          <w:cantSplit w:val="0"/>
          <w:tblHeader w:val="0"/>
        </w:trPr>
        <w:tc>
          <w:tcPr/>
          <w:p w:rsidR="00000000" w:rsidDel="00000000" w:rsidP="00000000" w:rsidRDefault="00000000" w:rsidRPr="00000000" w14:paraId="000000A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Interactive Materials</w:t>
            </w:r>
          </w:p>
        </w:tc>
        <w:tc>
          <w:tcPr/>
          <w:p w:rsidR="00000000" w:rsidDel="00000000" w:rsidP="00000000" w:rsidRDefault="00000000" w:rsidRPr="00000000" w14:paraId="000000AC">
            <w:pPr>
              <w:spacing w:line="360" w:lineRule="auto"/>
              <w:jc w:val="both"/>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2.000</w:t>
            </w:r>
          </w:p>
        </w:tc>
      </w:tr>
      <w:tr>
        <w:trPr>
          <w:cantSplit w:val="0"/>
          <w:tblHeader w:val="0"/>
        </w:trPr>
        <w:tc>
          <w:tcPr/>
          <w:p w:rsidR="00000000" w:rsidDel="00000000" w:rsidP="00000000" w:rsidRDefault="00000000" w:rsidRPr="00000000" w14:paraId="000000A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Total</w:t>
            </w:r>
          </w:p>
        </w:tc>
        <w:tc>
          <w:tcPr/>
          <w:p w:rsidR="00000000" w:rsidDel="00000000" w:rsidP="00000000" w:rsidRDefault="00000000" w:rsidRPr="00000000" w14:paraId="000000A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21.500</w:t>
            </w:r>
          </w:p>
        </w:tc>
        <w:tc>
          <w:tcPr/>
          <w:p w:rsidR="00000000" w:rsidDel="00000000" w:rsidP="00000000" w:rsidRDefault="00000000" w:rsidRPr="00000000" w14:paraId="000000B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18.000</w:t>
            </w:r>
          </w:p>
        </w:tc>
      </w:tr>
    </w:tbl>
    <w:p w:rsidR="00000000" w:rsidDel="00000000" w:rsidP="00000000" w:rsidRDefault="00000000" w:rsidRPr="00000000" w14:paraId="000000B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6.2 Cost and Funding Sources Analysis</w:t>
      </w:r>
    </w:p>
    <w:p w:rsidR="00000000" w:rsidDel="00000000" w:rsidP="00000000" w:rsidRDefault="00000000" w:rsidRPr="00000000" w14:paraId="000000B2">
      <w:pPr>
        <w:spacing w:line="360" w:lineRule="auto"/>
        <w:jc w:val="both"/>
        <w:rPr>
          <w:rFonts w:ascii="Arial" w:cs="Arial" w:eastAsia="Arial" w:hAnsi="Arial"/>
        </w:rPr>
      </w:pPr>
      <w:r w:rsidDel="00000000" w:rsidR="00000000" w:rsidRPr="00000000">
        <w:rPr>
          <w:rFonts w:ascii="Arial" w:cs="Arial" w:eastAsia="Arial" w:hAnsi="Arial"/>
          <w:rtl w:val="0"/>
        </w:rPr>
        <w:t xml:space="preserve">The funding sources need to play a crucial role in covering the costs for profitability. Ticket sales, important income, will be supplemented through sponsorships from local vendors, with grants from educational or cultural funds that align with the mission of education enabled for the event</w:t>
      </w:r>
      <w:r w:rsidDel="00000000" w:rsidR="00000000" w:rsidRPr="00000000">
        <w:rPr>
          <w:rtl w:val="0"/>
        </w:rPr>
        <w:t xml:space="preserve"> </w:t>
      </w:r>
      <w:r w:rsidDel="00000000" w:rsidR="00000000" w:rsidRPr="00000000">
        <w:rPr>
          <w:rFonts w:ascii="Arial" w:cs="Arial" w:eastAsia="Arial" w:hAnsi="Arial"/>
          <w:rtl w:val="0"/>
        </w:rPr>
        <w:t xml:space="preserve">(Getz &amp; Page, 2019). Sponsorship packages with branding opportunities are made available to local businesses, while grants from arts or cultural organizations underpin the historical education components. The relevance of all costs is important and must be managed, but in particular, fixed costs, such as venue rental and staffing. Variable costs can then be adjusted, like marketing, based on the progress of ticket sales and the availability of funding</w:t>
      </w:r>
      <w:r w:rsidDel="00000000" w:rsidR="00000000" w:rsidRPr="00000000">
        <w:rPr>
          <w:rtl w:val="0"/>
        </w:rPr>
        <w:t xml:space="preserve"> </w:t>
      </w:r>
      <w:r w:rsidDel="00000000" w:rsidR="00000000" w:rsidRPr="00000000">
        <w:rPr>
          <w:rFonts w:ascii="Arial" w:cs="Arial" w:eastAsia="Arial" w:hAnsi="Arial"/>
          <w:rtl w:val="0"/>
        </w:rPr>
        <w:t xml:space="preserve">(Allen et al., 2011).</w:t>
      </w:r>
    </w:p>
    <w:p w:rsidR="00000000" w:rsidDel="00000000" w:rsidP="00000000" w:rsidRDefault="00000000" w:rsidRPr="00000000" w14:paraId="000000B3">
      <w:pPr>
        <w:spacing w:line="360" w:lineRule="auto"/>
        <w:jc w:val="both"/>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6.3 Income Generation Strategies</w:t>
      </w:r>
    </w:p>
    <w:p w:rsidR="00000000" w:rsidDel="00000000" w:rsidP="00000000" w:rsidRDefault="00000000" w:rsidRPr="00000000" w14:paraId="000000B4">
      <w:pPr>
        <w:spacing w:line="360" w:lineRule="auto"/>
        <w:jc w:val="both"/>
        <w:rPr>
          <w:rFonts w:ascii="Arial" w:cs="Arial" w:eastAsia="Arial" w:hAnsi="Arial"/>
        </w:rPr>
      </w:pPr>
      <w:r w:rsidDel="00000000" w:rsidR="00000000" w:rsidRPr="00000000">
        <w:rPr>
          <w:rFonts w:ascii="Arial" w:cs="Arial" w:eastAsia="Arial" w:hAnsi="Arial"/>
          <w:rtl w:val="0"/>
        </w:rPr>
        <w:t xml:space="preserve">Horrible Christmas will, therefore, be inducing a number of strategies at inducing revenues considered, in turn, in maximal income generation: early-bird discounts on tickets which secure for them early commitments for attendance, value-up ticketing options offering experiences of VIP standards, such as behind-the-scenes tours or merchandise releases limited to a set number (</w:t>
      </w:r>
      <w:r w:rsidDel="00000000" w:rsidR="00000000" w:rsidRPr="00000000">
        <w:rPr>
          <w:rtl w:val="0"/>
        </w:rPr>
        <w:t xml:space="preserve">Matthews</w:t>
      </w:r>
      <w:r w:rsidDel="00000000" w:rsidR="00000000" w:rsidRPr="00000000">
        <w:rPr>
          <w:rFonts w:ascii="Arial" w:cs="Arial" w:eastAsia="Arial" w:hAnsi="Arial"/>
          <w:rtl w:val="0"/>
        </w:rPr>
        <w:t xml:space="preserve">, 2015). Vendors will then be induced to pay for participation, and there will be an agreement reached with food and beverage providers on the premises for a share of the revenue.</w:t>
      </w:r>
    </w:p>
    <w:p w:rsidR="00000000" w:rsidDel="00000000" w:rsidP="00000000" w:rsidRDefault="00000000" w:rsidRPr="00000000" w14:paraId="000000B5">
      <w:pPr>
        <w:spacing w:line="360" w:lineRule="auto"/>
        <w:jc w:val="both"/>
        <w:rPr>
          <w:rFonts w:ascii="Arial" w:cs="Arial" w:eastAsia="Arial" w:hAnsi="Arial"/>
        </w:rPr>
      </w:pPr>
      <w:r w:rsidDel="00000000" w:rsidR="00000000" w:rsidRPr="00000000">
        <w:rPr>
          <w:rFonts w:ascii="Arial" w:cs="Arial" w:eastAsia="Arial" w:hAnsi="Arial"/>
          <w:rtl w:val="0"/>
        </w:rPr>
        <w:t xml:space="preserve">Corporate sponsorships provide branding in event materials, showcasing local businesses with greater visibility. Themed merchandise, including booklets about history or ornaments, would be sold for souvenirs to increase income and visitors' participation.</w:t>
      </w:r>
    </w:p>
    <w:p w:rsidR="00000000" w:rsidDel="00000000" w:rsidP="00000000" w:rsidRDefault="00000000" w:rsidRPr="00000000" w14:paraId="000000B6">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7. Industry Trends, Issues and Impacts</w:t>
      </w:r>
    </w:p>
    <w:p w:rsidR="00000000" w:rsidDel="00000000" w:rsidP="00000000" w:rsidRDefault="00000000" w:rsidRPr="00000000" w14:paraId="000000B7">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7.1 Current Trends in the Meetings and Events Industry</w:t>
      </w:r>
    </w:p>
    <w:p w:rsidR="00000000" w:rsidDel="00000000" w:rsidP="00000000" w:rsidRDefault="00000000" w:rsidRPr="00000000" w14:paraId="000000B8">
      <w:pPr>
        <w:spacing w:line="360" w:lineRule="auto"/>
        <w:jc w:val="both"/>
        <w:rPr>
          <w:rFonts w:ascii="Arial" w:cs="Arial" w:eastAsia="Arial" w:hAnsi="Arial"/>
        </w:rPr>
      </w:pPr>
      <w:r w:rsidDel="00000000" w:rsidR="00000000" w:rsidRPr="00000000">
        <w:rPr>
          <w:rFonts w:ascii="Arial" w:cs="Arial" w:eastAsia="Arial" w:hAnsi="Arial"/>
          <w:rtl w:val="0"/>
        </w:rPr>
        <w:t xml:space="preserve">The event and meeting business is truly developing to meet the consumer demands for experience and personalized interactions. The events with themes, like </w:t>
      </w:r>
      <w:r w:rsidDel="00000000" w:rsidR="00000000" w:rsidRPr="00000000">
        <w:rPr>
          <w:rFonts w:ascii="Arial" w:cs="Arial" w:eastAsia="Arial" w:hAnsi="Arial"/>
          <w:i w:val="1"/>
          <w:rtl w:val="0"/>
        </w:rPr>
        <w:t xml:space="preserve">Horrible Christmas: A Festive History Adventure</w:t>
      </w:r>
      <w:r w:rsidDel="00000000" w:rsidR="00000000" w:rsidRPr="00000000">
        <w:rPr>
          <w:rFonts w:ascii="Arial" w:cs="Arial" w:eastAsia="Arial" w:hAnsi="Arial"/>
          <w:rtl w:val="0"/>
        </w:rPr>
        <w:t xml:space="preserve">, fall right within that line since they adopt knowledge about history and combine it with interaction that creatively involves participants on a level far greater than what was ever experienced</w:t>
      </w:r>
      <w:r w:rsidDel="00000000" w:rsidR="00000000" w:rsidRPr="00000000">
        <w:rPr>
          <w:rtl w:val="0"/>
        </w:rPr>
        <w:t xml:space="preserve"> (</w:t>
      </w:r>
      <w:r w:rsidDel="00000000" w:rsidR="00000000" w:rsidRPr="00000000">
        <w:rPr>
          <w:rFonts w:ascii="Arial" w:cs="Arial" w:eastAsia="Arial" w:hAnsi="Arial"/>
          <w:rtl w:val="0"/>
        </w:rPr>
        <w:t xml:space="preserve">Preston, 2012). Digital marketing and social media have also become fundamental tools in allowing events to reach segments of their audiences and build community engagement online with considerable ease</w:t>
      </w:r>
      <w:r w:rsidDel="00000000" w:rsidR="00000000" w:rsidRPr="00000000">
        <w:rPr>
          <w:rtl w:val="0"/>
        </w:rPr>
        <w:t xml:space="preserve"> </w:t>
      </w:r>
      <w:r w:rsidDel="00000000" w:rsidR="00000000" w:rsidRPr="00000000">
        <w:rPr>
          <w:rFonts w:ascii="Arial" w:cs="Arial" w:eastAsia="Arial" w:hAnsi="Arial"/>
          <w:rtl w:val="0"/>
        </w:rPr>
        <w:t xml:space="preserve">(Bladen et al., 2012).</w:t>
      </w:r>
    </w:p>
    <w:p w:rsidR="00000000" w:rsidDel="00000000" w:rsidP="00000000" w:rsidRDefault="00000000" w:rsidRPr="00000000" w14:paraId="000000B9">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7.2 Issues that will affect the Event</w:t>
      </w:r>
    </w:p>
    <w:p w:rsidR="00000000" w:rsidDel="00000000" w:rsidP="00000000" w:rsidRDefault="00000000" w:rsidRPr="00000000" w14:paraId="000000BA">
      <w:pPr>
        <w:spacing w:line="360" w:lineRule="auto"/>
        <w:jc w:val="both"/>
        <w:rPr>
          <w:rFonts w:ascii="Arial" w:cs="Arial" w:eastAsia="Arial" w:hAnsi="Arial"/>
        </w:rPr>
      </w:pPr>
      <w:r w:rsidDel="00000000" w:rsidR="00000000" w:rsidRPr="00000000">
        <w:rPr>
          <w:rFonts w:ascii="Arial" w:cs="Arial" w:eastAsia="Arial" w:hAnsi="Arial"/>
          <w:rtl w:val="0"/>
        </w:rPr>
        <w:t xml:space="preserve">Critical issues also involve budgetary and resource allocation issues, particularly in the search for funding sources and dealing with prohibitively expensive venue and material costs. Additionally, the uncertainty of attendance due to economic factors or health concerns interferes with revenue projections. Especially considering the family nature of this event, it is important that it meets the set safety regulations and accessibility requirements</w:t>
      </w:r>
      <w:r w:rsidDel="00000000" w:rsidR="00000000" w:rsidRPr="00000000">
        <w:rPr>
          <w:rtl w:val="0"/>
        </w:rPr>
        <w:t xml:space="preserve"> </w:t>
      </w:r>
      <w:r w:rsidDel="00000000" w:rsidR="00000000" w:rsidRPr="00000000">
        <w:rPr>
          <w:rFonts w:ascii="Arial" w:cs="Arial" w:eastAsia="Arial" w:hAnsi="Arial"/>
          <w:rtl w:val="0"/>
        </w:rPr>
        <w:t xml:space="preserve">(Bowdin et al., 2012). These issues do require careful financial planning and contingency measures to ensure stability in the event.</w:t>
      </w:r>
    </w:p>
    <w:p w:rsidR="00000000" w:rsidDel="00000000" w:rsidP="00000000" w:rsidRDefault="00000000" w:rsidRPr="00000000" w14:paraId="000000B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7.3 Implications of Industry Trends for Event Delivery </w:t>
      </w:r>
    </w:p>
    <w:p w:rsidR="00000000" w:rsidDel="00000000" w:rsidP="00000000" w:rsidRDefault="00000000" w:rsidRPr="00000000" w14:paraId="000000BC">
      <w:pPr>
        <w:spacing w:line="360" w:lineRule="auto"/>
        <w:jc w:val="both"/>
        <w:rPr>
          <w:rFonts w:ascii="Arial" w:cs="Arial" w:eastAsia="Arial" w:hAnsi="Arial"/>
        </w:rPr>
      </w:pPr>
      <w:r w:rsidDel="00000000" w:rsidR="00000000" w:rsidRPr="00000000">
        <w:rPr>
          <w:rFonts w:ascii="Arial" w:cs="Arial" w:eastAsia="Arial" w:hAnsi="Arial"/>
          <w:rtl w:val="0"/>
        </w:rPr>
        <w:t xml:space="preserve">Current industry trends-for example, events considered to be sustainable and interactive-drive conceptualization</w:t>
      </w:r>
      <w:r w:rsidDel="00000000" w:rsidR="00000000" w:rsidRPr="00000000">
        <w:rPr>
          <w:rtl w:val="0"/>
        </w:rPr>
        <w:t xml:space="preserve"> (</w:t>
      </w:r>
      <w:r w:rsidDel="00000000" w:rsidR="00000000" w:rsidRPr="00000000">
        <w:rPr>
          <w:rFonts w:ascii="Arial" w:cs="Arial" w:eastAsia="Arial" w:hAnsi="Arial"/>
          <w:rtl w:val="0"/>
        </w:rPr>
        <w:t xml:space="preserve">Yeoman et al., 2015). Examples for Horrible Christmas include the naming of eco-friendly practices to decoration and materials that will appeal to the greening of attendees and historically accurate, interactive exhibits that meet the current trend in education. Social media marketing can extend the reach with minimal increase in costs thus allowing for more targeted and effective promotions. </w:t>
      </w:r>
      <w:r w:rsidDel="00000000" w:rsidR="00000000" w:rsidRPr="00000000">
        <w:rPr>
          <w:rtl w:val="0"/>
        </w:rPr>
        <w:t xml:space="preserve"> </w:t>
      </w:r>
      <w:r w:rsidDel="00000000" w:rsidR="00000000" w:rsidRPr="00000000">
        <w:rPr>
          <w:rFonts w:ascii="Arial" w:cs="Arial" w:eastAsia="Arial" w:hAnsi="Arial"/>
          <w:rtl w:val="0"/>
        </w:rPr>
        <w:t xml:space="preserve">All in all, adapting to these trends guarantees that the event will stay on key with relevance and engagement (</w:t>
      </w:r>
      <w:r w:rsidDel="00000000" w:rsidR="00000000" w:rsidRPr="00000000">
        <w:rPr>
          <w:rtl w:val="0"/>
        </w:rPr>
        <w:t xml:space="preserve">Davidson</w:t>
      </w:r>
      <w:r w:rsidDel="00000000" w:rsidR="00000000" w:rsidRPr="00000000">
        <w:rPr>
          <w:rFonts w:ascii="Arial" w:cs="Arial" w:eastAsia="Arial" w:hAnsi="Arial"/>
          <w:rtl w:val="0"/>
        </w:rPr>
        <w:t xml:space="preserve">, 2018).</w:t>
      </w:r>
    </w:p>
    <w:p w:rsidR="00000000" w:rsidDel="00000000" w:rsidP="00000000" w:rsidRDefault="00000000" w:rsidRPr="00000000" w14:paraId="000000B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8. Situational and Cultural Considerations</w:t>
      </w:r>
    </w:p>
    <w:p w:rsidR="00000000" w:rsidDel="00000000" w:rsidP="00000000" w:rsidRDefault="00000000" w:rsidRPr="00000000" w14:paraId="000000B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8.1 Cultural Relevance of the Terrible Christmas Theme</w:t>
      </w:r>
    </w:p>
    <w:p w:rsidR="00000000" w:rsidDel="00000000" w:rsidP="00000000" w:rsidRDefault="00000000" w:rsidRPr="00000000" w14:paraId="000000BF">
      <w:pPr>
        <w:spacing w:line="360" w:lineRule="auto"/>
        <w:jc w:val="both"/>
        <w:rPr>
          <w:rFonts w:ascii="Arial" w:cs="Arial" w:eastAsia="Arial" w:hAnsi="Arial"/>
        </w:rPr>
      </w:pPr>
      <w:r w:rsidDel="00000000" w:rsidR="00000000" w:rsidRPr="00000000">
        <w:rPr>
          <w:rFonts w:ascii="Arial" w:cs="Arial" w:eastAsia="Arial" w:hAnsi="Arial"/>
          <w:i w:val="1"/>
          <w:rtl w:val="0"/>
        </w:rPr>
        <w:t xml:space="preserve">Horrible Christmas: A Festive History Adventure</w:t>
      </w:r>
      <w:r w:rsidDel="00000000" w:rsidR="00000000" w:rsidRPr="00000000">
        <w:rPr>
          <w:rFonts w:ascii="Arial" w:cs="Arial" w:eastAsia="Arial" w:hAnsi="Arial"/>
          <w:rtl w:val="0"/>
        </w:rPr>
        <w:t xml:space="preserve"> theme capitalizes on the cultural relevance of Christmas and its history as somewhat darker, an unusual and engaging perspective on usually well-understood traditions (Getz and Ziakas, 2023). This makes the unique approach appealing to a diverse audience of families, history enthusiasts, and local cultural organizations by adding education into the traditional holiday festivities (Getz &amp; Page, 2016).</w:t>
      </w:r>
    </w:p>
    <w:p w:rsidR="00000000" w:rsidDel="00000000" w:rsidP="00000000" w:rsidRDefault="00000000" w:rsidRPr="00000000" w14:paraId="000000C0">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8.2 Situational Analysis using SWOT </w:t>
      </w:r>
    </w:p>
    <w:p w:rsidR="00000000" w:rsidDel="00000000" w:rsidP="00000000" w:rsidRDefault="00000000" w:rsidRPr="00000000" w14:paraId="000000C1">
      <w:pPr>
        <w:spacing w:line="360" w:lineRule="auto"/>
        <w:jc w:val="both"/>
        <w:rPr>
          <w:rFonts w:ascii="Arial" w:cs="Arial" w:eastAsia="Arial" w:hAnsi="Arial"/>
        </w:rPr>
      </w:pPr>
      <w:r w:rsidDel="00000000" w:rsidR="00000000" w:rsidRPr="00000000">
        <w:rPr>
          <w:rFonts w:ascii="Arial" w:cs="Arial" w:eastAsia="Arial" w:hAnsi="Arial"/>
          <w:rtl w:val="0"/>
        </w:rPr>
        <w:t xml:space="preserve">SWOT analysis will help in reviewing the strengths, weaknesses, opportunities, and threats for Horrible Christmas</w:t>
      </w:r>
      <w:r w:rsidDel="00000000" w:rsidR="00000000" w:rsidRPr="00000000">
        <w:rPr>
          <w:rtl w:val="0"/>
        </w:rPr>
        <w:t xml:space="preserve"> (</w:t>
      </w:r>
      <w:r w:rsidDel="00000000" w:rsidR="00000000" w:rsidRPr="00000000">
        <w:rPr>
          <w:rFonts w:ascii="Arial" w:cs="Arial" w:eastAsia="Arial" w:hAnsi="Arial"/>
          <w:rtl w:val="0"/>
        </w:rPr>
        <w:t xml:space="preserve">Pickton and Wright, 1998). </w:t>
      </w:r>
      <w:r w:rsidDel="00000000" w:rsidR="00000000" w:rsidRPr="00000000">
        <w:rPr>
          <w:rFonts w:ascii="Arial" w:cs="Arial" w:eastAsia="Arial" w:hAnsi="Arial"/>
          <w:b w:val="1"/>
          <w:i w:val="1"/>
          <w:rtl w:val="0"/>
        </w:rPr>
        <w:t xml:space="preserve">Strengths</w:t>
      </w:r>
      <w:r w:rsidDel="00000000" w:rsidR="00000000" w:rsidRPr="00000000">
        <w:rPr>
          <w:rFonts w:ascii="Arial" w:cs="Arial" w:eastAsia="Arial" w:hAnsi="Arial"/>
          <w:rtl w:val="0"/>
        </w:rPr>
        <w:t xml:space="preserve"> are the uniqueness of the theme and the possibility of interactive and educative experiences which may make it stand apart from other seasonal events. </w:t>
      </w:r>
      <w:r w:rsidDel="00000000" w:rsidR="00000000" w:rsidRPr="00000000">
        <w:rPr>
          <w:rFonts w:ascii="Arial" w:cs="Arial" w:eastAsia="Arial" w:hAnsi="Arial"/>
          <w:b w:val="1"/>
          <w:i w:val="1"/>
          <w:rtl w:val="0"/>
        </w:rPr>
        <w:t xml:space="preserve">Weaknesses</w:t>
      </w:r>
      <w:r w:rsidDel="00000000" w:rsidR="00000000" w:rsidRPr="00000000">
        <w:rPr>
          <w:rFonts w:ascii="Arial" w:cs="Arial" w:eastAsia="Arial" w:hAnsi="Arial"/>
          <w:rtl w:val="0"/>
        </w:rPr>
        <w:t xml:space="preserve"> may include the controlling of the budget and how the content should have historical accuracy. </w:t>
      </w:r>
      <w:r w:rsidDel="00000000" w:rsidR="00000000" w:rsidRPr="00000000">
        <w:rPr>
          <w:rFonts w:ascii="Arial" w:cs="Arial" w:eastAsia="Arial" w:hAnsi="Arial"/>
          <w:b w:val="1"/>
          <w:i w:val="1"/>
          <w:rtl w:val="0"/>
        </w:rPr>
        <w:t xml:space="preserve">Opportunities</w:t>
      </w:r>
      <w:r w:rsidDel="00000000" w:rsidR="00000000" w:rsidRPr="00000000">
        <w:rPr>
          <w:rFonts w:ascii="Arial" w:cs="Arial" w:eastAsia="Arial" w:hAnsi="Arial"/>
          <w:rtl w:val="0"/>
        </w:rPr>
        <w:t xml:space="preserve"> come with the growing interest in events related to culture and experience. </w:t>
      </w:r>
      <w:r w:rsidDel="00000000" w:rsidR="00000000" w:rsidRPr="00000000">
        <w:rPr>
          <w:rFonts w:ascii="Arial" w:cs="Arial" w:eastAsia="Arial" w:hAnsi="Arial"/>
          <w:b w:val="1"/>
          <w:i w:val="1"/>
          <w:rtl w:val="0"/>
        </w:rPr>
        <w:t xml:space="preserve">Threats</w:t>
      </w:r>
      <w:r w:rsidDel="00000000" w:rsidR="00000000" w:rsidRPr="00000000">
        <w:rPr>
          <w:rFonts w:ascii="Arial" w:cs="Arial" w:eastAsia="Arial" w:hAnsi="Arial"/>
          <w:rtl w:val="0"/>
        </w:rPr>
        <w:t xml:space="preserve"> involve unpredictable attendance affected by change in economic conditions and, for winter shows, weather conditions. In light of this analysis, planning should get to take note of where to apportion its resources and how to manage risks.</w:t>
      </w:r>
    </w:p>
    <w:p w:rsidR="00000000" w:rsidDel="00000000" w:rsidP="00000000" w:rsidRDefault="00000000" w:rsidRPr="00000000" w14:paraId="000000C2">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8.3 Importance of Situational and Cultural Factors within Event Management</w:t>
      </w:r>
    </w:p>
    <w:p w:rsidR="00000000" w:rsidDel="00000000" w:rsidP="00000000" w:rsidRDefault="00000000" w:rsidRPr="00000000" w14:paraId="000000C3">
      <w:pPr>
        <w:spacing w:line="360" w:lineRule="auto"/>
        <w:jc w:val="both"/>
        <w:rPr>
          <w:rFonts w:ascii="Arial" w:cs="Arial" w:eastAsia="Arial" w:hAnsi="Arial"/>
        </w:rPr>
      </w:pPr>
      <w:r w:rsidDel="00000000" w:rsidR="00000000" w:rsidRPr="00000000">
        <w:rPr>
          <w:rFonts w:ascii="Arial" w:cs="Arial" w:eastAsia="Arial" w:hAnsi="Arial"/>
          <w:rtl w:val="0"/>
        </w:rPr>
        <w:t xml:space="preserve">The situational and cultural factors play a major determinant in the success of any event, which will be understood. The understanding of cultural relevance develops varied customers who are attracted to the theme thus the building of communities with active interest in those events (Hofstede et al., 2010). Situational factors include funding required as well as associated risks. Using these tools allows for understanding appropriateness with regard to community expectations and interest, improving the cultural impacts and the acceptance likelihood of the event concerned</w:t>
      </w:r>
      <w:r w:rsidDel="00000000" w:rsidR="00000000" w:rsidRPr="00000000">
        <w:rPr>
          <w:rtl w:val="0"/>
        </w:rPr>
        <w:t xml:space="preserve"> (</w:t>
      </w:r>
      <w:r w:rsidDel="00000000" w:rsidR="00000000" w:rsidRPr="00000000">
        <w:rPr>
          <w:rFonts w:ascii="Arial" w:cs="Arial" w:eastAsia="Arial" w:hAnsi="Arial"/>
          <w:rtl w:val="0"/>
        </w:rPr>
        <w:t xml:space="preserve">Morrison, 2013).</w:t>
      </w:r>
    </w:p>
    <w:p w:rsidR="00000000" w:rsidDel="00000000" w:rsidP="00000000" w:rsidRDefault="00000000" w:rsidRPr="00000000" w14:paraId="000000C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9. Conclusion</w:t>
      </w:r>
    </w:p>
    <w:p w:rsidR="00000000" w:rsidDel="00000000" w:rsidP="00000000" w:rsidRDefault="00000000" w:rsidRPr="00000000" w14:paraId="000000C5">
      <w:pPr>
        <w:spacing w:line="360" w:lineRule="auto"/>
        <w:jc w:val="both"/>
        <w:rPr>
          <w:rFonts w:ascii="Arial" w:cs="Arial" w:eastAsia="Arial" w:hAnsi="Arial"/>
        </w:rPr>
      </w:pPr>
      <w:r w:rsidDel="00000000" w:rsidR="00000000" w:rsidRPr="00000000">
        <w:rPr>
          <w:rFonts w:ascii="Arial" w:cs="Arial" w:eastAsia="Arial" w:hAnsi="Arial"/>
          <w:rtl w:val="0"/>
        </w:rPr>
        <w:t xml:space="preserve">Simply put, strategic planning is crucial to ensuring that Horrible Christmas: A Festive History Adventure will meet both its educational and engagement objectives efficiently. As observed by Mintzberg, Ahlstrand, and Lampel (2005), when objectives are aligned with practical strategies, then there is cohesiveness in approaches toward event delivery. Some of the key areas identified in this report are SMART objective setting, resource allocation, and SWOT analysis in understanding the strengths and risks. Based on these strategic elements, the event team will thus enhance logistics, develop greater audience satisfaction, and attain a memorable experience that fits into the cultural and educational objectives of a given industrial development in response to situational imperatives.</w:t>
      </w:r>
    </w:p>
    <w:p w:rsidR="00000000" w:rsidDel="00000000" w:rsidP="00000000" w:rsidRDefault="00000000" w:rsidRPr="00000000" w14:paraId="000000C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9">
      <w:pPr>
        <w:spacing w:line="36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 References</w:t>
      </w:r>
    </w:p>
    <w:p w:rsidR="00000000" w:rsidDel="00000000" w:rsidP="00000000" w:rsidRDefault="00000000" w:rsidRPr="00000000" w14:paraId="000000C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Allen, J., O'Toole, W., Harris, R., &amp; McDonnell, I. (2012). </w:t>
      </w:r>
      <w:r w:rsidDel="00000000" w:rsidR="00000000" w:rsidRPr="00000000">
        <w:rPr>
          <w:rFonts w:ascii="Arial" w:cs="Arial" w:eastAsia="Arial" w:hAnsi="Arial"/>
          <w:i w:val="1"/>
          <w:sz w:val="22"/>
          <w:szCs w:val="22"/>
          <w:rtl w:val="0"/>
        </w:rPr>
        <w:t xml:space="preserve">Events Management</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C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Available at:  </w:t>
      </w:r>
      <w:hyperlink r:id="rId9">
        <w:r w:rsidDel="00000000" w:rsidR="00000000" w:rsidRPr="00000000">
          <w:rPr>
            <w:rFonts w:ascii="Arial" w:cs="Arial" w:eastAsia="Arial" w:hAnsi="Arial"/>
            <w:color w:val="467886"/>
            <w:sz w:val="22"/>
            <w:szCs w:val="22"/>
            <w:u w:val="single"/>
            <w:rtl w:val="0"/>
          </w:rPr>
          <w:t xml:space="preserve">https://www.taylorfrancis.com/books9/mono/10.4324/9781315767727/special-event-production-process-doug-matthews</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C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Bladen, C., Kennell, J., Abson, E., &amp; Wilde, N. (2012). </w:t>
      </w:r>
      <w:r w:rsidDel="00000000" w:rsidR="00000000" w:rsidRPr="00000000">
        <w:rPr>
          <w:rFonts w:ascii="Arial" w:cs="Arial" w:eastAsia="Arial" w:hAnsi="Arial"/>
          <w:i w:val="1"/>
          <w:sz w:val="22"/>
          <w:szCs w:val="22"/>
          <w:rtl w:val="0"/>
        </w:rPr>
        <w:t xml:space="preserve">Events Management: An Introduction</w:t>
      </w:r>
      <w:r w:rsidDel="00000000" w:rsidR="00000000" w:rsidRPr="00000000">
        <w:rPr>
          <w:rFonts w:ascii="Arial" w:cs="Arial" w:eastAsia="Arial" w:hAnsi="Arial"/>
          <w:sz w:val="22"/>
          <w:szCs w:val="22"/>
          <w:rtl w:val="0"/>
        </w:rPr>
        <w:t xml:space="preserve">. Routledge</w:t>
      </w:r>
    </w:p>
    <w:p w:rsidR="00000000" w:rsidDel="00000000" w:rsidP="00000000" w:rsidRDefault="00000000" w:rsidRPr="00000000" w14:paraId="000000C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Bowdin, G., Allen, J., O'Toole, W., Harris, R., &amp; McDonnell, I. (2012). </w:t>
      </w:r>
      <w:r w:rsidDel="00000000" w:rsidR="00000000" w:rsidRPr="00000000">
        <w:rPr>
          <w:rFonts w:ascii="Arial" w:cs="Arial" w:eastAsia="Arial" w:hAnsi="Arial"/>
          <w:i w:val="1"/>
          <w:sz w:val="22"/>
          <w:szCs w:val="22"/>
          <w:rtl w:val="0"/>
        </w:rPr>
        <w:t xml:space="preserve">Events Management</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C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Davidson, R., (2018). </w:t>
      </w:r>
      <w:r w:rsidDel="00000000" w:rsidR="00000000" w:rsidRPr="00000000">
        <w:rPr>
          <w:rFonts w:ascii="Arial" w:cs="Arial" w:eastAsia="Arial" w:hAnsi="Arial"/>
          <w:i w:val="1"/>
          <w:sz w:val="22"/>
          <w:szCs w:val="22"/>
          <w:rtl w:val="0"/>
        </w:rPr>
        <w:t xml:space="preserve">Business Events</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C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Getz, D. &amp; Ziakas, V. (2023). </w:t>
      </w:r>
      <w:r w:rsidDel="00000000" w:rsidR="00000000" w:rsidRPr="00000000">
        <w:rPr>
          <w:rFonts w:ascii="Arial" w:cs="Arial" w:eastAsia="Arial" w:hAnsi="Arial"/>
          <w:i w:val="1"/>
          <w:sz w:val="22"/>
          <w:szCs w:val="22"/>
          <w:rtl w:val="0"/>
        </w:rPr>
        <w:t xml:space="preserve">Cases for event management and event tourism</w:t>
      </w:r>
      <w:r w:rsidDel="00000000" w:rsidR="00000000" w:rsidRPr="00000000">
        <w:rPr>
          <w:rFonts w:ascii="Arial" w:cs="Arial" w:eastAsia="Arial" w:hAnsi="Arial"/>
          <w:sz w:val="22"/>
          <w:szCs w:val="22"/>
          <w:rtl w:val="0"/>
        </w:rPr>
        <w:t xml:space="preserve">. Available at: </w:t>
      </w:r>
      <w:hyperlink r:id="rId10">
        <w:r w:rsidDel="00000000" w:rsidR="00000000" w:rsidRPr="00000000">
          <w:rPr>
            <w:rFonts w:ascii="Arial" w:cs="Arial" w:eastAsia="Arial" w:hAnsi="Arial"/>
            <w:color w:val="467886"/>
            <w:sz w:val="22"/>
            <w:szCs w:val="22"/>
            <w:u w:val="single"/>
            <w:rtl w:val="0"/>
          </w:rPr>
          <w:t xml:space="preserve">https://play.google.com/store/books/details/Donald_Getz_Cases_For_Event_Management_and_Event_T?id=ZxW6EAAAQBAJ&amp;hl=en_GB</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Getz, D. (2012). </w:t>
      </w:r>
      <w:r w:rsidDel="00000000" w:rsidR="00000000" w:rsidRPr="00000000">
        <w:rPr>
          <w:rFonts w:ascii="Arial" w:cs="Arial" w:eastAsia="Arial" w:hAnsi="Arial"/>
          <w:i w:val="1"/>
          <w:sz w:val="22"/>
          <w:szCs w:val="22"/>
          <w:rtl w:val="0"/>
        </w:rPr>
        <w:t xml:space="preserve">Event Studies: Theory, Research, and Policy for Planned Events</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D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Getz, D. and Page, S., (2019). </w:t>
      </w:r>
      <w:r w:rsidDel="00000000" w:rsidR="00000000" w:rsidRPr="00000000">
        <w:rPr>
          <w:rFonts w:ascii="Arial" w:cs="Arial" w:eastAsia="Arial" w:hAnsi="Arial"/>
          <w:i w:val="1"/>
          <w:sz w:val="22"/>
          <w:szCs w:val="22"/>
          <w:rtl w:val="0"/>
        </w:rPr>
        <w:t xml:space="preserve">Event Studies: Theory, Research and Policy for Planned Events</w:t>
      </w:r>
      <w:r w:rsidDel="00000000" w:rsidR="00000000" w:rsidRPr="00000000">
        <w:rPr>
          <w:rFonts w:ascii="Arial" w:cs="Arial" w:eastAsia="Arial" w:hAnsi="Arial"/>
          <w:sz w:val="22"/>
          <w:szCs w:val="22"/>
          <w:rtl w:val="0"/>
        </w:rPr>
        <w:t xml:space="preserve">.</w:t>
      </w:r>
      <w:r w:rsidDel="00000000" w:rsidR="00000000" w:rsidRPr="00000000">
        <w:rPr>
          <w:rtl w:val="0"/>
        </w:rPr>
        <w:t xml:space="preserve"> </w:t>
      </w:r>
      <w:r w:rsidDel="00000000" w:rsidR="00000000" w:rsidRPr="00000000">
        <w:rPr>
          <w:rFonts w:ascii="Arial" w:cs="Arial" w:eastAsia="Arial" w:hAnsi="Arial"/>
          <w:sz w:val="22"/>
          <w:szCs w:val="22"/>
          <w:rtl w:val="0"/>
        </w:rPr>
        <w:t xml:space="preserve">4th ed. Oxford: Routledge. Available at: </w:t>
      </w:r>
      <w:hyperlink r:id="rId11">
        <w:r w:rsidDel="00000000" w:rsidR="00000000" w:rsidRPr="00000000">
          <w:rPr>
            <w:rFonts w:ascii="Arial" w:cs="Arial" w:eastAsia="Arial" w:hAnsi="Arial"/>
            <w:color w:val="467886"/>
            <w:sz w:val="22"/>
            <w:szCs w:val="22"/>
            <w:u w:val="single"/>
            <w:rtl w:val="0"/>
          </w:rPr>
          <w:t xml:space="preserve">https://www.taylorfrancis.com/books/mono/10.4324/9780429023002/event-studies-stephen-page-donald-getz</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Goldblatt, J. (2013). </w:t>
      </w:r>
      <w:r w:rsidDel="00000000" w:rsidR="00000000" w:rsidRPr="00000000">
        <w:rPr>
          <w:rFonts w:ascii="Arial" w:cs="Arial" w:eastAsia="Arial" w:hAnsi="Arial"/>
          <w:i w:val="1"/>
          <w:sz w:val="22"/>
          <w:szCs w:val="22"/>
          <w:rtl w:val="0"/>
        </w:rPr>
        <w:t xml:space="preserve">Special Events: Creating and Sustaining a New World for Celebration</w:t>
      </w:r>
      <w:r w:rsidDel="00000000" w:rsidR="00000000" w:rsidRPr="00000000">
        <w:rPr>
          <w:rFonts w:ascii="Arial" w:cs="Arial" w:eastAsia="Arial" w:hAnsi="Arial"/>
          <w:sz w:val="22"/>
          <w:szCs w:val="22"/>
          <w:rtl w:val="0"/>
        </w:rPr>
        <w:t xml:space="preserve">. Wiley. </w:t>
      </w:r>
    </w:p>
    <w:p w:rsidR="00000000" w:rsidDel="00000000" w:rsidP="00000000" w:rsidRDefault="00000000" w:rsidRPr="00000000" w14:paraId="000000D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Hofstede, G., Hofstede, G. J., &amp; Minkov, M. (2010). </w:t>
      </w:r>
      <w:r w:rsidDel="00000000" w:rsidR="00000000" w:rsidRPr="00000000">
        <w:rPr>
          <w:rFonts w:ascii="Arial" w:cs="Arial" w:eastAsia="Arial" w:hAnsi="Arial"/>
          <w:i w:val="1"/>
          <w:sz w:val="22"/>
          <w:szCs w:val="22"/>
          <w:rtl w:val="0"/>
        </w:rPr>
        <w:t xml:space="preserve">Cultures and Organizations: Software of the Mind</w:t>
      </w:r>
      <w:r w:rsidDel="00000000" w:rsidR="00000000" w:rsidRPr="00000000">
        <w:rPr>
          <w:rFonts w:ascii="Arial" w:cs="Arial" w:eastAsia="Arial" w:hAnsi="Arial"/>
          <w:sz w:val="22"/>
          <w:szCs w:val="22"/>
          <w:rtl w:val="0"/>
        </w:rPr>
        <w:t xml:space="preserve">. McGraw-Hill. </w:t>
      </w:r>
    </w:p>
    <w:p w:rsidR="00000000" w:rsidDel="00000000" w:rsidP="00000000" w:rsidRDefault="00000000" w:rsidRPr="00000000" w14:paraId="000000D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Lock, D. (2020). </w:t>
      </w:r>
      <w:r w:rsidDel="00000000" w:rsidR="00000000" w:rsidRPr="00000000">
        <w:rPr>
          <w:rFonts w:ascii="Arial" w:cs="Arial" w:eastAsia="Arial" w:hAnsi="Arial"/>
          <w:i w:val="1"/>
          <w:sz w:val="22"/>
          <w:szCs w:val="22"/>
          <w:rtl w:val="0"/>
        </w:rPr>
        <w:t xml:space="preserve">Project fundamentals. In The Practitioner Handbook of Project Controls</w:t>
      </w:r>
      <w:r w:rsidDel="00000000" w:rsidR="00000000" w:rsidRPr="00000000">
        <w:rPr>
          <w:rFonts w:ascii="Arial" w:cs="Arial" w:eastAsia="Arial" w:hAnsi="Arial"/>
          <w:sz w:val="22"/>
          <w:szCs w:val="22"/>
          <w:rtl w:val="0"/>
        </w:rPr>
        <w:t xml:space="preserve"> (pp. 3-11). Routledge. Available at: </w:t>
      </w:r>
      <w:hyperlink r:id="rId12">
        <w:r w:rsidDel="00000000" w:rsidR="00000000" w:rsidRPr="00000000">
          <w:rPr>
            <w:rFonts w:ascii="Arial" w:cs="Arial" w:eastAsia="Arial" w:hAnsi="Arial"/>
            <w:color w:val="467886"/>
            <w:sz w:val="22"/>
            <w:szCs w:val="22"/>
            <w:u w:val="single"/>
            <w:rtl w:val="0"/>
          </w:rPr>
          <w:t xml:space="preserve">https://scholar.google.co.uk/scholar?q=Lock,+D.+(2020).+Project+Management.+Routledge&amp;hl=ro&amp;as_sdt=0&amp;as_vis=1&amp;oi=scholart</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Matthews, D. (2015). </w:t>
      </w:r>
      <w:r w:rsidDel="00000000" w:rsidR="00000000" w:rsidRPr="00000000">
        <w:rPr>
          <w:rFonts w:ascii="Arial" w:cs="Arial" w:eastAsia="Arial" w:hAnsi="Arial"/>
          <w:i w:val="1"/>
          <w:sz w:val="22"/>
          <w:szCs w:val="22"/>
          <w:rtl w:val="0"/>
        </w:rPr>
        <w:t xml:space="preserve">Special Event Production: The Process</w:t>
      </w:r>
      <w:r w:rsidDel="00000000" w:rsidR="00000000" w:rsidRPr="00000000">
        <w:rPr>
          <w:rFonts w:ascii="Arial" w:cs="Arial" w:eastAsia="Arial" w:hAnsi="Arial"/>
          <w:sz w:val="22"/>
          <w:szCs w:val="22"/>
          <w:rtl w:val="0"/>
        </w:rPr>
        <w:t xml:space="preserve">. 2nd Edition. Routledge.</w:t>
      </w:r>
    </w:p>
    <w:p w:rsidR="00000000" w:rsidDel="00000000" w:rsidP="00000000" w:rsidRDefault="00000000" w:rsidRPr="00000000" w14:paraId="000000D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Mintzberg, H., Ahlstrand, B., &amp; Lampel, J. (2005). </w:t>
      </w:r>
      <w:r w:rsidDel="00000000" w:rsidR="00000000" w:rsidRPr="00000000">
        <w:rPr>
          <w:rFonts w:ascii="Arial" w:cs="Arial" w:eastAsia="Arial" w:hAnsi="Arial"/>
          <w:i w:val="1"/>
          <w:sz w:val="22"/>
          <w:szCs w:val="22"/>
          <w:rtl w:val="0"/>
        </w:rPr>
        <w:t xml:space="preserve">Strategy Safari: A Guided Tour Through the Wilds of Strategic Management</w:t>
      </w:r>
      <w:r w:rsidDel="00000000" w:rsidR="00000000" w:rsidRPr="00000000">
        <w:rPr>
          <w:rFonts w:ascii="Arial" w:cs="Arial" w:eastAsia="Arial" w:hAnsi="Arial"/>
          <w:sz w:val="22"/>
          <w:szCs w:val="22"/>
          <w:rtl w:val="0"/>
        </w:rPr>
        <w:t xml:space="preserve">. Free Press. </w:t>
      </w:r>
    </w:p>
    <w:p w:rsidR="00000000" w:rsidDel="00000000" w:rsidP="00000000" w:rsidRDefault="00000000" w:rsidRPr="00000000" w14:paraId="000000D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Morrison, A. M. (2013</w:t>
      </w:r>
      <w:r w:rsidDel="00000000" w:rsidR="00000000" w:rsidRPr="00000000">
        <w:rPr>
          <w:rFonts w:ascii="Arial" w:cs="Arial" w:eastAsia="Arial" w:hAnsi="Arial"/>
          <w:i w:val="1"/>
          <w:sz w:val="22"/>
          <w:szCs w:val="22"/>
          <w:rtl w:val="0"/>
        </w:rPr>
        <w:t xml:space="preserve">). Marketing and Managing Tourism Destinations</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D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Pickton, D. W., &amp; Wright, S. (1998). </w:t>
      </w:r>
      <w:r w:rsidDel="00000000" w:rsidR="00000000" w:rsidRPr="00000000">
        <w:rPr>
          <w:rFonts w:ascii="Arial" w:cs="Arial" w:eastAsia="Arial" w:hAnsi="Arial"/>
          <w:i w:val="1"/>
          <w:sz w:val="22"/>
          <w:szCs w:val="22"/>
          <w:rtl w:val="0"/>
        </w:rPr>
        <w:t xml:space="preserve">What’s SWOT in strategic analysis? Strategic Change</w:t>
      </w:r>
      <w:r w:rsidDel="00000000" w:rsidR="00000000" w:rsidRPr="00000000">
        <w:rPr>
          <w:rFonts w:ascii="Arial" w:cs="Arial" w:eastAsia="Arial" w:hAnsi="Arial"/>
          <w:sz w:val="22"/>
          <w:szCs w:val="22"/>
          <w:rtl w:val="0"/>
        </w:rPr>
        <w:t xml:space="preserve">, 7(2), 101-109. Available at: </w:t>
      </w:r>
      <w:hyperlink r:id="rId13">
        <w:r w:rsidDel="00000000" w:rsidR="00000000" w:rsidRPr="00000000">
          <w:rPr>
            <w:rFonts w:ascii="Arial" w:cs="Arial" w:eastAsia="Arial" w:hAnsi="Arial"/>
            <w:color w:val="467886"/>
            <w:sz w:val="22"/>
            <w:szCs w:val="22"/>
            <w:u w:val="single"/>
            <w:rtl w:val="0"/>
          </w:rPr>
          <w:t xml:space="preserve">https://www.researchgate.net/publication/246915222_What's_SWOT_in_strategic_analysis</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Preston, C. A. (2012). </w:t>
      </w:r>
      <w:r w:rsidDel="00000000" w:rsidR="00000000" w:rsidRPr="00000000">
        <w:rPr>
          <w:rFonts w:ascii="Arial" w:cs="Arial" w:eastAsia="Arial" w:hAnsi="Arial"/>
          <w:i w:val="1"/>
          <w:sz w:val="22"/>
          <w:szCs w:val="22"/>
          <w:rtl w:val="0"/>
        </w:rPr>
        <w:t xml:space="preserve">Event Marketing: How to Successfully Promote Events, Festivals, Conventions, and Expositions</w:t>
      </w:r>
      <w:r w:rsidDel="00000000" w:rsidR="00000000" w:rsidRPr="00000000">
        <w:rPr>
          <w:rFonts w:ascii="Arial" w:cs="Arial" w:eastAsia="Arial" w:hAnsi="Arial"/>
          <w:sz w:val="22"/>
          <w:szCs w:val="22"/>
          <w:rtl w:val="0"/>
        </w:rPr>
        <w:t xml:space="preserve">. Wiley. Available at: </w:t>
      </w:r>
      <w:hyperlink r:id="rId14">
        <w:r w:rsidDel="00000000" w:rsidR="00000000" w:rsidRPr="00000000">
          <w:rPr>
            <w:rFonts w:ascii="Arial" w:cs="Arial" w:eastAsia="Arial" w:hAnsi="Arial"/>
            <w:color w:val="467886"/>
            <w:sz w:val="22"/>
            <w:szCs w:val="22"/>
            <w:u w:val="single"/>
            <w:rtl w:val="0"/>
          </w:rPr>
          <w:t xml:space="preserve">https://play.google.com/store/books/details/C_A_Preston_Event_Marketing?id=cVAcAAAAQBAJ&amp;hl=en_GB</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Raj, R., Walters, P., &amp; Rashid, T. (2008). </w:t>
      </w:r>
      <w:r w:rsidDel="00000000" w:rsidR="00000000" w:rsidRPr="00000000">
        <w:rPr>
          <w:rFonts w:ascii="Arial" w:cs="Arial" w:eastAsia="Arial" w:hAnsi="Arial"/>
          <w:i w:val="1"/>
          <w:sz w:val="22"/>
          <w:szCs w:val="22"/>
          <w:rtl w:val="0"/>
        </w:rPr>
        <w:t xml:space="preserve">Events Management: An Integrated and Practical Approach</w:t>
      </w:r>
      <w:r w:rsidDel="00000000" w:rsidR="00000000" w:rsidRPr="00000000">
        <w:rPr>
          <w:rFonts w:ascii="Arial" w:cs="Arial" w:eastAsia="Arial" w:hAnsi="Arial"/>
          <w:sz w:val="22"/>
          <w:szCs w:val="22"/>
          <w:rtl w:val="0"/>
        </w:rPr>
        <w:t xml:space="preserve">. SAGE. </w:t>
      </w:r>
    </w:p>
    <w:p w:rsidR="00000000" w:rsidDel="00000000" w:rsidP="00000000" w:rsidRDefault="00000000" w:rsidRPr="00000000" w14:paraId="000000D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Shone, A., &amp; Parry, B. (2013). </w:t>
      </w:r>
      <w:r w:rsidDel="00000000" w:rsidR="00000000" w:rsidRPr="00000000">
        <w:rPr>
          <w:rFonts w:ascii="Arial" w:cs="Arial" w:eastAsia="Arial" w:hAnsi="Arial"/>
          <w:i w:val="1"/>
          <w:sz w:val="22"/>
          <w:szCs w:val="22"/>
          <w:rtl w:val="0"/>
        </w:rPr>
        <w:t xml:space="preserve">Successful Event Management: A Practical Handbook</w:t>
      </w:r>
      <w:r w:rsidDel="00000000" w:rsidR="00000000" w:rsidRPr="00000000">
        <w:rPr>
          <w:rFonts w:ascii="Arial" w:cs="Arial" w:eastAsia="Arial" w:hAnsi="Arial"/>
          <w:sz w:val="22"/>
          <w:szCs w:val="22"/>
          <w:rtl w:val="0"/>
        </w:rPr>
        <w:t xml:space="preserve">. Cengage Learning. </w:t>
      </w:r>
    </w:p>
    <w:p w:rsidR="00000000" w:rsidDel="00000000" w:rsidP="00000000" w:rsidRDefault="00000000" w:rsidRPr="00000000" w14:paraId="000000D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Tum, J., Norton, P., &amp; Wright, J. N. (2006). </w:t>
      </w:r>
      <w:r w:rsidDel="00000000" w:rsidR="00000000" w:rsidRPr="00000000">
        <w:rPr>
          <w:rFonts w:ascii="Arial" w:cs="Arial" w:eastAsia="Arial" w:hAnsi="Arial"/>
          <w:i w:val="1"/>
          <w:sz w:val="22"/>
          <w:szCs w:val="22"/>
          <w:rtl w:val="0"/>
        </w:rPr>
        <w:t xml:space="preserve">Management of Event Operations</w:t>
      </w:r>
      <w:r w:rsidDel="00000000" w:rsidR="00000000" w:rsidRPr="00000000">
        <w:rPr>
          <w:rFonts w:ascii="Arial" w:cs="Arial" w:eastAsia="Arial" w:hAnsi="Arial"/>
          <w:sz w:val="22"/>
          <w:szCs w:val="22"/>
          <w:rtl w:val="0"/>
        </w:rPr>
        <w:t xml:space="preserve">. Routledge. </w:t>
      </w:r>
    </w:p>
    <w:p w:rsidR="00000000" w:rsidDel="00000000" w:rsidP="00000000" w:rsidRDefault="00000000" w:rsidRPr="00000000" w14:paraId="000000D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Van der Wagen, L., &amp; White, L. (2010). </w:t>
      </w:r>
      <w:r w:rsidDel="00000000" w:rsidR="00000000" w:rsidRPr="00000000">
        <w:rPr>
          <w:rFonts w:ascii="Arial" w:cs="Arial" w:eastAsia="Arial" w:hAnsi="Arial"/>
          <w:i w:val="1"/>
          <w:sz w:val="22"/>
          <w:szCs w:val="22"/>
          <w:rtl w:val="0"/>
        </w:rPr>
        <w:t xml:space="preserve">Event Management for Tourism, Cultural, Business and Sporting Events</w:t>
      </w:r>
      <w:r w:rsidDel="00000000" w:rsidR="00000000" w:rsidRPr="00000000">
        <w:rPr>
          <w:rFonts w:ascii="Arial" w:cs="Arial" w:eastAsia="Arial" w:hAnsi="Arial"/>
          <w:sz w:val="22"/>
          <w:szCs w:val="22"/>
          <w:rtl w:val="0"/>
        </w:rPr>
        <w:t xml:space="preserve">. Cengage. </w:t>
      </w:r>
    </w:p>
    <w:p w:rsidR="00000000" w:rsidDel="00000000" w:rsidP="00000000" w:rsidRDefault="00000000" w:rsidRPr="00000000" w14:paraId="000000D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Yeoman, I., Robertson, M., McMahon-Beattie, U., Smith, K. A., &amp; Backer, E. (Eds.). (2015). </w:t>
      </w:r>
      <w:r w:rsidDel="00000000" w:rsidR="00000000" w:rsidRPr="00000000">
        <w:rPr>
          <w:rFonts w:ascii="Arial" w:cs="Arial" w:eastAsia="Arial" w:hAnsi="Arial"/>
          <w:i w:val="1"/>
          <w:sz w:val="22"/>
          <w:szCs w:val="22"/>
          <w:rtl w:val="0"/>
        </w:rPr>
        <w:t xml:space="preserve">The future of events &amp; festivals</w:t>
      </w:r>
      <w:r w:rsidDel="00000000" w:rsidR="00000000" w:rsidRPr="00000000">
        <w:rPr>
          <w:rFonts w:ascii="Arial" w:cs="Arial" w:eastAsia="Arial" w:hAnsi="Arial"/>
          <w:sz w:val="22"/>
          <w:szCs w:val="22"/>
          <w:rtl w:val="0"/>
        </w:rPr>
        <w:t xml:space="preserve">. Abingdon: Routledge. Available at: </w:t>
      </w:r>
      <w:hyperlink r:id="rId15">
        <w:r w:rsidDel="00000000" w:rsidR="00000000" w:rsidRPr="00000000">
          <w:rPr>
            <w:rFonts w:ascii="Arial" w:cs="Arial" w:eastAsia="Arial" w:hAnsi="Arial"/>
            <w:color w:val="467886"/>
            <w:sz w:val="22"/>
            <w:szCs w:val="22"/>
            <w:u w:val="single"/>
            <w:rtl w:val="0"/>
          </w:rPr>
          <w:t xml:space="preserve">https://scholar.google.co.uk/scholar?q=Yeoman,+I.+(2013).+The+Future+of+Events+and+Festivals:+Social+Impacts+and+Sustainability.+Routledge&amp;hl=ro&amp;as_sdt=0&amp;as_vis=1&amp;oi=scholart</w:t>
        </w:r>
      </w:hyperlink>
      <w:r w:rsidDel="00000000" w:rsidR="00000000" w:rsidRPr="00000000">
        <w:rPr>
          <w:rFonts w:ascii="Arial" w:cs="Arial" w:eastAsia="Arial" w:hAnsi="Arial"/>
          <w:sz w:val="22"/>
          <w:szCs w:val="22"/>
          <w:rtl w:val="0"/>
        </w:rPr>
        <w:t xml:space="preserve"> (Accessed: 26 October 2024)</w:t>
      </w:r>
    </w:p>
    <w:p w:rsidR="00000000" w:rsidDel="00000000" w:rsidP="00000000" w:rsidRDefault="00000000" w:rsidRPr="00000000" w14:paraId="000000DF">
      <w:pPr>
        <w:spacing w:line="360" w:lineRule="auto"/>
        <w:jc w:val="both"/>
        <w:rPr>
          <w:rFonts w:ascii="Arial" w:cs="Arial" w:eastAsia="Arial" w:hAnsi="Arial"/>
        </w:rPr>
      </w:pPr>
      <w:r w:rsidDel="00000000" w:rsidR="00000000" w:rsidRPr="00000000">
        <w:rPr>
          <w:rtl w:val="0"/>
        </w:rPr>
      </w:r>
    </w:p>
    <w:sectPr>
      <w:footerReference r:id="rId16"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A5013A"/>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A5013A"/>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A5013A"/>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A5013A"/>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A5013A"/>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A5013A"/>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A5013A"/>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5013A"/>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5013A"/>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5013A"/>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5013A"/>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5013A"/>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5013A"/>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5013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5013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5013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5013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5013A"/>
    <w:rPr>
      <w:rFonts w:cstheme="majorBidi" w:eastAsiaTheme="majorEastAsia"/>
      <w:color w:val="272727" w:themeColor="text1" w:themeTint="0000D8"/>
    </w:rPr>
  </w:style>
  <w:style w:type="paragraph" w:styleId="Title">
    <w:name w:val="Title"/>
    <w:basedOn w:val="Normal"/>
    <w:next w:val="Normal"/>
    <w:link w:val="TitleChar"/>
    <w:uiPriority w:val="10"/>
    <w:qFormat w:val="1"/>
    <w:rsid w:val="00A5013A"/>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A5013A"/>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A5013A"/>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A5013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5013A"/>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A5013A"/>
    <w:rPr>
      <w:i w:val="1"/>
      <w:iCs w:val="1"/>
      <w:color w:val="404040" w:themeColor="text1" w:themeTint="0000BF"/>
    </w:rPr>
  </w:style>
  <w:style w:type="paragraph" w:styleId="ListParagraph">
    <w:name w:val="List Paragraph"/>
    <w:basedOn w:val="Normal"/>
    <w:uiPriority w:val="34"/>
    <w:qFormat w:val="1"/>
    <w:rsid w:val="00A5013A"/>
    <w:pPr>
      <w:ind w:left="720"/>
      <w:contextualSpacing w:val="1"/>
    </w:pPr>
  </w:style>
  <w:style w:type="character" w:styleId="IntenseEmphasis">
    <w:name w:val="Intense Emphasis"/>
    <w:basedOn w:val="DefaultParagraphFont"/>
    <w:uiPriority w:val="21"/>
    <w:qFormat w:val="1"/>
    <w:rsid w:val="00A5013A"/>
    <w:rPr>
      <w:i w:val="1"/>
      <w:iCs w:val="1"/>
      <w:color w:val="0f4761" w:themeColor="accent1" w:themeShade="0000BF"/>
    </w:rPr>
  </w:style>
  <w:style w:type="paragraph" w:styleId="IntenseQuote">
    <w:name w:val="Intense Quote"/>
    <w:basedOn w:val="Normal"/>
    <w:next w:val="Normal"/>
    <w:link w:val="IntenseQuoteChar"/>
    <w:uiPriority w:val="30"/>
    <w:qFormat w:val="1"/>
    <w:rsid w:val="00A5013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5013A"/>
    <w:rPr>
      <w:i w:val="1"/>
      <w:iCs w:val="1"/>
      <w:color w:val="0f4761" w:themeColor="accent1" w:themeShade="0000BF"/>
    </w:rPr>
  </w:style>
  <w:style w:type="character" w:styleId="IntenseReference">
    <w:name w:val="Intense Reference"/>
    <w:basedOn w:val="DefaultParagraphFont"/>
    <w:uiPriority w:val="32"/>
    <w:qFormat w:val="1"/>
    <w:rsid w:val="00A5013A"/>
    <w:rPr>
      <w:b w:val="1"/>
      <w:bCs w:val="1"/>
      <w:smallCaps w:val="1"/>
      <w:color w:val="0f4761" w:themeColor="accent1" w:themeShade="0000BF"/>
      <w:spacing w:val="5"/>
    </w:rPr>
  </w:style>
  <w:style w:type="paragraph" w:styleId="NoSpacing">
    <w:name w:val="No Spacing"/>
    <w:link w:val="NoSpacingChar"/>
    <w:uiPriority w:val="1"/>
    <w:qFormat w:val="1"/>
    <w:rsid w:val="00A5013A"/>
    <w:pPr>
      <w:spacing w:after="0" w:line="240" w:lineRule="auto"/>
    </w:pPr>
    <w:rPr>
      <w:rFonts w:eastAsiaTheme="minorEastAsia"/>
      <w:kern w:val="0"/>
      <w:sz w:val="22"/>
      <w:szCs w:val="22"/>
      <w:lang w:val="en-US"/>
    </w:rPr>
  </w:style>
  <w:style w:type="character" w:styleId="NoSpacingChar" w:customStyle="1">
    <w:name w:val="No Spacing Char"/>
    <w:basedOn w:val="DefaultParagraphFont"/>
    <w:link w:val="NoSpacing"/>
    <w:uiPriority w:val="1"/>
    <w:rsid w:val="00A5013A"/>
    <w:rPr>
      <w:rFonts w:eastAsiaTheme="minorEastAsia"/>
      <w:kern w:val="0"/>
      <w:sz w:val="22"/>
      <w:szCs w:val="22"/>
      <w:lang w:val="en-US"/>
    </w:rPr>
  </w:style>
  <w:style w:type="table" w:styleId="TableGrid">
    <w:name w:val="Table Grid"/>
    <w:basedOn w:val="TableNormal"/>
    <w:uiPriority w:val="39"/>
    <w:rsid w:val="00E4072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4D77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7702"/>
  </w:style>
  <w:style w:type="paragraph" w:styleId="Footer">
    <w:name w:val="footer"/>
    <w:basedOn w:val="Normal"/>
    <w:link w:val="FooterChar"/>
    <w:uiPriority w:val="99"/>
    <w:unhideWhenUsed w:val="1"/>
    <w:rsid w:val="004D77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7702"/>
  </w:style>
  <w:style w:type="character" w:styleId="Hyperlink">
    <w:name w:val="Hyperlink"/>
    <w:basedOn w:val="DefaultParagraphFont"/>
    <w:uiPriority w:val="99"/>
    <w:unhideWhenUsed w:val="1"/>
    <w:rsid w:val="00A74D0A"/>
    <w:rPr>
      <w:color w:val="467886" w:themeColor="hyperlink"/>
      <w:u w:val="single"/>
    </w:rPr>
  </w:style>
  <w:style w:type="character" w:styleId="UnresolvedMention">
    <w:name w:val="Unresolved Mention"/>
    <w:basedOn w:val="DefaultParagraphFont"/>
    <w:uiPriority w:val="99"/>
    <w:semiHidden w:val="1"/>
    <w:unhideWhenUsed w:val="1"/>
    <w:rsid w:val="00A74D0A"/>
    <w:rPr>
      <w:color w:val="605e5c"/>
      <w:shd w:color="auto" w:fill="e1dfdd" w:val="clear"/>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taylorfrancis.com/books/mono/10.4324/9780429023002/event-studies-stephen-page-donald-getz" TargetMode="External"/><Relationship Id="rId10" Type="http://schemas.openxmlformats.org/officeDocument/2006/relationships/hyperlink" Target="https://play.google.com/store/books/details/Donald_Getz_Cases_For_Event_Management_and_Event_T?id=ZxW6EAAAQBAJ&amp;hl=en_GB" TargetMode="External"/><Relationship Id="rId13" Type="http://schemas.openxmlformats.org/officeDocument/2006/relationships/hyperlink" Target="https://www.researchgate.net/publication/246915222_What's_SWOT_in_strategic_analysis" TargetMode="External"/><Relationship Id="rId12" Type="http://schemas.openxmlformats.org/officeDocument/2006/relationships/hyperlink" Target="https://scholar.google.co.uk/scholar?q=Lock,+D.+(2020).+Project+Management.+Routledge&amp;hl=ro&amp;as_sdt=0&amp;as_vis=1&amp;oi=schola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ylorfrancis.com/books/mono/10.4324/9781315767727/special-event-production-process-doug-matthews" TargetMode="External"/><Relationship Id="rId15" Type="http://schemas.openxmlformats.org/officeDocument/2006/relationships/hyperlink" Target="https://scholar.google.co.uk/scholar?q=Yeoman,+I.+(2013).+The+Future+of+Events+and+Festivals:+Social+Impacts+and+Sustainability.+Routledge&amp;hl=ro&amp;as_sdt=0&amp;as_vis=1&amp;oi=scholart" TargetMode="External"/><Relationship Id="rId14" Type="http://schemas.openxmlformats.org/officeDocument/2006/relationships/hyperlink" Target="https://play.google.com/store/books/details/C_A_Preston_Event_Marketing?id=cVAcAAAAQBAJ&amp;hl=en_GB"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XAxEF3ASc/ivrwj1SSMHkeQxMg==">CgMxLjAyCGguZ2pkZ3hzMgloLjMwajB6bGwyCWguMWZvYjl0ZTgAciExLW10OHo2MFN6bldKb1o0X1d0RVpyNUI5NzVMc1BCblQ=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2024-10-26T15:48:00Z</dcterms:created>
  <dc:creator>Marius Stoica</dc:creator>
</cp:coreProperties>
</file>