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7E530C" w14:textId="77777777" w:rsidR="00EB0A46" w:rsidRDefault="00EB0A46" w:rsidP="001B5232">
      <w:pPr>
        <w:spacing w:before="240" w:after="160"/>
        <w:jc w:val="left"/>
        <w:rPr>
          <w:rFonts w:cs="Times New Roman"/>
          <w:b/>
          <w:bCs/>
        </w:rPr>
      </w:pPr>
    </w:p>
    <w:p w14:paraId="3B7355D5" w14:textId="77777777" w:rsidR="00A66FB4" w:rsidRPr="00141FED" w:rsidRDefault="00A66FB4" w:rsidP="00A66FB4">
      <w:pPr>
        <w:spacing w:before="240"/>
        <w:rPr>
          <w:rFonts w:ascii="Arial" w:hAnsi="Arial" w:cs="Arial"/>
          <w:b/>
          <w:bCs/>
        </w:rPr>
      </w:pPr>
      <w:r w:rsidRPr="00141FED">
        <w:rPr>
          <w:rFonts w:ascii="Arial" w:hAnsi="Arial" w:cs="Arial"/>
          <w:noProof/>
          <w:lang w:eastAsia="en-GB"/>
        </w:rPr>
        <w:drawing>
          <wp:anchor distT="0" distB="0" distL="114300" distR="114300" simplePos="0" relativeHeight="251659264" behindDoc="0" locked="0" layoutInCell="1" allowOverlap="1" wp14:anchorId="4AB8B154" wp14:editId="2A77C214">
            <wp:simplePos x="0" y="0"/>
            <wp:positionH relativeFrom="column">
              <wp:posOffset>-180163</wp:posOffset>
            </wp:positionH>
            <wp:positionV relativeFrom="paragraph">
              <wp:posOffset>261827</wp:posOffset>
            </wp:positionV>
            <wp:extent cx="2518637" cy="876300"/>
            <wp:effectExtent l="0" t="0" r="0" b="0"/>
            <wp:wrapNone/>
            <wp:docPr id="915540622" name="Picture 1" descr="A black and yellow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540622" name="Picture 1" descr="A black and yellow logo&#10;&#10;Description automatically generated"/>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994" t="19146" r="1840" b="20622"/>
                    <a:stretch/>
                  </pic:blipFill>
                  <pic:spPr bwMode="auto">
                    <a:xfrm>
                      <a:off x="0" y="0"/>
                      <a:ext cx="2518637" cy="876300"/>
                    </a:xfrm>
                    <a:prstGeom prst="rect">
                      <a:avLst/>
                    </a:prstGeom>
                    <a:noFill/>
                    <a:ln>
                      <a:noFill/>
                    </a:ln>
                    <a:extLst>
                      <a:ext uri="{53640926-AAD7-44D8-BBD7-CCE9431645EC}">
                        <a14:shadowObscured xmlns:a14="http://schemas.microsoft.com/office/drawing/2010/main"/>
                      </a:ext>
                    </a:extLst>
                  </pic:spPr>
                </pic:pic>
              </a:graphicData>
            </a:graphic>
          </wp:anchor>
        </w:drawing>
      </w:r>
    </w:p>
    <w:p w14:paraId="52B0AFE2" w14:textId="77777777" w:rsidR="00A66FB4" w:rsidRPr="00141FED" w:rsidRDefault="00A66FB4" w:rsidP="00A66FB4">
      <w:pPr>
        <w:pStyle w:val="Header"/>
        <w:jc w:val="right"/>
        <w:rPr>
          <w:rFonts w:ascii="Arial" w:hAnsi="Arial" w:cs="Arial"/>
        </w:rPr>
      </w:pPr>
      <w:r w:rsidRPr="00141FED">
        <w:rPr>
          <w:rFonts w:ascii="Arial" w:hAnsi="Arial" w:cs="Arial"/>
        </w:rPr>
        <w:br w:type="textWrapping" w:clear="all"/>
      </w:r>
    </w:p>
    <w:p w14:paraId="5F5861B8" w14:textId="77777777" w:rsidR="00A66FB4" w:rsidRPr="00141FED" w:rsidRDefault="00A66FB4" w:rsidP="00A66FB4">
      <w:pPr>
        <w:pStyle w:val="Header"/>
        <w:jc w:val="right"/>
        <w:rPr>
          <w:rFonts w:ascii="Arial" w:hAnsi="Arial" w:cs="Arial"/>
        </w:rPr>
      </w:pPr>
    </w:p>
    <w:p w14:paraId="5CA9A9E8" w14:textId="77777777" w:rsidR="00A66FB4" w:rsidRPr="00141FED" w:rsidRDefault="00A66FB4" w:rsidP="00A66FB4">
      <w:pPr>
        <w:pStyle w:val="Header"/>
        <w:jc w:val="right"/>
        <w:rPr>
          <w:rFonts w:ascii="Arial" w:hAnsi="Arial" w:cs="Arial"/>
        </w:rPr>
      </w:pPr>
    </w:p>
    <w:p w14:paraId="73E80FDB" w14:textId="77777777" w:rsidR="00A66FB4" w:rsidRPr="00141FED" w:rsidRDefault="00A66FB4" w:rsidP="00A66FB4">
      <w:pPr>
        <w:pStyle w:val="Header"/>
        <w:jc w:val="right"/>
        <w:rPr>
          <w:rFonts w:ascii="Arial" w:hAnsi="Arial" w:cs="Arial"/>
        </w:rPr>
      </w:pPr>
    </w:p>
    <w:tbl>
      <w:tblPr>
        <w:tblW w:w="10083" w:type="dxa"/>
        <w:tblInd w:w="-44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571"/>
        <w:gridCol w:w="2835"/>
        <w:gridCol w:w="2409"/>
        <w:gridCol w:w="2268"/>
      </w:tblGrid>
      <w:tr w:rsidR="00A66FB4" w:rsidRPr="00141FED" w14:paraId="1F6C0ACD" w14:textId="77777777" w:rsidTr="008006EF">
        <w:tc>
          <w:tcPr>
            <w:tcW w:w="2571" w:type="dxa"/>
            <w:shd w:val="clear" w:color="auto" w:fill="D9D9D9" w:themeFill="background1" w:themeFillShade="D9"/>
          </w:tcPr>
          <w:p w14:paraId="28B537F3" w14:textId="77777777" w:rsidR="00A66FB4" w:rsidRPr="00141FED" w:rsidRDefault="00A66FB4" w:rsidP="008006EF">
            <w:pPr>
              <w:spacing w:before="120" w:after="120"/>
              <w:rPr>
                <w:rFonts w:ascii="Arial" w:hAnsi="Arial" w:cs="Arial"/>
                <w:b/>
                <w:szCs w:val="24"/>
              </w:rPr>
            </w:pPr>
            <w:r w:rsidRPr="00141FED">
              <w:rPr>
                <w:rFonts w:ascii="Arial" w:hAnsi="Arial" w:cs="Arial"/>
                <w:b/>
                <w:szCs w:val="24"/>
              </w:rPr>
              <w:t>Student name:</w:t>
            </w:r>
          </w:p>
        </w:tc>
        <w:tc>
          <w:tcPr>
            <w:tcW w:w="2835" w:type="dxa"/>
          </w:tcPr>
          <w:p w14:paraId="4B3034A0" w14:textId="77777777" w:rsidR="00A66FB4" w:rsidRPr="007068A1" w:rsidRDefault="00A66FB4" w:rsidP="008006EF">
            <w:pPr>
              <w:spacing w:before="120" w:after="120"/>
              <w:rPr>
                <w:rFonts w:cs="Times New Roman"/>
                <w:b/>
                <w:sz w:val="28"/>
                <w:szCs w:val="28"/>
              </w:rPr>
            </w:pPr>
            <w:r w:rsidRPr="007068A1">
              <w:rPr>
                <w:rFonts w:cs="Times New Roman"/>
                <w:b/>
                <w:sz w:val="28"/>
                <w:szCs w:val="28"/>
              </w:rPr>
              <w:t>Sufia B Chowdhury</w:t>
            </w:r>
          </w:p>
        </w:tc>
        <w:tc>
          <w:tcPr>
            <w:tcW w:w="2409" w:type="dxa"/>
            <w:shd w:val="clear" w:color="auto" w:fill="FFFFFF" w:themeFill="background1"/>
          </w:tcPr>
          <w:p w14:paraId="135FC5AE" w14:textId="77777777" w:rsidR="00A66FB4" w:rsidRPr="00141FED" w:rsidRDefault="00A66FB4" w:rsidP="008006EF">
            <w:pPr>
              <w:spacing w:before="120" w:after="120"/>
              <w:jc w:val="left"/>
              <w:rPr>
                <w:rFonts w:ascii="Arial" w:hAnsi="Arial" w:cs="Arial"/>
                <w:b/>
                <w:szCs w:val="24"/>
              </w:rPr>
            </w:pPr>
            <w:r w:rsidRPr="00141FED">
              <w:rPr>
                <w:rFonts w:ascii="Arial" w:hAnsi="Arial" w:cs="Arial"/>
                <w:b/>
                <w:szCs w:val="24"/>
              </w:rPr>
              <w:t>Student ID number:</w:t>
            </w:r>
          </w:p>
        </w:tc>
        <w:tc>
          <w:tcPr>
            <w:tcW w:w="2268" w:type="dxa"/>
          </w:tcPr>
          <w:p w14:paraId="5C2F58BC" w14:textId="77777777" w:rsidR="00A66FB4" w:rsidRPr="007068A1" w:rsidRDefault="00A66FB4" w:rsidP="008006EF">
            <w:pPr>
              <w:spacing w:before="120" w:after="120"/>
              <w:rPr>
                <w:rFonts w:cs="Times New Roman"/>
                <w:b/>
                <w:sz w:val="28"/>
                <w:szCs w:val="28"/>
              </w:rPr>
            </w:pPr>
            <w:r w:rsidRPr="007068A1">
              <w:rPr>
                <w:rFonts w:cs="Times New Roman"/>
                <w:b/>
                <w:sz w:val="28"/>
                <w:szCs w:val="28"/>
              </w:rPr>
              <w:t>2426191</w:t>
            </w:r>
          </w:p>
        </w:tc>
      </w:tr>
      <w:tr w:rsidR="00A66FB4" w:rsidRPr="00141FED" w14:paraId="1A0E7C8E" w14:textId="77777777" w:rsidTr="008006EF">
        <w:tc>
          <w:tcPr>
            <w:tcW w:w="2571" w:type="dxa"/>
            <w:shd w:val="clear" w:color="auto" w:fill="D9D9D9" w:themeFill="background1" w:themeFillShade="D9"/>
          </w:tcPr>
          <w:p w14:paraId="0EE72089" w14:textId="77777777" w:rsidR="00A66FB4" w:rsidRPr="00141FED" w:rsidRDefault="00A66FB4" w:rsidP="008006EF">
            <w:pPr>
              <w:spacing w:before="120" w:after="120"/>
              <w:rPr>
                <w:rFonts w:ascii="Arial" w:hAnsi="Arial" w:cs="Arial"/>
                <w:b/>
                <w:szCs w:val="24"/>
              </w:rPr>
            </w:pPr>
            <w:r w:rsidRPr="00141FED">
              <w:rPr>
                <w:rFonts w:ascii="Arial" w:hAnsi="Arial" w:cs="Arial"/>
                <w:b/>
                <w:szCs w:val="24"/>
              </w:rPr>
              <w:t>Programme:</w:t>
            </w:r>
          </w:p>
        </w:tc>
        <w:tc>
          <w:tcPr>
            <w:tcW w:w="7512" w:type="dxa"/>
            <w:gridSpan w:val="3"/>
          </w:tcPr>
          <w:p w14:paraId="53D7D4E0" w14:textId="77777777" w:rsidR="00A66FB4" w:rsidRPr="007068A1" w:rsidRDefault="00A66FB4" w:rsidP="008006EF">
            <w:pPr>
              <w:spacing w:before="120" w:after="120"/>
              <w:rPr>
                <w:rFonts w:cs="Times New Roman"/>
                <w:b/>
                <w:sz w:val="28"/>
                <w:szCs w:val="28"/>
              </w:rPr>
            </w:pPr>
            <w:r w:rsidRPr="007068A1">
              <w:rPr>
                <w:rFonts w:cs="Times New Roman"/>
                <w:b/>
                <w:sz w:val="28"/>
                <w:szCs w:val="28"/>
              </w:rPr>
              <w:t>Master of Business Administration</w:t>
            </w:r>
          </w:p>
        </w:tc>
      </w:tr>
      <w:tr w:rsidR="00A66FB4" w:rsidRPr="00141FED" w14:paraId="28BD23C5" w14:textId="77777777" w:rsidTr="008006EF">
        <w:trPr>
          <w:trHeight w:val="440"/>
        </w:trPr>
        <w:tc>
          <w:tcPr>
            <w:tcW w:w="2571" w:type="dxa"/>
            <w:shd w:val="clear" w:color="auto" w:fill="D9D9D9" w:themeFill="background1" w:themeFillShade="D9"/>
          </w:tcPr>
          <w:p w14:paraId="38CD0BA2" w14:textId="77777777" w:rsidR="00A66FB4" w:rsidRPr="00141FED" w:rsidRDefault="00A66FB4" w:rsidP="008006EF">
            <w:pPr>
              <w:spacing w:before="120" w:after="120"/>
              <w:rPr>
                <w:rFonts w:ascii="Arial" w:hAnsi="Arial" w:cs="Arial"/>
                <w:b/>
                <w:szCs w:val="24"/>
              </w:rPr>
            </w:pPr>
            <w:r w:rsidRPr="00141FED">
              <w:rPr>
                <w:rFonts w:ascii="Arial" w:hAnsi="Arial" w:cs="Arial"/>
                <w:b/>
                <w:szCs w:val="24"/>
              </w:rPr>
              <w:t>Module:</w:t>
            </w:r>
          </w:p>
        </w:tc>
        <w:tc>
          <w:tcPr>
            <w:tcW w:w="7512" w:type="dxa"/>
            <w:gridSpan w:val="3"/>
          </w:tcPr>
          <w:p w14:paraId="2D441A99" w14:textId="77777777" w:rsidR="00A66FB4" w:rsidRPr="007068A1" w:rsidRDefault="00A66FB4" w:rsidP="008006EF">
            <w:pPr>
              <w:spacing w:before="120" w:after="120"/>
              <w:rPr>
                <w:rFonts w:cs="Times New Roman"/>
                <w:b/>
                <w:sz w:val="28"/>
                <w:szCs w:val="28"/>
              </w:rPr>
            </w:pPr>
            <w:r w:rsidRPr="007068A1">
              <w:rPr>
                <w:rFonts w:cs="Times New Roman"/>
                <w:b/>
                <w:bCs/>
                <w:sz w:val="28"/>
                <w:szCs w:val="28"/>
              </w:rPr>
              <w:t xml:space="preserve">Dissertation </w:t>
            </w:r>
          </w:p>
        </w:tc>
      </w:tr>
      <w:tr w:rsidR="00A66FB4" w:rsidRPr="00141FED" w14:paraId="2199301D" w14:textId="77777777" w:rsidTr="008006EF">
        <w:trPr>
          <w:trHeight w:val="440"/>
        </w:trPr>
        <w:tc>
          <w:tcPr>
            <w:tcW w:w="2571" w:type="dxa"/>
            <w:shd w:val="clear" w:color="auto" w:fill="D9D9D9" w:themeFill="background1" w:themeFillShade="D9"/>
          </w:tcPr>
          <w:p w14:paraId="7B11FB47" w14:textId="77777777" w:rsidR="00A66FB4" w:rsidRPr="00141FED" w:rsidRDefault="00A66FB4" w:rsidP="008006EF">
            <w:pPr>
              <w:spacing w:before="120" w:after="120"/>
              <w:rPr>
                <w:rFonts w:ascii="Arial" w:hAnsi="Arial" w:cs="Arial"/>
                <w:b/>
                <w:szCs w:val="24"/>
              </w:rPr>
            </w:pPr>
            <w:r w:rsidRPr="00141FED">
              <w:rPr>
                <w:rFonts w:ascii="Arial" w:hAnsi="Arial" w:cs="Arial"/>
                <w:b/>
                <w:szCs w:val="24"/>
              </w:rPr>
              <w:t>Module code:</w:t>
            </w:r>
          </w:p>
        </w:tc>
        <w:tc>
          <w:tcPr>
            <w:tcW w:w="7512" w:type="dxa"/>
            <w:gridSpan w:val="3"/>
          </w:tcPr>
          <w:p w14:paraId="7BE1D444" w14:textId="77777777" w:rsidR="00A66FB4" w:rsidRPr="007068A1" w:rsidRDefault="00A66FB4" w:rsidP="008006EF">
            <w:pPr>
              <w:spacing w:before="120" w:after="120"/>
              <w:rPr>
                <w:rFonts w:cs="Times New Roman"/>
                <w:b/>
                <w:sz w:val="28"/>
                <w:szCs w:val="28"/>
              </w:rPr>
            </w:pPr>
            <w:r w:rsidRPr="007068A1">
              <w:rPr>
                <w:rFonts w:cs="Times New Roman"/>
                <w:b/>
                <w:bCs/>
                <w:sz w:val="28"/>
                <w:szCs w:val="28"/>
              </w:rPr>
              <w:t>LCMB7035</w:t>
            </w:r>
          </w:p>
        </w:tc>
      </w:tr>
      <w:tr w:rsidR="00A66FB4" w:rsidRPr="00141FED" w14:paraId="45EAE10C" w14:textId="77777777" w:rsidTr="008006EF">
        <w:trPr>
          <w:trHeight w:val="440"/>
        </w:trPr>
        <w:tc>
          <w:tcPr>
            <w:tcW w:w="2571" w:type="dxa"/>
            <w:shd w:val="clear" w:color="auto" w:fill="D9D9D9" w:themeFill="background1" w:themeFillShade="D9"/>
            <w:vAlign w:val="center"/>
          </w:tcPr>
          <w:p w14:paraId="0CD7824F" w14:textId="77777777" w:rsidR="00A66FB4" w:rsidRPr="00141FED" w:rsidRDefault="00A66FB4" w:rsidP="008006EF">
            <w:pPr>
              <w:spacing w:before="120" w:after="120"/>
              <w:jc w:val="left"/>
              <w:rPr>
                <w:rFonts w:ascii="Arial" w:hAnsi="Arial" w:cs="Arial"/>
                <w:b/>
                <w:szCs w:val="24"/>
              </w:rPr>
            </w:pPr>
            <w:r w:rsidRPr="008C398F">
              <w:rPr>
                <w:rFonts w:cs="Times New Roman"/>
                <w:b/>
                <w:bCs/>
                <w:sz w:val="28"/>
                <w:szCs w:val="28"/>
              </w:rPr>
              <w:t>Director of Studies/Supervisor:</w:t>
            </w:r>
          </w:p>
        </w:tc>
        <w:tc>
          <w:tcPr>
            <w:tcW w:w="7512" w:type="dxa"/>
            <w:gridSpan w:val="3"/>
            <w:vAlign w:val="center"/>
          </w:tcPr>
          <w:p w14:paraId="42AEC5E6" w14:textId="77777777" w:rsidR="00A66FB4" w:rsidRPr="007068A1" w:rsidRDefault="00A66FB4" w:rsidP="008006EF">
            <w:pPr>
              <w:spacing w:before="120" w:after="120"/>
              <w:rPr>
                <w:rFonts w:cs="Times New Roman"/>
                <w:b/>
                <w:sz w:val="28"/>
                <w:szCs w:val="28"/>
              </w:rPr>
            </w:pPr>
            <w:r w:rsidRPr="008C398F">
              <w:rPr>
                <w:rFonts w:cs="Times New Roman"/>
                <w:b/>
                <w:bCs/>
                <w:sz w:val="28"/>
                <w:szCs w:val="28"/>
              </w:rPr>
              <w:t xml:space="preserve">Vasilios Tavlaridis and </w:t>
            </w:r>
            <w:r w:rsidRPr="008C398F">
              <w:rPr>
                <w:rFonts w:cs="Times New Roman"/>
                <w:b/>
                <w:bCs/>
                <w:sz w:val="28"/>
                <w:szCs w:val="28"/>
                <w:lang w:val="en-US"/>
              </w:rPr>
              <w:t>Dr Ejike R Udeogu</w:t>
            </w:r>
          </w:p>
        </w:tc>
      </w:tr>
      <w:tr w:rsidR="00A66FB4" w:rsidRPr="00141FED" w14:paraId="35FEA184" w14:textId="77777777" w:rsidTr="008006EF">
        <w:trPr>
          <w:trHeight w:val="440"/>
        </w:trPr>
        <w:tc>
          <w:tcPr>
            <w:tcW w:w="2571" w:type="dxa"/>
            <w:shd w:val="clear" w:color="auto" w:fill="D9D9D9" w:themeFill="background1" w:themeFillShade="D9"/>
          </w:tcPr>
          <w:p w14:paraId="5EC850B1" w14:textId="77777777" w:rsidR="00A66FB4" w:rsidRPr="00141FED" w:rsidRDefault="00A66FB4" w:rsidP="008006EF">
            <w:pPr>
              <w:spacing w:before="240"/>
              <w:jc w:val="left"/>
              <w:rPr>
                <w:rFonts w:ascii="Arial" w:hAnsi="Arial" w:cs="Arial"/>
                <w:b/>
                <w:bCs/>
                <w:szCs w:val="24"/>
              </w:rPr>
            </w:pPr>
            <w:r w:rsidRPr="00141FED">
              <w:rPr>
                <w:rFonts w:ascii="Arial" w:hAnsi="Arial" w:cs="Arial"/>
                <w:b/>
                <w:bCs/>
                <w:szCs w:val="24"/>
              </w:rPr>
              <w:t>Assignment Title :</w:t>
            </w:r>
          </w:p>
          <w:p w14:paraId="45CC6D25" w14:textId="77777777" w:rsidR="00A66FB4" w:rsidRPr="00141FED" w:rsidRDefault="00A66FB4" w:rsidP="008006EF">
            <w:pPr>
              <w:spacing w:before="120" w:after="120"/>
              <w:rPr>
                <w:rFonts w:ascii="Arial" w:hAnsi="Arial" w:cs="Arial"/>
                <w:b/>
                <w:szCs w:val="24"/>
              </w:rPr>
            </w:pPr>
          </w:p>
        </w:tc>
        <w:tc>
          <w:tcPr>
            <w:tcW w:w="7512" w:type="dxa"/>
            <w:gridSpan w:val="3"/>
          </w:tcPr>
          <w:p w14:paraId="4E83EBEC" w14:textId="77777777" w:rsidR="00A66FB4" w:rsidRPr="007068A1" w:rsidRDefault="00A66FB4" w:rsidP="008006EF">
            <w:pPr>
              <w:spacing w:before="240"/>
              <w:jc w:val="left"/>
              <w:rPr>
                <w:rFonts w:cs="Times New Roman"/>
                <w:b/>
                <w:sz w:val="28"/>
                <w:szCs w:val="28"/>
              </w:rPr>
            </w:pPr>
            <w:r w:rsidRPr="007068A1">
              <w:rPr>
                <w:rFonts w:cs="Times New Roman"/>
                <w:b/>
                <w:bCs/>
                <w:sz w:val="28"/>
                <w:szCs w:val="28"/>
                <w:lang w:val="en-US"/>
              </w:rPr>
              <w:t>The Effect of Team Diversity on Employee Job Performance: An Empirical Study of ALDI UK</w:t>
            </w:r>
          </w:p>
        </w:tc>
      </w:tr>
    </w:tbl>
    <w:p w14:paraId="04870432" w14:textId="77777777" w:rsidR="00A66FB4" w:rsidRPr="00141FED" w:rsidRDefault="00A66FB4" w:rsidP="00A66FB4">
      <w:pPr>
        <w:spacing w:before="240"/>
        <w:jc w:val="center"/>
        <w:rPr>
          <w:rFonts w:ascii="Arial" w:hAnsi="Arial" w:cs="Arial"/>
        </w:rPr>
      </w:pPr>
    </w:p>
    <w:p w14:paraId="12474647" w14:textId="77777777" w:rsidR="00EB0A46" w:rsidRDefault="00EB0A46" w:rsidP="001B5232">
      <w:pPr>
        <w:spacing w:before="240" w:after="160"/>
        <w:jc w:val="left"/>
        <w:rPr>
          <w:rFonts w:cs="Times New Roman"/>
          <w:b/>
          <w:bCs/>
        </w:rPr>
      </w:pPr>
    </w:p>
    <w:p w14:paraId="1F6FB397" w14:textId="77777777" w:rsidR="00EB0A46" w:rsidRDefault="00EB0A46" w:rsidP="001B5232">
      <w:pPr>
        <w:spacing w:before="240" w:after="160"/>
        <w:jc w:val="left"/>
        <w:rPr>
          <w:rFonts w:cs="Times New Roman"/>
          <w:b/>
          <w:bCs/>
        </w:rPr>
      </w:pPr>
    </w:p>
    <w:p w14:paraId="790100DA" w14:textId="1AE9B67C" w:rsidR="006F65B3" w:rsidRDefault="006F65B3" w:rsidP="00EB0A46">
      <w:pPr>
        <w:spacing w:before="240" w:after="160"/>
        <w:jc w:val="center"/>
        <w:rPr>
          <w:rFonts w:cs="Times New Roman"/>
          <w:b/>
          <w:bCs/>
        </w:rPr>
      </w:pPr>
    </w:p>
    <w:p w14:paraId="12D7DFAA" w14:textId="77777777" w:rsidR="00A66FB4" w:rsidRDefault="00A66FB4" w:rsidP="00EB0A46">
      <w:pPr>
        <w:spacing w:before="240" w:after="160"/>
        <w:jc w:val="center"/>
        <w:rPr>
          <w:rFonts w:cs="Times New Roman"/>
          <w:b/>
          <w:bCs/>
        </w:rPr>
      </w:pPr>
    </w:p>
    <w:p w14:paraId="2D9E0CA9" w14:textId="77777777" w:rsidR="00A66FB4" w:rsidRDefault="00A66FB4" w:rsidP="00EB0A46">
      <w:pPr>
        <w:spacing w:before="240" w:after="160"/>
        <w:jc w:val="center"/>
        <w:rPr>
          <w:rFonts w:cs="Times New Roman"/>
          <w:b/>
          <w:bCs/>
        </w:rPr>
      </w:pPr>
    </w:p>
    <w:sdt>
      <w:sdtPr>
        <w:rPr>
          <w:rFonts w:ascii="Times New Roman" w:eastAsiaTheme="minorHAnsi" w:hAnsi="Times New Roman" w:cstheme="minorBidi"/>
          <w:color w:val="auto"/>
          <w:sz w:val="24"/>
          <w:szCs w:val="22"/>
          <w:lang w:val="en-GB"/>
        </w:rPr>
        <w:id w:val="-1248104724"/>
        <w:docPartObj>
          <w:docPartGallery w:val="Table of Contents"/>
          <w:docPartUnique/>
        </w:docPartObj>
      </w:sdtPr>
      <w:sdtEndPr>
        <w:rPr>
          <w:b/>
          <w:bCs/>
          <w:noProof/>
        </w:rPr>
      </w:sdtEndPr>
      <w:sdtContent>
        <w:p w14:paraId="1DF4EDED" w14:textId="0A7F7F5E" w:rsidR="006F65B3" w:rsidRPr="00A73CF6" w:rsidRDefault="006F65B3" w:rsidP="001B5232">
          <w:pPr>
            <w:pStyle w:val="TOCHeading"/>
            <w:spacing w:line="360" w:lineRule="auto"/>
            <w:rPr>
              <w:rFonts w:ascii="Times New Roman" w:hAnsi="Times New Roman" w:cs="Times New Roman"/>
              <w:b/>
              <w:bCs/>
            </w:rPr>
          </w:pPr>
          <w:r w:rsidRPr="00A73CF6">
            <w:rPr>
              <w:rFonts w:ascii="Times New Roman" w:hAnsi="Times New Roman" w:cs="Times New Roman"/>
              <w:b/>
              <w:bCs/>
            </w:rPr>
            <w:t>Contents</w:t>
          </w:r>
        </w:p>
        <w:p w14:paraId="0BD863DD" w14:textId="6BFA2CD0" w:rsidR="00897882" w:rsidRDefault="006F65B3">
          <w:pPr>
            <w:pStyle w:val="TOC1"/>
            <w:tabs>
              <w:tab w:val="right" w:leader="dot" w:pos="9350"/>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18684512" w:history="1">
            <w:r w:rsidR="00897882" w:rsidRPr="004E697F">
              <w:rPr>
                <w:rStyle w:val="Hyperlink"/>
                <w:noProof/>
              </w:rPr>
              <w:t>Chapter 1 Introduction</w:t>
            </w:r>
            <w:r w:rsidR="00897882">
              <w:rPr>
                <w:noProof/>
                <w:webHidden/>
              </w:rPr>
              <w:tab/>
            </w:r>
            <w:r w:rsidR="00897882">
              <w:rPr>
                <w:noProof/>
                <w:webHidden/>
              </w:rPr>
              <w:fldChar w:fldCharType="begin"/>
            </w:r>
            <w:r w:rsidR="00897882">
              <w:rPr>
                <w:noProof/>
                <w:webHidden/>
              </w:rPr>
              <w:instrText xml:space="preserve"> PAGEREF _Toc218684512 \h </w:instrText>
            </w:r>
            <w:r w:rsidR="00897882">
              <w:rPr>
                <w:noProof/>
                <w:webHidden/>
              </w:rPr>
            </w:r>
            <w:r w:rsidR="00897882">
              <w:rPr>
                <w:noProof/>
                <w:webHidden/>
              </w:rPr>
              <w:fldChar w:fldCharType="separate"/>
            </w:r>
            <w:r w:rsidR="00376CC9">
              <w:rPr>
                <w:noProof/>
                <w:webHidden/>
              </w:rPr>
              <w:t>4</w:t>
            </w:r>
            <w:r w:rsidR="00897882">
              <w:rPr>
                <w:noProof/>
                <w:webHidden/>
              </w:rPr>
              <w:fldChar w:fldCharType="end"/>
            </w:r>
          </w:hyperlink>
        </w:p>
        <w:p w14:paraId="077BBE6D" w14:textId="5C411CBE" w:rsidR="00897882" w:rsidRDefault="00897882">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8684513" w:history="1">
            <w:r w:rsidRPr="004E697F">
              <w:rPr>
                <w:rStyle w:val="Hyperlink"/>
                <w:noProof/>
              </w:rPr>
              <w:t>1.1 Background and Context</w:t>
            </w:r>
            <w:r>
              <w:rPr>
                <w:noProof/>
                <w:webHidden/>
              </w:rPr>
              <w:tab/>
            </w:r>
            <w:r>
              <w:rPr>
                <w:noProof/>
                <w:webHidden/>
              </w:rPr>
              <w:fldChar w:fldCharType="begin"/>
            </w:r>
            <w:r>
              <w:rPr>
                <w:noProof/>
                <w:webHidden/>
              </w:rPr>
              <w:instrText xml:space="preserve"> PAGEREF _Toc218684513 \h </w:instrText>
            </w:r>
            <w:r>
              <w:rPr>
                <w:noProof/>
                <w:webHidden/>
              </w:rPr>
            </w:r>
            <w:r>
              <w:rPr>
                <w:noProof/>
                <w:webHidden/>
              </w:rPr>
              <w:fldChar w:fldCharType="separate"/>
            </w:r>
            <w:r w:rsidR="00376CC9">
              <w:rPr>
                <w:noProof/>
                <w:webHidden/>
              </w:rPr>
              <w:t>4</w:t>
            </w:r>
            <w:r>
              <w:rPr>
                <w:noProof/>
                <w:webHidden/>
              </w:rPr>
              <w:fldChar w:fldCharType="end"/>
            </w:r>
          </w:hyperlink>
        </w:p>
        <w:p w14:paraId="3145045C" w14:textId="6CADDF8A" w:rsidR="00897882" w:rsidRDefault="00897882">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8684514" w:history="1">
            <w:r w:rsidRPr="004E697F">
              <w:rPr>
                <w:rStyle w:val="Hyperlink"/>
                <w:noProof/>
              </w:rPr>
              <w:t>1.2 Problem Statement and Rationale</w:t>
            </w:r>
            <w:r>
              <w:rPr>
                <w:noProof/>
                <w:webHidden/>
              </w:rPr>
              <w:tab/>
            </w:r>
            <w:r>
              <w:rPr>
                <w:noProof/>
                <w:webHidden/>
              </w:rPr>
              <w:fldChar w:fldCharType="begin"/>
            </w:r>
            <w:r>
              <w:rPr>
                <w:noProof/>
                <w:webHidden/>
              </w:rPr>
              <w:instrText xml:space="preserve"> PAGEREF _Toc218684514 \h </w:instrText>
            </w:r>
            <w:r>
              <w:rPr>
                <w:noProof/>
                <w:webHidden/>
              </w:rPr>
            </w:r>
            <w:r>
              <w:rPr>
                <w:noProof/>
                <w:webHidden/>
              </w:rPr>
              <w:fldChar w:fldCharType="separate"/>
            </w:r>
            <w:r w:rsidR="00376CC9">
              <w:rPr>
                <w:noProof/>
                <w:webHidden/>
              </w:rPr>
              <w:t>4</w:t>
            </w:r>
            <w:r>
              <w:rPr>
                <w:noProof/>
                <w:webHidden/>
              </w:rPr>
              <w:fldChar w:fldCharType="end"/>
            </w:r>
          </w:hyperlink>
        </w:p>
        <w:p w14:paraId="3FC51011" w14:textId="78AE894D" w:rsidR="00897882" w:rsidRDefault="00897882">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8684515" w:history="1">
            <w:r w:rsidRPr="004E697F">
              <w:rPr>
                <w:rStyle w:val="Hyperlink"/>
                <w:noProof/>
              </w:rPr>
              <w:t>1.3 Research Aim, Objectives, and Questions</w:t>
            </w:r>
            <w:r>
              <w:rPr>
                <w:noProof/>
                <w:webHidden/>
              </w:rPr>
              <w:tab/>
            </w:r>
            <w:r>
              <w:rPr>
                <w:noProof/>
                <w:webHidden/>
              </w:rPr>
              <w:fldChar w:fldCharType="begin"/>
            </w:r>
            <w:r>
              <w:rPr>
                <w:noProof/>
                <w:webHidden/>
              </w:rPr>
              <w:instrText xml:space="preserve"> PAGEREF _Toc218684515 \h </w:instrText>
            </w:r>
            <w:r>
              <w:rPr>
                <w:noProof/>
                <w:webHidden/>
              </w:rPr>
            </w:r>
            <w:r>
              <w:rPr>
                <w:noProof/>
                <w:webHidden/>
              </w:rPr>
              <w:fldChar w:fldCharType="separate"/>
            </w:r>
            <w:r w:rsidR="00376CC9">
              <w:rPr>
                <w:noProof/>
                <w:webHidden/>
              </w:rPr>
              <w:t>5</w:t>
            </w:r>
            <w:r>
              <w:rPr>
                <w:noProof/>
                <w:webHidden/>
              </w:rPr>
              <w:fldChar w:fldCharType="end"/>
            </w:r>
          </w:hyperlink>
        </w:p>
        <w:p w14:paraId="0606436E" w14:textId="557BB77F" w:rsidR="00897882" w:rsidRDefault="00897882">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8684516" w:history="1">
            <w:r w:rsidRPr="004E697F">
              <w:rPr>
                <w:rStyle w:val="Hyperlink"/>
                <w:noProof/>
              </w:rPr>
              <w:t>1.4 Scope, Key Concepts, and Definitions</w:t>
            </w:r>
            <w:r>
              <w:rPr>
                <w:noProof/>
                <w:webHidden/>
              </w:rPr>
              <w:tab/>
            </w:r>
            <w:r>
              <w:rPr>
                <w:noProof/>
                <w:webHidden/>
              </w:rPr>
              <w:fldChar w:fldCharType="begin"/>
            </w:r>
            <w:r>
              <w:rPr>
                <w:noProof/>
                <w:webHidden/>
              </w:rPr>
              <w:instrText xml:space="preserve"> PAGEREF _Toc218684516 \h </w:instrText>
            </w:r>
            <w:r>
              <w:rPr>
                <w:noProof/>
                <w:webHidden/>
              </w:rPr>
            </w:r>
            <w:r>
              <w:rPr>
                <w:noProof/>
                <w:webHidden/>
              </w:rPr>
              <w:fldChar w:fldCharType="separate"/>
            </w:r>
            <w:r w:rsidR="00376CC9">
              <w:rPr>
                <w:noProof/>
                <w:webHidden/>
              </w:rPr>
              <w:t>6</w:t>
            </w:r>
            <w:r>
              <w:rPr>
                <w:noProof/>
                <w:webHidden/>
              </w:rPr>
              <w:fldChar w:fldCharType="end"/>
            </w:r>
          </w:hyperlink>
        </w:p>
        <w:p w14:paraId="395591FA" w14:textId="24B6C366" w:rsidR="00897882" w:rsidRDefault="00897882">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8684517" w:history="1">
            <w:r w:rsidRPr="004E697F">
              <w:rPr>
                <w:rStyle w:val="Hyperlink"/>
                <w:noProof/>
              </w:rPr>
              <w:t>1.5 Overview of Research Design</w:t>
            </w:r>
            <w:r>
              <w:rPr>
                <w:noProof/>
                <w:webHidden/>
              </w:rPr>
              <w:tab/>
            </w:r>
            <w:r>
              <w:rPr>
                <w:noProof/>
                <w:webHidden/>
              </w:rPr>
              <w:fldChar w:fldCharType="begin"/>
            </w:r>
            <w:r>
              <w:rPr>
                <w:noProof/>
                <w:webHidden/>
              </w:rPr>
              <w:instrText xml:space="preserve"> PAGEREF _Toc218684517 \h </w:instrText>
            </w:r>
            <w:r>
              <w:rPr>
                <w:noProof/>
                <w:webHidden/>
              </w:rPr>
            </w:r>
            <w:r>
              <w:rPr>
                <w:noProof/>
                <w:webHidden/>
              </w:rPr>
              <w:fldChar w:fldCharType="separate"/>
            </w:r>
            <w:r w:rsidR="00376CC9">
              <w:rPr>
                <w:noProof/>
                <w:webHidden/>
              </w:rPr>
              <w:t>7</w:t>
            </w:r>
            <w:r>
              <w:rPr>
                <w:noProof/>
                <w:webHidden/>
              </w:rPr>
              <w:fldChar w:fldCharType="end"/>
            </w:r>
          </w:hyperlink>
        </w:p>
        <w:p w14:paraId="22CDF472" w14:textId="5AB7986D" w:rsidR="00897882" w:rsidRDefault="00897882">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8684518" w:history="1">
            <w:r w:rsidRPr="004E697F">
              <w:rPr>
                <w:rStyle w:val="Hyperlink"/>
                <w:noProof/>
              </w:rPr>
              <w:t>1.6 Structure of the Dissertation</w:t>
            </w:r>
            <w:r>
              <w:rPr>
                <w:noProof/>
                <w:webHidden/>
              </w:rPr>
              <w:tab/>
            </w:r>
            <w:r>
              <w:rPr>
                <w:noProof/>
                <w:webHidden/>
              </w:rPr>
              <w:fldChar w:fldCharType="begin"/>
            </w:r>
            <w:r>
              <w:rPr>
                <w:noProof/>
                <w:webHidden/>
              </w:rPr>
              <w:instrText xml:space="preserve"> PAGEREF _Toc218684518 \h </w:instrText>
            </w:r>
            <w:r>
              <w:rPr>
                <w:noProof/>
                <w:webHidden/>
              </w:rPr>
            </w:r>
            <w:r>
              <w:rPr>
                <w:noProof/>
                <w:webHidden/>
              </w:rPr>
              <w:fldChar w:fldCharType="separate"/>
            </w:r>
            <w:r w:rsidR="00376CC9">
              <w:rPr>
                <w:noProof/>
                <w:webHidden/>
              </w:rPr>
              <w:t>7</w:t>
            </w:r>
            <w:r>
              <w:rPr>
                <w:noProof/>
                <w:webHidden/>
              </w:rPr>
              <w:fldChar w:fldCharType="end"/>
            </w:r>
          </w:hyperlink>
        </w:p>
        <w:p w14:paraId="52277DF9" w14:textId="22D70356" w:rsidR="00897882" w:rsidRDefault="00897882">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18684519" w:history="1">
            <w:r w:rsidRPr="004E697F">
              <w:rPr>
                <w:rStyle w:val="Hyperlink"/>
                <w:rFonts w:cs="Times New Roman"/>
                <w:noProof/>
              </w:rPr>
              <w:t>Chapter 2: Literature Review</w:t>
            </w:r>
            <w:r>
              <w:rPr>
                <w:noProof/>
                <w:webHidden/>
              </w:rPr>
              <w:tab/>
            </w:r>
            <w:r>
              <w:rPr>
                <w:noProof/>
                <w:webHidden/>
              </w:rPr>
              <w:fldChar w:fldCharType="begin"/>
            </w:r>
            <w:r>
              <w:rPr>
                <w:noProof/>
                <w:webHidden/>
              </w:rPr>
              <w:instrText xml:space="preserve"> PAGEREF _Toc218684519 \h </w:instrText>
            </w:r>
            <w:r>
              <w:rPr>
                <w:noProof/>
                <w:webHidden/>
              </w:rPr>
            </w:r>
            <w:r>
              <w:rPr>
                <w:noProof/>
                <w:webHidden/>
              </w:rPr>
              <w:fldChar w:fldCharType="separate"/>
            </w:r>
            <w:r w:rsidR="00376CC9">
              <w:rPr>
                <w:noProof/>
                <w:webHidden/>
              </w:rPr>
              <w:t>9</w:t>
            </w:r>
            <w:r>
              <w:rPr>
                <w:noProof/>
                <w:webHidden/>
              </w:rPr>
              <w:fldChar w:fldCharType="end"/>
            </w:r>
          </w:hyperlink>
        </w:p>
        <w:p w14:paraId="50189B03" w14:textId="6D053617" w:rsidR="00897882" w:rsidRDefault="00897882">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8684520" w:history="1">
            <w:r w:rsidRPr="004E697F">
              <w:rPr>
                <w:rStyle w:val="Hyperlink"/>
                <w:noProof/>
              </w:rPr>
              <w:t>Introduction</w:t>
            </w:r>
            <w:r>
              <w:rPr>
                <w:noProof/>
                <w:webHidden/>
              </w:rPr>
              <w:tab/>
            </w:r>
            <w:r>
              <w:rPr>
                <w:noProof/>
                <w:webHidden/>
              </w:rPr>
              <w:fldChar w:fldCharType="begin"/>
            </w:r>
            <w:r>
              <w:rPr>
                <w:noProof/>
                <w:webHidden/>
              </w:rPr>
              <w:instrText xml:space="preserve"> PAGEREF _Toc218684520 \h </w:instrText>
            </w:r>
            <w:r>
              <w:rPr>
                <w:noProof/>
                <w:webHidden/>
              </w:rPr>
            </w:r>
            <w:r>
              <w:rPr>
                <w:noProof/>
                <w:webHidden/>
              </w:rPr>
              <w:fldChar w:fldCharType="separate"/>
            </w:r>
            <w:r w:rsidR="00376CC9">
              <w:rPr>
                <w:noProof/>
                <w:webHidden/>
              </w:rPr>
              <w:t>9</w:t>
            </w:r>
            <w:r>
              <w:rPr>
                <w:noProof/>
                <w:webHidden/>
              </w:rPr>
              <w:fldChar w:fldCharType="end"/>
            </w:r>
          </w:hyperlink>
        </w:p>
        <w:p w14:paraId="5AFFAEF6" w14:textId="443372F5" w:rsidR="00897882" w:rsidRDefault="00897882">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8684521" w:history="1">
            <w:r w:rsidRPr="004E697F">
              <w:rPr>
                <w:rStyle w:val="Hyperlink"/>
                <w:noProof/>
              </w:rPr>
              <w:t>Theoretical Foundations of Team Diversity and Performance</w:t>
            </w:r>
            <w:r>
              <w:rPr>
                <w:noProof/>
                <w:webHidden/>
              </w:rPr>
              <w:tab/>
            </w:r>
            <w:r>
              <w:rPr>
                <w:noProof/>
                <w:webHidden/>
              </w:rPr>
              <w:fldChar w:fldCharType="begin"/>
            </w:r>
            <w:r>
              <w:rPr>
                <w:noProof/>
                <w:webHidden/>
              </w:rPr>
              <w:instrText xml:space="preserve"> PAGEREF _Toc218684521 \h </w:instrText>
            </w:r>
            <w:r>
              <w:rPr>
                <w:noProof/>
                <w:webHidden/>
              </w:rPr>
            </w:r>
            <w:r>
              <w:rPr>
                <w:noProof/>
                <w:webHidden/>
              </w:rPr>
              <w:fldChar w:fldCharType="separate"/>
            </w:r>
            <w:r w:rsidR="00376CC9">
              <w:rPr>
                <w:noProof/>
                <w:webHidden/>
              </w:rPr>
              <w:t>9</w:t>
            </w:r>
            <w:r>
              <w:rPr>
                <w:noProof/>
                <w:webHidden/>
              </w:rPr>
              <w:fldChar w:fldCharType="end"/>
            </w:r>
          </w:hyperlink>
        </w:p>
        <w:p w14:paraId="1DE7EA49" w14:textId="1AA46859" w:rsidR="00897882" w:rsidRDefault="00897882">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8684522" w:history="1">
            <w:r w:rsidRPr="004E697F">
              <w:rPr>
                <w:rStyle w:val="Hyperlink"/>
                <w:noProof/>
              </w:rPr>
              <w:t>Application of Diversity Theory with Respect to the Retail Operating Environment</w:t>
            </w:r>
            <w:r>
              <w:rPr>
                <w:noProof/>
                <w:webHidden/>
              </w:rPr>
              <w:tab/>
            </w:r>
            <w:r>
              <w:rPr>
                <w:noProof/>
                <w:webHidden/>
              </w:rPr>
              <w:fldChar w:fldCharType="begin"/>
            </w:r>
            <w:r>
              <w:rPr>
                <w:noProof/>
                <w:webHidden/>
              </w:rPr>
              <w:instrText xml:space="preserve"> PAGEREF _Toc218684522 \h </w:instrText>
            </w:r>
            <w:r>
              <w:rPr>
                <w:noProof/>
                <w:webHidden/>
              </w:rPr>
            </w:r>
            <w:r>
              <w:rPr>
                <w:noProof/>
                <w:webHidden/>
              </w:rPr>
              <w:fldChar w:fldCharType="separate"/>
            </w:r>
            <w:r w:rsidR="00376CC9">
              <w:rPr>
                <w:noProof/>
                <w:webHidden/>
              </w:rPr>
              <w:t>10</w:t>
            </w:r>
            <w:r>
              <w:rPr>
                <w:noProof/>
                <w:webHidden/>
              </w:rPr>
              <w:fldChar w:fldCharType="end"/>
            </w:r>
          </w:hyperlink>
        </w:p>
        <w:p w14:paraId="6513C0F8" w14:textId="6828242E" w:rsidR="00897882" w:rsidRDefault="00897882">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8684523" w:history="1">
            <w:r w:rsidRPr="004E697F">
              <w:rPr>
                <w:rStyle w:val="Hyperlink"/>
                <w:noProof/>
              </w:rPr>
              <w:t>Determinants of Team Effectiveness</w:t>
            </w:r>
            <w:r>
              <w:rPr>
                <w:noProof/>
                <w:webHidden/>
              </w:rPr>
              <w:tab/>
            </w:r>
            <w:r>
              <w:rPr>
                <w:noProof/>
                <w:webHidden/>
              </w:rPr>
              <w:fldChar w:fldCharType="begin"/>
            </w:r>
            <w:r>
              <w:rPr>
                <w:noProof/>
                <w:webHidden/>
              </w:rPr>
              <w:instrText xml:space="preserve"> PAGEREF _Toc218684523 \h </w:instrText>
            </w:r>
            <w:r>
              <w:rPr>
                <w:noProof/>
                <w:webHidden/>
              </w:rPr>
            </w:r>
            <w:r>
              <w:rPr>
                <w:noProof/>
                <w:webHidden/>
              </w:rPr>
              <w:fldChar w:fldCharType="separate"/>
            </w:r>
            <w:r w:rsidR="00376CC9">
              <w:rPr>
                <w:noProof/>
                <w:webHidden/>
              </w:rPr>
              <w:t>11</w:t>
            </w:r>
            <w:r>
              <w:rPr>
                <w:noProof/>
                <w:webHidden/>
              </w:rPr>
              <w:fldChar w:fldCharType="end"/>
            </w:r>
          </w:hyperlink>
        </w:p>
        <w:p w14:paraId="41DECAC0" w14:textId="78AFFC63" w:rsidR="00897882" w:rsidRDefault="00897882">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8684524" w:history="1">
            <w:r w:rsidRPr="004E697F">
              <w:rPr>
                <w:rStyle w:val="Hyperlink"/>
                <w:noProof/>
              </w:rPr>
              <w:t>Mechanisms Linking Diversity to Project Performance</w:t>
            </w:r>
            <w:r>
              <w:rPr>
                <w:noProof/>
                <w:webHidden/>
              </w:rPr>
              <w:tab/>
            </w:r>
            <w:r>
              <w:rPr>
                <w:noProof/>
                <w:webHidden/>
              </w:rPr>
              <w:fldChar w:fldCharType="begin"/>
            </w:r>
            <w:r>
              <w:rPr>
                <w:noProof/>
                <w:webHidden/>
              </w:rPr>
              <w:instrText xml:space="preserve"> PAGEREF _Toc218684524 \h </w:instrText>
            </w:r>
            <w:r>
              <w:rPr>
                <w:noProof/>
                <w:webHidden/>
              </w:rPr>
            </w:r>
            <w:r>
              <w:rPr>
                <w:noProof/>
                <w:webHidden/>
              </w:rPr>
              <w:fldChar w:fldCharType="separate"/>
            </w:r>
            <w:r w:rsidR="00376CC9">
              <w:rPr>
                <w:noProof/>
                <w:webHidden/>
              </w:rPr>
              <w:t>12</w:t>
            </w:r>
            <w:r>
              <w:rPr>
                <w:noProof/>
                <w:webHidden/>
              </w:rPr>
              <w:fldChar w:fldCharType="end"/>
            </w:r>
          </w:hyperlink>
        </w:p>
        <w:p w14:paraId="1B150DBB" w14:textId="39FE17EB" w:rsidR="00897882" w:rsidRDefault="00897882">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8684525" w:history="1">
            <w:r w:rsidRPr="004E697F">
              <w:rPr>
                <w:rStyle w:val="Hyperlink"/>
                <w:noProof/>
              </w:rPr>
              <w:t>Innovation and Cultural Diversity</w:t>
            </w:r>
            <w:r>
              <w:rPr>
                <w:noProof/>
                <w:webHidden/>
              </w:rPr>
              <w:tab/>
            </w:r>
            <w:r>
              <w:rPr>
                <w:noProof/>
                <w:webHidden/>
              </w:rPr>
              <w:fldChar w:fldCharType="begin"/>
            </w:r>
            <w:r>
              <w:rPr>
                <w:noProof/>
                <w:webHidden/>
              </w:rPr>
              <w:instrText xml:space="preserve"> PAGEREF _Toc218684525 \h </w:instrText>
            </w:r>
            <w:r>
              <w:rPr>
                <w:noProof/>
                <w:webHidden/>
              </w:rPr>
            </w:r>
            <w:r>
              <w:rPr>
                <w:noProof/>
                <w:webHidden/>
              </w:rPr>
              <w:fldChar w:fldCharType="separate"/>
            </w:r>
            <w:r w:rsidR="00376CC9">
              <w:rPr>
                <w:noProof/>
                <w:webHidden/>
              </w:rPr>
              <w:t>14</w:t>
            </w:r>
            <w:r>
              <w:rPr>
                <w:noProof/>
                <w:webHidden/>
              </w:rPr>
              <w:fldChar w:fldCharType="end"/>
            </w:r>
          </w:hyperlink>
        </w:p>
        <w:p w14:paraId="11BC7A94" w14:textId="7B209737" w:rsidR="00897882" w:rsidRDefault="00897882">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8684526" w:history="1">
            <w:r w:rsidRPr="004E697F">
              <w:rPr>
                <w:rStyle w:val="Hyperlink"/>
                <w:noProof/>
              </w:rPr>
              <w:t>Inclusion and Diversity Management</w:t>
            </w:r>
            <w:r>
              <w:rPr>
                <w:noProof/>
                <w:webHidden/>
              </w:rPr>
              <w:tab/>
            </w:r>
            <w:r>
              <w:rPr>
                <w:noProof/>
                <w:webHidden/>
              </w:rPr>
              <w:fldChar w:fldCharType="begin"/>
            </w:r>
            <w:r>
              <w:rPr>
                <w:noProof/>
                <w:webHidden/>
              </w:rPr>
              <w:instrText xml:space="preserve"> PAGEREF _Toc218684526 \h </w:instrText>
            </w:r>
            <w:r>
              <w:rPr>
                <w:noProof/>
                <w:webHidden/>
              </w:rPr>
            </w:r>
            <w:r>
              <w:rPr>
                <w:noProof/>
                <w:webHidden/>
              </w:rPr>
              <w:fldChar w:fldCharType="separate"/>
            </w:r>
            <w:r w:rsidR="00376CC9">
              <w:rPr>
                <w:noProof/>
                <w:webHidden/>
              </w:rPr>
              <w:t>15</w:t>
            </w:r>
            <w:r>
              <w:rPr>
                <w:noProof/>
                <w:webHidden/>
              </w:rPr>
              <w:fldChar w:fldCharType="end"/>
            </w:r>
          </w:hyperlink>
        </w:p>
        <w:p w14:paraId="06B749B9" w14:textId="3D680A57" w:rsidR="00897882" w:rsidRDefault="00897882">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8684527" w:history="1">
            <w:r w:rsidRPr="004E697F">
              <w:rPr>
                <w:rStyle w:val="Hyperlink"/>
                <w:noProof/>
              </w:rPr>
              <w:t>Organizational and Leadership Factors</w:t>
            </w:r>
            <w:r>
              <w:rPr>
                <w:noProof/>
                <w:webHidden/>
              </w:rPr>
              <w:tab/>
            </w:r>
            <w:r>
              <w:rPr>
                <w:noProof/>
                <w:webHidden/>
              </w:rPr>
              <w:fldChar w:fldCharType="begin"/>
            </w:r>
            <w:r>
              <w:rPr>
                <w:noProof/>
                <w:webHidden/>
              </w:rPr>
              <w:instrText xml:space="preserve"> PAGEREF _Toc218684527 \h </w:instrText>
            </w:r>
            <w:r>
              <w:rPr>
                <w:noProof/>
                <w:webHidden/>
              </w:rPr>
            </w:r>
            <w:r>
              <w:rPr>
                <w:noProof/>
                <w:webHidden/>
              </w:rPr>
              <w:fldChar w:fldCharType="separate"/>
            </w:r>
            <w:r w:rsidR="00376CC9">
              <w:rPr>
                <w:noProof/>
                <w:webHidden/>
              </w:rPr>
              <w:t>16</w:t>
            </w:r>
            <w:r>
              <w:rPr>
                <w:noProof/>
                <w:webHidden/>
              </w:rPr>
              <w:fldChar w:fldCharType="end"/>
            </w:r>
          </w:hyperlink>
        </w:p>
        <w:p w14:paraId="4093FC66" w14:textId="33890807" w:rsidR="00897882" w:rsidRDefault="00897882">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8684528" w:history="1">
            <w:r w:rsidRPr="004E697F">
              <w:rPr>
                <w:rStyle w:val="Hyperlink"/>
                <w:noProof/>
              </w:rPr>
              <w:t>Virtual Teams and Technology-Mediated Diversity</w:t>
            </w:r>
            <w:r>
              <w:rPr>
                <w:noProof/>
                <w:webHidden/>
              </w:rPr>
              <w:tab/>
            </w:r>
            <w:r>
              <w:rPr>
                <w:noProof/>
                <w:webHidden/>
              </w:rPr>
              <w:fldChar w:fldCharType="begin"/>
            </w:r>
            <w:r>
              <w:rPr>
                <w:noProof/>
                <w:webHidden/>
              </w:rPr>
              <w:instrText xml:space="preserve"> PAGEREF _Toc218684528 \h </w:instrText>
            </w:r>
            <w:r>
              <w:rPr>
                <w:noProof/>
                <w:webHidden/>
              </w:rPr>
            </w:r>
            <w:r>
              <w:rPr>
                <w:noProof/>
                <w:webHidden/>
              </w:rPr>
              <w:fldChar w:fldCharType="separate"/>
            </w:r>
            <w:r w:rsidR="00376CC9">
              <w:rPr>
                <w:noProof/>
                <w:webHidden/>
              </w:rPr>
              <w:t>17</w:t>
            </w:r>
            <w:r>
              <w:rPr>
                <w:noProof/>
                <w:webHidden/>
              </w:rPr>
              <w:fldChar w:fldCharType="end"/>
            </w:r>
          </w:hyperlink>
        </w:p>
        <w:p w14:paraId="0846A5C2" w14:textId="07F24E94" w:rsidR="00897882" w:rsidRDefault="00897882">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8684529" w:history="1">
            <w:r w:rsidRPr="004E697F">
              <w:rPr>
                <w:rStyle w:val="Hyperlink"/>
                <w:noProof/>
              </w:rPr>
              <w:t>Industry-Specific Factors for Consumer Services</w:t>
            </w:r>
            <w:r>
              <w:rPr>
                <w:noProof/>
                <w:webHidden/>
              </w:rPr>
              <w:tab/>
            </w:r>
            <w:r>
              <w:rPr>
                <w:noProof/>
                <w:webHidden/>
              </w:rPr>
              <w:fldChar w:fldCharType="begin"/>
            </w:r>
            <w:r>
              <w:rPr>
                <w:noProof/>
                <w:webHidden/>
              </w:rPr>
              <w:instrText xml:space="preserve"> PAGEREF _Toc218684529 \h </w:instrText>
            </w:r>
            <w:r>
              <w:rPr>
                <w:noProof/>
                <w:webHidden/>
              </w:rPr>
            </w:r>
            <w:r>
              <w:rPr>
                <w:noProof/>
                <w:webHidden/>
              </w:rPr>
              <w:fldChar w:fldCharType="separate"/>
            </w:r>
            <w:r w:rsidR="00376CC9">
              <w:rPr>
                <w:noProof/>
                <w:webHidden/>
              </w:rPr>
              <w:t>18</w:t>
            </w:r>
            <w:r>
              <w:rPr>
                <w:noProof/>
                <w:webHidden/>
              </w:rPr>
              <w:fldChar w:fldCharType="end"/>
            </w:r>
          </w:hyperlink>
        </w:p>
        <w:p w14:paraId="1951A8A5" w14:textId="5E4E6F68" w:rsidR="00897882" w:rsidRDefault="00897882">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8684530" w:history="1">
            <w:r w:rsidRPr="004E697F">
              <w:rPr>
                <w:rStyle w:val="Hyperlink"/>
                <w:noProof/>
              </w:rPr>
              <w:t>Towards an Integrated Analytical Framework: Synthesis for Empirical Application</w:t>
            </w:r>
            <w:r>
              <w:rPr>
                <w:noProof/>
                <w:webHidden/>
              </w:rPr>
              <w:tab/>
            </w:r>
            <w:r>
              <w:rPr>
                <w:noProof/>
                <w:webHidden/>
              </w:rPr>
              <w:fldChar w:fldCharType="begin"/>
            </w:r>
            <w:r>
              <w:rPr>
                <w:noProof/>
                <w:webHidden/>
              </w:rPr>
              <w:instrText xml:space="preserve"> PAGEREF _Toc218684530 \h </w:instrText>
            </w:r>
            <w:r>
              <w:rPr>
                <w:noProof/>
                <w:webHidden/>
              </w:rPr>
            </w:r>
            <w:r>
              <w:rPr>
                <w:noProof/>
                <w:webHidden/>
              </w:rPr>
              <w:fldChar w:fldCharType="separate"/>
            </w:r>
            <w:r w:rsidR="00376CC9">
              <w:rPr>
                <w:noProof/>
                <w:webHidden/>
              </w:rPr>
              <w:t>19</w:t>
            </w:r>
            <w:r>
              <w:rPr>
                <w:noProof/>
                <w:webHidden/>
              </w:rPr>
              <w:fldChar w:fldCharType="end"/>
            </w:r>
          </w:hyperlink>
        </w:p>
        <w:p w14:paraId="6CBF7903" w14:textId="19559209" w:rsidR="00897882" w:rsidRDefault="00897882">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8684531" w:history="1">
            <w:r w:rsidRPr="004E697F">
              <w:rPr>
                <w:rStyle w:val="Hyperlink"/>
                <w:noProof/>
              </w:rPr>
              <w:t>Research Gaps and Future Directions</w:t>
            </w:r>
            <w:r>
              <w:rPr>
                <w:noProof/>
                <w:webHidden/>
              </w:rPr>
              <w:tab/>
            </w:r>
            <w:r>
              <w:rPr>
                <w:noProof/>
                <w:webHidden/>
              </w:rPr>
              <w:fldChar w:fldCharType="begin"/>
            </w:r>
            <w:r>
              <w:rPr>
                <w:noProof/>
                <w:webHidden/>
              </w:rPr>
              <w:instrText xml:space="preserve"> PAGEREF _Toc218684531 \h </w:instrText>
            </w:r>
            <w:r>
              <w:rPr>
                <w:noProof/>
                <w:webHidden/>
              </w:rPr>
            </w:r>
            <w:r>
              <w:rPr>
                <w:noProof/>
                <w:webHidden/>
              </w:rPr>
              <w:fldChar w:fldCharType="separate"/>
            </w:r>
            <w:r w:rsidR="00376CC9">
              <w:rPr>
                <w:noProof/>
                <w:webHidden/>
              </w:rPr>
              <w:t>20</w:t>
            </w:r>
            <w:r>
              <w:rPr>
                <w:noProof/>
                <w:webHidden/>
              </w:rPr>
              <w:fldChar w:fldCharType="end"/>
            </w:r>
          </w:hyperlink>
        </w:p>
        <w:p w14:paraId="08925557" w14:textId="715EA8E0" w:rsidR="00897882" w:rsidRDefault="00897882">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18684532" w:history="1">
            <w:r w:rsidRPr="004E697F">
              <w:rPr>
                <w:rStyle w:val="Hyperlink"/>
                <w:rFonts w:cs="Times New Roman"/>
                <w:noProof/>
              </w:rPr>
              <w:t>Chapter 3: Research Methodology</w:t>
            </w:r>
            <w:r>
              <w:rPr>
                <w:noProof/>
                <w:webHidden/>
              </w:rPr>
              <w:tab/>
            </w:r>
            <w:r>
              <w:rPr>
                <w:noProof/>
                <w:webHidden/>
              </w:rPr>
              <w:fldChar w:fldCharType="begin"/>
            </w:r>
            <w:r>
              <w:rPr>
                <w:noProof/>
                <w:webHidden/>
              </w:rPr>
              <w:instrText xml:space="preserve"> PAGEREF _Toc218684532 \h </w:instrText>
            </w:r>
            <w:r>
              <w:rPr>
                <w:noProof/>
                <w:webHidden/>
              </w:rPr>
            </w:r>
            <w:r>
              <w:rPr>
                <w:noProof/>
                <w:webHidden/>
              </w:rPr>
              <w:fldChar w:fldCharType="separate"/>
            </w:r>
            <w:r w:rsidR="00376CC9">
              <w:rPr>
                <w:noProof/>
                <w:webHidden/>
              </w:rPr>
              <w:t>21</w:t>
            </w:r>
            <w:r>
              <w:rPr>
                <w:noProof/>
                <w:webHidden/>
              </w:rPr>
              <w:fldChar w:fldCharType="end"/>
            </w:r>
          </w:hyperlink>
        </w:p>
        <w:p w14:paraId="70E097C9" w14:textId="665378FA" w:rsidR="00897882" w:rsidRDefault="00897882">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8684533" w:history="1">
            <w:r w:rsidRPr="004E697F">
              <w:rPr>
                <w:rStyle w:val="Hyperlink"/>
                <w:rFonts w:cs="Times New Roman"/>
                <w:noProof/>
              </w:rPr>
              <w:t>3.1 Introduction</w:t>
            </w:r>
            <w:r>
              <w:rPr>
                <w:noProof/>
                <w:webHidden/>
              </w:rPr>
              <w:tab/>
            </w:r>
            <w:r>
              <w:rPr>
                <w:noProof/>
                <w:webHidden/>
              </w:rPr>
              <w:fldChar w:fldCharType="begin"/>
            </w:r>
            <w:r>
              <w:rPr>
                <w:noProof/>
                <w:webHidden/>
              </w:rPr>
              <w:instrText xml:space="preserve"> PAGEREF _Toc218684533 \h </w:instrText>
            </w:r>
            <w:r>
              <w:rPr>
                <w:noProof/>
                <w:webHidden/>
              </w:rPr>
            </w:r>
            <w:r>
              <w:rPr>
                <w:noProof/>
                <w:webHidden/>
              </w:rPr>
              <w:fldChar w:fldCharType="separate"/>
            </w:r>
            <w:r w:rsidR="00376CC9">
              <w:rPr>
                <w:noProof/>
                <w:webHidden/>
              </w:rPr>
              <w:t>21</w:t>
            </w:r>
            <w:r>
              <w:rPr>
                <w:noProof/>
                <w:webHidden/>
              </w:rPr>
              <w:fldChar w:fldCharType="end"/>
            </w:r>
          </w:hyperlink>
        </w:p>
        <w:p w14:paraId="732BE829" w14:textId="63BD8C23" w:rsidR="00897882" w:rsidRDefault="00897882">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8684534" w:history="1">
            <w:r w:rsidRPr="004E697F">
              <w:rPr>
                <w:rStyle w:val="Hyperlink"/>
                <w:rFonts w:cs="Times New Roman"/>
                <w:noProof/>
              </w:rPr>
              <w:t>3.2 Research Philosophy and Approach</w:t>
            </w:r>
            <w:r>
              <w:rPr>
                <w:noProof/>
                <w:webHidden/>
              </w:rPr>
              <w:tab/>
            </w:r>
            <w:r>
              <w:rPr>
                <w:noProof/>
                <w:webHidden/>
              </w:rPr>
              <w:fldChar w:fldCharType="begin"/>
            </w:r>
            <w:r>
              <w:rPr>
                <w:noProof/>
                <w:webHidden/>
              </w:rPr>
              <w:instrText xml:space="preserve"> PAGEREF _Toc218684534 \h </w:instrText>
            </w:r>
            <w:r>
              <w:rPr>
                <w:noProof/>
                <w:webHidden/>
              </w:rPr>
            </w:r>
            <w:r>
              <w:rPr>
                <w:noProof/>
                <w:webHidden/>
              </w:rPr>
              <w:fldChar w:fldCharType="separate"/>
            </w:r>
            <w:r w:rsidR="00376CC9">
              <w:rPr>
                <w:noProof/>
                <w:webHidden/>
              </w:rPr>
              <w:t>22</w:t>
            </w:r>
            <w:r>
              <w:rPr>
                <w:noProof/>
                <w:webHidden/>
              </w:rPr>
              <w:fldChar w:fldCharType="end"/>
            </w:r>
          </w:hyperlink>
        </w:p>
        <w:p w14:paraId="76766DB1" w14:textId="7D148887" w:rsidR="00897882" w:rsidRDefault="00897882">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8684535" w:history="1">
            <w:r w:rsidRPr="004E697F">
              <w:rPr>
                <w:rStyle w:val="Hyperlink"/>
                <w:rFonts w:cs="Times New Roman"/>
                <w:noProof/>
              </w:rPr>
              <w:t>3.3 Research Design</w:t>
            </w:r>
            <w:r>
              <w:rPr>
                <w:noProof/>
                <w:webHidden/>
              </w:rPr>
              <w:tab/>
            </w:r>
            <w:r>
              <w:rPr>
                <w:noProof/>
                <w:webHidden/>
              </w:rPr>
              <w:fldChar w:fldCharType="begin"/>
            </w:r>
            <w:r>
              <w:rPr>
                <w:noProof/>
                <w:webHidden/>
              </w:rPr>
              <w:instrText xml:space="preserve"> PAGEREF _Toc218684535 \h </w:instrText>
            </w:r>
            <w:r>
              <w:rPr>
                <w:noProof/>
                <w:webHidden/>
              </w:rPr>
            </w:r>
            <w:r>
              <w:rPr>
                <w:noProof/>
                <w:webHidden/>
              </w:rPr>
              <w:fldChar w:fldCharType="separate"/>
            </w:r>
            <w:r w:rsidR="00376CC9">
              <w:rPr>
                <w:noProof/>
                <w:webHidden/>
              </w:rPr>
              <w:t>23</w:t>
            </w:r>
            <w:r>
              <w:rPr>
                <w:noProof/>
                <w:webHidden/>
              </w:rPr>
              <w:fldChar w:fldCharType="end"/>
            </w:r>
          </w:hyperlink>
        </w:p>
        <w:p w14:paraId="385B28CC" w14:textId="4EE7AC78" w:rsidR="00897882" w:rsidRDefault="00897882">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8684536" w:history="1">
            <w:r w:rsidRPr="004E697F">
              <w:rPr>
                <w:rStyle w:val="Hyperlink"/>
                <w:rFonts w:cs="Times New Roman"/>
                <w:noProof/>
              </w:rPr>
              <w:t>3.4 Data Sources and Data Collection</w:t>
            </w:r>
            <w:r>
              <w:rPr>
                <w:noProof/>
                <w:webHidden/>
              </w:rPr>
              <w:tab/>
            </w:r>
            <w:r>
              <w:rPr>
                <w:noProof/>
                <w:webHidden/>
              </w:rPr>
              <w:fldChar w:fldCharType="begin"/>
            </w:r>
            <w:r>
              <w:rPr>
                <w:noProof/>
                <w:webHidden/>
              </w:rPr>
              <w:instrText xml:space="preserve"> PAGEREF _Toc218684536 \h </w:instrText>
            </w:r>
            <w:r>
              <w:rPr>
                <w:noProof/>
                <w:webHidden/>
              </w:rPr>
            </w:r>
            <w:r>
              <w:rPr>
                <w:noProof/>
                <w:webHidden/>
              </w:rPr>
              <w:fldChar w:fldCharType="separate"/>
            </w:r>
            <w:r w:rsidR="00376CC9">
              <w:rPr>
                <w:noProof/>
                <w:webHidden/>
              </w:rPr>
              <w:t>26</w:t>
            </w:r>
            <w:r>
              <w:rPr>
                <w:noProof/>
                <w:webHidden/>
              </w:rPr>
              <w:fldChar w:fldCharType="end"/>
            </w:r>
          </w:hyperlink>
        </w:p>
        <w:p w14:paraId="1C38D993" w14:textId="3525FB57" w:rsidR="00897882" w:rsidRDefault="00897882">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8684537" w:history="1">
            <w:r w:rsidRPr="004E697F">
              <w:rPr>
                <w:rStyle w:val="Hyperlink"/>
                <w:rFonts w:cs="Times New Roman"/>
                <w:noProof/>
              </w:rPr>
              <w:t>3.5 Operationalisation of Key Constructs</w:t>
            </w:r>
            <w:r>
              <w:rPr>
                <w:noProof/>
                <w:webHidden/>
              </w:rPr>
              <w:tab/>
            </w:r>
            <w:r>
              <w:rPr>
                <w:noProof/>
                <w:webHidden/>
              </w:rPr>
              <w:fldChar w:fldCharType="begin"/>
            </w:r>
            <w:r>
              <w:rPr>
                <w:noProof/>
                <w:webHidden/>
              </w:rPr>
              <w:instrText xml:space="preserve"> PAGEREF _Toc218684537 \h </w:instrText>
            </w:r>
            <w:r>
              <w:rPr>
                <w:noProof/>
                <w:webHidden/>
              </w:rPr>
            </w:r>
            <w:r>
              <w:rPr>
                <w:noProof/>
                <w:webHidden/>
              </w:rPr>
              <w:fldChar w:fldCharType="separate"/>
            </w:r>
            <w:r w:rsidR="00376CC9">
              <w:rPr>
                <w:noProof/>
                <w:webHidden/>
              </w:rPr>
              <w:t>28</w:t>
            </w:r>
            <w:r>
              <w:rPr>
                <w:noProof/>
                <w:webHidden/>
              </w:rPr>
              <w:fldChar w:fldCharType="end"/>
            </w:r>
          </w:hyperlink>
        </w:p>
        <w:p w14:paraId="4BFFB079" w14:textId="082A696F" w:rsidR="00897882" w:rsidRDefault="00897882">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8684538" w:history="1">
            <w:r w:rsidRPr="004E697F">
              <w:rPr>
                <w:rStyle w:val="Hyperlink"/>
                <w:rFonts w:cs="Times New Roman"/>
                <w:noProof/>
              </w:rPr>
              <w:t>3.6 Data Analysis Strategy</w:t>
            </w:r>
            <w:r>
              <w:rPr>
                <w:noProof/>
                <w:webHidden/>
              </w:rPr>
              <w:tab/>
            </w:r>
            <w:r>
              <w:rPr>
                <w:noProof/>
                <w:webHidden/>
              </w:rPr>
              <w:fldChar w:fldCharType="begin"/>
            </w:r>
            <w:r>
              <w:rPr>
                <w:noProof/>
                <w:webHidden/>
              </w:rPr>
              <w:instrText xml:space="preserve"> PAGEREF _Toc218684538 \h </w:instrText>
            </w:r>
            <w:r>
              <w:rPr>
                <w:noProof/>
                <w:webHidden/>
              </w:rPr>
            </w:r>
            <w:r>
              <w:rPr>
                <w:noProof/>
                <w:webHidden/>
              </w:rPr>
              <w:fldChar w:fldCharType="separate"/>
            </w:r>
            <w:r w:rsidR="00376CC9">
              <w:rPr>
                <w:noProof/>
                <w:webHidden/>
              </w:rPr>
              <w:t>33</w:t>
            </w:r>
            <w:r>
              <w:rPr>
                <w:noProof/>
                <w:webHidden/>
              </w:rPr>
              <w:fldChar w:fldCharType="end"/>
            </w:r>
          </w:hyperlink>
        </w:p>
        <w:p w14:paraId="2B21E428" w14:textId="7591E937" w:rsidR="00897882" w:rsidRDefault="00897882">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8684539" w:history="1">
            <w:r w:rsidRPr="004E697F">
              <w:rPr>
                <w:rStyle w:val="Hyperlink"/>
                <w:rFonts w:cs="Times New Roman"/>
                <w:noProof/>
              </w:rPr>
              <w:t>3.7 Validity, Reliability and Limitations of the Method</w:t>
            </w:r>
            <w:r>
              <w:rPr>
                <w:noProof/>
                <w:webHidden/>
              </w:rPr>
              <w:tab/>
            </w:r>
            <w:r>
              <w:rPr>
                <w:noProof/>
                <w:webHidden/>
              </w:rPr>
              <w:fldChar w:fldCharType="begin"/>
            </w:r>
            <w:r>
              <w:rPr>
                <w:noProof/>
                <w:webHidden/>
              </w:rPr>
              <w:instrText xml:space="preserve"> PAGEREF _Toc218684539 \h </w:instrText>
            </w:r>
            <w:r>
              <w:rPr>
                <w:noProof/>
                <w:webHidden/>
              </w:rPr>
            </w:r>
            <w:r>
              <w:rPr>
                <w:noProof/>
                <w:webHidden/>
              </w:rPr>
              <w:fldChar w:fldCharType="separate"/>
            </w:r>
            <w:r w:rsidR="00376CC9">
              <w:rPr>
                <w:noProof/>
                <w:webHidden/>
              </w:rPr>
              <w:t>34</w:t>
            </w:r>
            <w:r>
              <w:rPr>
                <w:noProof/>
                <w:webHidden/>
              </w:rPr>
              <w:fldChar w:fldCharType="end"/>
            </w:r>
          </w:hyperlink>
        </w:p>
        <w:p w14:paraId="4E3A8FF9" w14:textId="5C50663F" w:rsidR="00897882" w:rsidRDefault="00897882">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8684540" w:history="1">
            <w:r w:rsidRPr="004E697F">
              <w:rPr>
                <w:rStyle w:val="Hyperlink"/>
                <w:rFonts w:cs="Times New Roman"/>
                <w:noProof/>
              </w:rPr>
              <w:t>3.8 Ethical Considerations</w:t>
            </w:r>
            <w:r>
              <w:rPr>
                <w:noProof/>
                <w:webHidden/>
              </w:rPr>
              <w:tab/>
            </w:r>
            <w:r>
              <w:rPr>
                <w:noProof/>
                <w:webHidden/>
              </w:rPr>
              <w:fldChar w:fldCharType="begin"/>
            </w:r>
            <w:r>
              <w:rPr>
                <w:noProof/>
                <w:webHidden/>
              </w:rPr>
              <w:instrText xml:space="preserve"> PAGEREF _Toc218684540 \h </w:instrText>
            </w:r>
            <w:r>
              <w:rPr>
                <w:noProof/>
                <w:webHidden/>
              </w:rPr>
            </w:r>
            <w:r>
              <w:rPr>
                <w:noProof/>
                <w:webHidden/>
              </w:rPr>
              <w:fldChar w:fldCharType="separate"/>
            </w:r>
            <w:r w:rsidR="00376CC9">
              <w:rPr>
                <w:noProof/>
                <w:webHidden/>
              </w:rPr>
              <w:t>35</w:t>
            </w:r>
            <w:r>
              <w:rPr>
                <w:noProof/>
                <w:webHidden/>
              </w:rPr>
              <w:fldChar w:fldCharType="end"/>
            </w:r>
          </w:hyperlink>
        </w:p>
        <w:p w14:paraId="37B21B33" w14:textId="3A19C9AF" w:rsidR="00897882" w:rsidRDefault="00897882">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18684541" w:history="1">
            <w:r w:rsidRPr="004E697F">
              <w:rPr>
                <w:rStyle w:val="Hyperlink"/>
                <w:noProof/>
              </w:rPr>
              <w:t>Chapter 4: Findings and Analysis</w:t>
            </w:r>
            <w:r>
              <w:rPr>
                <w:noProof/>
                <w:webHidden/>
              </w:rPr>
              <w:tab/>
            </w:r>
            <w:r>
              <w:rPr>
                <w:noProof/>
                <w:webHidden/>
              </w:rPr>
              <w:fldChar w:fldCharType="begin"/>
            </w:r>
            <w:r>
              <w:rPr>
                <w:noProof/>
                <w:webHidden/>
              </w:rPr>
              <w:instrText xml:space="preserve"> PAGEREF _Toc218684541 \h </w:instrText>
            </w:r>
            <w:r>
              <w:rPr>
                <w:noProof/>
                <w:webHidden/>
              </w:rPr>
            </w:r>
            <w:r>
              <w:rPr>
                <w:noProof/>
                <w:webHidden/>
              </w:rPr>
              <w:fldChar w:fldCharType="separate"/>
            </w:r>
            <w:r w:rsidR="00376CC9">
              <w:rPr>
                <w:noProof/>
                <w:webHidden/>
              </w:rPr>
              <w:t>36</w:t>
            </w:r>
            <w:r>
              <w:rPr>
                <w:noProof/>
                <w:webHidden/>
              </w:rPr>
              <w:fldChar w:fldCharType="end"/>
            </w:r>
          </w:hyperlink>
        </w:p>
        <w:p w14:paraId="46CA41E7" w14:textId="240652AB" w:rsidR="00897882" w:rsidRDefault="00897882">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8684542" w:history="1">
            <w:r w:rsidRPr="004E697F">
              <w:rPr>
                <w:rStyle w:val="Hyperlink"/>
                <w:noProof/>
              </w:rPr>
              <w:t>4.1 Overview of ALDI UK and its Workforce</w:t>
            </w:r>
            <w:r>
              <w:rPr>
                <w:noProof/>
                <w:webHidden/>
              </w:rPr>
              <w:tab/>
            </w:r>
            <w:r>
              <w:rPr>
                <w:noProof/>
                <w:webHidden/>
              </w:rPr>
              <w:fldChar w:fldCharType="begin"/>
            </w:r>
            <w:r>
              <w:rPr>
                <w:noProof/>
                <w:webHidden/>
              </w:rPr>
              <w:instrText xml:space="preserve"> PAGEREF _Toc218684542 \h </w:instrText>
            </w:r>
            <w:r>
              <w:rPr>
                <w:noProof/>
                <w:webHidden/>
              </w:rPr>
            </w:r>
            <w:r>
              <w:rPr>
                <w:noProof/>
                <w:webHidden/>
              </w:rPr>
              <w:fldChar w:fldCharType="separate"/>
            </w:r>
            <w:r w:rsidR="00376CC9">
              <w:rPr>
                <w:noProof/>
                <w:webHidden/>
              </w:rPr>
              <w:t>36</w:t>
            </w:r>
            <w:r>
              <w:rPr>
                <w:noProof/>
                <w:webHidden/>
              </w:rPr>
              <w:fldChar w:fldCharType="end"/>
            </w:r>
          </w:hyperlink>
        </w:p>
        <w:p w14:paraId="584F149B" w14:textId="6CB37C1A" w:rsidR="00897882" w:rsidRDefault="00897882">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8684543" w:history="1">
            <w:r w:rsidRPr="004E697F">
              <w:rPr>
                <w:rStyle w:val="Hyperlink"/>
                <w:noProof/>
              </w:rPr>
              <w:t>4.2 Team Diversity Dimensions at ALDI UK</w:t>
            </w:r>
            <w:r>
              <w:rPr>
                <w:noProof/>
                <w:webHidden/>
              </w:rPr>
              <w:tab/>
            </w:r>
            <w:r>
              <w:rPr>
                <w:noProof/>
                <w:webHidden/>
              </w:rPr>
              <w:fldChar w:fldCharType="begin"/>
            </w:r>
            <w:r>
              <w:rPr>
                <w:noProof/>
                <w:webHidden/>
              </w:rPr>
              <w:instrText xml:space="preserve"> PAGEREF _Toc218684543 \h </w:instrText>
            </w:r>
            <w:r>
              <w:rPr>
                <w:noProof/>
                <w:webHidden/>
              </w:rPr>
            </w:r>
            <w:r>
              <w:rPr>
                <w:noProof/>
                <w:webHidden/>
              </w:rPr>
              <w:fldChar w:fldCharType="separate"/>
            </w:r>
            <w:r w:rsidR="00376CC9">
              <w:rPr>
                <w:noProof/>
                <w:webHidden/>
              </w:rPr>
              <w:t>38</w:t>
            </w:r>
            <w:r>
              <w:rPr>
                <w:noProof/>
                <w:webHidden/>
              </w:rPr>
              <w:fldChar w:fldCharType="end"/>
            </w:r>
          </w:hyperlink>
        </w:p>
        <w:p w14:paraId="6CD66868" w14:textId="01F398D3" w:rsidR="00897882" w:rsidRDefault="00897882">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8684544" w:history="1">
            <w:r w:rsidRPr="004E697F">
              <w:rPr>
                <w:rStyle w:val="Hyperlink"/>
                <w:noProof/>
              </w:rPr>
              <w:t>4.3 Employee Job Performance Indicators at ALDI UK</w:t>
            </w:r>
            <w:r>
              <w:rPr>
                <w:noProof/>
                <w:webHidden/>
              </w:rPr>
              <w:tab/>
            </w:r>
            <w:r>
              <w:rPr>
                <w:noProof/>
                <w:webHidden/>
              </w:rPr>
              <w:fldChar w:fldCharType="begin"/>
            </w:r>
            <w:r>
              <w:rPr>
                <w:noProof/>
                <w:webHidden/>
              </w:rPr>
              <w:instrText xml:space="preserve"> PAGEREF _Toc218684544 \h </w:instrText>
            </w:r>
            <w:r>
              <w:rPr>
                <w:noProof/>
                <w:webHidden/>
              </w:rPr>
            </w:r>
            <w:r>
              <w:rPr>
                <w:noProof/>
                <w:webHidden/>
              </w:rPr>
              <w:fldChar w:fldCharType="separate"/>
            </w:r>
            <w:r w:rsidR="00376CC9">
              <w:rPr>
                <w:noProof/>
                <w:webHidden/>
              </w:rPr>
              <w:t>43</w:t>
            </w:r>
            <w:r>
              <w:rPr>
                <w:noProof/>
                <w:webHidden/>
              </w:rPr>
              <w:fldChar w:fldCharType="end"/>
            </w:r>
          </w:hyperlink>
        </w:p>
        <w:p w14:paraId="78703F69" w14:textId="2DD5E33E" w:rsidR="00897882" w:rsidRDefault="00897882">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8684545" w:history="1">
            <w:r w:rsidRPr="004E697F">
              <w:rPr>
                <w:rStyle w:val="Hyperlink"/>
                <w:noProof/>
              </w:rPr>
              <w:t>4.4 Linking Diversity to Employee Job Performance</w:t>
            </w:r>
            <w:r>
              <w:rPr>
                <w:noProof/>
                <w:webHidden/>
              </w:rPr>
              <w:tab/>
            </w:r>
            <w:r>
              <w:rPr>
                <w:noProof/>
                <w:webHidden/>
              </w:rPr>
              <w:fldChar w:fldCharType="begin"/>
            </w:r>
            <w:r>
              <w:rPr>
                <w:noProof/>
                <w:webHidden/>
              </w:rPr>
              <w:instrText xml:space="preserve"> PAGEREF _Toc218684545 \h </w:instrText>
            </w:r>
            <w:r>
              <w:rPr>
                <w:noProof/>
                <w:webHidden/>
              </w:rPr>
            </w:r>
            <w:r>
              <w:rPr>
                <w:noProof/>
                <w:webHidden/>
              </w:rPr>
              <w:fldChar w:fldCharType="separate"/>
            </w:r>
            <w:r w:rsidR="00376CC9">
              <w:rPr>
                <w:noProof/>
                <w:webHidden/>
              </w:rPr>
              <w:t>45</w:t>
            </w:r>
            <w:r>
              <w:rPr>
                <w:noProof/>
                <w:webHidden/>
              </w:rPr>
              <w:fldChar w:fldCharType="end"/>
            </w:r>
          </w:hyperlink>
        </w:p>
        <w:p w14:paraId="053D9310" w14:textId="1A953C17" w:rsidR="00897882" w:rsidRDefault="00897882">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8684546" w:history="1">
            <w:r w:rsidRPr="004E697F">
              <w:rPr>
                <w:rStyle w:val="Hyperlink"/>
                <w:noProof/>
              </w:rPr>
              <w:t>4.5 Organisational and Leadership Factors at ALDI UK</w:t>
            </w:r>
            <w:r>
              <w:rPr>
                <w:noProof/>
                <w:webHidden/>
              </w:rPr>
              <w:tab/>
            </w:r>
            <w:r>
              <w:rPr>
                <w:noProof/>
                <w:webHidden/>
              </w:rPr>
              <w:fldChar w:fldCharType="begin"/>
            </w:r>
            <w:r>
              <w:rPr>
                <w:noProof/>
                <w:webHidden/>
              </w:rPr>
              <w:instrText xml:space="preserve"> PAGEREF _Toc218684546 \h </w:instrText>
            </w:r>
            <w:r>
              <w:rPr>
                <w:noProof/>
                <w:webHidden/>
              </w:rPr>
            </w:r>
            <w:r>
              <w:rPr>
                <w:noProof/>
                <w:webHidden/>
              </w:rPr>
              <w:fldChar w:fldCharType="separate"/>
            </w:r>
            <w:r w:rsidR="00376CC9">
              <w:rPr>
                <w:noProof/>
                <w:webHidden/>
              </w:rPr>
              <w:t>48</w:t>
            </w:r>
            <w:r>
              <w:rPr>
                <w:noProof/>
                <w:webHidden/>
              </w:rPr>
              <w:fldChar w:fldCharType="end"/>
            </w:r>
          </w:hyperlink>
        </w:p>
        <w:p w14:paraId="263F804A" w14:textId="122187B2" w:rsidR="00897882" w:rsidRDefault="00897882">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8684547" w:history="1">
            <w:r w:rsidRPr="004E697F">
              <w:rPr>
                <w:rStyle w:val="Hyperlink"/>
                <w:noProof/>
              </w:rPr>
              <w:t>4.6 Comparison with Wider UK Retail Sector</w:t>
            </w:r>
            <w:r>
              <w:rPr>
                <w:noProof/>
                <w:webHidden/>
              </w:rPr>
              <w:tab/>
            </w:r>
            <w:r>
              <w:rPr>
                <w:noProof/>
                <w:webHidden/>
              </w:rPr>
              <w:fldChar w:fldCharType="begin"/>
            </w:r>
            <w:r>
              <w:rPr>
                <w:noProof/>
                <w:webHidden/>
              </w:rPr>
              <w:instrText xml:space="preserve"> PAGEREF _Toc218684547 \h </w:instrText>
            </w:r>
            <w:r>
              <w:rPr>
                <w:noProof/>
                <w:webHidden/>
              </w:rPr>
            </w:r>
            <w:r>
              <w:rPr>
                <w:noProof/>
                <w:webHidden/>
              </w:rPr>
              <w:fldChar w:fldCharType="separate"/>
            </w:r>
            <w:r w:rsidR="00376CC9">
              <w:rPr>
                <w:noProof/>
                <w:webHidden/>
              </w:rPr>
              <w:t>52</w:t>
            </w:r>
            <w:r>
              <w:rPr>
                <w:noProof/>
                <w:webHidden/>
              </w:rPr>
              <w:fldChar w:fldCharType="end"/>
            </w:r>
          </w:hyperlink>
        </w:p>
        <w:p w14:paraId="6D29688D" w14:textId="3F62DBCD" w:rsidR="00897882" w:rsidRDefault="00897882">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8684548" w:history="1">
            <w:r w:rsidRPr="004E697F">
              <w:rPr>
                <w:rStyle w:val="Hyperlink"/>
                <w:noProof/>
              </w:rPr>
              <w:t>4.7 Synthesis of Findings</w:t>
            </w:r>
            <w:r>
              <w:rPr>
                <w:noProof/>
                <w:webHidden/>
              </w:rPr>
              <w:tab/>
            </w:r>
            <w:r>
              <w:rPr>
                <w:noProof/>
                <w:webHidden/>
              </w:rPr>
              <w:fldChar w:fldCharType="begin"/>
            </w:r>
            <w:r>
              <w:rPr>
                <w:noProof/>
                <w:webHidden/>
              </w:rPr>
              <w:instrText xml:space="preserve"> PAGEREF _Toc218684548 \h </w:instrText>
            </w:r>
            <w:r>
              <w:rPr>
                <w:noProof/>
                <w:webHidden/>
              </w:rPr>
            </w:r>
            <w:r>
              <w:rPr>
                <w:noProof/>
                <w:webHidden/>
              </w:rPr>
              <w:fldChar w:fldCharType="separate"/>
            </w:r>
            <w:r w:rsidR="00376CC9">
              <w:rPr>
                <w:noProof/>
                <w:webHidden/>
              </w:rPr>
              <w:t>54</w:t>
            </w:r>
            <w:r>
              <w:rPr>
                <w:noProof/>
                <w:webHidden/>
              </w:rPr>
              <w:fldChar w:fldCharType="end"/>
            </w:r>
          </w:hyperlink>
        </w:p>
        <w:p w14:paraId="689CE8F9" w14:textId="57901534" w:rsidR="00897882" w:rsidRDefault="00897882">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8684549" w:history="1">
            <w:r w:rsidRPr="004E697F">
              <w:rPr>
                <w:rStyle w:val="Hyperlink"/>
                <w:noProof/>
              </w:rPr>
              <w:t>4.8 Testing Theoretical Proposition</w:t>
            </w:r>
            <w:r>
              <w:rPr>
                <w:noProof/>
                <w:webHidden/>
              </w:rPr>
              <w:tab/>
            </w:r>
            <w:r>
              <w:rPr>
                <w:noProof/>
                <w:webHidden/>
              </w:rPr>
              <w:fldChar w:fldCharType="begin"/>
            </w:r>
            <w:r>
              <w:rPr>
                <w:noProof/>
                <w:webHidden/>
              </w:rPr>
              <w:instrText xml:space="preserve"> PAGEREF _Toc218684549 \h </w:instrText>
            </w:r>
            <w:r>
              <w:rPr>
                <w:noProof/>
                <w:webHidden/>
              </w:rPr>
            </w:r>
            <w:r>
              <w:rPr>
                <w:noProof/>
                <w:webHidden/>
              </w:rPr>
              <w:fldChar w:fldCharType="separate"/>
            </w:r>
            <w:r w:rsidR="00376CC9">
              <w:rPr>
                <w:noProof/>
                <w:webHidden/>
              </w:rPr>
              <w:t>57</w:t>
            </w:r>
            <w:r>
              <w:rPr>
                <w:noProof/>
                <w:webHidden/>
              </w:rPr>
              <w:fldChar w:fldCharType="end"/>
            </w:r>
          </w:hyperlink>
        </w:p>
        <w:p w14:paraId="66A28D1E" w14:textId="50D50B04" w:rsidR="00897882" w:rsidRDefault="00897882">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8684550" w:history="1">
            <w:r w:rsidRPr="004E697F">
              <w:rPr>
                <w:rStyle w:val="Hyperlink"/>
                <w:noProof/>
              </w:rPr>
              <w:t>4.9 Alternative Explanations and Conflicting Hypotheses</w:t>
            </w:r>
            <w:r>
              <w:rPr>
                <w:noProof/>
                <w:webHidden/>
              </w:rPr>
              <w:tab/>
            </w:r>
            <w:r>
              <w:rPr>
                <w:noProof/>
                <w:webHidden/>
              </w:rPr>
              <w:fldChar w:fldCharType="begin"/>
            </w:r>
            <w:r>
              <w:rPr>
                <w:noProof/>
                <w:webHidden/>
              </w:rPr>
              <w:instrText xml:space="preserve"> PAGEREF _Toc218684550 \h </w:instrText>
            </w:r>
            <w:r>
              <w:rPr>
                <w:noProof/>
                <w:webHidden/>
              </w:rPr>
            </w:r>
            <w:r>
              <w:rPr>
                <w:noProof/>
                <w:webHidden/>
              </w:rPr>
              <w:fldChar w:fldCharType="separate"/>
            </w:r>
            <w:r w:rsidR="00376CC9">
              <w:rPr>
                <w:noProof/>
                <w:webHidden/>
              </w:rPr>
              <w:t>58</w:t>
            </w:r>
            <w:r>
              <w:rPr>
                <w:noProof/>
                <w:webHidden/>
              </w:rPr>
              <w:fldChar w:fldCharType="end"/>
            </w:r>
          </w:hyperlink>
        </w:p>
        <w:p w14:paraId="050CB0FD" w14:textId="6661C498" w:rsidR="00897882" w:rsidRDefault="00897882">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18684551" w:history="1">
            <w:r w:rsidRPr="004E697F">
              <w:rPr>
                <w:rStyle w:val="Hyperlink"/>
                <w:noProof/>
              </w:rPr>
              <w:t>Chapter 5: Conclusions and Recommendations</w:t>
            </w:r>
            <w:r>
              <w:rPr>
                <w:noProof/>
                <w:webHidden/>
              </w:rPr>
              <w:tab/>
            </w:r>
            <w:r>
              <w:rPr>
                <w:noProof/>
                <w:webHidden/>
              </w:rPr>
              <w:fldChar w:fldCharType="begin"/>
            </w:r>
            <w:r>
              <w:rPr>
                <w:noProof/>
                <w:webHidden/>
              </w:rPr>
              <w:instrText xml:space="preserve"> PAGEREF _Toc218684551 \h </w:instrText>
            </w:r>
            <w:r>
              <w:rPr>
                <w:noProof/>
                <w:webHidden/>
              </w:rPr>
            </w:r>
            <w:r>
              <w:rPr>
                <w:noProof/>
                <w:webHidden/>
              </w:rPr>
              <w:fldChar w:fldCharType="separate"/>
            </w:r>
            <w:r w:rsidR="00376CC9">
              <w:rPr>
                <w:noProof/>
                <w:webHidden/>
              </w:rPr>
              <w:t>60</w:t>
            </w:r>
            <w:r>
              <w:rPr>
                <w:noProof/>
                <w:webHidden/>
              </w:rPr>
              <w:fldChar w:fldCharType="end"/>
            </w:r>
          </w:hyperlink>
        </w:p>
        <w:p w14:paraId="52EE7B67" w14:textId="338D0642" w:rsidR="00897882" w:rsidRDefault="00897882">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8684552" w:history="1">
            <w:r w:rsidRPr="004E697F">
              <w:rPr>
                <w:rStyle w:val="Hyperlink"/>
                <w:noProof/>
              </w:rPr>
              <w:t>5.1 Summary of Key Findings</w:t>
            </w:r>
            <w:r>
              <w:rPr>
                <w:noProof/>
                <w:webHidden/>
              </w:rPr>
              <w:tab/>
            </w:r>
            <w:r>
              <w:rPr>
                <w:noProof/>
                <w:webHidden/>
              </w:rPr>
              <w:fldChar w:fldCharType="begin"/>
            </w:r>
            <w:r>
              <w:rPr>
                <w:noProof/>
                <w:webHidden/>
              </w:rPr>
              <w:instrText xml:space="preserve"> PAGEREF _Toc218684552 \h </w:instrText>
            </w:r>
            <w:r>
              <w:rPr>
                <w:noProof/>
                <w:webHidden/>
              </w:rPr>
            </w:r>
            <w:r>
              <w:rPr>
                <w:noProof/>
                <w:webHidden/>
              </w:rPr>
              <w:fldChar w:fldCharType="separate"/>
            </w:r>
            <w:r w:rsidR="00376CC9">
              <w:rPr>
                <w:noProof/>
                <w:webHidden/>
              </w:rPr>
              <w:t>60</w:t>
            </w:r>
            <w:r>
              <w:rPr>
                <w:noProof/>
                <w:webHidden/>
              </w:rPr>
              <w:fldChar w:fldCharType="end"/>
            </w:r>
          </w:hyperlink>
        </w:p>
        <w:p w14:paraId="2200FFAD" w14:textId="566A14F3" w:rsidR="00897882" w:rsidRDefault="00897882">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8684553" w:history="1">
            <w:r w:rsidRPr="004E697F">
              <w:rPr>
                <w:rStyle w:val="Hyperlink"/>
                <w:noProof/>
              </w:rPr>
              <w:t>5.2 Theoretical Contributions</w:t>
            </w:r>
            <w:r>
              <w:rPr>
                <w:noProof/>
                <w:webHidden/>
              </w:rPr>
              <w:tab/>
            </w:r>
            <w:r>
              <w:rPr>
                <w:noProof/>
                <w:webHidden/>
              </w:rPr>
              <w:fldChar w:fldCharType="begin"/>
            </w:r>
            <w:r>
              <w:rPr>
                <w:noProof/>
                <w:webHidden/>
              </w:rPr>
              <w:instrText xml:space="preserve"> PAGEREF _Toc218684553 \h </w:instrText>
            </w:r>
            <w:r>
              <w:rPr>
                <w:noProof/>
                <w:webHidden/>
              </w:rPr>
            </w:r>
            <w:r>
              <w:rPr>
                <w:noProof/>
                <w:webHidden/>
              </w:rPr>
              <w:fldChar w:fldCharType="separate"/>
            </w:r>
            <w:r w:rsidR="00376CC9">
              <w:rPr>
                <w:noProof/>
                <w:webHidden/>
              </w:rPr>
              <w:t>61</w:t>
            </w:r>
            <w:r>
              <w:rPr>
                <w:noProof/>
                <w:webHidden/>
              </w:rPr>
              <w:fldChar w:fldCharType="end"/>
            </w:r>
          </w:hyperlink>
        </w:p>
        <w:p w14:paraId="1B5D60D9" w14:textId="64B1983D" w:rsidR="00897882" w:rsidRDefault="00897882">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8684554" w:history="1">
            <w:r w:rsidRPr="004E697F">
              <w:rPr>
                <w:rStyle w:val="Hyperlink"/>
                <w:noProof/>
              </w:rPr>
              <w:t>5.3 Practical Recommendations for ALDI UK and UK Retail</w:t>
            </w:r>
            <w:r>
              <w:rPr>
                <w:noProof/>
                <w:webHidden/>
              </w:rPr>
              <w:tab/>
            </w:r>
            <w:r>
              <w:rPr>
                <w:noProof/>
                <w:webHidden/>
              </w:rPr>
              <w:fldChar w:fldCharType="begin"/>
            </w:r>
            <w:r>
              <w:rPr>
                <w:noProof/>
                <w:webHidden/>
              </w:rPr>
              <w:instrText xml:space="preserve"> PAGEREF _Toc218684554 \h </w:instrText>
            </w:r>
            <w:r>
              <w:rPr>
                <w:noProof/>
                <w:webHidden/>
              </w:rPr>
            </w:r>
            <w:r>
              <w:rPr>
                <w:noProof/>
                <w:webHidden/>
              </w:rPr>
              <w:fldChar w:fldCharType="separate"/>
            </w:r>
            <w:r w:rsidR="00376CC9">
              <w:rPr>
                <w:noProof/>
                <w:webHidden/>
              </w:rPr>
              <w:t>62</w:t>
            </w:r>
            <w:r>
              <w:rPr>
                <w:noProof/>
                <w:webHidden/>
              </w:rPr>
              <w:fldChar w:fldCharType="end"/>
            </w:r>
          </w:hyperlink>
        </w:p>
        <w:p w14:paraId="685925DE" w14:textId="50D01C54" w:rsidR="00897882" w:rsidRDefault="00897882">
          <w:pPr>
            <w:pStyle w:val="TOC3"/>
            <w:tabs>
              <w:tab w:val="right" w:leader="dot" w:pos="9350"/>
            </w:tabs>
            <w:rPr>
              <w:noProof/>
            </w:rPr>
          </w:pPr>
          <w:hyperlink w:anchor="_Toc218684555" w:history="1">
            <w:r w:rsidRPr="004E697F">
              <w:rPr>
                <w:rStyle w:val="Hyperlink"/>
                <w:noProof/>
              </w:rPr>
              <w:t>5.3.1 Constraints and Realistic Expectations</w:t>
            </w:r>
            <w:r>
              <w:rPr>
                <w:noProof/>
                <w:webHidden/>
              </w:rPr>
              <w:tab/>
            </w:r>
            <w:r>
              <w:rPr>
                <w:noProof/>
                <w:webHidden/>
              </w:rPr>
              <w:fldChar w:fldCharType="begin"/>
            </w:r>
            <w:r>
              <w:rPr>
                <w:noProof/>
                <w:webHidden/>
              </w:rPr>
              <w:instrText xml:space="preserve"> PAGEREF _Toc218684555 \h </w:instrText>
            </w:r>
            <w:r>
              <w:rPr>
                <w:noProof/>
                <w:webHidden/>
              </w:rPr>
            </w:r>
            <w:r>
              <w:rPr>
                <w:noProof/>
                <w:webHidden/>
              </w:rPr>
              <w:fldChar w:fldCharType="separate"/>
            </w:r>
            <w:r w:rsidR="00376CC9">
              <w:rPr>
                <w:noProof/>
                <w:webHidden/>
              </w:rPr>
              <w:t>63</w:t>
            </w:r>
            <w:r>
              <w:rPr>
                <w:noProof/>
                <w:webHidden/>
              </w:rPr>
              <w:fldChar w:fldCharType="end"/>
            </w:r>
          </w:hyperlink>
        </w:p>
        <w:p w14:paraId="3F0EA8F7" w14:textId="010C3409" w:rsidR="00897882" w:rsidRDefault="00897882">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8684556" w:history="1">
            <w:r w:rsidRPr="004E697F">
              <w:rPr>
                <w:rStyle w:val="Hyperlink"/>
                <w:noProof/>
              </w:rPr>
              <w:t>5.4 Limitations of the Study</w:t>
            </w:r>
            <w:r>
              <w:rPr>
                <w:noProof/>
                <w:webHidden/>
              </w:rPr>
              <w:tab/>
            </w:r>
            <w:r>
              <w:rPr>
                <w:noProof/>
                <w:webHidden/>
              </w:rPr>
              <w:fldChar w:fldCharType="begin"/>
            </w:r>
            <w:r>
              <w:rPr>
                <w:noProof/>
                <w:webHidden/>
              </w:rPr>
              <w:instrText xml:space="preserve"> PAGEREF _Toc218684556 \h </w:instrText>
            </w:r>
            <w:r>
              <w:rPr>
                <w:noProof/>
                <w:webHidden/>
              </w:rPr>
            </w:r>
            <w:r>
              <w:rPr>
                <w:noProof/>
                <w:webHidden/>
              </w:rPr>
              <w:fldChar w:fldCharType="separate"/>
            </w:r>
            <w:r w:rsidR="00376CC9">
              <w:rPr>
                <w:noProof/>
                <w:webHidden/>
              </w:rPr>
              <w:t>64</w:t>
            </w:r>
            <w:r>
              <w:rPr>
                <w:noProof/>
                <w:webHidden/>
              </w:rPr>
              <w:fldChar w:fldCharType="end"/>
            </w:r>
          </w:hyperlink>
        </w:p>
        <w:p w14:paraId="3074D41D" w14:textId="4F0E0702" w:rsidR="00897882" w:rsidRDefault="00897882">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8684557" w:history="1">
            <w:r w:rsidRPr="004E697F">
              <w:rPr>
                <w:rStyle w:val="Hyperlink"/>
                <w:noProof/>
              </w:rPr>
              <w:t>5.5 Suggestions for Future Research</w:t>
            </w:r>
            <w:r>
              <w:rPr>
                <w:noProof/>
                <w:webHidden/>
              </w:rPr>
              <w:tab/>
            </w:r>
            <w:r>
              <w:rPr>
                <w:noProof/>
                <w:webHidden/>
              </w:rPr>
              <w:fldChar w:fldCharType="begin"/>
            </w:r>
            <w:r>
              <w:rPr>
                <w:noProof/>
                <w:webHidden/>
              </w:rPr>
              <w:instrText xml:space="preserve"> PAGEREF _Toc218684557 \h </w:instrText>
            </w:r>
            <w:r>
              <w:rPr>
                <w:noProof/>
                <w:webHidden/>
              </w:rPr>
            </w:r>
            <w:r>
              <w:rPr>
                <w:noProof/>
                <w:webHidden/>
              </w:rPr>
              <w:fldChar w:fldCharType="separate"/>
            </w:r>
            <w:r w:rsidR="00376CC9">
              <w:rPr>
                <w:noProof/>
                <w:webHidden/>
              </w:rPr>
              <w:t>65</w:t>
            </w:r>
            <w:r>
              <w:rPr>
                <w:noProof/>
                <w:webHidden/>
              </w:rPr>
              <w:fldChar w:fldCharType="end"/>
            </w:r>
          </w:hyperlink>
        </w:p>
        <w:p w14:paraId="0CFA21D9" w14:textId="555E0394" w:rsidR="00897882" w:rsidRDefault="00897882">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18684558" w:history="1">
            <w:r w:rsidRPr="004E697F">
              <w:rPr>
                <w:rStyle w:val="Hyperlink"/>
                <w:rFonts w:cs="Times New Roman"/>
                <w:noProof/>
              </w:rPr>
              <w:t>References</w:t>
            </w:r>
            <w:r>
              <w:rPr>
                <w:noProof/>
                <w:webHidden/>
              </w:rPr>
              <w:tab/>
            </w:r>
            <w:r>
              <w:rPr>
                <w:noProof/>
                <w:webHidden/>
              </w:rPr>
              <w:fldChar w:fldCharType="begin"/>
            </w:r>
            <w:r>
              <w:rPr>
                <w:noProof/>
                <w:webHidden/>
              </w:rPr>
              <w:instrText xml:space="preserve"> PAGEREF _Toc218684558 \h </w:instrText>
            </w:r>
            <w:r>
              <w:rPr>
                <w:noProof/>
                <w:webHidden/>
              </w:rPr>
            </w:r>
            <w:r>
              <w:rPr>
                <w:noProof/>
                <w:webHidden/>
              </w:rPr>
              <w:fldChar w:fldCharType="separate"/>
            </w:r>
            <w:r w:rsidR="00376CC9">
              <w:rPr>
                <w:noProof/>
                <w:webHidden/>
              </w:rPr>
              <w:t>66</w:t>
            </w:r>
            <w:r>
              <w:rPr>
                <w:noProof/>
                <w:webHidden/>
              </w:rPr>
              <w:fldChar w:fldCharType="end"/>
            </w:r>
          </w:hyperlink>
        </w:p>
        <w:p w14:paraId="2AB0C835" w14:textId="33DDDC7B" w:rsidR="00897882" w:rsidRDefault="00897882">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18684559" w:history="1">
            <w:r w:rsidRPr="004E697F">
              <w:rPr>
                <w:rStyle w:val="Hyperlink"/>
                <w:noProof/>
              </w:rPr>
              <w:t>Appendix A: Sources of the study</w:t>
            </w:r>
            <w:r>
              <w:rPr>
                <w:noProof/>
                <w:webHidden/>
              </w:rPr>
              <w:tab/>
            </w:r>
            <w:r>
              <w:rPr>
                <w:noProof/>
                <w:webHidden/>
              </w:rPr>
              <w:fldChar w:fldCharType="begin"/>
            </w:r>
            <w:r>
              <w:rPr>
                <w:noProof/>
                <w:webHidden/>
              </w:rPr>
              <w:instrText xml:space="preserve"> PAGEREF _Toc218684559 \h </w:instrText>
            </w:r>
            <w:r>
              <w:rPr>
                <w:noProof/>
                <w:webHidden/>
              </w:rPr>
            </w:r>
            <w:r>
              <w:rPr>
                <w:noProof/>
                <w:webHidden/>
              </w:rPr>
              <w:fldChar w:fldCharType="separate"/>
            </w:r>
            <w:r w:rsidR="00376CC9">
              <w:rPr>
                <w:noProof/>
                <w:webHidden/>
              </w:rPr>
              <w:t>70</w:t>
            </w:r>
            <w:r>
              <w:rPr>
                <w:noProof/>
                <w:webHidden/>
              </w:rPr>
              <w:fldChar w:fldCharType="end"/>
            </w:r>
          </w:hyperlink>
        </w:p>
        <w:p w14:paraId="58585A2A" w14:textId="5AFD73FE" w:rsidR="006F65B3" w:rsidRDefault="006F65B3" w:rsidP="001B5232">
          <w:pPr>
            <w:spacing w:before="240"/>
          </w:pPr>
          <w:r>
            <w:rPr>
              <w:b/>
              <w:bCs/>
              <w:noProof/>
            </w:rPr>
            <w:fldChar w:fldCharType="end"/>
          </w:r>
        </w:p>
      </w:sdtContent>
    </w:sdt>
    <w:p w14:paraId="0069B936" w14:textId="6C994DD0" w:rsidR="001B5232" w:rsidRPr="00376CC9" w:rsidRDefault="001B5232" w:rsidP="001B5232">
      <w:pPr>
        <w:pStyle w:val="Heading1"/>
        <w:spacing w:before="240"/>
      </w:pPr>
      <w:bookmarkStart w:id="0" w:name="_Toc218684512"/>
      <w:r w:rsidRPr="00376CC9">
        <w:lastRenderedPageBreak/>
        <w:t>Chapter 1 Introduction</w:t>
      </w:r>
      <w:bookmarkEnd w:id="0"/>
    </w:p>
    <w:p w14:paraId="5A9D523A" w14:textId="10F6C8A3" w:rsidR="001B5232" w:rsidRPr="00376CC9" w:rsidRDefault="001B5232" w:rsidP="001B5232">
      <w:pPr>
        <w:pStyle w:val="Heading2"/>
        <w:spacing w:before="240"/>
      </w:pPr>
      <w:bookmarkStart w:id="1" w:name="_Toc218684513"/>
      <w:r w:rsidRPr="00376CC9">
        <w:t>1.1 Background and Context</w:t>
      </w:r>
      <w:bookmarkEnd w:id="1"/>
    </w:p>
    <w:p w14:paraId="5229BAFA" w14:textId="2C7A0060" w:rsidR="001B5232" w:rsidRPr="00376CC9" w:rsidRDefault="001B5232" w:rsidP="001B5232">
      <w:pPr>
        <w:spacing w:before="240"/>
      </w:pPr>
      <w:r w:rsidRPr="00376CC9">
        <w:t xml:space="preserve">In an increasingly globalized and competitive world, diversity within teams has become a critical factor influencing organizational performance. </w:t>
      </w:r>
      <w:proofErr w:type="gramStart"/>
      <w:r w:rsidRPr="00376CC9">
        <w:t>In particular, consumer</w:t>
      </w:r>
      <w:proofErr w:type="gramEnd"/>
      <w:r w:rsidRPr="00376CC9">
        <w:t xml:space="preserve"> service organizations like ALDI UK are recognizing the importance of diversity in enhancing team performance, improving customer experiences, and driving overall business success. The growing recognition of diversity’s impact on productivity and innovation in diverse team settings has led to increased attention on how organizations can leverage diversity for operational efficiency</w:t>
      </w:r>
      <w:r w:rsidR="008B5C52" w:rsidRPr="00376CC9">
        <w:t xml:space="preserve"> (Van Knippenberg and Mell, 2016; Patrício and Franco, 2022)</w:t>
      </w:r>
      <w:r w:rsidRPr="00376CC9">
        <w:t>.</w:t>
      </w:r>
    </w:p>
    <w:p w14:paraId="25F6FC70" w14:textId="1C9443A8" w:rsidR="001B5232" w:rsidRPr="00376CC9" w:rsidRDefault="001B5232" w:rsidP="001B5232">
      <w:pPr>
        <w:spacing w:before="240"/>
      </w:pPr>
      <w:r w:rsidRPr="00376CC9">
        <w:t>ALDI UK, a leading discount supermarket chain, presents an interesting case for studying the effects of diversity in a retail context. As the company continues its expansion and hiring efforts, it becomes essential to understand how different dimensions of diversity—such as demographic, cognitive, and functional diversity—affect both employee job performance and organizational outcomes</w:t>
      </w:r>
      <w:r w:rsidR="00924FD1" w:rsidRPr="00376CC9">
        <w:t xml:space="preserve"> (Shore et al., 2017)</w:t>
      </w:r>
      <w:r w:rsidRPr="00376CC9">
        <w:t>. Unlike project-based teams, which are often more flexible and dynamic, retail teams work in highly structured, standardized roles, where diversity may impact job performance in unique ways. This research aims to bridge the gap in understanding how diversity influences retail team dynamics and performance at ALDI UK.</w:t>
      </w:r>
    </w:p>
    <w:p w14:paraId="5FE1BA14" w14:textId="77777777" w:rsidR="001B5232" w:rsidRPr="00376CC9" w:rsidRDefault="001B5232" w:rsidP="001B5232">
      <w:pPr>
        <w:spacing w:before="240"/>
      </w:pPr>
    </w:p>
    <w:p w14:paraId="0F3F1295" w14:textId="77777777" w:rsidR="001B5232" w:rsidRPr="00376CC9" w:rsidRDefault="001B5232" w:rsidP="001B5232">
      <w:pPr>
        <w:pStyle w:val="Heading2"/>
        <w:spacing w:before="240"/>
      </w:pPr>
      <w:bookmarkStart w:id="2" w:name="_Toc218684514"/>
      <w:r w:rsidRPr="00376CC9">
        <w:t>1.2 Problem Statement and Rationale</w:t>
      </w:r>
      <w:bookmarkEnd w:id="2"/>
    </w:p>
    <w:p w14:paraId="01B892F5" w14:textId="60E6CE23" w:rsidR="001B5232" w:rsidRPr="00376CC9" w:rsidRDefault="001B5232" w:rsidP="001B5232">
      <w:pPr>
        <w:spacing w:before="240"/>
      </w:pPr>
      <w:r w:rsidRPr="00376CC9">
        <w:t>Despite the growing body of research on team diversity, there remains a significant gap in understanding how diversity affects performance in standardized, operational settings like retail. Much of the existing research focuses on temporary, project-based teams, where the impact of diversity may be more pronounced due to the task-oriented nature of the work</w:t>
      </w:r>
      <w:r w:rsidR="00D242C5" w:rsidRPr="00376CC9">
        <w:t xml:space="preserve"> (Stahl and Maznevski, 2021)</w:t>
      </w:r>
      <w:r w:rsidRPr="00376CC9">
        <w:t>. However, retail operations, which involve permanent teams executing routine tasks under tight time constraints, require a different approach to diversity management.</w:t>
      </w:r>
    </w:p>
    <w:p w14:paraId="20EA76A8" w14:textId="7C5025CA" w:rsidR="001B5232" w:rsidRPr="00376CC9" w:rsidRDefault="001B5232" w:rsidP="001B5232">
      <w:pPr>
        <w:spacing w:before="240"/>
      </w:pPr>
      <w:r w:rsidRPr="00376CC9">
        <w:lastRenderedPageBreak/>
        <w:t>At ALDI UK, limited data is available on the specific impact of various diversity dimensions, such as cognitive and functional diversity, on employee performance. While gender diversity is often reported through publicly available data, other aspects, such as ethnic, age, and functional diversity, are either underreported or difficult to assess from secondary sources</w:t>
      </w:r>
      <w:r w:rsidR="007B79D6" w:rsidRPr="00376CC9">
        <w:t xml:space="preserve"> (Guillaume et al., 2017)</w:t>
      </w:r>
      <w:r w:rsidRPr="00376CC9">
        <w:t>. This study seeks to fill this gap by examining the relationship between diversity and performance in a retail environment, using ALDI UK as a case study. By doing so, the research will provide valuable insights into how diversity in a retail workforce impacts both employee outcomes and organizational success.</w:t>
      </w:r>
    </w:p>
    <w:p w14:paraId="16265BA9" w14:textId="77777777" w:rsidR="001B5232" w:rsidRPr="00376CC9" w:rsidRDefault="001B5232" w:rsidP="001B5232">
      <w:pPr>
        <w:spacing w:before="240"/>
      </w:pPr>
    </w:p>
    <w:p w14:paraId="5DD6C09B" w14:textId="77777777" w:rsidR="001B5232" w:rsidRPr="00376CC9" w:rsidRDefault="001B5232" w:rsidP="001B5232">
      <w:pPr>
        <w:pStyle w:val="Heading2"/>
        <w:spacing w:before="240"/>
      </w:pPr>
      <w:bookmarkStart w:id="3" w:name="_Toc218684515"/>
      <w:r w:rsidRPr="00376CC9">
        <w:t>1.3 Research Aim, Objectives, and Questions</w:t>
      </w:r>
      <w:bookmarkEnd w:id="3"/>
    </w:p>
    <w:p w14:paraId="12A7E649" w14:textId="77777777" w:rsidR="001B5232" w:rsidRPr="00376CC9" w:rsidRDefault="001B5232" w:rsidP="001B5232">
      <w:pPr>
        <w:spacing w:before="240" w:after="160"/>
        <w:rPr>
          <w:rFonts w:cs="Times New Roman"/>
          <w:b/>
          <w:bCs/>
        </w:rPr>
      </w:pPr>
      <w:r w:rsidRPr="00376CC9">
        <w:rPr>
          <w:rFonts w:cs="Times New Roman"/>
          <w:b/>
          <w:bCs/>
        </w:rPr>
        <w:t>Research Aim:</w:t>
      </w:r>
      <w:r w:rsidRPr="00376CC9">
        <w:rPr>
          <w:rFonts w:cs="Times New Roman"/>
          <w:b/>
          <w:bCs/>
        </w:rPr>
        <w:br/>
      </w:r>
      <w:r w:rsidRPr="00376CC9">
        <w:rPr>
          <w:rFonts w:cs="Times New Roman"/>
        </w:rPr>
        <w:t>The primary aim of this research is to explore how different dimensions of team diversity at ALDI UK influence employee job performance and organizational outcomes.</w:t>
      </w:r>
    </w:p>
    <w:p w14:paraId="4E3A282E" w14:textId="77777777" w:rsidR="001B5232" w:rsidRPr="00376CC9" w:rsidRDefault="001B5232" w:rsidP="001B5232">
      <w:pPr>
        <w:spacing w:before="240" w:after="160"/>
        <w:rPr>
          <w:rFonts w:cs="Times New Roman"/>
          <w:b/>
          <w:bCs/>
        </w:rPr>
      </w:pPr>
      <w:r w:rsidRPr="00376CC9">
        <w:rPr>
          <w:rFonts w:cs="Times New Roman"/>
          <w:b/>
          <w:bCs/>
        </w:rPr>
        <w:t>Research Objectives:</w:t>
      </w:r>
    </w:p>
    <w:p w14:paraId="28244641" w14:textId="77777777" w:rsidR="001B5232" w:rsidRPr="00376CC9" w:rsidRDefault="001B5232" w:rsidP="001B5232">
      <w:pPr>
        <w:numPr>
          <w:ilvl w:val="0"/>
          <w:numId w:val="17"/>
        </w:numPr>
        <w:spacing w:before="240" w:after="160"/>
        <w:rPr>
          <w:rFonts w:cs="Times New Roman"/>
        </w:rPr>
      </w:pPr>
      <w:r w:rsidRPr="00376CC9">
        <w:rPr>
          <w:rFonts w:cs="Times New Roman"/>
        </w:rPr>
        <w:t>To examine the impact of gender, cognitive, and functional diversity on employee job performance at ALDI UK.</w:t>
      </w:r>
    </w:p>
    <w:p w14:paraId="12A7E16A" w14:textId="77777777" w:rsidR="001B5232" w:rsidRPr="00376CC9" w:rsidRDefault="001B5232" w:rsidP="001B5232">
      <w:pPr>
        <w:numPr>
          <w:ilvl w:val="0"/>
          <w:numId w:val="17"/>
        </w:numPr>
        <w:spacing w:before="240" w:after="160"/>
        <w:rPr>
          <w:rFonts w:cs="Times New Roman"/>
        </w:rPr>
      </w:pPr>
      <w:r w:rsidRPr="00376CC9">
        <w:rPr>
          <w:rFonts w:cs="Times New Roman"/>
        </w:rPr>
        <w:t>To investigate the mediating and moderating mechanisms that link diversity to performance outcomes, such as trust, communication quality, and organizational climate.</w:t>
      </w:r>
    </w:p>
    <w:p w14:paraId="4D7F6305" w14:textId="77777777" w:rsidR="001B5232" w:rsidRPr="00376CC9" w:rsidRDefault="001B5232" w:rsidP="001B5232">
      <w:pPr>
        <w:numPr>
          <w:ilvl w:val="0"/>
          <w:numId w:val="17"/>
        </w:numPr>
        <w:spacing w:before="240" w:after="160"/>
        <w:rPr>
          <w:rFonts w:cs="Times New Roman"/>
        </w:rPr>
      </w:pPr>
      <w:r w:rsidRPr="00376CC9">
        <w:rPr>
          <w:rFonts w:cs="Times New Roman"/>
        </w:rPr>
        <w:t>To compare ALDI UK’s diversity practices and performance metrics with the wider UK retail sector to identify sector-specific patterns.</w:t>
      </w:r>
    </w:p>
    <w:p w14:paraId="2B06838B" w14:textId="77777777" w:rsidR="001B5232" w:rsidRPr="00376CC9" w:rsidRDefault="001B5232" w:rsidP="001B5232">
      <w:pPr>
        <w:numPr>
          <w:ilvl w:val="0"/>
          <w:numId w:val="17"/>
        </w:numPr>
        <w:spacing w:before="240" w:after="160"/>
        <w:rPr>
          <w:rFonts w:cs="Times New Roman"/>
        </w:rPr>
      </w:pPr>
      <w:r w:rsidRPr="00376CC9">
        <w:rPr>
          <w:rFonts w:cs="Times New Roman"/>
        </w:rPr>
        <w:t>To highlight the limitations in ALDI’s diversity data and propose strategies for improving diversity measurement and reporting.</w:t>
      </w:r>
    </w:p>
    <w:p w14:paraId="33F14556" w14:textId="77777777" w:rsidR="001B5232" w:rsidRPr="00376CC9" w:rsidRDefault="001B5232" w:rsidP="001B5232">
      <w:pPr>
        <w:spacing w:before="240" w:after="160"/>
        <w:rPr>
          <w:rFonts w:cs="Times New Roman"/>
          <w:b/>
          <w:bCs/>
        </w:rPr>
      </w:pPr>
      <w:r w:rsidRPr="00376CC9">
        <w:rPr>
          <w:rFonts w:cs="Times New Roman"/>
          <w:b/>
          <w:bCs/>
        </w:rPr>
        <w:t>Research Questions:</w:t>
      </w:r>
    </w:p>
    <w:p w14:paraId="49FDC5EA" w14:textId="77777777" w:rsidR="001B5232" w:rsidRPr="00376CC9" w:rsidRDefault="001B5232" w:rsidP="001B5232">
      <w:pPr>
        <w:numPr>
          <w:ilvl w:val="0"/>
          <w:numId w:val="18"/>
        </w:numPr>
        <w:spacing w:before="240" w:after="160"/>
        <w:rPr>
          <w:rFonts w:cs="Times New Roman"/>
        </w:rPr>
      </w:pPr>
      <w:r w:rsidRPr="00376CC9">
        <w:rPr>
          <w:rFonts w:cs="Times New Roman"/>
        </w:rPr>
        <w:t>How do different dimensions of team diversity (gender, cognitive, and functional) affect employee job performance at ALDI UK?</w:t>
      </w:r>
    </w:p>
    <w:p w14:paraId="279E7B66" w14:textId="77777777" w:rsidR="001B5232" w:rsidRPr="00376CC9" w:rsidRDefault="001B5232" w:rsidP="001B5232">
      <w:pPr>
        <w:numPr>
          <w:ilvl w:val="0"/>
          <w:numId w:val="18"/>
        </w:numPr>
        <w:spacing w:before="240" w:after="160"/>
        <w:rPr>
          <w:rFonts w:cs="Times New Roman"/>
        </w:rPr>
      </w:pPr>
      <w:r w:rsidRPr="00376CC9">
        <w:rPr>
          <w:rFonts w:cs="Times New Roman"/>
        </w:rPr>
        <w:lastRenderedPageBreak/>
        <w:t>What are the mediating factors (e.g., trust, communication quality) that influence the relationship between diversity and employee performance?</w:t>
      </w:r>
    </w:p>
    <w:p w14:paraId="05F0C649" w14:textId="77777777" w:rsidR="001B5232" w:rsidRPr="00376CC9" w:rsidRDefault="001B5232" w:rsidP="001B5232">
      <w:pPr>
        <w:numPr>
          <w:ilvl w:val="0"/>
          <w:numId w:val="18"/>
        </w:numPr>
        <w:spacing w:before="240" w:after="160"/>
        <w:rPr>
          <w:rFonts w:cs="Times New Roman"/>
        </w:rPr>
      </w:pPr>
      <w:r w:rsidRPr="00376CC9">
        <w:rPr>
          <w:rFonts w:cs="Times New Roman"/>
        </w:rPr>
        <w:t>How do ALDI UK’s diversity practices and performance metrics compare with those of other UK retailers?</w:t>
      </w:r>
    </w:p>
    <w:p w14:paraId="00F383EA" w14:textId="77777777" w:rsidR="001B5232" w:rsidRPr="00376CC9" w:rsidRDefault="001B5232" w:rsidP="001B5232">
      <w:pPr>
        <w:numPr>
          <w:ilvl w:val="0"/>
          <w:numId w:val="18"/>
        </w:numPr>
        <w:spacing w:before="240" w:after="160"/>
        <w:rPr>
          <w:rFonts w:cs="Times New Roman"/>
        </w:rPr>
      </w:pPr>
      <w:r w:rsidRPr="00376CC9">
        <w:rPr>
          <w:rFonts w:cs="Times New Roman"/>
        </w:rPr>
        <w:t>What are the limitations in ALDI UK’s diversity data, and how can the company improve its diversity reporting and measurement?</w:t>
      </w:r>
    </w:p>
    <w:p w14:paraId="342B759E" w14:textId="77777777" w:rsidR="001B5232" w:rsidRPr="00376CC9" w:rsidRDefault="001B5232" w:rsidP="001B5232">
      <w:pPr>
        <w:spacing w:before="240" w:after="160"/>
        <w:rPr>
          <w:rFonts w:cs="Times New Roman"/>
          <w:b/>
          <w:bCs/>
        </w:rPr>
      </w:pPr>
    </w:p>
    <w:p w14:paraId="19184DA0" w14:textId="77777777" w:rsidR="001B5232" w:rsidRPr="00376CC9" w:rsidRDefault="001B5232" w:rsidP="001B5232">
      <w:pPr>
        <w:pStyle w:val="Heading2"/>
        <w:spacing w:before="240"/>
      </w:pPr>
      <w:bookmarkStart w:id="4" w:name="_Toc218684516"/>
      <w:r w:rsidRPr="00376CC9">
        <w:t>1.4 Scope, Key Concepts, and Definitions</w:t>
      </w:r>
      <w:bookmarkEnd w:id="4"/>
    </w:p>
    <w:p w14:paraId="5466ADA5" w14:textId="77777777" w:rsidR="001B5232" w:rsidRPr="00376CC9" w:rsidRDefault="001B5232" w:rsidP="001B5232">
      <w:pPr>
        <w:spacing w:before="240" w:after="160"/>
        <w:rPr>
          <w:rFonts w:cs="Times New Roman"/>
        </w:rPr>
      </w:pPr>
      <w:r w:rsidRPr="00376CC9">
        <w:rPr>
          <w:rFonts w:cs="Times New Roman"/>
        </w:rPr>
        <w:t>This study focuses on ALDI UK and its workforce, examining secondary data from corporate reports and publicly available documents related to diversity and performance metrics from 2018 to 2024. The key concepts and definitions central to this research include:</w:t>
      </w:r>
    </w:p>
    <w:p w14:paraId="022072F7" w14:textId="77777777" w:rsidR="001B5232" w:rsidRPr="00376CC9" w:rsidRDefault="001B5232" w:rsidP="001B5232">
      <w:pPr>
        <w:numPr>
          <w:ilvl w:val="0"/>
          <w:numId w:val="19"/>
        </w:numPr>
        <w:spacing w:before="240" w:after="160"/>
        <w:rPr>
          <w:rFonts w:cs="Times New Roman"/>
          <w:b/>
          <w:bCs/>
        </w:rPr>
      </w:pPr>
      <w:r w:rsidRPr="00376CC9">
        <w:rPr>
          <w:rFonts w:cs="Times New Roman"/>
          <w:b/>
          <w:bCs/>
        </w:rPr>
        <w:t xml:space="preserve">Team Diversity: </w:t>
      </w:r>
      <w:r w:rsidRPr="00376CC9">
        <w:rPr>
          <w:rFonts w:cs="Times New Roman"/>
        </w:rPr>
        <w:t>The presence of differences among team members in terms of demographic characteristics (e.g., gender, ethnicity, age) and cognitive or functional attributes (e.g., problem-solving styles, professional expertise).</w:t>
      </w:r>
    </w:p>
    <w:p w14:paraId="31E72B9F" w14:textId="77777777" w:rsidR="001B5232" w:rsidRPr="00376CC9" w:rsidRDefault="001B5232" w:rsidP="001B5232">
      <w:pPr>
        <w:numPr>
          <w:ilvl w:val="0"/>
          <w:numId w:val="19"/>
        </w:numPr>
        <w:spacing w:before="240" w:after="160"/>
        <w:rPr>
          <w:rFonts w:cs="Times New Roman"/>
        </w:rPr>
      </w:pPr>
      <w:r w:rsidRPr="00376CC9">
        <w:rPr>
          <w:rFonts w:cs="Times New Roman"/>
          <w:b/>
          <w:bCs/>
        </w:rPr>
        <w:t xml:space="preserve">Employee Job Performance: </w:t>
      </w:r>
      <w:r w:rsidRPr="00376CC9">
        <w:rPr>
          <w:rFonts w:cs="Times New Roman"/>
        </w:rPr>
        <w:t>A measure of how effectively employees perform their job duties, including indicators such as productivity, customer service quality, and attendance.</w:t>
      </w:r>
    </w:p>
    <w:p w14:paraId="0C814DF5" w14:textId="77777777" w:rsidR="001B5232" w:rsidRPr="00376CC9" w:rsidRDefault="001B5232" w:rsidP="001B5232">
      <w:pPr>
        <w:numPr>
          <w:ilvl w:val="0"/>
          <w:numId w:val="19"/>
        </w:numPr>
        <w:spacing w:before="240" w:after="160"/>
        <w:rPr>
          <w:rFonts w:cs="Times New Roman"/>
          <w:b/>
          <w:bCs/>
        </w:rPr>
      </w:pPr>
      <w:r w:rsidRPr="00376CC9">
        <w:rPr>
          <w:rFonts w:cs="Times New Roman"/>
          <w:b/>
          <w:bCs/>
        </w:rPr>
        <w:t xml:space="preserve">Diversity Dimensions: </w:t>
      </w:r>
      <w:r w:rsidRPr="00376CC9">
        <w:rPr>
          <w:rFonts w:cs="Times New Roman"/>
        </w:rPr>
        <w:t>These refer to various types of diversity within teams, such as demographic (gender, ethnicity), cognitive (thinking styles, problem-solving), and functional (experience, expertise).</w:t>
      </w:r>
    </w:p>
    <w:p w14:paraId="5798564B" w14:textId="77777777" w:rsidR="001B5232" w:rsidRPr="00376CC9" w:rsidRDefault="001B5232" w:rsidP="001B5232">
      <w:pPr>
        <w:numPr>
          <w:ilvl w:val="0"/>
          <w:numId w:val="19"/>
        </w:numPr>
        <w:spacing w:before="240" w:after="160"/>
        <w:rPr>
          <w:rFonts w:cs="Times New Roman"/>
          <w:b/>
          <w:bCs/>
        </w:rPr>
      </w:pPr>
      <w:r w:rsidRPr="00376CC9">
        <w:rPr>
          <w:rFonts w:cs="Times New Roman"/>
          <w:b/>
          <w:bCs/>
        </w:rPr>
        <w:t xml:space="preserve">Secondary Data: </w:t>
      </w:r>
      <w:r w:rsidRPr="00376CC9">
        <w:rPr>
          <w:rFonts w:cs="Times New Roman"/>
        </w:rPr>
        <w:t>Data collected from publicly available sources, including ALDI’s corporate reports, Gender Pay Gap reports, and industry benchmark data, rather than direct surveys or interviews with employees.</w:t>
      </w:r>
    </w:p>
    <w:p w14:paraId="3794B879" w14:textId="77777777" w:rsidR="001B5232" w:rsidRPr="00376CC9" w:rsidRDefault="001B5232" w:rsidP="001B5232">
      <w:pPr>
        <w:spacing w:before="240" w:after="160"/>
        <w:rPr>
          <w:rFonts w:cs="Times New Roman"/>
          <w:b/>
          <w:bCs/>
        </w:rPr>
      </w:pPr>
    </w:p>
    <w:p w14:paraId="0A334E1F" w14:textId="77777777" w:rsidR="001B5232" w:rsidRPr="00376CC9" w:rsidRDefault="001B5232" w:rsidP="001B5232">
      <w:pPr>
        <w:pStyle w:val="Heading2"/>
        <w:spacing w:before="240"/>
      </w:pPr>
      <w:bookmarkStart w:id="5" w:name="_Toc218684517"/>
      <w:r w:rsidRPr="00376CC9">
        <w:lastRenderedPageBreak/>
        <w:t>1.5 Overview of Research Design</w:t>
      </w:r>
      <w:bookmarkEnd w:id="5"/>
    </w:p>
    <w:p w14:paraId="6D48AAB0" w14:textId="77777777" w:rsidR="001B5232" w:rsidRPr="00376CC9" w:rsidRDefault="001B5232" w:rsidP="001B5232">
      <w:pPr>
        <w:spacing w:before="240"/>
      </w:pPr>
      <w:r w:rsidRPr="00376CC9">
        <w:t>This research adopts a case study design focusing on ALDI UK, utilizing secondary data from publicly available corporate reports, industry reports, and academic literature. Given the challenges of obtaining primary data and the limitations of secondary data, this research aims to provide descriptive and trend-based insights into the diversity-performance relationship in retail operations. The study will use qualitative content analysis to evaluate the secondary data and identify key patterns in diversity metrics and performance outcomes.</w:t>
      </w:r>
    </w:p>
    <w:p w14:paraId="17C92152" w14:textId="77777777" w:rsidR="001B5232" w:rsidRPr="00376CC9" w:rsidRDefault="001B5232" w:rsidP="001B5232">
      <w:pPr>
        <w:spacing w:before="240"/>
      </w:pPr>
      <w:r w:rsidRPr="00376CC9">
        <w:t>The research will also involve comparative analysis of ALDI UK’s diversity and performance data against sector benchmarks from other UK retailers, offering a broader context for interpreting ALDI’s practices and outcomes. The design is chosen for its practicality and suitability in examining existing data within the constraints of time and resources.</w:t>
      </w:r>
    </w:p>
    <w:p w14:paraId="6C5CF58C" w14:textId="77777777" w:rsidR="001B5232" w:rsidRPr="00376CC9" w:rsidRDefault="001B5232" w:rsidP="001B5232">
      <w:pPr>
        <w:spacing w:before="240"/>
      </w:pPr>
    </w:p>
    <w:p w14:paraId="1A0FF22D" w14:textId="77777777" w:rsidR="001B5232" w:rsidRPr="00376CC9" w:rsidRDefault="001B5232" w:rsidP="001B5232">
      <w:pPr>
        <w:pStyle w:val="Heading2"/>
        <w:spacing w:before="240"/>
      </w:pPr>
      <w:bookmarkStart w:id="6" w:name="_Toc218684518"/>
      <w:r w:rsidRPr="00376CC9">
        <w:t>1.6 Structure of the Dissertation</w:t>
      </w:r>
      <w:bookmarkEnd w:id="6"/>
    </w:p>
    <w:p w14:paraId="70CA6257" w14:textId="77777777" w:rsidR="001B5232" w:rsidRPr="00376CC9" w:rsidRDefault="001B5232" w:rsidP="001B5232">
      <w:pPr>
        <w:spacing w:before="240"/>
      </w:pPr>
      <w:r w:rsidRPr="00376CC9">
        <w:t>The structure of the dissertation is as follows:</w:t>
      </w:r>
    </w:p>
    <w:p w14:paraId="7B233F73" w14:textId="23A88E11" w:rsidR="006D7526" w:rsidRPr="00376CC9" w:rsidRDefault="006D7526" w:rsidP="00B30BDD">
      <w:pPr>
        <w:spacing w:before="240"/>
      </w:pPr>
      <w:r w:rsidRPr="00376CC9">
        <w:t>Chapter 1: Introduction - This chapter is presented with an overview of the background, the problem statement, the research objectives, the scope of the research, and the research structure.</w:t>
      </w:r>
    </w:p>
    <w:p w14:paraId="1F2B9413" w14:textId="77777777" w:rsidR="001B5232" w:rsidRPr="00376CC9" w:rsidRDefault="001B5232" w:rsidP="00B30BDD">
      <w:pPr>
        <w:spacing w:before="240"/>
      </w:pPr>
      <w:r w:rsidRPr="00376CC9">
        <w:t>Chapter 2: Literature Review – A comprehensive review of the existing literature on team diversity, its dimensions, and its impact on organizational performance, particularly in retail settings.</w:t>
      </w:r>
    </w:p>
    <w:p w14:paraId="65DC691A" w14:textId="77777777" w:rsidR="001B5232" w:rsidRPr="00376CC9" w:rsidRDefault="001B5232" w:rsidP="00B30BDD">
      <w:pPr>
        <w:spacing w:before="240"/>
      </w:pPr>
      <w:r w:rsidRPr="00376CC9">
        <w:t>Chapter 3: Research Methodology – A detailed explanation of the research design, data sources, and methods of data analysis, with a focus on secondary data collection and analysis techniques.</w:t>
      </w:r>
    </w:p>
    <w:p w14:paraId="53B9003B" w14:textId="77777777" w:rsidR="001B5232" w:rsidRPr="00376CC9" w:rsidRDefault="001B5232" w:rsidP="00B30BDD">
      <w:pPr>
        <w:spacing w:before="240"/>
      </w:pPr>
      <w:r w:rsidRPr="00376CC9">
        <w:t>Chapter 4: Findings and Analysis – Presentation of the findings based on the analysis of secondary data from ALDI UK and other UK retail sector benchmarks, with an emphasis on the diversity-performance relationship.</w:t>
      </w:r>
    </w:p>
    <w:p w14:paraId="7B4AC5F3" w14:textId="77777777" w:rsidR="001B5232" w:rsidRPr="00376CC9" w:rsidRDefault="001B5232" w:rsidP="00B30BDD">
      <w:pPr>
        <w:spacing w:before="240"/>
      </w:pPr>
      <w:r w:rsidRPr="00376CC9">
        <w:lastRenderedPageBreak/>
        <w:t>Chapter 5: Conclusion and Recommendations – A summary of the key findings, conclusions drawn from the analysis, and recommendations for ALDI UK and the broader retail sector on improving diversity management practices.</w:t>
      </w:r>
    </w:p>
    <w:p w14:paraId="20EEE2A8" w14:textId="1AB631B3" w:rsidR="004A31ED" w:rsidRPr="00376CC9" w:rsidRDefault="004A31ED" w:rsidP="001B5232">
      <w:pPr>
        <w:spacing w:before="240" w:after="160"/>
        <w:rPr>
          <w:rFonts w:cs="Times New Roman"/>
          <w:b/>
          <w:bCs/>
        </w:rPr>
      </w:pPr>
      <w:r w:rsidRPr="00376CC9">
        <w:rPr>
          <w:rFonts w:cs="Times New Roman"/>
          <w:b/>
          <w:bCs/>
        </w:rPr>
        <w:br w:type="page"/>
      </w:r>
    </w:p>
    <w:p w14:paraId="66C56848" w14:textId="3AA57C5F" w:rsidR="004A31ED" w:rsidRPr="00376CC9" w:rsidRDefault="0070400A" w:rsidP="001B5232">
      <w:pPr>
        <w:pStyle w:val="Heading1"/>
        <w:spacing w:before="240"/>
        <w:rPr>
          <w:rFonts w:cs="Times New Roman"/>
        </w:rPr>
      </w:pPr>
      <w:bookmarkStart w:id="7" w:name="_Toc218684519"/>
      <w:r w:rsidRPr="00376CC9">
        <w:rPr>
          <w:rFonts w:cs="Times New Roman"/>
        </w:rPr>
        <w:lastRenderedPageBreak/>
        <w:t xml:space="preserve">Chapter 2: </w:t>
      </w:r>
      <w:r w:rsidR="004A31ED" w:rsidRPr="00376CC9">
        <w:rPr>
          <w:rFonts w:cs="Times New Roman"/>
        </w:rPr>
        <w:t>Literature Review</w:t>
      </w:r>
      <w:bookmarkEnd w:id="7"/>
    </w:p>
    <w:p w14:paraId="5DC1AD37" w14:textId="487C61EC" w:rsidR="00166B03" w:rsidRPr="00376CC9" w:rsidRDefault="00166B03" w:rsidP="00D41D57">
      <w:pPr>
        <w:pStyle w:val="Heading2"/>
      </w:pPr>
      <w:bookmarkStart w:id="8" w:name="_Toc218684520"/>
      <w:r w:rsidRPr="00376CC9">
        <w:t>Introduction</w:t>
      </w:r>
      <w:bookmarkEnd w:id="8"/>
    </w:p>
    <w:p w14:paraId="6A1F063F" w14:textId="4942A24F" w:rsidR="00166B03" w:rsidRPr="00376CC9" w:rsidRDefault="00C137C5" w:rsidP="001B5232">
      <w:pPr>
        <w:spacing w:before="240"/>
        <w:rPr>
          <w:rFonts w:cs="Times New Roman"/>
        </w:rPr>
      </w:pPr>
      <w:r w:rsidRPr="00376CC9">
        <w:rPr>
          <w:rFonts w:cs="Times New Roman"/>
        </w:rPr>
        <w:t xml:space="preserve">Team diversity and project success has proven to be one of the most essential fields of research within organizational studies, especially due to the growing trend of globalization and changes in demographics, thereby resulting in increased diversity of the workforce (Van Knippenberg and Mell, 2016). In today’s UK consumer service organizations, customer interaction and project success become of utmost importance, thereby requiring a deep comprehension of how diverse teams can potentially impact project success (Shore et al., 2017). </w:t>
      </w:r>
      <w:r w:rsidR="00DE34DC" w:rsidRPr="00376CC9">
        <w:rPr>
          <w:rFonts w:cs="Times New Roman"/>
        </w:rPr>
        <w:t>One important difference that concerns us in respect of team diversity is that between projects, where temporary task-oriented teams assemble to work on projects, and everyday retail operations, where permanent teams execute repetitive service tasks in predefined hierarchy structures. This literature review explores team diversity, theoretical foundations for it, its processes, implications for performance, with a focus on the differences between such contexts as relevant to the consumer service sector (Patrício &amp; Franco, 2022).</w:t>
      </w:r>
    </w:p>
    <w:p w14:paraId="21CFD998" w14:textId="77777777" w:rsidR="00166B03" w:rsidRPr="00376CC9" w:rsidRDefault="00166B03" w:rsidP="001B5232">
      <w:pPr>
        <w:spacing w:before="240"/>
        <w:rPr>
          <w:rFonts w:cs="Times New Roman"/>
          <w:b/>
          <w:bCs/>
        </w:rPr>
      </w:pPr>
    </w:p>
    <w:p w14:paraId="433F94F9" w14:textId="3DDB7130" w:rsidR="00166B03" w:rsidRPr="00376CC9" w:rsidRDefault="00166B03" w:rsidP="00D41D57">
      <w:pPr>
        <w:pStyle w:val="Heading2"/>
      </w:pPr>
      <w:bookmarkStart w:id="9" w:name="_Toc218684521"/>
      <w:r w:rsidRPr="00376CC9">
        <w:t>Theoretical Foundations of Team Diversity and Performance</w:t>
      </w:r>
      <w:bookmarkEnd w:id="9"/>
    </w:p>
    <w:p w14:paraId="778E0AC2" w14:textId="3DC1B230" w:rsidR="006D00E4" w:rsidRPr="00376CC9" w:rsidRDefault="00C137C5" w:rsidP="001B5232">
      <w:pPr>
        <w:spacing w:before="240"/>
        <w:rPr>
          <w:rFonts w:cs="Times New Roman"/>
        </w:rPr>
      </w:pPr>
      <w:r w:rsidRPr="00376CC9">
        <w:rPr>
          <w:rFonts w:cs="Times New Roman"/>
        </w:rPr>
        <w:t xml:space="preserve">Team diversity conceptualizations have advanced significantly, shifting away from mere demographics and incorporating other dimensions of differences that exist within a team (Patrício </w:t>
      </w:r>
      <w:r w:rsidR="00FC01D2" w:rsidRPr="00376CC9">
        <w:rPr>
          <w:rFonts w:cs="Times New Roman"/>
        </w:rPr>
        <w:t>and</w:t>
      </w:r>
      <w:r w:rsidRPr="00376CC9">
        <w:rPr>
          <w:rFonts w:cs="Times New Roman"/>
        </w:rPr>
        <w:t xml:space="preserve"> Franco, 2022). Van Knippenberg and Mell (2016) define compositional diversity as 'the composition of characteristics within teams,' bearing on emergent diversity, 'psychological and </w:t>
      </w:r>
      <w:r w:rsidR="004A31ED" w:rsidRPr="00376CC9">
        <w:rPr>
          <w:rFonts w:cs="Times New Roman"/>
        </w:rPr>
        <w:t>behavioural</w:t>
      </w:r>
      <w:r w:rsidRPr="00376CC9">
        <w:rPr>
          <w:rFonts w:cs="Times New Roman"/>
        </w:rPr>
        <w:t xml:space="preserve"> patterns that emerge as a consequence of interactions within teams.' It is essential that one appreciates this differentiation, as it helps explain why and how diversity has implications and consequences, and that its influence is contingent, as asserted by Ali et al., (2022).</w:t>
      </w:r>
    </w:p>
    <w:p w14:paraId="6AD23FA5" w14:textId="4ADD9FD9" w:rsidR="006D00E4" w:rsidRPr="00376CC9" w:rsidRDefault="00C137C5" w:rsidP="001B5232">
      <w:pPr>
        <w:spacing w:before="240"/>
        <w:rPr>
          <w:rFonts w:cs="Times New Roman"/>
        </w:rPr>
      </w:pPr>
      <w:r w:rsidRPr="00376CC9">
        <w:rPr>
          <w:rFonts w:cs="Times New Roman"/>
        </w:rPr>
        <w:t xml:space="preserve">Recent meta-analytical studies have attempted to harmonize these divergent findings and shed light on why diversity research has been characterized by inconsistencies. Wallrich et al. (2024) recently performed a meta-analytic study of 615 articles and reported on why, despite theoretical arguments that highlight its value, research has yielded mixed results on the relationship between diversity and performance (Wallrich et al., 2024). </w:t>
      </w:r>
      <w:r w:rsidR="00557BA7" w:rsidRPr="00376CC9">
        <w:rPr>
          <w:rFonts w:cs="Times New Roman"/>
        </w:rPr>
        <w:t xml:space="preserve">Based on these studies, this relationship is found </w:t>
      </w:r>
      <w:r w:rsidR="00557BA7" w:rsidRPr="00376CC9">
        <w:rPr>
          <w:rFonts w:cs="Times New Roman"/>
        </w:rPr>
        <w:lastRenderedPageBreak/>
        <w:t>to be extremely contingent, and these studies have cautioned that effects of diversity on performance can be extremely different based on diverse dimensions of diversity and dimensions of performance (Wallrich et al., 2024). The above discussions on this contingent relationship have been reinforced by studies made by Guillaume et al.</w:t>
      </w:r>
      <w:r w:rsidR="0070400A" w:rsidRPr="00376CC9">
        <w:rPr>
          <w:rFonts w:cs="Times New Roman"/>
        </w:rPr>
        <w:t xml:space="preserve"> 2017</w:t>
      </w:r>
      <w:r w:rsidR="00557BA7" w:rsidRPr="00376CC9">
        <w:rPr>
          <w:rFonts w:cs="Times New Roman"/>
        </w:rPr>
        <w:t>, stating that it is more valuable and meaningful to explore what is influencing studies on effects of diversity on workplaces rather than whether research on diversity is helpful or harmful (Guillaume et al., 2017).</w:t>
      </w:r>
    </w:p>
    <w:p w14:paraId="29A372DA" w14:textId="579AE4AE" w:rsidR="000D7D27" w:rsidRPr="00376CC9" w:rsidRDefault="003464E1" w:rsidP="001B5232">
      <w:pPr>
        <w:spacing w:before="240"/>
        <w:rPr>
          <w:rFonts w:cs="Times New Roman"/>
        </w:rPr>
      </w:pPr>
      <w:r w:rsidRPr="00376CC9">
        <w:rPr>
          <w:rFonts w:cs="Times New Roman"/>
        </w:rPr>
        <w:t>Among the most relevant theoretical concepts that can be applied on project teams relating to issues of diversity and project outcome is that of cognitive diversity. According to Jones et al. (2020), a diverse range of backgrounds and views is more likely to develop means of brainstorming ways of addressing problems creatively and surmounting any obstacles that may be met. However, this may not always be possible, depending on project teams’ ability to integrate these differing views as proposed by Bodla et al. (2018). There may be a negative impact of social categorizations on project outcomes, based on the information processing hypothesis. Indeed, as proposed by Guillaume et al. (2017), diverse project teams may be able to process project information more effectively, and this may often translate into more optimal decision-making.</w:t>
      </w:r>
    </w:p>
    <w:p w14:paraId="5E436494" w14:textId="77777777" w:rsidR="009175E8" w:rsidRPr="00376CC9" w:rsidRDefault="009175E8" w:rsidP="001B5232">
      <w:pPr>
        <w:spacing w:before="240"/>
        <w:rPr>
          <w:rFonts w:cs="Times New Roman"/>
        </w:rPr>
      </w:pPr>
    </w:p>
    <w:p w14:paraId="713EEB6F" w14:textId="4A7A5108" w:rsidR="009175E8" w:rsidRPr="00376CC9" w:rsidRDefault="009175E8" w:rsidP="00D41D57">
      <w:pPr>
        <w:pStyle w:val="Heading2"/>
      </w:pPr>
      <w:bookmarkStart w:id="10" w:name="_Toc218684522"/>
      <w:r w:rsidRPr="00376CC9">
        <w:t>Application of Diversity Theory with Respect to the Retail Operating Environment</w:t>
      </w:r>
      <w:bookmarkEnd w:id="10"/>
    </w:p>
    <w:p w14:paraId="15DAFBC3" w14:textId="057D11EE" w:rsidR="009175E8" w:rsidRPr="00376CC9" w:rsidRDefault="009175E8" w:rsidP="001B5232">
      <w:pPr>
        <w:spacing w:before="240"/>
        <w:rPr>
          <w:rFonts w:cs="Times New Roman"/>
        </w:rPr>
      </w:pPr>
      <w:r w:rsidRPr="00376CC9">
        <w:rPr>
          <w:rFonts w:cs="Times New Roman"/>
        </w:rPr>
        <w:t>A critical analysis of the theoretical processes by which diversity affects performance is also important. Cognitive diversity theory suggests that diverse people enhance their ability to tackle complex tasks through their diverse backgrounds and perspectives (Jones et al., 2020). Although, as proposed by Bodla et al. (2018), the positive outcomes that could be achieved through diversity can only be reaped by teams with effective integration capacities. In retail operations, where tasks are mostly standardized and tackled under time constraints, the positive outcomes of cognitive diversity in project-based work could be differently noticeable. Guillaume et al. (2017) proposed that information processing of diverse workgroups is more effective, often anticipating ultimate decisions. However, information processing tasks in retail operations could be significantly different from tasks in projects, with more emphasis on prompt customer services.</w:t>
      </w:r>
    </w:p>
    <w:p w14:paraId="0990FBE4" w14:textId="0CF913D4" w:rsidR="009175E8" w:rsidRPr="00376CC9" w:rsidRDefault="009175E8" w:rsidP="001B5232">
      <w:pPr>
        <w:spacing w:before="240"/>
        <w:rPr>
          <w:rFonts w:cs="Times New Roman"/>
        </w:rPr>
      </w:pPr>
      <w:r w:rsidRPr="00376CC9">
        <w:rPr>
          <w:rFonts w:cs="Times New Roman"/>
        </w:rPr>
        <w:lastRenderedPageBreak/>
        <w:t>This theoretical framework identifies various crucial processes that would help shape the analysis of this study: trust as a mediator of diversity and performance (Mata et al., 2021), the role of absorptive capacity in integrating diverse knowledge (Bodla et al., 2018), the moderating influence of communication quality (Valls et al., 2016), or inclusive climate as a boundary condition for beneficial outcomes of diversity (Shore et al., 2017). It is important to fill the significant theoretical gap that remains with respect to understanding the application of these theoretical processes in a retail operation context as opposed to a project-based context.</w:t>
      </w:r>
    </w:p>
    <w:p w14:paraId="52ECD476" w14:textId="7E79D5DB" w:rsidR="00E75B38" w:rsidRPr="00376CC9" w:rsidRDefault="00E75B38" w:rsidP="001B5232">
      <w:pPr>
        <w:spacing w:before="240"/>
        <w:rPr>
          <w:rFonts w:cs="Times New Roman"/>
        </w:rPr>
      </w:pPr>
    </w:p>
    <w:p w14:paraId="629F9DF0" w14:textId="2749CAD7" w:rsidR="00E75B38" w:rsidRPr="00376CC9" w:rsidRDefault="00E75B38" w:rsidP="00D41D57">
      <w:pPr>
        <w:pStyle w:val="Heading2"/>
      </w:pPr>
      <w:bookmarkStart w:id="11" w:name="_Toc218684523"/>
      <w:r w:rsidRPr="00376CC9">
        <w:t>Determinants of Team Effectiveness</w:t>
      </w:r>
      <w:bookmarkEnd w:id="11"/>
    </w:p>
    <w:p w14:paraId="7F5273B5" w14:textId="34C667C2" w:rsidR="009175E8" w:rsidRPr="00376CC9" w:rsidRDefault="003464E1" w:rsidP="001B5232">
      <w:pPr>
        <w:spacing w:before="240"/>
        <w:rPr>
          <w:rFonts w:cs="Times New Roman"/>
        </w:rPr>
      </w:pPr>
      <w:r w:rsidRPr="00376CC9">
        <w:rPr>
          <w:rFonts w:cs="Times New Roman"/>
        </w:rPr>
        <w:t xml:space="preserve">Being aware of the complexity of diversity within teams is necessary for project estimates as proposed by Naqvi et al. (2013). There are four most basic ways through which people can be different from each other, and these include gender, age, </w:t>
      </w:r>
      <w:r w:rsidR="00FE40B4" w:rsidRPr="00376CC9">
        <w:rPr>
          <w:rFonts w:cs="Times New Roman"/>
        </w:rPr>
        <w:t>colour</w:t>
      </w:r>
      <w:r w:rsidRPr="00376CC9">
        <w:rPr>
          <w:rFonts w:cs="Times New Roman"/>
        </w:rPr>
        <w:t xml:space="preserve">, and nationality. One of the ways through which this differentiation has been explained is "demographic diversity" as proposed by Neqvi et al. (2013). Results of studies that have focused on gender diversity disparity have proven varied as there are studies that have indicated that project teams can be very valuable </w:t>
      </w:r>
      <w:proofErr w:type="gramStart"/>
      <w:r w:rsidRPr="00376CC9">
        <w:rPr>
          <w:rFonts w:cs="Times New Roman"/>
        </w:rPr>
        <w:t>provided that</w:t>
      </w:r>
      <w:proofErr w:type="gramEnd"/>
      <w:r w:rsidRPr="00376CC9">
        <w:rPr>
          <w:rFonts w:cs="Times New Roman"/>
        </w:rPr>
        <w:t xml:space="preserve"> there is a supportive culture within an organizational framework that is open to diversity, as observed by Pinto et al. (2018). </w:t>
      </w:r>
      <w:proofErr w:type="gramStart"/>
      <w:r w:rsidR="004A31ED" w:rsidRPr="00376CC9">
        <w:rPr>
          <w:rFonts w:cs="Times New Roman"/>
        </w:rPr>
        <w:t>In regard to</w:t>
      </w:r>
      <w:proofErr w:type="gramEnd"/>
      <w:r w:rsidR="00C137C5" w:rsidRPr="00376CC9">
        <w:rPr>
          <w:rFonts w:cs="Times New Roman"/>
        </w:rPr>
        <w:t xml:space="preserve"> gender bias and selection of project managers, as illustrated by research completed by Pinto et al., (2018), biases can negate potential gains from having diverse leaders on projects.</w:t>
      </w:r>
    </w:p>
    <w:p w14:paraId="31556AD5" w14:textId="77777777" w:rsidR="009175E8" w:rsidRPr="00376CC9" w:rsidRDefault="009175E8" w:rsidP="001B5232">
      <w:pPr>
        <w:spacing w:before="240"/>
        <w:rPr>
          <w:rFonts w:cs="Times New Roman"/>
        </w:rPr>
      </w:pPr>
      <w:r w:rsidRPr="00376CC9">
        <w:rPr>
          <w:rFonts w:cs="Times New Roman"/>
        </w:rPr>
        <w:t xml:space="preserve">Critically, the issue of measuring cognitive and functional diversity is complex, especially using secondary data from organizations. Though demographics are direct candidates that can be viewed and recorded easily, cognitive diversity that involves variance in knowledge structures, problem-solving styles, or mental models is not directly measurable by corporate information or official reports filed with the regulatory bodies of an organization. Functional diversity that involves variance in work experience or special knowledge can only be indirectly detected by viewing descriptions of corporate structures. This could have major implications for research related to diversity, especially in a retail setting where direct indicators would need to be replaced by indirect indicators of diversity through various proxies. </w:t>
      </w:r>
    </w:p>
    <w:p w14:paraId="34F048DE" w14:textId="77777777" w:rsidR="009175E8" w:rsidRPr="00376CC9" w:rsidRDefault="009175E8" w:rsidP="001B5232">
      <w:pPr>
        <w:spacing w:before="240"/>
        <w:rPr>
          <w:rFonts w:cs="Times New Roman"/>
        </w:rPr>
      </w:pPr>
    </w:p>
    <w:p w14:paraId="62577543" w14:textId="5B9D6012" w:rsidR="006D00E4" w:rsidRPr="00376CC9" w:rsidRDefault="009175E8" w:rsidP="001B5232">
      <w:pPr>
        <w:spacing w:before="240"/>
        <w:rPr>
          <w:rFonts w:cs="Times New Roman"/>
        </w:rPr>
      </w:pPr>
      <w:r w:rsidRPr="00376CC9">
        <w:rPr>
          <w:rFonts w:cs="Times New Roman"/>
        </w:rPr>
        <w:lastRenderedPageBreak/>
        <w:t>Proxies for cognitive diversity include educational backgrounds, cross-functional team efforts, or training program diversity, while functional diversity is measured by role diversity and departmentalization.</w:t>
      </w:r>
    </w:p>
    <w:p w14:paraId="6F13FBAB" w14:textId="3F7B7824" w:rsidR="006D00E4" w:rsidRPr="00376CC9" w:rsidRDefault="00C137C5" w:rsidP="001B5232">
      <w:pPr>
        <w:spacing w:before="240"/>
        <w:rPr>
          <w:rFonts w:cs="Times New Roman"/>
        </w:rPr>
      </w:pPr>
      <w:r w:rsidRPr="00376CC9">
        <w:rPr>
          <w:rFonts w:cs="Times New Roman"/>
        </w:rPr>
        <w:t xml:space="preserve">Cultural diversity, especially considered within a multinational framework </w:t>
      </w:r>
      <w:r w:rsidR="004A31ED" w:rsidRPr="00376CC9">
        <w:rPr>
          <w:rFonts w:cs="Times New Roman"/>
        </w:rPr>
        <w:t>and</w:t>
      </w:r>
      <w:r w:rsidRPr="00376CC9">
        <w:rPr>
          <w:rFonts w:cs="Times New Roman"/>
        </w:rPr>
        <w:t xml:space="preserve"> as observed, in a multicultural market such as the UK, is a source of opportunities as well as threats. Stahl </w:t>
      </w:r>
      <w:r w:rsidR="00FC01D2" w:rsidRPr="00376CC9">
        <w:rPr>
          <w:rFonts w:cs="Times New Roman"/>
        </w:rPr>
        <w:t>and</w:t>
      </w:r>
      <w:r w:rsidRPr="00376CC9">
        <w:rPr>
          <w:rFonts w:cs="Times New Roman"/>
        </w:rPr>
        <w:t xml:space="preserve"> Maznevski (2021), through a retrospective study of research on multicultural work groups, have attested that culture diversity can positively impact group performances by raising innovation and diversity of perspectives, though this is contingent on efficient teamwork and supportive organizational settings. Building on this, Stephan (2022) has explored cross-cultural innovation and entrepreneurs and has attempted to demonstrate that culture diversity can </w:t>
      </w:r>
      <w:r w:rsidR="004A31ED" w:rsidRPr="00376CC9">
        <w:rPr>
          <w:rFonts w:cs="Times New Roman"/>
        </w:rPr>
        <w:t>function as</w:t>
      </w:r>
      <w:r w:rsidRPr="00376CC9">
        <w:rPr>
          <w:rFonts w:cs="Times New Roman"/>
        </w:rPr>
        <w:t xml:space="preserve"> a source of innovation provided certain organizational settings are developed that facilitate cross-cultural learning and development of integrated knowledge.</w:t>
      </w:r>
    </w:p>
    <w:p w14:paraId="32BDD16A" w14:textId="4075153A" w:rsidR="00166B03" w:rsidRPr="00376CC9" w:rsidRDefault="00C137C5" w:rsidP="001B5232">
      <w:pPr>
        <w:spacing w:before="240"/>
        <w:rPr>
          <w:rFonts w:cs="Times New Roman"/>
        </w:rPr>
      </w:pPr>
      <w:r w:rsidRPr="00376CC9">
        <w:rPr>
          <w:rFonts w:cs="Times New Roman"/>
        </w:rPr>
        <w:t>Attention should be drawn towards the other aspect of time, concerning diversity's outcome as well, as ‘time frame has a significant effect on project team dynamics’ (Bakker et al., 2013). Studies of temporary project teams indicate that ‘the value of diversity may be more pronounced during some project phases,’ and that ‘the earlier project phases could be characterized by problems of co-ordination, decreasing as teams develop a common understanding’ (Bakker et al., 2013).</w:t>
      </w:r>
    </w:p>
    <w:p w14:paraId="02212D13" w14:textId="6CAAC308" w:rsidR="00166B03" w:rsidRPr="00376CC9" w:rsidRDefault="00166B03" w:rsidP="001B5232">
      <w:pPr>
        <w:spacing w:before="240" w:after="160"/>
        <w:jc w:val="left"/>
        <w:rPr>
          <w:rFonts w:cs="Times New Roman"/>
        </w:rPr>
      </w:pPr>
    </w:p>
    <w:p w14:paraId="371790FF" w14:textId="2B6CA5CB" w:rsidR="00166B03" w:rsidRPr="00376CC9" w:rsidRDefault="00166B03" w:rsidP="00D41D57">
      <w:pPr>
        <w:pStyle w:val="Heading2"/>
      </w:pPr>
      <w:bookmarkStart w:id="12" w:name="_Toc218684524"/>
      <w:r w:rsidRPr="00376CC9">
        <w:t>Mechanisms Linking Diversity to Project Performance</w:t>
      </w:r>
      <w:bookmarkEnd w:id="12"/>
    </w:p>
    <w:p w14:paraId="6BD5A5EB" w14:textId="4972BCDA" w:rsidR="006D00E4" w:rsidRPr="00376CC9" w:rsidRDefault="00C137C5" w:rsidP="001B5232">
      <w:pPr>
        <w:spacing w:before="240"/>
        <w:rPr>
          <w:rFonts w:cs="Times New Roman"/>
        </w:rPr>
      </w:pPr>
      <w:r w:rsidRPr="00376CC9">
        <w:rPr>
          <w:rFonts w:cs="Times New Roman"/>
        </w:rPr>
        <w:t xml:space="preserve">It is assumed that for achieving positive outcomes, diversity </w:t>
      </w:r>
      <w:proofErr w:type="gramStart"/>
      <w:r w:rsidRPr="00376CC9">
        <w:rPr>
          <w:rFonts w:cs="Times New Roman"/>
        </w:rPr>
        <w:t>has to</w:t>
      </w:r>
      <w:proofErr w:type="gramEnd"/>
      <w:r w:rsidRPr="00376CC9">
        <w:rPr>
          <w:rFonts w:cs="Times New Roman"/>
        </w:rPr>
        <w:t xml:space="preserve"> overcome challenges that often exist due to heterogeneity. </w:t>
      </w:r>
      <w:r w:rsidR="00E75B38" w:rsidRPr="00376CC9">
        <w:rPr>
          <w:rFonts w:cs="Times New Roman"/>
        </w:rPr>
        <w:t>Meta-analyses conducted by Breuer et al. (2016) focused on virtual teams and led them to a conclusion that trust was of more value within these settings, especially when projects entailed more diverse teams due to issues associated with more complex coordination and communication.</w:t>
      </w:r>
    </w:p>
    <w:p w14:paraId="1F9D97FC" w14:textId="77777777" w:rsidR="006D00E4" w:rsidRPr="00376CC9" w:rsidRDefault="000D7D27" w:rsidP="001B5232">
      <w:pPr>
        <w:spacing w:before="240"/>
        <w:rPr>
          <w:rFonts w:cs="Times New Roman"/>
        </w:rPr>
      </w:pPr>
      <w:r w:rsidRPr="00376CC9">
        <w:rPr>
          <w:rFonts w:cs="Times New Roman"/>
        </w:rPr>
        <w:t xml:space="preserve">Communicating effectively in diverse teams is one of the biggest challenges, particularly when members are from various cultures. Tenzer et al. (2013) studied ‘how language hurdles condition trust-building’ in multinational teams. ‘Trust is a fundamental part of all productive and personal </w:t>
      </w:r>
      <w:r w:rsidRPr="00376CC9">
        <w:rPr>
          <w:rFonts w:cs="Times New Roman"/>
        </w:rPr>
        <w:lastRenderedPageBreak/>
        <w:t xml:space="preserve">contacts, and loss of trust is an obstructing factor’ for effective collaboration and knowledge acquisition, and ‘language hurdles may worsen this challenge.’ Bahrain et al. (2023) listed certain workplace collaboration issues: </w:t>
      </w:r>
    </w:p>
    <w:p w14:paraId="6536F46F" w14:textId="604FB85F" w:rsidR="00166B03" w:rsidRPr="00376CC9" w:rsidRDefault="00AF1B63" w:rsidP="001B5232">
      <w:pPr>
        <w:spacing w:before="240"/>
        <w:rPr>
          <w:rFonts w:cs="Times New Roman"/>
        </w:rPr>
      </w:pPr>
      <w:r w:rsidRPr="00376CC9">
        <w:rPr>
          <w:rFonts w:cs="Times New Roman"/>
        </w:rPr>
        <w:t xml:space="preserve">When it comes to operational retail staff involved in regular customer interactions and teamwork, the importance of communication quality could very well exceed that in project-based teamwork, given the need for prompt exchange of information for service delivery. </w:t>
      </w:r>
      <w:r w:rsidR="000D7D27" w:rsidRPr="00376CC9">
        <w:rPr>
          <w:rFonts w:cs="Times New Roman"/>
        </w:rPr>
        <w:t>It would be ‘less helpful’ or ‘less productive’ to ‘hear varied opinions’ on ‘a topic’ without contact.</w:t>
      </w:r>
      <w:r w:rsidR="000D7D27" w:rsidRPr="00376CC9">
        <w:rPr>
          <w:rFonts w:cs="Times New Roman"/>
        </w:rPr>
        <w:br/>
        <w:t xml:space="preserve">According to Mata et al. (2021), the capacity of individuals, communities, and organisations to discover, interpret, and use new knowledge is crucial to diversity and its impacts. Named after the concept of 'absorptive capacity'. Bodla et al. (2018) explain that multiple knowledge sources may improve an organization's information absorption, which aids diverse organisations. Bodla et al. (2018) stressed the importance of diversity in absorbing and exchanging diverse innovation within cross-national work groups and creating an innovation-rich organisational environment, despite acknowledging the influence of organisational environments and culture. </w:t>
      </w:r>
      <w:r w:rsidR="00365D42" w:rsidRPr="00376CC9">
        <w:rPr>
          <w:rFonts w:cs="Times New Roman"/>
        </w:rPr>
        <w:t>This helps inform the analytical framework by pointing out that the performance benefits of diversity not only depend on compositional heterogeneity but also on the presence of organizational infrastructure that supports knowledge integration, which is important when studying retail firms using secondary data since evidence of knowledge management practices or cross-function work efforts can be used as indicators of absorptive capacities.</w:t>
      </w:r>
      <w:r w:rsidR="000D7D27" w:rsidRPr="00376CC9">
        <w:rPr>
          <w:rFonts w:cs="Times New Roman"/>
        </w:rPr>
        <w:br/>
        <w:t>Expert leadership qualities mediate and moderate diversity and organisational performance, according to Ali et al. (2022). Ali et al. claim that leadership skills and diversity beliefs affect the association between diversity beliefs and organisational effectiveness.</w:t>
      </w:r>
      <w:r w:rsidR="00E75B38" w:rsidRPr="00376CC9">
        <w:rPr>
          <w:rFonts w:cs="Times New Roman"/>
        </w:rPr>
        <w:t xml:space="preserve"> Based on this research, it can be assumed that diverse leaders can reduce conflict and help incorporate diverse perspectives (Homan </w:t>
      </w:r>
      <w:r w:rsidR="00FC01D2" w:rsidRPr="00376CC9">
        <w:rPr>
          <w:rFonts w:cs="Times New Roman"/>
        </w:rPr>
        <w:t>and</w:t>
      </w:r>
      <w:r w:rsidR="00E75B38" w:rsidRPr="00376CC9">
        <w:rPr>
          <w:rFonts w:cs="Times New Roman"/>
        </w:rPr>
        <w:t xml:space="preserve"> Greer, 2013).</w:t>
      </w:r>
      <w:r w:rsidR="00557BA7" w:rsidRPr="00376CC9">
        <w:rPr>
          <w:rFonts w:cs="Times New Roman"/>
        </w:rPr>
        <w:t xml:space="preserve"> Researchers focused on considerate leadership, and they verified that having a leader who demonstrates consideration towards diverse employees’ perspectives can have a positive effect on organizational diversity (Homan and Greer, 2013).</w:t>
      </w:r>
      <w:r w:rsidR="007D0CBC" w:rsidRPr="00376CC9">
        <w:rPr>
          <w:rFonts w:cs="Times New Roman"/>
        </w:rPr>
        <w:t xml:space="preserve"> This study aims to explore the leadership moderator through the analysis of statements that are related to leadership diversity, management training, as well as governance structure via company reports.</w:t>
      </w:r>
    </w:p>
    <w:p w14:paraId="4340E3B6" w14:textId="77777777" w:rsidR="00166B03" w:rsidRPr="00376CC9" w:rsidRDefault="00166B03" w:rsidP="001B5232">
      <w:pPr>
        <w:spacing w:before="240" w:after="160"/>
        <w:jc w:val="left"/>
        <w:rPr>
          <w:rFonts w:cs="Times New Roman"/>
        </w:rPr>
      </w:pPr>
      <w:r w:rsidRPr="00376CC9">
        <w:rPr>
          <w:rFonts w:cs="Times New Roman"/>
        </w:rPr>
        <w:br w:type="page"/>
      </w:r>
    </w:p>
    <w:p w14:paraId="084C27F6" w14:textId="0B9DE402" w:rsidR="00166B03" w:rsidRPr="00376CC9" w:rsidRDefault="00166B03" w:rsidP="00D41D57">
      <w:pPr>
        <w:pStyle w:val="Heading2"/>
      </w:pPr>
      <w:bookmarkStart w:id="13" w:name="_Toc218684525"/>
      <w:r w:rsidRPr="00376CC9">
        <w:lastRenderedPageBreak/>
        <w:t>Innovation and Cultural Diversity</w:t>
      </w:r>
      <w:bookmarkEnd w:id="13"/>
    </w:p>
    <w:p w14:paraId="1BB61B2C" w14:textId="3A2FA0B1" w:rsidR="006D00E4" w:rsidRPr="00376CC9" w:rsidRDefault="00557BA7" w:rsidP="001B5232">
      <w:pPr>
        <w:spacing w:before="240"/>
        <w:rPr>
          <w:rFonts w:cs="Times New Roman"/>
        </w:rPr>
      </w:pPr>
      <w:r w:rsidRPr="00376CC9">
        <w:rPr>
          <w:rFonts w:cs="Times New Roman"/>
        </w:rPr>
        <w:t>There has been research concerning innovations and cultural diversity, as this is a highly strategic issue when it comes to competitive settings. In this regard, research was carried out by Jones et al. (2020), intending to uncover innovations that are driven by cultural diversity, addressing some practices that can assist teams in taking advantage of their culture for innovation purposes and through creative problem-solving. According to this research, cultural diversity can be considered positive for innovation teams, provided that some organizational settings and manager contexts are attained (Jones et al., 2020).</w:t>
      </w:r>
      <w:r w:rsidR="00AD0890" w:rsidRPr="00376CC9">
        <w:rPr>
          <w:rFonts w:cs="Times New Roman"/>
        </w:rPr>
        <w:t xml:space="preserve"> However, these studies on innovation are more concerned with project-based or entrepreneurial units of work, leaving concerns about their generalizability in respect of more incremental or service-based innovative processes that could occur in operative retail contexts.</w:t>
      </w:r>
      <w:r w:rsidRPr="00376CC9">
        <w:rPr>
          <w:rFonts w:cs="Times New Roman"/>
        </w:rPr>
        <w:t xml:space="preserve"> Moreover, this conclusion is based on a whole-topic consideration of innovation, cross-cultural issues, and entrepreneurs, as explained by Stephan (2022).</w:t>
      </w:r>
    </w:p>
    <w:p w14:paraId="272FE96A" w14:textId="50347F51" w:rsidR="006D00E4" w:rsidRPr="00376CC9" w:rsidRDefault="00557BA7" w:rsidP="001B5232">
      <w:pPr>
        <w:spacing w:before="240"/>
        <w:rPr>
          <w:rFonts w:cs="Times New Roman"/>
        </w:rPr>
      </w:pPr>
      <w:r w:rsidRPr="00376CC9">
        <w:rPr>
          <w:rFonts w:cs="Times New Roman"/>
        </w:rPr>
        <w:t xml:space="preserve">The methods of interaction between teams have been noticed to have a significantly influential role in shaping the type of impact that is created </w:t>
      </w:r>
      <w:proofErr w:type="gramStart"/>
      <w:r w:rsidRPr="00376CC9">
        <w:rPr>
          <w:rFonts w:cs="Times New Roman"/>
        </w:rPr>
        <w:t>as a result of</w:t>
      </w:r>
      <w:proofErr w:type="gramEnd"/>
      <w:r w:rsidRPr="00376CC9">
        <w:rPr>
          <w:rFonts w:cs="Times New Roman"/>
        </w:rPr>
        <w:t xml:space="preserve"> cultural diversity on projects and tasks given to teams. Yousef (2024) has made a comparison of virtual and physical teamwork on culturally diverse global projects and noticed that the type of impact of diversity is significantly different based on interaction methods used by teams.</w:t>
      </w:r>
      <w:r w:rsidR="00CC0A3B" w:rsidRPr="00376CC9">
        <w:rPr>
          <w:rFonts w:cs="Times New Roman"/>
        </w:rPr>
        <w:t xml:space="preserve"> Based on a participants’ count of 65, it was observed that virtual teams are more strongly affected than face-to-face teams regarding the application of cultural diversity for project success (Yousef, 2024). Of late, organizations have become more focused on hybrid work methods, and thus comprehension of diversity impact based on interaction methods has become more critical than before.</w:t>
      </w:r>
      <w:r w:rsidR="00AD0890" w:rsidRPr="00376CC9">
        <w:rPr>
          <w:rFonts w:cs="Times New Roman"/>
        </w:rPr>
        <w:t xml:space="preserve"> These differences of modes of interactions add complexity to the understanding of the effects of diversity even in retail companies, where the sales staff work person-to-person, while other activities are likely to be online.</w:t>
      </w:r>
    </w:p>
    <w:p w14:paraId="39F93289" w14:textId="77777777" w:rsidR="00D41D57" w:rsidRPr="00376CC9" w:rsidRDefault="00CC0A3B" w:rsidP="00D41D57">
      <w:pPr>
        <w:spacing w:before="240"/>
        <w:rPr>
          <w:rFonts w:cs="Times New Roman"/>
        </w:rPr>
      </w:pPr>
      <w:r w:rsidRPr="00376CC9">
        <w:rPr>
          <w:rFonts w:cs="Times New Roman"/>
        </w:rPr>
        <w:t xml:space="preserve">Communication quality is identified as an essential ingredient that facilitates diverse teams in transforming different views into innovative solutions. Valls et al. (2016) explored the relationship between educational diversity and teamwork, discovering that team members’ communication quality and innovation climates significantly mediate this relationship, and that educational diversity, symbolizing different knowledge structures and cognitive styles, is positively related to </w:t>
      </w:r>
      <w:r w:rsidRPr="00376CC9">
        <w:rPr>
          <w:rFonts w:cs="Times New Roman"/>
        </w:rPr>
        <w:lastRenderedPageBreak/>
        <w:t xml:space="preserve">improved teamwork performances provided that these teams have high-quality communication and are situated within supportive innovation climates (Valls et al., 2016). </w:t>
      </w:r>
      <w:r w:rsidR="00AD0890" w:rsidRPr="00376CC9">
        <w:rPr>
          <w:rFonts w:cs="Times New Roman"/>
        </w:rPr>
        <w:t xml:space="preserve">This finding is directly applicable to the analytical framework by pointing out that the quality of communication is a quantitative moderator that could be established through employee surveys, investment in communication technology, or information about corporate culture as mentioned in company disclosures. </w:t>
      </w:r>
      <w:r w:rsidRPr="00376CC9">
        <w:rPr>
          <w:rFonts w:cs="Times New Roman"/>
        </w:rPr>
        <w:t>It can be noted that organizations need to develop and build their communication quality alongside other efforts of implementing diversity and inclusion.</w:t>
      </w:r>
    </w:p>
    <w:p w14:paraId="6544632F" w14:textId="28148611" w:rsidR="00166B03" w:rsidRPr="00376CC9" w:rsidRDefault="00166B03" w:rsidP="00D41D57">
      <w:pPr>
        <w:spacing w:before="240"/>
        <w:rPr>
          <w:rFonts w:cs="Times New Roman"/>
        </w:rPr>
      </w:pPr>
    </w:p>
    <w:p w14:paraId="4305D53C" w14:textId="059CA3CB" w:rsidR="00166B03" w:rsidRPr="00376CC9" w:rsidRDefault="00166B03" w:rsidP="00D41D57">
      <w:pPr>
        <w:pStyle w:val="Heading2"/>
      </w:pPr>
      <w:bookmarkStart w:id="14" w:name="_Toc218684526"/>
      <w:r w:rsidRPr="00376CC9">
        <w:t>Inclusion and Diversity Management</w:t>
      </w:r>
      <w:bookmarkEnd w:id="14"/>
    </w:p>
    <w:p w14:paraId="310A3C8B" w14:textId="381BE39A" w:rsidR="006D00E4" w:rsidRPr="00376CC9" w:rsidRDefault="00CC0A3B" w:rsidP="001B5232">
      <w:pPr>
        <w:spacing w:before="240"/>
        <w:rPr>
          <w:rFonts w:cs="Times New Roman"/>
        </w:rPr>
      </w:pPr>
      <w:r w:rsidRPr="00376CC9">
        <w:rPr>
          <w:rFonts w:cs="Times New Roman"/>
        </w:rPr>
        <w:t>Although diversity is concerned with compositional heterogeneity, inclusion is more about creating a context that encourages diverse members of an organization or a group to feel appreciated and empowered enough to participate fully or share their views (Shore et al., 2017). Shore et al. (2017) have proposed an elaborate model of inclusive settings, asserting that inclusion can be achieved through belongingness and uniqueness, and people can feel they belong to a team as well as be appreciated for what they are and what they can offer (Chung et al., 2020).</w:t>
      </w:r>
      <w:r w:rsidR="00935267" w:rsidRPr="00376CC9">
        <w:rPr>
          <w:rFonts w:cs="Times New Roman"/>
        </w:rPr>
        <w:t xml:space="preserve"> This study declares that inclusion climate is an important concept that should be used in the framework analysis, but measuring inclusion through secondary data is difficult since it is necessary to use proxies such as diversity policy comprehensiveness, presence of Employee Resource Groups, or inclusion-based organizational initiatives reported in corporate reports.</w:t>
      </w:r>
    </w:p>
    <w:p w14:paraId="46D8A56F" w14:textId="20F75E58" w:rsidR="006D00E4" w:rsidRPr="00376CC9" w:rsidRDefault="00CC0A3B" w:rsidP="001B5232">
      <w:pPr>
        <w:spacing w:before="240"/>
        <w:rPr>
          <w:rFonts w:cs="Times New Roman"/>
        </w:rPr>
      </w:pPr>
      <w:r w:rsidRPr="00376CC9">
        <w:rPr>
          <w:rFonts w:cs="Times New Roman"/>
        </w:rPr>
        <w:t xml:space="preserve">There is empirical evidence that supports its value as a moderator of diversity outcomes. Nishii (2013) concluded that having a supportive climate of inclusion can significantly help gender-diverse teams, as an inclusive environment can help diverse groups mitigate potential process loss due to diversity. Downey et al. (2015) showed that diversity practices and inclusion can work together towards increasing trust and employee engagement, indicating that efforts towards diversity need to be complemented by efforts towards inclusion to get maximum benefit of diversity efforts. </w:t>
      </w:r>
      <w:r w:rsidR="00935267" w:rsidRPr="00376CC9">
        <w:rPr>
          <w:rFonts w:cs="Times New Roman"/>
        </w:rPr>
        <w:t xml:space="preserve">Perhaps in consumer service organizations, where there is a need for seamless teamwork for effective service delivery, such potentially deleterious effects could be more important, and climate for inclusion or diversity management practices could become crucial for </w:t>
      </w:r>
      <w:r w:rsidR="00935267" w:rsidRPr="00376CC9">
        <w:rPr>
          <w:rFonts w:cs="Times New Roman"/>
        </w:rPr>
        <w:lastRenderedPageBreak/>
        <w:t xml:space="preserve">their success. </w:t>
      </w:r>
      <w:r w:rsidRPr="00376CC9">
        <w:rPr>
          <w:rFonts w:cs="Times New Roman"/>
        </w:rPr>
        <w:t>Chung et al. (2020) have successfully identified a scale for work group inclusion, providing organizations with effective means of managing inclusion of diverse teams.</w:t>
      </w:r>
    </w:p>
    <w:p w14:paraId="04159F2C" w14:textId="4CEB0FD0" w:rsidR="006D00E4" w:rsidRPr="00376CC9" w:rsidRDefault="00CC0A3B" w:rsidP="001B5232">
      <w:pPr>
        <w:spacing w:before="240"/>
        <w:rPr>
          <w:rFonts w:cs="Times New Roman"/>
        </w:rPr>
      </w:pPr>
      <w:r w:rsidRPr="00376CC9">
        <w:rPr>
          <w:rFonts w:cs="Times New Roman"/>
        </w:rPr>
        <w:t xml:space="preserve">There is, however, growing literature on the dark side of diversity, as it is understood that diversity may pose challenges as well as opportunities (Hutchins </w:t>
      </w:r>
      <w:r w:rsidR="00FC01D2" w:rsidRPr="00376CC9">
        <w:rPr>
          <w:rFonts w:cs="Times New Roman"/>
        </w:rPr>
        <w:t>and</w:t>
      </w:r>
      <w:r w:rsidRPr="00376CC9">
        <w:rPr>
          <w:rFonts w:cs="Times New Roman"/>
        </w:rPr>
        <w:t xml:space="preserve"> Dimowski, forthcoming). Liu et al. (2023), for instance, conducted research on the negative effects of diversity on the workforce and reported that diversity may pose problems of communication, interpersonal conflict, and low cohesion if managed improperly, and that diversity can be effectively compensated by inclusive HRM and employee learning </w:t>
      </w:r>
      <w:r w:rsidR="004A31ED" w:rsidRPr="00376CC9">
        <w:rPr>
          <w:rFonts w:cs="Times New Roman"/>
        </w:rPr>
        <w:t>behaviour</w:t>
      </w:r>
      <w:r w:rsidRPr="00376CC9">
        <w:rPr>
          <w:rFonts w:cs="Times New Roman"/>
        </w:rPr>
        <w:t xml:space="preserve"> (Liu et al., 2023). Just as diversity poses potential problems, its effects can be more serious within consumer service organizations as they require perfect teamwork for providing quality services.</w:t>
      </w:r>
    </w:p>
    <w:p w14:paraId="53CC0CB8" w14:textId="1A12A022" w:rsidR="00166B03" w:rsidRPr="00376CC9" w:rsidRDefault="00CC0A3B" w:rsidP="001B5232">
      <w:pPr>
        <w:spacing w:before="240"/>
        <w:rPr>
          <w:rFonts w:cs="Times New Roman"/>
        </w:rPr>
      </w:pPr>
      <w:r w:rsidRPr="00376CC9">
        <w:rPr>
          <w:rFonts w:cs="Times New Roman"/>
        </w:rPr>
        <w:t>Team conflict profiles, especially for diverse teams, require particular attention because, as indicated earlier, they pose potential threats to project success and need certain skills for their efficient management. According to a study by Behfar et al., research on conflict within small groups has shown that task conflict, that is, conflict about job content, can have a positive effect on decision-making, as it forces critical comparison of alternatives, whereas process conflict, that is, conflict about job methods, is always detrimental and negatively affects task performance (Behfar et al., 2011).</w:t>
      </w:r>
      <w:r w:rsidR="00935267" w:rsidRPr="00376CC9">
        <w:rPr>
          <w:rFonts w:cs="Times New Roman"/>
        </w:rPr>
        <w:t xml:space="preserve"> These dimensions of conflict provide insight into the framework by indicating that performance measures should make a distinction between efficiency (potentially undermined by process conflict) and innovation (potentially enhanced by beneficial task conflict)—although it is unclear that secondary data would adequately indicate the type of conflict.</w:t>
      </w:r>
    </w:p>
    <w:p w14:paraId="20B973D0" w14:textId="4C88119C" w:rsidR="00166B03" w:rsidRPr="00376CC9" w:rsidRDefault="00166B03" w:rsidP="001B5232">
      <w:pPr>
        <w:spacing w:before="240" w:after="160"/>
        <w:jc w:val="left"/>
        <w:rPr>
          <w:rFonts w:cs="Times New Roman"/>
          <w:b/>
          <w:bCs/>
        </w:rPr>
      </w:pPr>
    </w:p>
    <w:p w14:paraId="5610CAC8" w14:textId="0403CC18" w:rsidR="00166B03" w:rsidRPr="00376CC9" w:rsidRDefault="00166B03" w:rsidP="00D41D57">
      <w:pPr>
        <w:pStyle w:val="Heading2"/>
      </w:pPr>
      <w:bookmarkStart w:id="15" w:name="_Toc218684527"/>
      <w:r w:rsidRPr="00376CC9">
        <w:t>Organizational and Leadership Factors</w:t>
      </w:r>
      <w:bookmarkEnd w:id="15"/>
    </w:p>
    <w:p w14:paraId="1113C229" w14:textId="2BA9C2A0" w:rsidR="006D00E4" w:rsidRPr="00376CC9" w:rsidRDefault="00CC0A3B" w:rsidP="001B5232">
      <w:pPr>
        <w:spacing w:before="240"/>
        <w:rPr>
          <w:rFonts w:cs="Times New Roman"/>
        </w:rPr>
      </w:pPr>
      <w:r w:rsidRPr="00376CC9">
        <w:rPr>
          <w:rFonts w:cs="Times New Roman"/>
        </w:rPr>
        <w:t xml:space="preserve">Organizational context significantly impacts the way diversity may influence project outcomes. Okatta et al. (2024) undertook a meta-analysis of the effect of diversity and inclusion initiatives on organizational performances, and leaders' commitment and accountability have been identified as essential for success. </w:t>
      </w:r>
      <w:r w:rsidR="002A17D9" w:rsidRPr="00376CC9">
        <w:rPr>
          <w:rFonts w:cs="Times New Roman"/>
        </w:rPr>
        <w:t>However, they point out that numerous research gaps appear with respect to the effects of diversity on projects or professional services, one of the important research gaps that this research seeks to fill by conducting research on diversity in a retail setting</w:t>
      </w:r>
      <w:r w:rsidR="000553D1" w:rsidRPr="00376CC9">
        <w:rPr>
          <w:rFonts w:cs="Times New Roman"/>
        </w:rPr>
        <w:t xml:space="preserve">. The above </w:t>
      </w:r>
      <w:r w:rsidR="000553D1" w:rsidRPr="00376CC9">
        <w:rPr>
          <w:rFonts w:cs="Times New Roman"/>
        </w:rPr>
        <w:lastRenderedPageBreak/>
        <w:t xml:space="preserve">research gap was reflected by Kasih </w:t>
      </w:r>
      <w:r w:rsidR="00FC01D2" w:rsidRPr="00376CC9">
        <w:rPr>
          <w:rFonts w:cs="Times New Roman"/>
        </w:rPr>
        <w:t>and</w:t>
      </w:r>
      <w:r w:rsidR="000553D1" w:rsidRPr="00376CC9">
        <w:rPr>
          <w:rFonts w:cs="Times New Roman"/>
        </w:rPr>
        <w:t xml:space="preserve"> Ruslaini (2024), as they studied about the impact of diversity and inclusion efforts on performances of organizations, and they have highlighted that there is a demand for a comprehensive strategy that can effectively incorporate diversity and organizational plans and goals.</w:t>
      </w:r>
    </w:p>
    <w:p w14:paraId="7A3992C0" w14:textId="2A9C2EB8" w:rsidR="006D00E4" w:rsidRPr="00376CC9" w:rsidRDefault="000553D1" w:rsidP="001B5232">
      <w:pPr>
        <w:spacing w:before="240"/>
        <w:rPr>
          <w:rFonts w:cs="Times New Roman"/>
        </w:rPr>
      </w:pPr>
      <w:r w:rsidRPr="00376CC9">
        <w:rPr>
          <w:rFonts w:cs="Times New Roman"/>
        </w:rPr>
        <w:t>There are interrelationships between project methodologies and diversity on project teams that can impact project success. Studies by Joslin and Müller (2015) explored relationships between project success and methodologies, and it was determined that methodologies differ in success based on compatibility with projects and organizations.</w:t>
      </w:r>
      <w:r w:rsidR="00CC0A3B" w:rsidRPr="00376CC9">
        <w:rPr>
          <w:rFonts w:cs="Times New Roman"/>
        </w:rPr>
        <w:t xml:space="preserve"> There is an indication that teams that are diverse need methodologies that can adapt to different ways of working and communicating, as suggested by research by Joslin and Müller (2015).</w:t>
      </w:r>
      <w:r w:rsidR="002A17D9" w:rsidRPr="00376CC9">
        <w:rPr>
          <w:rFonts w:cs="Times New Roman"/>
        </w:rPr>
        <w:t xml:space="preserve"> In so far as the retail business operations that are characterized by standardized processes in contrast with flexible methodologies in projects, it is taken that the influence of diversity could potentially be dependent on work flexibility among other factors.</w:t>
      </w:r>
    </w:p>
    <w:p w14:paraId="19DFA4B3" w14:textId="194955A2" w:rsidR="00166B03" w:rsidRPr="00376CC9" w:rsidRDefault="00CC0A3B" w:rsidP="001B5232">
      <w:pPr>
        <w:spacing w:before="240"/>
        <w:rPr>
          <w:rFonts w:cs="Times New Roman"/>
        </w:rPr>
      </w:pPr>
      <w:r w:rsidRPr="00376CC9">
        <w:rPr>
          <w:rFonts w:cs="Times New Roman"/>
        </w:rPr>
        <w:t xml:space="preserve">Cross-boundary teaming is a phenomenon that poses its own set of challenges and opportunities for diverse teams. Edmondson and Harvey (2018) explored cross-boundary teaming for innovation, synthesizing studies on teams and knowledge within organizations. They demonstrate that teaming across boundaries that are organizational, functional, or cross-cultural poses challenges of co-ordination but can tap into larger networks of knowledge that can be used for innovation (Edmondson and Harvey, 2018). </w:t>
      </w:r>
      <w:r w:rsidR="002A17D9" w:rsidRPr="00376CC9">
        <w:rPr>
          <w:rFonts w:cs="Times New Roman"/>
        </w:rPr>
        <w:t>Cross boundary teaming is relevant for consumer service companies with diversified markets. It would be more challenging for companies that require rapid response and standardized service delivery with respect to a project requiring collaboration.</w:t>
      </w:r>
    </w:p>
    <w:p w14:paraId="10F78DB3" w14:textId="77777777" w:rsidR="00166B03" w:rsidRPr="00376CC9" w:rsidRDefault="00166B03" w:rsidP="001B5232">
      <w:pPr>
        <w:spacing w:before="240"/>
        <w:rPr>
          <w:rFonts w:cs="Times New Roman"/>
        </w:rPr>
      </w:pPr>
    </w:p>
    <w:p w14:paraId="33BE1CE7" w14:textId="17BEE22D" w:rsidR="00166B03" w:rsidRPr="00376CC9" w:rsidRDefault="00166B03" w:rsidP="00D41D57">
      <w:pPr>
        <w:pStyle w:val="Heading2"/>
      </w:pPr>
      <w:bookmarkStart w:id="16" w:name="_Toc218684528"/>
      <w:r w:rsidRPr="00376CC9">
        <w:t>Virtual Teams and Technology-Mediated Diversity</w:t>
      </w:r>
      <w:bookmarkEnd w:id="16"/>
    </w:p>
    <w:p w14:paraId="0F97380D" w14:textId="20463059" w:rsidR="006D00E4" w:rsidRPr="00376CC9" w:rsidRDefault="004A31ED" w:rsidP="001B5232">
      <w:pPr>
        <w:spacing w:before="240"/>
        <w:rPr>
          <w:rFonts w:cs="Times New Roman"/>
        </w:rPr>
      </w:pPr>
      <w:r w:rsidRPr="00376CC9">
        <w:rPr>
          <w:rFonts w:cs="Times New Roman"/>
        </w:rPr>
        <w:t xml:space="preserve">Virtual and technology-enabled work has extended this complexity to managing diversity. Gilson et al. (2015) conducted a decade’s worth of research on virtual teams, distilling them down into ten themes and opportunities. There is a clear theme emerging that virtual work increases or exacerbates tensions and benefits of diversity, and that communication, technology, and trust are especially influential issues for virtual teams (Gilson et al., 2015). Breuer et al. (2016) conducted </w:t>
      </w:r>
      <w:r w:rsidRPr="00376CC9">
        <w:rPr>
          <w:rFonts w:cs="Times New Roman"/>
        </w:rPr>
        <w:lastRenderedPageBreak/>
        <w:t>a meta-analytic study that showed trust plays a far more prominent role within virtual teams, and that this indicates that relationship between diversity and Team Performance is non-linear and different for virtual and collocated teams.</w:t>
      </w:r>
      <w:r w:rsidR="007F76A9" w:rsidRPr="00376CC9">
        <w:rPr>
          <w:rFonts w:cs="Times New Roman"/>
        </w:rPr>
        <w:t xml:space="preserve"> In retail companies with face-to-face services provided by their front-line employees while their support roles could be virtual, it is more complex to comprehend the effects of work modes on diversity in such organizations.</w:t>
      </w:r>
    </w:p>
    <w:p w14:paraId="37834F2B" w14:textId="710C99A6" w:rsidR="000553D1" w:rsidRPr="00376CC9" w:rsidRDefault="004A31ED" w:rsidP="001B5232">
      <w:pPr>
        <w:spacing w:before="240"/>
        <w:rPr>
          <w:rFonts w:cs="Times New Roman"/>
        </w:rPr>
      </w:pPr>
      <w:r w:rsidRPr="00376CC9">
        <w:rPr>
          <w:rFonts w:cs="Times New Roman"/>
        </w:rPr>
        <w:t xml:space="preserve">Technology can be both an enabler and a constraint on diverse teams. Although technology enhances communication, thereby facilitating teamwork irrespective of geographical and time differences, technology can impair the quality of communication that is essential for diverse teams’ mutual understanding (Tenzer et al., 2013). </w:t>
      </w:r>
      <w:r w:rsidR="007F76A9" w:rsidRPr="00376CC9">
        <w:rPr>
          <w:rFonts w:cs="Times New Roman"/>
        </w:rPr>
        <w:t xml:space="preserve">This is a relationship that leadership should understand as it dictates the communication practices that must be adopted </w:t>
      </w:r>
      <w:proofErr w:type="gramStart"/>
      <w:r w:rsidR="007F76A9" w:rsidRPr="00376CC9">
        <w:rPr>
          <w:rFonts w:cs="Times New Roman"/>
        </w:rPr>
        <w:t>in order to</w:t>
      </w:r>
      <w:proofErr w:type="gramEnd"/>
      <w:r w:rsidR="007F76A9" w:rsidRPr="00376CC9">
        <w:rPr>
          <w:rFonts w:cs="Times New Roman"/>
        </w:rPr>
        <w:t xml:space="preserve"> meet their collaboration needs (Yousef, 2024). It is especially important for retail businesses since their communication is also technology mediated.</w:t>
      </w:r>
    </w:p>
    <w:p w14:paraId="2AC50984" w14:textId="77777777" w:rsidR="000553D1" w:rsidRPr="00376CC9" w:rsidRDefault="000553D1" w:rsidP="001B5232">
      <w:pPr>
        <w:spacing w:before="240"/>
        <w:rPr>
          <w:rFonts w:cs="Times New Roman"/>
        </w:rPr>
      </w:pPr>
    </w:p>
    <w:p w14:paraId="42C18904" w14:textId="6624BF20" w:rsidR="004A31ED" w:rsidRPr="00376CC9" w:rsidRDefault="004A31ED" w:rsidP="00D41D57">
      <w:pPr>
        <w:pStyle w:val="Heading2"/>
      </w:pPr>
      <w:bookmarkStart w:id="17" w:name="_Toc218684529"/>
      <w:r w:rsidRPr="00376CC9">
        <w:t>Industry-Specific Factors for Consumer Services</w:t>
      </w:r>
      <w:bookmarkEnd w:id="17"/>
    </w:p>
    <w:p w14:paraId="45E15EEA" w14:textId="4B012F82" w:rsidR="006D00E4" w:rsidRPr="00376CC9" w:rsidRDefault="00EC7B65" w:rsidP="001B5232">
      <w:pPr>
        <w:spacing w:before="240"/>
        <w:rPr>
          <w:rFonts w:cs="Times New Roman"/>
        </w:rPr>
      </w:pPr>
      <w:r w:rsidRPr="00376CC9">
        <w:rPr>
          <w:rFonts w:cs="Times New Roman"/>
        </w:rPr>
        <w:t xml:space="preserve">Although research on diversity is vast, consumer services remain a less-explored area in comparison to other domains such as manufacturing, technology, or general organizations (Patrício &amp; Franco, 2022). This is a significant research gap since consumer services embody their own properties, which could potentially affect the organizational implications of diversity distinct from other circumstances such as projects or manufacturing. Their key role in consumer services’ operations means that person-to-person skills such as flexibility are crucial for </w:t>
      </w:r>
      <w:r w:rsidR="00FE40B4" w:rsidRPr="00376CC9">
        <w:rPr>
          <w:rFonts w:cs="Times New Roman"/>
        </w:rPr>
        <w:t>guarantying</w:t>
      </w:r>
      <w:r w:rsidRPr="00376CC9">
        <w:rPr>
          <w:rFonts w:cs="Times New Roman"/>
        </w:rPr>
        <w:t xml:space="preserve"> organizational success (Shore et al., 2017). Success in an organization is significantly reliant on collaboration or communication, which could be positively or negatively impacted by diversity (Bahrain et al., 2023). Additionally, their daily tasks in retailing do not necessarily involve critical or innovative activities like those of certain projects studied for their influence on research related to diversity.</w:t>
      </w:r>
    </w:p>
    <w:p w14:paraId="2429DDB8" w14:textId="156D8A89" w:rsidR="00166B03" w:rsidRPr="00376CC9" w:rsidRDefault="004A31ED" w:rsidP="001B5232">
      <w:pPr>
        <w:spacing w:before="240"/>
        <w:rPr>
          <w:rFonts w:cs="Times New Roman"/>
        </w:rPr>
      </w:pPr>
      <w:r w:rsidRPr="00376CC9">
        <w:rPr>
          <w:rFonts w:cs="Times New Roman"/>
        </w:rPr>
        <w:t xml:space="preserve">Educational settings offer some useful findings that could be applied, albeit indirectly, into a professional environment. Urionabarrenetxea et al. (2021) have undertaken research on an integrated model of diversity and team performance on management students, and they have shed some light on elements that occur within this environment and educational settings that may </w:t>
      </w:r>
      <w:r w:rsidRPr="00376CC9">
        <w:rPr>
          <w:rFonts w:cs="Times New Roman"/>
        </w:rPr>
        <w:lastRenderedPageBreak/>
        <w:t xml:space="preserve">influence project tasks within teams. Nonetheless, they recognize that their application, having come from an educational setting, has certain limitations when applied into a different environment (Urionabarrenetxea et al., 2021). </w:t>
      </w:r>
      <w:r w:rsidR="00EC7B65" w:rsidRPr="00376CC9">
        <w:rPr>
          <w:rFonts w:cs="Times New Roman"/>
        </w:rPr>
        <w:t>Consumer service organizations are faced with unique forces relative to consumer satisfaction and efficiency that could potentially impact the role of diversity on team performance, given the time-constrained direct observation of team performance by consumers in operational team settings, as contrasted with that of commissioned work or educational team settings, where tasks are more deliberate and not subject to observation by stakeholders.</w:t>
      </w:r>
    </w:p>
    <w:p w14:paraId="3CEB79BD" w14:textId="2FE71DEA" w:rsidR="00210FF9" w:rsidRPr="00376CC9" w:rsidRDefault="00210FF9" w:rsidP="001B5232">
      <w:pPr>
        <w:spacing w:before="240" w:after="160"/>
        <w:jc w:val="left"/>
        <w:rPr>
          <w:rFonts w:cs="Times New Roman"/>
        </w:rPr>
      </w:pPr>
    </w:p>
    <w:p w14:paraId="61A8C299" w14:textId="0D50CCA5" w:rsidR="00210FF9" w:rsidRPr="00376CC9" w:rsidRDefault="00210FF9" w:rsidP="00D41D57">
      <w:pPr>
        <w:pStyle w:val="Heading2"/>
      </w:pPr>
      <w:bookmarkStart w:id="18" w:name="_Toc218684530"/>
      <w:r w:rsidRPr="00376CC9">
        <w:t>Towards an Integrated Analytical Framework: Synthesis for Empirical Application</w:t>
      </w:r>
      <w:bookmarkEnd w:id="18"/>
    </w:p>
    <w:p w14:paraId="223E591A" w14:textId="77777777" w:rsidR="00210FF9" w:rsidRPr="00376CC9" w:rsidRDefault="00210FF9" w:rsidP="001B5232">
      <w:pPr>
        <w:spacing w:before="240"/>
        <w:rPr>
          <w:rFonts w:cs="Times New Roman"/>
        </w:rPr>
      </w:pPr>
      <w:r w:rsidRPr="00376CC9">
        <w:rPr>
          <w:rFonts w:cs="Times New Roman"/>
        </w:rPr>
        <w:t>These findings provide four key takeaways for research on diversity in operational retailing:</w:t>
      </w:r>
    </w:p>
    <w:p w14:paraId="39815C1F" w14:textId="089552F8" w:rsidR="00210FF9" w:rsidRPr="00376CC9" w:rsidRDefault="00210FF9" w:rsidP="001B5232">
      <w:pPr>
        <w:pStyle w:val="ListParagraph"/>
        <w:numPr>
          <w:ilvl w:val="0"/>
          <w:numId w:val="1"/>
        </w:numPr>
        <w:spacing w:before="240"/>
        <w:rPr>
          <w:rFonts w:cs="Times New Roman"/>
        </w:rPr>
      </w:pPr>
      <w:r w:rsidRPr="00376CC9">
        <w:rPr>
          <w:rFonts w:cs="Times New Roman"/>
        </w:rPr>
        <w:t>Diversity effects differ for various dimensions, performance objectives, and context. It is important to be discerning about diversity measures and performance indicators, with simultaneous attention to the role of context.</w:t>
      </w:r>
    </w:p>
    <w:p w14:paraId="32B7E2C9" w14:textId="639CB175" w:rsidR="00210FF9" w:rsidRPr="00376CC9" w:rsidRDefault="00210FF9" w:rsidP="001B5232">
      <w:pPr>
        <w:pStyle w:val="ListParagraph"/>
        <w:numPr>
          <w:ilvl w:val="0"/>
          <w:numId w:val="1"/>
        </w:numPr>
        <w:spacing w:before="240"/>
        <w:rPr>
          <w:rFonts w:cs="Times New Roman"/>
        </w:rPr>
      </w:pPr>
      <w:r w:rsidRPr="00376CC9">
        <w:rPr>
          <w:rFonts w:cs="Times New Roman"/>
        </w:rPr>
        <w:t>Trust, absorptive capacity, communication quality, and climate for inclusiveness mediate both diversity and performance. Proxy variables in the use of secondary data support the framework’s theoretical development.</w:t>
      </w:r>
    </w:p>
    <w:p w14:paraId="0AAC6C6E" w14:textId="1A67B94A" w:rsidR="00210FF9" w:rsidRPr="00376CC9" w:rsidRDefault="00210FF9" w:rsidP="001B5232">
      <w:pPr>
        <w:pStyle w:val="ListParagraph"/>
        <w:numPr>
          <w:ilvl w:val="0"/>
          <w:numId w:val="1"/>
        </w:numPr>
        <w:spacing w:before="240"/>
        <w:rPr>
          <w:rFonts w:cs="Times New Roman"/>
        </w:rPr>
      </w:pPr>
      <w:r w:rsidRPr="00376CC9">
        <w:rPr>
          <w:rFonts w:cs="Times New Roman"/>
        </w:rPr>
        <w:t>Commitment of leadership, inclusive human resource management, communication structure, or organizational climate determine whether diversity is beneficial or problematic, keeping in mind the elements of retail coordination in terms of timing.</w:t>
      </w:r>
    </w:p>
    <w:p w14:paraId="068CA2F0" w14:textId="1EFE7B19" w:rsidR="00210FF9" w:rsidRPr="00376CC9" w:rsidRDefault="00210FF9" w:rsidP="001B5232">
      <w:pPr>
        <w:spacing w:before="240"/>
        <w:rPr>
          <w:rFonts w:cs="Times New Roman"/>
        </w:rPr>
      </w:pPr>
      <w:r w:rsidRPr="00376CC9">
        <w:rPr>
          <w:rFonts w:cs="Times New Roman"/>
          <w:b/>
          <w:bCs/>
        </w:rPr>
        <w:t xml:space="preserve">Project-based diversity versus operational diversity is distinct: </w:t>
      </w:r>
      <w:r w:rsidRPr="00376CC9">
        <w:rPr>
          <w:rFonts w:cs="Times New Roman"/>
        </w:rPr>
        <w:t>the involved projects are temporary and innovative, whereas retail operations occur in permanent, standardized, and client-facing environments. This implies that techniques for ensuring diversity in projects cannot necessarily be generalized for application in operations. Measurement of data in secondary research is constrained such that while demographically based diversity can be observed, cognitive-based diversity is assumed using indicators. It is difficult to track team performance.</w:t>
      </w:r>
    </w:p>
    <w:p w14:paraId="752BB00F" w14:textId="121BD80F" w:rsidR="00166B03" w:rsidRPr="00376CC9" w:rsidRDefault="00166B03" w:rsidP="00D41D57">
      <w:pPr>
        <w:pStyle w:val="Heading2"/>
      </w:pPr>
      <w:bookmarkStart w:id="19" w:name="_Toc218684531"/>
      <w:r w:rsidRPr="00376CC9">
        <w:lastRenderedPageBreak/>
        <w:t>Research Gaps and Future Directions</w:t>
      </w:r>
      <w:bookmarkEnd w:id="19"/>
    </w:p>
    <w:p w14:paraId="3D6B889F" w14:textId="3EDC1E91" w:rsidR="00210FF9" w:rsidRPr="00376CC9" w:rsidRDefault="00210FF9" w:rsidP="001B5232">
      <w:pPr>
        <w:spacing w:before="240"/>
      </w:pPr>
      <w:r w:rsidRPr="00376CC9">
        <w:t>Some crucial research gaps still exist with respect to teamwork and diversity, particularly in consumer services. Firstly, it is observed that almost all research is about more general environments than retailing, without emphasis on real retail environments, in which front-line work, procedural tasks, time constraints, or permanent team arrangements could potentially influence different processes of diversity.</w:t>
      </w:r>
    </w:p>
    <w:p w14:paraId="7C093CFD" w14:textId="59BB7371" w:rsidR="00210FF9" w:rsidRPr="00376CC9" w:rsidRDefault="00210FF9" w:rsidP="001B5232">
      <w:pPr>
        <w:spacing w:before="240"/>
      </w:pPr>
      <w:r w:rsidRPr="00376CC9">
        <w:t>Second, diversity research tends to employ team or organization-level variables, but for retailing, it is important to adopt indicators that are related to operational efficiency, client satisfaction, service, or turnover for better understanding of the influence of diversity on such domains.</w:t>
      </w:r>
    </w:p>
    <w:p w14:paraId="0162C489" w14:textId="07488C12" w:rsidR="00210FF9" w:rsidRPr="00376CC9" w:rsidRDefault="00210FF9" w:rsidP="001B5232">
      <w:pPr>
        <w:spacing w:before="240"/>
      </w:pPr>
      <w:r w:rsidRPr="00376CC9">
        <w:t>Third, the relationship between diversity and performance is not clearly understood in a context or a project-related setting relative to an operational setting. Findings from the meta-analytic research provide trends, though research is required concerning context settings for boundary conditions for specified industries (Okatta et al., 2024; Guillaume et al., 2017; Wallrich et al., 2024).</w:t>
      </w:r>
    </w:p>
    <w:p w14:paraId="1F5ED5C4" w14:textId="05325619" w:rsidR="00210FF9" w:rsidRPr="00376CC9" w:rsidRDefault="00210FF9" w:rsidP="001B5232">
      <w:pPr>
        <w:spacing w:before="240"/>
      </w:pPr>
      <w:r w:rsidRPr="00376CC9">
        <w:t>Fourth, the need for more consideration of interaction effects for diversity dimensions is arising. Instead of individual diversity type variables, researchers study team compositions with various combinations of cognitive, demographic, and functional diversity (Van Knippenberg &amp; Mell, 2016; Bakker et al., 2013).</w:t>
      </w:r>
    </w:p>
    <w:p w14:paraId="3887B2D8" w14:textId="143B7508" w:rsidR="004A31ED" w:rsidRPr="00376CC9" w:rsidRDefault="00210FF9" w:rsidP="001B5232">
      <w:pPr>
        <w:spacing w:before="240"/>
      </w:pPr>
      <w:r w:rsidRPr="00376CC9">
        <w:t>Finally, the theory-measurement divide in diversity research is still not adequately tackled. Notions such as cognitive diversity, absorptive capacity, or inclusion climate are rigorously developed but difficult to operationalize, including using secondary data. Research must connect their work on theory with observable factors while being mindful of measurement constraints.</w:t>
      </w:r>
    </w:p>
    <w:p w14:paraId="69BB16FE" w14:textId="77777777" w:rsidR="0070400A" w:rsidRPr="00376CC9" w:rsidRDefault="0070400A" w:rsidP="001B5232">
      <w:pPr>
        <w:spacing w:before="240" w:after="160"/>
        <w:jc w:val="left"/>
        <w:rPr>
          <w:rFonts w:cs="Times New Roman"/>
        </w:rPr>
      </w:pPr>
      <w:r w:rsidRPr="00376CC9">
        <w:rPr>
          <w:rFonts w:cs="Times New Roman"/>
        </w:rPr>
        <w:br w:type="page"/>
      </w:r>
    </w:p>
    <w:p w14:paraId="496DF96C" w14:textId="77777777" w:rsidR="0070400A" w:rsidRPr="00376CC9" w:rsidRDefault="0070400A" w:rsidP="001B5232">
      <w:pPr>
        <w:pStyle w:val="Heading1"/>
        <w:spacing w:before="240"/>
        <w:rPr>
          <w:rFonts w:cs="Times New Roman"/>
        </w:rPr>
      </w:pPr>
      <w:bookmarkStart w:id="20" w:name="_Toc218684532"/>
      <w:r w:rsidRPr="00376CC9">
        <w:rPr>
          <w:rFonts w:cs="Times New Roman"/>
        </w:rPr>
        <w:lastRenderedPageBreak/>
        <w:t>Chapter 3: Research Methodology</w:t>
      </w:r>
      <w:bookmarkEnd w:id="20"/>
    </w:p>
    <w:p w14:paraId="1B067456" w14:textId="77777777" w:rsidR="0070400A" w:rsidRPr="00376CC9" w:rsidRDefault="0070400A" w:rsidP="001B5232">
      <w:pPr>
        <w:pStyle w:val="Heading2"/>
        <w:spacing w:before="240"/>
        <w:rPr>
          <w:rFonts w:cs="Times New Roman"/>
        </w:rPr>
      </w:pPr>
      <w:bookmarkStart w:id="21" w:name="_Toc218684533"/>
      <w:r w:rsidRPr="00376CC9">
        <w:rPr>
          <w:rFonts w:cs="Times New Roman"/>
        </w:rPr>
        <w:t>3.1 Introduction</w:t>
      </w:r>
      <w:bookmarkEnd w:id="21"/>
    </w:p>
    <w:p w14:paraId="7161F517" w14:textId="77777777" w:rsidR="000E5A42" w:rsidRPr="00376CC9" w:rsidRDefault="0070400A" w:rsidP="001B5232">
      <w:pPr>
        <w:spacing w:before="240"/>
        <w:rPr>
          <w:rFonts w:cs="Times New Roman"/>
        </w:rPr>
      </w:pPr>
      <w:r w:rsidRPr="00376CC9">
        <w:rPr>
          <w:rFonts w:cs="Times New Roman"/>
        </w:rPr>
        <w:t>This chapter outlines the methodology and procedures involved in the evaluation of how diversity metrics in the consumer services teams in the UK will affect the results of projects, in the context of ALDI UK. In the retail sector, due to the constraints in gaining primary corporate data, a secondary data methodology will be implemented to source the relevant corporate data through literature.</w:t>
      </w:r>
      <w:r w:rsidR="000E5A42" w:rsidRPr="00376CC9">
        <w:rPr>
          <w:rFonts w:cs="Times New Roman"/>
        </w:rPr>
        <w:t xml:space="preserve"> Considering the challenges of accessing primary data of corporates within the 12-week timeframe of the dissertation and the complexities of accessing private information of employees, this study adopts a secondary data study methodology. This helps ensure that diversity-performance correlation analysis is carried out using announcements by organizations, despite the limitations of construct measurement using secondary data.</w:t>
      </w:r>
    </w:p>
    <w:p w14:paraId="53E60E02" w14:textId="77777777" w:rsidR="00EE54C8" w:rsidRPr="00376CC9" w:rsidRDefault="00EE54C8" w:rsidP="001B5232">
      <w:pPr>
        <w:spacing w:before="240"/>
        <w:rPr>
          <w:rFonts w:cs="Times New Roman"/>
        </w:rPr>
      </w:pPr>
      <w:r w:rsidRPr="00376CC9">
        <w:rPr>
          <w:rFonts w:cs="Times New Roman"/>
        </w:rPr>
        <w:t xml:space="preserve">This chapter describes the philosophical foundation, methodology, data sources and methods of data collection, analysis procedure, and issues of validity, reliability, and ethics that must be </w:t>
      </w:r>
      <w:proofErr w:type="gramStart"/>
      <w:r w:rsidRPr="00376CC9">
        <w:rPr>
          <w:rFonts w:cs="Times New Roman"/>
        </w:rPr>
        <w:t>taken into account</w:t>
      </w:r>
      <w:proofErr w:type="gramEnd"/>
      <w:r w:rsidRPr="00376CC9">
        <w:rPr>
          <w:rFonts w:cs="Times New Roman"/>
        </w:rPr>
        <w:t xml:space="preserve"> for conducting research using secondary data. This chapter is critical in that it considers, as a critical issue, the difference between theoretical concepts that emerge from the literature review process and the possibility of their measurement using secondary data.</w:t>
      </w:r>
    </w:p>
    <w:p w14:paraId="486CCB01" w14:textId="77777777" w:rsidR="0070400A" w:rsidRPr="00376CC9" w:rsidRDefault="0070400A" w:rsidP="001B5232">
      <w:pPr>
        <w:spacing w:before="240"/>
        <w:rPr>
          <w:rFonts w:cs="Times New Roman"/>
        </w:rPr>
      </w:pPr>
    </w:p>
    <w:p w14:paraId="10B4CF9D" w14:textId="77777777" w:rsidR="0070400A" w:rsidRPr="00376CC9" w:rsidRDefault="0070400A" w:rsidP="001B5232">
      <w:pPr>
        <w:spacing w:before="240"/>
        <w:rPr>
          <w:rFonts w:cs="Times New Roman"/>
        </w:rPr>
      </w:pPr>
      <w:r w:rsidRPr="00376CC9">
        <w:rPr>
          <w:rFonts w:cs="Times New Roman"/>
        </w:rPr>
        <w:t>The scale and manner of reportage in the study fit the intentions of examining the relationship between diversity dimensions and performance indicators in the corporate sector, providing recommendations on how to manage diversity in teams in the complex consumer services sector. The chapter further outlines the philosophical grounding, conceptualization of the methodology, sources, and procedures of gathering data, implementation of the methodology, and addressing validity, reliability, and ethics in the use of secondary data.</w:t>
      </w:r>
    </w:p>
    <w:p w14:paraId="038D833E" w14:textId="77777777" w:rsidR="0070400A" w:rsidRPr="00376CC9" w:rsidRDefault="0070400A" w:rsidP="001B5232">
      <w:pPr>
        <w:spacing w:before="240"/>
        <w:rPr>
          <w:rFonts w:cs="Times New Roman"/>
        </w:rPr>
      </w:pPr>
    </w:p>
    <w:p w14:paraId="66F0A6C1" w14:textId="77777777" w:rsidR="0070400A" w:rsidRPr="00376CC9" w:rsidRDefault="0070400A" w:rsidP="001B5232">
      <w:pPr>
        <w:pStyle w:val="Heading2"/>
        <w:spacing w:before="240"/>
        <w:rPr>
          <w:rFonts w:cs="Times New Roman"/>
        </w:rPr>
      </w:pPr>
      <w:bookmarkStart w:id="22" w:name="_Toc218684534"/>
      <w:r w:rsidRPr="00376CC9">
        <w:rPr>
          <w:rFonts w:cs="Times New Roman"/>
        </w:rPr>
        <w:lastRenderedPageBreak/>
        <w:t>3.2 Research Philosophy and Approach</w:t>
      </w:r>
      <w:bookmarkEnd w:id="22"/>
    </w:p>
    <w:p w14:paraId="11BE5722" w14:textId="77777777" w:rsidR="00EE54C8" w:rsidRPr="00376CC9" w:rsidRDefault="00EE54C8" w:rsidP="001B5232">
      <w:pPr>
        <w:spacing w:before="240"/>
        <w:rPr>
          <w:rFonts w:cs="Times New Roman"/>
        </w:rPr>
      </w:pPr>
      <w:r w:rsidRPr="00376CC9">
        <w:rPr>
          <w:rFonts w:cs="Times New Roman"/>
        </w:rPr>
        <w:t>This research takes a critical realist philosophical approach, acknowledging the existence of objective facts about organizations in terms of diversity data and performance, but also understanding that any knowledge of these objective facts is filtered by reporting practices, methodologies of measurement, and decision-making related to what is disclosed. Critical realism is appropriate for this research because it accepts the existence of stratified reality with layers that include what is real (the diversity-performance relationship), what is actual (things that happen in the organization), and what is empirical (that which is knowable through what is revealed by the firm). This philosophical approach goes one step past naive realism’s acceptance of direct access to objective truth while still accepting the need for systematic empirical research independent of constructivist approaches.</w:t>
      </w:r>
    </w:p>
    <w:p w14:paraId="174FDDFF" w14:textId="77777777" w:rsidR="00EE54C8" w:rsidRPr="00376CC9" w:rsidRDefault="00EE54C8" w:rsidP="001B5232">
      <w:pPr>
        <w:spacing w:before="240"/>
        <w:rPr>
          <w:rFonts w:cs="Times New Roman"/>
        </w:rPr>
      </w:pPr>
    </w:p>
    <w:p w14:paraId="4E216E2B" w14:textId="77777777" w:rsidR="00EE54C8" w:rsidRPr="00376CC9" w:rsidRDefault="00EE54C8" w:rsidP="001B5232">
      <w:pPr>
        <w:spacing w:before="240"/>
        <w:rPr>
          <w:rFonts w:cs="Times New Roman"/>
        </w:rPr>
      </w:pPr>
      <w:r w:rsidRPr="00376CC9">
        <w:rPr>
          <w:rFonts w:cs="Times New Roman"/>
        </w:rPr>
        <w:t>This critical realist perspective is aware that company disclosures are necessarily imperfect representations of organizational reality. Therefore, it is important for the analysis of the secondary data that the information documented is viewed with philosophical nuance, taken together through a triangulation process that is also mindful of the fact that empirical indicators are necessarily imperfect proxies for theoretical constructs that are not capable of direct measurement through the company disclosures. This philosophical position is clearly cognizant of the issues of measurement validity presented in the literature review with respect to cognitive diversity, inclusion climate, or team performance.</w:t>
      </w:r>
    </w:p>
    <w:p w14:paraId="691C91AF" w14:textId="77777777" w:rsidR="00EE54C8" w:rsidRPr="00376CC9" w:rsidRDefault="00EE54C8" w:rsidP="001B5232">
      <w:pPr>
        <w:spacing w:before="240"/>
        <w:rPr>
          <w:rFonts w:cs="Times New Roman"/>
        </w:rPr>
      </w:pPr>
    </w:p>
    <w:p w14:paraId="29EE64A8" w14:textId="738C5803" w:rsidR="0070400A" w:rsidRPr="00376CC9" w:rsidRDefault="00EE54C8" w:rsidP="001B5232">
      <w:pPr>
        <w:spacing w:before="240"/>
        <w:rPr>
          <w:rFonts w:cs="Times New Roman"/>
        </w:rPr>
      </w:pPr>
      <w:r w:rsidRPr="00376CC9">
        <w:rPr>
          <w:rFonts w:cs="Times New Roman"/>
        </w:rPr>
        <w:t xml:space="preserve">The pragmatic aspect of research philosophy accepts that methodologies must comply with research questions and resource availability, as opposed to being driven by research philosophical dictates. The dissertation research realities of limited time, limited access to company data, and research ethics related to sensitive company data about employees make it imperative that research ideals be adapted pragmatically to what is research-ably possible within certain constraints to still provide effective research insights. The pragmatism of research methodology is that the use of secondary data research methodology is not inferior to primary data collection methodology but is </w:t>
      </w:r>
      <w:r w:rsidRPr="00376CC9">
        <w:rPr>
          <w:rFonts w:cs="Times New Roman"/>
        </w:rPr>
        <w:lastRenderedPageBreak/>
        <w:t>correctly suited to the research objectives of studying the relationship between diversity and company performance in a retail setting with little research data having yet been gathered.</w:t>
      </w:r>
    </w:p>
    <w:p w14:paraId="2E25E8A8" w14:textId="77777777" w:rsidR="0070400A" w:rsidRPr="00376CC9" w:rsidRDefault="0070400A" w:rsidP="001B5232">
      <w:pPr>
        <w:spacing w:before="240"/>
        <w:rPr>
          <w:rFonts w:cs="Times New Roman"/>
        </w:rPr>
      </w:pPr>
    </w:p>
    <w:p w14:paraId="39985627" w14:textId="5A2CDF87" w:rsidR="0070400A" w:rsidRPr="00376CC9" w:rsidRDefault="0070400A" w:rsidP="001B5232">
      <w:pPr>
        <w:spacing w:before="240"/>
        <w:rPr>
          <w:rFonts w:cs="Times New Roman"/>
        </w:rPr>
      </w:pPr>
      <w:r w:rsidRPr="00376CC9">
        <w:rPr>
          <w:rFonts w:cs="Times New Roman"/>
        </w:rPr>
        <w:t>The approach to the research encompasses a large degree of description and explication. The description part of the issue is based on the recording of the diversity structure and the performance of ALDI, while the explication section aims to find the mechanisms that relate diversity to the performance of the organization through the application of the framework designed in the literature review, involving the functions of trust and absorbing capacity illustrated by Mata et al. and Shore et al., 2021.</w:t>
      </w:r>
    </w:p>
    <w:p w14:paraId="6B1AD264" w14:textId="77777777" w:rsidR="0070400A" w:rsidRPr="00376CC9" w:rsidRDefault="0070400A" w:rsidP="001B5232">
      <w:pPr>
        <w:spacing w:before="240"/>
        <w:rPr>
          <w:rFonts w:cs="Times New Roman"/>
        </w:rPr>
      </w:pPr>
    </w:p>
    <w:p w14:paraId="242DD6D5" w14:textId="068811AB" w:rsidR="0070400A" w:rsidRPr="00376CC9" w:rsidRDefault="0070400A" w:rsidP="001B5232">
      <w:pPr>
        <w:spacing w:before="240"/>
        <w:rPr>
          <w:rFonts w:cs="Times New Roman"/>
        </w:rPr>
      </w:pPr>
      <w:r w:rsidRPr="00376CC9">
        <w:rPr>
          <w:rFonts w:cs="Times New Roman"/>
        </w:rPr>
        <w:t>Through this combined descriptor-explanatory methodology, the study will be able to both describe the current diversity management practice at ALDI and provide theoretically informed explanations for the impacts of diversity on performance results in the consumer services sector in a way that is well informed by the contingent and organic view of diversity effects that is highlighted in the focus and results of the meta-analysis carried out by Wallrich et al., 2024.</w:t>
      </w:r>
    </w:p>
    <w:p w14:paraId="0D9779DB" w14:textId="77777777" w:rsidR="0070400A" w:rsidRPr="00376CC9" w:rsidRDefault="0070400A" w:rsidP="001B5232">
      <w:pPr>
        <w:spacing w:before="240"/>
        <w:rPr>
          <w:rFonts w:cs="Times New Roman"/>
        </w:rPr>
      </w:pPr>
    </w:p>
    <w:p w14:paraId="072A7D2F" w14:textId="77777777" w:rsidR="0070400A" w:rsidRPr="00376CC9" w:rsidRDefault="0070400A" w:rsidP="001B5232">
      <w:pPr>
        <w:pStyle w:val="Heading2"/>
        <w:spacing w:before="240"/>
        <w:rPr>
          <w:rFonts w:cs="Times New Roman"/>
        </w:rPr>
      </w:pPr>
      <w:bookmarkStart w:id="23" w:name="_Toc218684535"/>
      <w:r w:rsidRPr="00376CC9">
        <w:rPr>
          <w:rFonts w:cs="Times New Roman"/>
        </w:rPr>
        <w:t>3.3 Research Design</w:t>
      </w:r>
      <w:bookmarkEnd w:id="23"/>
    </w:p>
    <w:p w14:paraId="04113783" w14:textId="77777777" w:rsidR="0070400A" w:rsidRPr="00376CC9" w:rsidRDefault="0070400A" w:rsidP="001B5232">
      <w:pPr>
        <w:spacing w:before="240"/>
        <w:rPr>
          <w:rFonts w:cs="Times New Roman"/>
        </w:rPr>
      </w:pPr>
      <w:r w:rsidRPr="00376CC9">
        <w:rPr>
          <w:rFonts w:cs="Times New Roman"/>
        </w:rPr>
        <w:t>The current project utilizes a case study research design in its focus on ALDI UK as a revelatory case in the consumer services sector in the UK. The choice of a case study design is rooted in its suitability in developing a deep and contextual understanding of complex phenomena in organization studies, in keeping with the theme of the literature review that accentuates the importance of contextual diversity effects. ALDI UK is an appropriate case to be selected because it has the attributes of a large discount supermarket chain functioning in a competitive consumer services sector, a multicultural work environment typical of the diversity in the UK, a flat organizational structure and a results-driven work ethos that might affect the project outcome diversity impacts, and a commitment to diversity and inclusion programs making available a rich source of documentary information.</w:t>
      </w:r>
    </w:p>
    <w:p w14:paraId="238B625A" w14:textId="77777777" w:rsidR="0070400A" w:rsidRPr="00376CC9" w:rsidRDefault="0070400A" w:rsidP="001B5232">
      <w:pPr>
        <w:spacing w:before="240"/>
        <w:rPr>
          <w:rFonts w:cs="Times New Roman"/>
        </w:rPr>
      </w:pPr>
    </w:p>
    <w:p w14:paraId="3548CE4B" w14:textId="77777777" w:rsidR="0070400A" w:rsidRPr="00376CC9" w:rsidRDefault="0070400A" w:rsidP="001B5232">
      <w:pPr>
        <w:spacing w:before="240"/>
        <w:rPr>
          <w:rFonts w:cs="Times New Roman"/>
        </w:rPr>
      </w:pPr>
      <w:r w:rsidRPr="00376CC9">
        <w:rPr>
          <w:rFonts w:cs="Times New Roman"/>
        </w:rPr>
        <w:t>The design for the collection of the secondary data in the current study is very suitable in the light of several practical and ethical realities. Firstly, gaining access to the internal project and employee data of a large retail company such as ALDI for a university-level project in a short period of 12 weeks would be immensely difficult and time-consuming with no guaranteed results. Secondly, the collection of data in the current study avoids the numerous ethical issues involved in gaining access to the confidential employee and project data of an organization such as ALDI due to competitive issues.</w:t>
      </w:r>
    </w:p>
    <w:p w14:paraId="451EE48B" w14:textId="77777777" w:rsidR="0070400A" w:rsidRPr="00376CC9" w:rsidRDefault="0070400A" w:rsidP="001B5232">
      <w:pPr>
        <w:spacing w:before="240"/>
        <w:rPr>
          <w:rFonts w:cs="Times New Roman"/>
        </w:rPr>
      </w:pPr>
    </w:p>
    <w:p w14:paraId="4D328568" w14:textId="77777777" w:rsidR="0070400A" w:rsidRPr="00376CC9" w:rsidRDefault="0070400A" w:rsidP="001B5232">
      <w:pPr>
        <w:spacing w:before="240"/>
        <w:rPr>
          <w:rFonts w:cs="Times New Roman"/>
        </w:rPr>
      </w:pPr>
      <w:r w:rsidRPr="00376CC9">
        <w:rPr>
          <w:rFonts w:cs="Times New Roman"/>
        </w:rPr>
        <w:t>Thirdly, conducting an analysis of the secondary data allows the trends in the diversity strategies and performances to be analysed across several years because it is impossible to accomplish through the gathering of the primary data through the methods of the project, such as conducting interviews and surveys. Finally, the sheer amount of publicly available corporate data offers a robust source to provide the answers to the observations made in the project.</w:t>
      </w:r>
    </w:p>
    <w:p w14:paraId="2634C99D" w14:textId="77777777" w:rsidR="0070400A" w:rsidRPr="00376CC9" w:rsidRDefault="0070400A" w:rsidP="001B5232">
      <w:pPr>
        <w:spacing w:before="240"/>
        <w:rPr>
          <w:rFonts w:cs="Times New Roman"/>
        </w:rPr>
      </w:pPr>
    </w:p>
    <w:p w14:paraId="0161C205" w14:textId="77777777" w:rsidR="004403E1" w:rsidRPr="00376CC9" w:rsidRDefault="004403E1" w:rsidP="001B5232">
      <w:pPr>
        <w:spacing w:before="240"/>
        <w:rPr>
          <w:rFonts w:cs="Times New Roman"/>
          <w:b/>
          <w:bCs/>
        </w:rPr>
      </w:pPr>
      <w:r w:rsidRPr="00376CC9">
        <w:rPr>
          <w:rFonts w:cs="Times New Roman"/>
          <w:b/>
          <w:bCs/>
        </w:rPr>
        <w:t>Case Selection Rationale</w:t>
      </w:r>
    </w:p>
    <w:p w14:paraId="1E5CEC9F" w14:textId="77777777" w:rsidR="004403E1" w:rsidRPr="00376CC9" w:rsidRDefault="004403E1" w:rsidP="001B5232">
      <w:pPr>
        <w:spacing w:before="240"/>
        <w:rPr>
          <w:rFonts w:cs="Times New Roman"/>
        </w:rPr>
      </w:pPr>
      <w:r w:rsidRPr="00376CC9">
        <w:rPr>
          <w:rFonts w:cs="Times New Roman"/>
          <w:b/>
          <w:bCs/>
        </w:rPr>
        <w:t xml:space="preserve">Industry Representativeness: </w:t>
      </w:r>
      <w:r w:rsidRPr="00376CC9">
        <w:rPr>
          <w:rFonts w:cs="Times New Roman"/>
        </w:rPr>
        <w:t>ALDI is an established discount retailer in the UK with a high-volume, efficiency-oriented, and price-competitive industry. This setting is relevant for studying diversity in operational scenarios, in addition to fulfilling research gaps in consumer services literature (Patrício &amp; Franco, 2022).</w:t>
      </w:r>
    </w:p>
    <w:p w14:paraId="6DEE4915" w14:textId="77777777" w:rsidR="004403E1" w:rsidRPr="00376CC9" w:rsidRDefault="004403E1" w:rsidP="001B5232">
      <w:pPr>
        <w:spacing w:before="240"/>
        <w:rPr>
          <w:rFonts w:cs="Times New Roman"/>
        </w:rPr>
      </w:pPr>
    </w:p>
    <w:p w14:paraId="69768E3E" w14:textId="77777777" w:rsidR="004403E1" w:rsidRPr="00376CC9" w:rsidRDefault="004403E1" w:rsidP="001B5232">
      <w:pPr>
        <w:spacing w:before="240"/>
        <w:rPr>
          <w:rFonts w:cs="Times New Roman"/>
        </w:rPr>
      </w:pPr>
      <w:r w:rsidRPr="00376CC9">
        <w:rPr>
          <w:rFonts w:cs="Times New Roman"/>
          <w:b/>
          <w:bCs/>
        </w:rPr>
        <w:t>Workforce Diversity:</w:t>
      </w:r>
      <w:r w:rsidRPr="00376CC9">
        <w:rPr>
          <w:rFonts w:cs="Times New Roman"/>
        </w:rPr>
        <w:t xml:space="preserve"> Additionally, with 1,000+ stores and 40,000+ employees, the organization's workforce is represented demographically in the UK, allowing for effective analysis of the relationship between demographics and business outcomes.</w:t>
      </w:r>
    </w:p>
    <w:p w14:paraId="043BE06E" w14:textId="77777777" w:rsidR="004403E1" w:rsidRPr="00376CC9" w:rsidRDefault="004403E1" w:rsidP="001B5232">
      <w:pPr>
        <w:spacing w:before="240"/>
        <w:rPr>
          <w:rFonts w:cs="Times New Roman"/>
        </w:rPr>
      </w:pPr>
    </w:p>
    <w:p w14:paraId="081D91C3" w14:textId="77777777" w:rsidR="004403E1" w:rsidRPr="00376CC9" w:rsidRDefault="004403E1" w:rsidP="001B5232">
      <w:pPr>
        <w:spacing w:before="240"/>
        <w:rPr>
          <w:rFonts w:cs="Times New Roman"/>
        </w:rPr>
      </w:pPr>
      <w:r w:rsidRPr="00376CC9">
        <w:rPr>
          <w:rFonts w:cs="Times New Roman"/>
          <w:b/>
          <w:bCs/>
        </w:rPr>
        <w:lastRenderedPageBreak/>
        <w:t xml:space="preserve">Organizational Characteristics: </w:t>
      </w:r>
      <w:r w:rsidRPr="00376CC9">
        <w:rPr>
          <w:rFonts w:cs="Times New Roman"/>
        </w:rPr>
        <w:t>ALDI’S flat, results-oriented organization with respect to efficiency/standardization is clearly a unique setting for diversity practices. This allows ascertaining the relevance of project-based diversity research results for retail business.</w:t>
      </w:r>
    </w:p>
    <w:p w14:paraId="716DA959" w14:textId="77777777" w:rsidR="004403E1" w:rsidRPr="00376CC9" w:rsidRDefault="004403E1" w:rsidP="001B5232">
      <w:pPr>
        <w:spacing w:before="240"/>
        <w:rPr>
          <w:rFonts w:cs="Times New Roman"/>
        </w:rPr>
      </w:pPr>
    </w:p>
    <w:p w14:paraId="1706AE6D" w14:textId="77777777" w:rsidR="004403E1" w:rsidRPr="00376CC9" w:rsidRDefault="004403E1" w:rsidP="001B5232">
      <w:pPr>
        <w:spacing w:before="240"/>
        <w:rPr>
          <w:rFonts w:cs="Times New Roman"/>
        </w:rPr>
      </w:pPr>
      <w:r w:rsidRPr="00376CC9">
        <w:rPr>
          <w:rFonts w:cs="Times New Roman"/>
          <w:b/>
          <w:bCs/>
        </w:rPr>
        <w:t xml:space="preserve">Data Availability: </w:t>
      </w:r>
      <w:r w:rsidRPr="00376CC9">
        <w:rPr>
          <w:rFonts w:cs="Times New Roman"/>
        </w:rPr>
        <w:t>Being a large employer that is regulated with CSR reporting, ALDI provides more data for the analysis of secondary data in comparison to small retail businesses, but still less information than primary data.</w:t>
      </w:r>
    </w:p>
    <w:p w14:paraId="765E3F12" w14:textId="77777777" w:rsidR="004403E1" w:rsidRPr="00376CC9" w:rsidRDefault="004403E1" w:rsidP="001B5232">
      <w:pPr>
        <w:spacing w:before="240"/>
        <w:rPr>
          <w:rFonts w:cs="Times New Roman"/>
        </w:rPr>
      </w:pPr>
    </w:p>
    <w:p w14:paraId="18A68D94" w14:textId="77777777" w:rsidR="004403E1" w:rsidRPr="00376CC9" w:rsidRDefault="004403E1" w:rsidP="001B5232">
      <w:pPr>
        <w:spacing w:before="240"/>
        <w:rPr>
          <w:rFonts w:cs="Times New Roman"/>
          <w:b/>
          <w:bCs/>
        </w:rPr>
      </w:pPr>
      <w:r w:rsidRPr="00376CC9">
        <w:rPr>
          <w:rFonts w:cs="Times New Roman"/>
          <w:b/>
          <w:bCs/>
        </w:rPr>
        <w:t xml:space="preserve">Diversity Management Commitment: </w:t>
      </w:r>
      <w:r w:rsidRPr="00376CC9">
        <w:rPr>
          <w:rFonts w:cs="Times New Roman"/>
        </w:rPr>
        <w:t>Concerns about public commitments to diversity, employee resource groups, and related programs suggest that diversity management is organizationally visible, implying that the association between diversity and performance is more likely to be shaped by internally oriented practices.</w:t>
      </w:r>
    </w:p>
    <w:p w14:paraId="489219F1" w14:textId="77777777" w:rsidR="004403E1" w:rsidRPr="00376CC9" w:rsidRDefault="004403E1" w:rsidP="001B5232">
      <w:pPr>
        <w:spacing w:before="240"/>
        <w:rPr>
          <w:rFonts w:cs="Times New Roman"/>
        </w:rPr>
      </w:pPr>
    </w:p>
    <w:p w14:paraId="27FA0EB7" w14:textId="77777777" w:rsidR="004403E1" w:rsidRPr="00376CC9" w:rsidRDefault="004403E1" w:rsidP="001B5232">
      <w:pPr>
        <w:spacing w:before="240"/>
        <w:rPr>
          <w:rFonts w:cs="Times New Roman"/>
          <w:b/>
          <w:bCs/>
        </w:rPr>
      </w:pPr>
      <w:r w:rsidRPr="00376CC9">
        <w:rPr>
          <w:rFonts w:cs="Times New Roman"/>
          <w:b/>
          <w:bCs/>
        </w:rPr>
        <w:t>Boundary Conditions and Limitations</w:t>
      </w:r>
    </w:p>
    <w:p w14:paraId="3F1345FE" w14:textId="77777777" w:rsidR="004403E1" w:rsidRPr="00376CC9" w:rsidRDefault="004403E1" w:rsidP="001B5232">
      <w:pPr>
        <w:spacing w:before="240"/>
        <w:rPr>
          <w:rFonts w:cs="Times New Roman"/>
        </w:rPr>
      </w:pPr>
      <w:r w:rsidRPr="00376CC9">
        <w:rPr>
          <w:rFonts w:cs="Times New Roman"/>
        </w:rPr>
        <w:t xml:space="preserve">Boundary conditions A drawback of the single-case design is that it does not generalize well to other companies besides ALDI UK. It is still possible to generalize theoretically by investigating if the patterns found in ALDI are consistent with the established mechanisms of trust, communication, or inclusion. </w:t>
      </w:r>
    </w:p>
    <w:p w14:paraId="6170EE00" w14:textId="77777777" w:rsidR="004403E1" w:rsidRPr="00376CC9" w:rsidRDefault="004403E1" w:rsidP="001B5232">
      <w:pPr>
        <w:spacing w:before="240"/>
        <w:rPr>
          <w:rFonts w:cs="Times New Roman"/>
          <w:b/>
          <w:bCs/>
        </w:rPr>
      </w:pPr>
    </w:p>
    <w:p w14:paraId="44674FD7" w14:textId="77777777" w:rsidR="004403E1" w:rsidRPr="00376CC9" w:rsidRDefault="004403E1" w:rsidP="001B5232">
      <w:pPr>
        <w:spacing w:before="240"/>
        <w:rPr>
          <w:rFonts w:cs="Times New Roman"/>
          <w:b/>
          <w:bCs/>
        </w:rPr>
      </w:pPr>
      <w:r w:rsidRPr="00376CC9">
        <w:rPr>
          <w:rFonts w:cs="Times New Roman"/>
          <w:b/>
          <w:bCs/>
        </w:rPr>
        <w:t>Secondary Data Rationale</w:t>
      </w:r>
    </w:p>
    <w:p w14:paraId="4A6EBCC7" w14:textId="77777777" w:rsidR="004403E1" w:rsidRPr="00376CC9" w:rsidRDefault="004403E1" w:rsidP="001B5232">
      <w:pPr>
        <w:spacing w:before="240"/>
        <w:rPr>
          <w:rFonts w:cs="Times New Roman"/>
        </w:rPr>
      </w:pPr>
      <w:r w:rsidRPr="00376CC9">
        <w:rPr>
          <w:rFonts w:cs="Times New Roman"/>
        </w:rPr>
        <w:t>There is Practical Feasibility It is impractical to access internal data at ALDI for a 12-week dissertation; therefore, using secondary data is effective for analysis. Ethical Considerations Primary data about employees would pose concerns about confidentiality and risk of competition. Secondary data, which is public, does not pose such issues. Temporal Breadth Data from 2018-</w:t>
      </w:r>
      <w:r w:rsidRPr="00376CC9">
        <w:rPr>
          <w:rFonts w:cs="Times New Roman"/>
        </w:rPr>
        <w:lastRenderedPageBreak/>
        <w:t xml:space="preserve">2024 allows longitudinal study to monitor trends of diversity and performance, dealing with issues of longitudinal diversity effects (Bakker et al., 2013). </w:t>
      </w:r>
    </w:p>
    <w:p w14:paraId="182BFE3A" w14:textId="77777777" w:rsidR="004403E1" w:rsidRPr="00376CC9" w:rsidRDefault="004403E1" w:rsidP="001B5232">
      <w:pPr>
        <w:spacing w:before="240"/>
        <w:rPr>
          <w:rFonts w:cs="Times New Roman"/>
          <w:b/>
          <w:bCs/>
        </w:rPr>
      </w:pPr>
    </w:p>
    <w:p w14:paraId="154CF7AF" w14:textId="44C6C2CD" w:rsidR="004403E1" w:rsidRPr="00376CC9" w:rsidRDefault="004403E1" w:rsidP="001B5232">
      <w:pPr>
        <w:spacing w:before="240"/>
        <w:rPr>
          <w:rFonts w:cs="Times New Roman"/>
        </w:rPr>
      </w:pPr>
      <w:r w:rsidRPr="00376CC9">
        <w:rPr>
          <w:rFonts w:cs="Times New Roman"/>
          <w:b/>
          <w:bCs/>
        </w:rPr>
        <w:t>Construct Validity:</w:t>
      </w:r>
      <w:r w:rsidRPr="00376CC9">
        <w:rPr>
          <w:rFonts w:cs="Times New Roman"/>
        </w:rPr>
        <w:t xml:space="preserve"> A major constraint is constructing validity. We tackle this by defining constructs clearly and defining what their proxies should be (Section 3.5).</w:t>
      </w:r>
    </w:p>
    <w:p w14:paraId="1EA0296B" w14:textId="77777777" w:rsidR="004403E1" w:rsidRPr="00376CC9" w:rsidRDefault="004403E1" w:rsidP="001B5232">
      <w:pPr>
        <w:spacing w:before="240"/>
        <w:rPr>
          <w:rFonts w:cs="Times New Roman"/>
        </w:rPr>
      </w:pPr>
    </w:p>
    <w:p w14:paraId="522755EA" w14:textId="77777777" w:rsidR="0070400A" w:rsidRPr="00376CC9" w:rsidRDefault="0070400A" w:rsidP="001B5232">
      <w:pPr>
        <w:spacing w:before="240"/>
        <w:rPr>
          <w:rFonts w:cs="Times New Roman"/>
        </w:rPr>
      </w:pPr>
      <w:r w:rsidRPr="00376CC9">
        <w:rPr>
          <w:rFonts w:cs="Times New Roman"/>
        </w:rPr>
        <w:t>The case study structure involving the collection of secondary data allows for a comprehensive investigation of the diversity-performance relationships present within ALDI UK, taking into consideration the shortcomings of making assumptions based solely on publicly reported information. The structure allows for a comparison to be made across various periods and against sector averages, thus aiding in the description and explanatory investigation of the diversity mechanisms outlined in the theoretical framework. The structure accepts the fact that the results will be specific to ALDI UK and the retail consumer services sector.</w:t>
      </w:r>
    </w:p>
    <w:p w14:paraId="4A17CF98" w14:textId="77777777" w:rsidR="0070400A" w:rsidRPr="00376CC9" w:rsidRDefault="0070400A" w:rsidP="001B5232">
      <w:pPr>
        <w:spacing w:before="240"/>
        <w:rPr>
          <w:rFonts w:cs="Times New Roman"/>
        </w:rPr>
      </w:pPr>
    </w:p>
    <w:p w14:paraId="0E83CF0A" w14:textId="77777777" w:rsidR="0070400A" w:rsidRPr="00376CC9" w:rsidRDefault="0070400A" w:rsidP="001B5232">
      <w:pPr>
        <w:pStyle w:val="Heading2"/>
        <w:spacing w:before="240"/>
        <w:rPr>
          <w:rFonts w:cs="Times New Roman"/>
        </w:rPr>
      </w:pPr>
      <w:bookmarkStart w:id="24" w:name="_Toc218684536"/>
      <w:r w:rsidRPr="00376CC9">
        <w:rPr>
          <w:rFonts w:cs="Times New Roman"/>
        </w:rPr>
        <w:t>3.4 Data Sources and Data Collection</w:t>
      </w:r>
      <w:bookmarkEnd w:id="24"/>
    </w:p>
    <w:p w14:paraId="71AA7DC8" w14:textId="77777777" w:rsidR="0070400A" w:rsidRPr="00376CC9" w:rsidRDefault="0070400A" w:rsidP="001B5232">
      <w:pPr>
        <w:spacing w:before="240"/>
        <w:rPr>
          <w:rFonts w:cs="Times New Roman"/>
        </w:rPr>
      </w:pPr>
      <w:proofErr w:type="gramStart"/>
      <w:r w:rsidRPr="00376CC9">
        <w:rPr>
          <w:rFonts w:cs="Times New Roman"/>
        </w:rPr>
        <w:t>For the purpose of</w:t>
      </w:r>
      <w:proofErr w:type="gramEnd"/>
      <w:r w:rsidRPr="00376CC9">
        <w:rPr>
          <w:rFonts w:cs="Times New Roman"/>
        </w:rPr>
        <w:t xml:space="preserve"> this study, </w:t>
      </w:r>
      <w:proofErr w:type="gramStart"/>
      <w:r w:rsidRPr="00376CC9">
        <w:rPr>
          <w:rFonts w:cs="Times New Roman"/>
        </w:rPr>
        <w:t>a number of</w:t>
      </w:r>
      <w:proofErr w:type="gramEnd"/>
      <w:r w:rsidRPr="00376CC9">
        <w:rPr>
          <w:rFonts w:cs="Times New Roman"/>
        </w:rPr>
        <w:t xml:space="preserve"> secondary sources will be explored to gain an in-depth insight into diversity and performance in ALDI UK. The sources include ALDI UK company reports, namely the annual report, Corporate Social Responsibility report, Environmental, Social and Governance report, and people and workplace culture reports, spanning the years 2018 to 2024.</w:t>
      </w:r>
    </w:p>
    <w:p w14:paraId="34A868FA" w14:textId="77777777" w:rsidR="0070400A" w:rsidRPr="00376CC9" w:rsidRDefault="0070400A" w:rsidP="001B5232">
      <w:pPr>
        <w:spacing w:before="240"/>
        <w:rPr>
          <w:rFonts w:cs="Times New Roman"/>
        </w:rPr>
      </w:pPr>
    </w:p>
    <w:p w14:paraId="3BD01A75" w14:textId="77777777" w:rsidR="0070400A" w:rsidRPr="00376CC9" w:rsidRDefault="0070400A" w:rsidP="001B5232">
      <w:pPr>
        <w:spacing w:before="240"/>
        <w:rPr>
          <w:rFonts w:cs="Times New Roman"/>
        </w:rPr>
      </w:pPr>
      <w:r w:rsidRPr="00376CC9">
        <w:rPr>
          <w:rFonts w:cs="Times New Roman"/>
        </w:rPr>
        <w:t>Apart from the forgoing sources, the diversity and inclusion policies in ALDI across the global and the UK perspective will be investigated to gain insight into the strategic focus and commitment of the company to diversity management.</w:t>
      </w:r>
    </w:p>
    <w:p w14:paraId="3993D9F7" w14:textId="77777777" w:rsidR="0070400A" w:rsidRPr="00376CC9" w:rsidRDefault="0070400A" w:rsidP="001B5232">
      <w:pPr>
        <w:spacing w:before="240"/>
        <w:rPr>
          <w:rFonts w:cs="Times New Roman"/>
        </w:rPr>
      </w:pPr>
    </w:p>
    <w:p w14:paraId="781D9BF0" w14:textId="77777777" w:rsidR="0070400A" w:rsidRPr="00376CC9" w:rsidRDefault="0070400A" w:rsidP="001B5232">
      <w:pPr>
        <w:spacing w:before="240"/>
        <w:rPr>
          <w:rFonts w:cs="Times New Roman"/>
        </w:rPr>
      </w:pPr>
      <w:r w:rsidRPr="00376CC9">
        <w:rPr>
          <w:rFonts w:cs="Times New Roman"/>
        </w:rPr>
        <w:lastRenderedPageBreak/>
        <w:t>Industry reports relating to the retail sector in the UK form the second important source of information, and this information is contained in publications by the Office for National Statistics, Statista, and the British Retail Consortium, in the form of employee demographics and employment in the retail sector, retail performance and consumer trends, and sectoral benchmarking statistics respectively, in addition to the publication of sectoral analyses by market research companies focusing on ALDI’s market standing and performance in comparison to its rivals in the retail sector.</w:t>
      </w:r>
    </w:p>
    <w:p w14:paraId="22F443C5" w14:textId="77777777" w:rsidR="0070400A" w:rsidRPr="00376CC9" w:rsidRDefault="0070400A" w:rsidP="001B5232">
      <w:pPr>
        <w:spacing w:before="240"/>
        <w:rPr>
          <w:rFonts w:cs="Times New Roman"/>
        </w:rPr>
      </w:pPr>
    </w:p>
    <w:p w14:paraId="0FD8A088" w14:textId="77777777" w:rsidR="0070400A" w:rsidRPr="00376CC9" w:rsidRDefault="0070400A" w:rsidP="001B5232">
      <w:pPr>
        <w:spacing w:before="240"/>
        <w:rPr>
          <w:rFonts w:cs="Times New Roman"/>
        </w:rPr>
      </w:pPr>
      <w:r w:rsidRPr="00376CC9">
        <w:rPr>
          <w:rFonts w:cs="Times New Roman"/>
        </w:rPr>
        <w:t xml:space="preserve">"Academic literature related to the context of ALDI, in the form of published case studies, analyses performed in business schools, and published studies concerning the discount retail sector, offers additional insight into the practices and sector dynamics of an organization." Documents such as the gender pay gap report, submitted by organizations in the UK employing more than 250 people, provide standardized information to facilitate comparison across the organization and across </w:t>
      </w:r>
      <w:proofErr w:type="gramStart"/>
      <w:r w:rsidRPr="00376CC9">
        <w:rPr>
          <w:rFonts w:cs="Times New Roman"/>
        </w:rPr>
        <w:t>a period of time</w:t>
      </w:r>
      <w:proofErr w:type="gramEnd"/>
      <w:r w:rsidRPr="00376CC9">
        <w:rPr>
          <w:rFonts w:cs="Times New Roman"/>
        </w:rPr>
        <w:t>.</w:t>
      </w:r>
    </w:p>
    <w:p w14:paraId="04932B38" w14:textId="77777777" w:rsidR="0070400A" w:rsidRPr="00376CC9" w:rsidRDefault="0070400A" w:rsidP="001B5232">
      <w:pPr>
        <w:spacing w:before="240"/>
        <w:rPr>
          <w:rFonts w:cs="Times New Roman"/>
        </w:rPr>
      </w:pPr>
    </w:p>
    <w:p w14:paraId="1CEDC475" w14:textId="77777777" w:rsidR="0070400A" w:rsidRPr="00376CC9" w:rsidRDefault="0070400A" w:rsidP="001B5232">
      <w:pPr>
        <w:spacing w:before="240"/>
        <w:rPr>
          <w:rFonts w:cs="Times New Roman"/>
        </w:rPr>
      </w:pPr>
      <w:r w:rsidRPr="00376CC9">
        <w:rPr>
          <w:rFonts w:cs="Times New Roman"/>
        </w:rPr>
        <w:t>The process of gathering data includes systematic identification and recording procedures. The database search will be conducted through the following terms: "ALDI UK diversity," "ALDI UK work force," "ALDI UK annual report," and "UK discount retail diversity." The inclusion criteria include documents published within the period of 2018 and 2024, documents that refer to ALDI UK and not the global operations of ALDI, and documents that include data regarding the work force, diversity strategies, and the performance of the organization. The results will include published documents only, and the search will be conducted in the following sources: academic databases, corporate websites, and publication repositories in the respective industries.</w:t>
      </w:r>
    </w:p>
    <w:p w14:paraId="6896906C" w14:textId="77777777" w:rsidR="0070400A" w:rsidRPr="00376CC9" w:rsidRDefault="0070400A" w:rsidP="001B5232">
      <w:pPr>
        <w:spacing w:before="240"/>
        <w:rPr>
          <w:rFonts w:cs="Times New Roman"/>
        </w:rPr>
      </w:pPr>
    </w:p>
    <w:p w14:paraId="732F69DB" w14:textId="77777777" w:rsidR="0070400A" w:rsidRPr="00376CC9" w:rsidRDefault="0070400A" w:rsidP="001B5232">
      <w:pPr>
        <w:spacing w:before="240"/>
        <w:rPr>
          <w:rFonts w:cs="Times New Roman"/>
        </w:rPr>
      </w:pPr>
      <w:r w:rsidRPr="00376CC9">
        <w:rPr>
          <w:rFonts w:cs="Times New Roman"/>
        </w:rPr>
        <w:t xml:space="preserve">Exclusion criteria will remove news sources with little substantive data available, documents with a focus on the ALDI supply chain and/or product diversity instead of diversity in the ALDI workforce and documents from sources that fail verification and proper citation. All documents will be catalogued systematically in a document inventory table in a spreadsheet listing title of </w:t>
      </w:r>
      <w:r w:rsidRPr="00376CC9">
        <w:rPr>
          <w:rFonts w:cs="Times New Roman"/>
        </w:rPr>
        <w:lastRenderedPageBreak/>
        <w:t>document, publication date, type of document, important themes, important data points, and where the documents are stored. Electronic copies of the documents will be stored in a designated folder in OneDrive with correct file naming to be easily accessed and referred to later in the process of data analysis.</w:t>
      </w:r>
    </w:p>
    <w:p w14:paraId="7CFCE29A" w14:textId="7F5B37F0" w:rsidR="0070400A" w:rsidRPr="00376CC9" w:rsidRDefault="0070400A" w:rsidP="001B5232">
      <w:pPr>
        <w:spacing w:before="240" w:after="160"/>
        <w:jc w:val="left"/>
        <w:rPr>
          <w:rFonts w:cs="Times New Roman"/>
        </w:rPr>
      </w:pPr>
    </w:p>
    <w:p w14:paraId="0C8E2B74" w14:textId="77777777" w:rsidR="0070400A" w:rsidRPr="00376CC9" w:rsidRDefault="0070400A" w:rsidP="001B5232">
      <w:pPr>
        <w:pStyle w:val="Heading2"/>
        <w:spacing w:before="240"/>
        <w:rPr>
          <w:rFonts w:cs="Times New Roman"/>
        </w:rPr>
      </w:pPr>
      <w:bookmarkStart w:id="25" w:name="_Toc218684537"/>
      <w:r w:rsidRPr="00376CC9">
        <w:rPr>
          <w:rFonts w:cs="Times New Roman"/>
        </w:rPr>
        <w:t>3.5 Operationalisation of Key Constructs</w:t>
      </w:r>
      <w:bookmarkEnd w:id="25"/>
    </w:p>
    <w:p w14:paraId="067179C6" w14:textId="77777777" w:rsidR="004403E1" w:rsidRPr="00376CC9" w:rsidRDefault="004403E1" w:rsidP="001B5232">
      <w:pPr>
        <w:spacing w:before="240"/>
        <w:rPr>
          <w:rFonts w:cs="Times New Roman"/>
          <w:szCs w:val="24"/>
        </w:rPr>
      </w:pPr>
      <w:r w:rsidRPr="00376CC9">
        <w:rPr>
          <w:rFonts w:cs="Times New Roman"/>
          <w:szCs w:val="24"/>
        </w:rPr>
        <w:t>It is the translation of theoretical constructs of the literature review into indicators that could be traced in the data of other studies. It tackles the important issue of distinguishing theoretical constructs from indicators.</w:t>
      </w:r>
    </w:p>
    <w:p w14:paraId="24CE9705" w14:textId="77777777" w:rsidR="004403E1" w:rsidRPr="00376CC9" w:rsidRDefault="004403E1" w:rsidP="001B5232">
      <w:pPr>
        <w:spacing w:before="240"/>
        <w:rPr>
          <w:rFonts w:cs="Times New Roman"/>
          <w:b/>
          <w:bCs/>
          <w:szCs w:val="24"/>
        </w:rPr>
      </w:pPr>
      <w:r w:rsidRPr="00376CC9">
        <w:rPr>
          <w:rFonts w:cs="Times New Roman"/>
          <w:b/>
          <w:bCs/>
          <w:szCs w:val="24"/>
        </w:rPr>
        <w:t>Diversity Dimensions</w:t>
      </w:r>
    </w:p>
    <w:p w14:paraId="462732B2" w14:textId="24846346" w:rsidR="004403E1" w:rsidRPr="00376CC9" w:rsidRDefault="004403E1" w:rsidP="001B5232">
      <w:pPr>
        <w:spacing w:before="240"/>
        <w:rPr>
          <w:rFonts w:cs="Times New Roman"/>
          <w:szCs w:val="24"/>
        </w:rPr>
      </w:pPr>
      <w:r w:rsidRPr="00376CC9">
        <w:rPr>
          <w:rFonts w:cs="Times New Roman"/>
          <w:szCs w:val="24"/>
        </w:rPr>
        <w:t>Demographic Diversity (Directly Measurable)</w:t>
      </w:r>
    </w:p>
    <w:p w14:paraId="68D09EBE" w14:textId="77777777" w:rsidR="004403E1" w:rsidRPr="00376CC9" w:rsidRDefault="004403E1" w:rsidP="001B5232">
      <w:pPr>
        <w:spacing w:before="240"/>
        <w:rPr>
          <w:rFonts w:cs="Times New Roman"/>
          <w:szCs w:val="24"/>
        </w:rPr>
      </w:pPr>
      <w:r w:rsidRPr="00376CC9">
        <w:rPr>
          <w:rFonts w:cs="Times New Roman"/>
          <w:b/>
          <w:bCs/>
          <w:szCs w:val="24"/>
        </w:rPr>
        <w:t>Gender Diversity:</w:t>
      </w:r>
      <w:r w:rsidRPr="00376CC9">
        <w:rPr>
          <w:rFonts w:cs="Times New Roman"/>
          <w:szCs w:val="24"/>
        </w:rPr>
        <w:t xml:space="preserve"> Representation of females/males at various levels of organization; gender wage gap ratio data; representation of leadership roles. These variables measure compositional gender diversity (Van Knippenberg &amp; Mell, 2016).</w:t>
      </w:r>
    </w:p>
    <w:p w14:paraId="2666D530" w14:textId="77777777" w:rsidR="004403E1" w:rsidRPr="00376CC9" w:rsidRDefault="004403E1" w:rsidP="001B5232">
      <w:pPr>
        <w:spacing w:before="240"/>
        <w:rPr>
          <w:rFonts w:cs="Times New Roman"/>
          <w:szCs w:val="24"/>
        </w:rPr>
      </w:pPr>
      <w:r w:rsidRPr="00376CC9">
        <w:rPr>
          <w:rFonts w:cs="Times New Roman"/>
          <w:b/>
          <w:bCs/>
          <w:szCs w:val="24"/>
        </w:rPr>
        <w:t>Ethnic/National Diversity:</w:t>
      </w:r>
      <w:r w:rsidRPr="00376CC9">
        <w:rPr>
          <w:rFonts w:cs="Times New Roman"/>
          <w:szCs w:val="24"/>
        </w:rPr>
        <w:t xml:space="preserve"> Percentage distribution by ethnic group where divulged; indicators of national diversity; descriptions of multicultural workforce. Weakness: Temporally incomplete data through voluntary reporting in the UK.</w:t>
      </w:r>
    </w:p>
    <w:p w14:paraId="520D5712" w14:textId="77777777" w:rsidR="004403E1" w:rsidRPr="00376CC9" w:rsidRDefault="004403E1" w:rsidP="001B5232">
      <w:pPr>
        <w:spacing w:before="240"/>
        <w:rPr>
          <w:rFonts w:cs="Times New Roman"/>
          <w:szCs w:val="24"/>
        </w:rPr>
      </w:pPr>
      <w:r w:rsidRPr="00376CC9">
        <w:rPr>
          <w:rFonts w:cs="Times New Roman"/>
          <w:b/>
          <w:bCs/>
          <w:szCs w:val="24"/>
        </w:rPr>
        <w:t>Age Diversity:</w:t>
      </w:r>
      <w:r w:rsidRPr="00376CC9">
        <w:rPr>
          <w:rFonts w:cs="Times New Roman"/>
          <w:szCs w:val="24"/>
        </w:rPr>
        <w:t xml:space="preserve"> Generation breakdowns; average age of employees if data is available. Limitation: Less often shared than gender information.</w:t>
      </w:r>
    </w:p>
    <w:p w14:paraId="64D23610" w14:textId="77777777" w:rsidR="004403E1" w:rsidRPr="00376CC9" w:rsidRDefault="004403E1" w:rsidP="001B5232">
      <w:pPr>
        <w:spacing w:before="240"/>
        <w:rPr>
          <w:rFonts w:cs="Times New Roman"/>
          <w:szCs w:val="24"/>
        </w:rPr>
      </w:pPr>
      <w:r w:rsidRPr="00376CC9">
        <w:rPr>
          <w:rFonts w:cs="Times New Roman"/>
          <w:b/>
          <w:bCs/>
          <w:szCs w:val="24"/>
        </w:rPr>
        <w:t>Employment Status Diversity:</w:t>
      </w:r>
      <w:r w:rsidRPr="00376CC9">
        <w:rPr>
          <w:rFonts w:cs="Times New Roman"/>
          <w:szCs w:val="24"/>
        </w:rPr>
        <w:t xml:space="preserve"> Ratios of full-time to part-time employment; shares of permanent, temporary contracts. Reflects flexibility of employment</w:t>
      </w:r>
    </w:p>
    <w:p w14:paraId="4C04C8D1" w14:textId="77777777" w:rsidR="004403E1" w:rsidRPr="00376CC9" w:rsidRDefault="004403E1" w:rsidP="001B5232">
      <w:pPr>
        <w:spacing w:before="240" w:after="160"/>
        <w:jc w:val="left"/>
        <w:rPr>
          <w:rFonts w:cs="Times New Roman"/>
          <w:szCs w:val="24"/>
        </w:rPr>
      </w:pPr>
    </w:p>
    <w:p w14:paraId="6F70EC8F" w14:textId="472AB23E" w:rsidR="004403E1" w:rsidRPr="00376CC9" w:rsidRDefault="004403E1" w:rsidP="001B5232">
      <w:pPr>
        <w:spacing w:before="240" w:after="160"/>
        <w:jc w:val="left"/>
        <w:rPr>
          <w:rFonts w:cs="Times New Roman"/>
          <w:b/>
          <w:bCs/>
          <w:szCs w:val="24"/>
        </w:rPr>
      </w:pPr>
      <w:r w:rsidRPr="00376CC9">
        <w:rPr>
          <w:rFonts w:cs="Times New Roman"/>
          <w:b/>
          <w:bCs/>
          <w:szCs w:val="24"/>
        </w:rPr>
        <w:t>Cognitive &amp; Functional Diversity (Only Proxy Indicators)</w:t>
      </w:r>
    </w:p>
    <w:p w14:paraId="5A30279A" w14:textId="3EA6E866" w:rsidR="004403E1" w:rsidRPr="00376CC9" w:rsidRDefault="004403E1" w:rsidP="001B5232">
      <w:pPr>
        <w:spacing w:before="240"/>
        <w:rPr>
          <w:rFonts w:cs="Times New Roman"/>
          <w:szCs w:val="24"/>
        </w:rPr>
      </w:pPr>
      <w:r w:rsidRPr="00376CC9">
        <w:rPr>
          <w:rFonts w:cs="Times New Roman"/>
          <w:b/>
          <w:bCs/>
          <w:szCs w:val="24"/>
        </w:rPr>
        <w:lastRenderedPageBreak/>
        <w:t xml:space="preserve">Critical Acknowledgment: </w:t>
      </w:r>
      <w:r w:rsidRPr="00376CC9">
        <w:rPr>
          <w:rFonts w:cs="Times New Roman"/>
          <w:szCs w:val="24"/>
        </w:rPr>
        <w:t>Cognitive diversity (thinking styles, approaches to problem-solving) and functional diversity (experience, expertise) cannot be determined by using secondary data. It is not possible for companies to record cognitive styles or functional profiles.</w:t>
      </w:r>
    </w:p>
    <w:p w14:paraId="264B3FCA" w14:textId="77777777" w:rsidR="004403E1" w:rsidRPr="00376CC9" w:rsidRDefault="004403E1" w:rsidP="001B5232">
      <w:pPr>
        <w:spacing w:before="240"/>
        <w:rPr>
          <w:rFonts w:cs="Times New Roman"/>
          <w:szCs w:val="24"/>
        </w:rPr>
      </w:pPr>
      <w:r w:rsidRPr="00376CC9">
        <w:rPr>
          <w:rFonts w:cs="Times New Roman"/>
          <w:szCs w:val="24"/>
        </w:rPr>
        <w:t>Cognitive Diversity Proxies:</w:t>
      </w:r>
    </w:p>
    <w:p w14:paraId="10B0B227" w14:textId="77777777" w:rsidR="004403E1" w:rsidRPr="00376CC9" w:rsidRDefault="004403E1" w:rsidP="001B5232">
      <w:pPr>
        <w:pStyle w:val="ListParagraph"/>
        <w:numPr>
          <w:ilvl w:val="0"/>
          <w:numId w:val="2"/>
        </w:numPr>
        <w:spacing w:before="240"/>
        <w:rPr>
          <w:rFonts w:cs="Times New Roman"/>
          <w:szCs w:val="24"/>
        </w:rPr>
      </w:pPr>
      <w:r w:rsidRPr="00376CC9">
        <w:rPr>
          <w:rFonts w:cs="Times New Roman"/>
          <w:szCs w:val="24"/>
        </w:rPr>
        <w:t>Educational diversity and training program variety</w:t>
      </w:r>
    </w:p>
    <w:p w14:paraId="0EE8B8EE" w14:textId="77777777" w:rsidR="004403E1" w:rsidRPr="00376CC9" w:rsidRDefault="004403E1" w:rsidP="001B5232">
      <w:pPr>
        <w:pStyle w:val="ListParagraph"/>
        <w:numPr>
          <w:ilvl w:val="0"/>
          <w:numId w:val="2"/>
        </w:numPr>
        <w:spacing w:before="240"/>
        <w:rPr>
          <w:rFonts w:cs="Times New Roman"/>
          <w:szCs w:val="24"/>
        </w:rPr>
      </w:pPr>
      <w:r w:rsidRPr="00376CC9">
        <w:rPr>
          <w:rFonts w:cs="Times New Roman"/>
          <w:szCs w:val="24"/>
        </w:rPr>
        <w:t>YouthPact offers</w:t>
      </w:r>
    </w:p>
    <w:p w14:paraId="13E427C5" w14:textId="77777777" w:rsidR="004403E1" w:rsidRPr="00376CC9" w:rsidRDefault="004403E1" w:rsidP="001B5232">
      <w:pPr>
        <w:pStyle w:val="ListParagraph"/>
        <w:numPr>
          <w:ilvl w:val="0"/>
          <w:numId w:val="2"/>
        </w:numPr>
        <w:spacing w:before="240"/>
        <w:rPr>
          <w:rFonts w:cs="Times New Roman"/>
          <w:szCs w:val="24"/>
        </w:rPr>
      </w:pPr>
      <w:r w:rsidRPr="00376CC9">
        <w:rPr>
          <w:rFonts w:cs="Times New Roman"/>
          <w:szCs w:val="24"/>
        </w:rPr>
        <w:t>Cross-functional team arrangements &amp; Job rotation schemes</w:t>
      </w:r>
    </w:p>
    <w:p w14:paraId="06AE93B6" w14:textId="762F6936" w:rsidR="004403E1" w:rsidRPr="00376CC9" w:rsidRDefault="004403E1" w:rsidP="001B5232">
      <w:pPr>
        <w:pStyle w:val="ListParagraph"/>
        <w:numPr>
          <w:ilvl w:val="0"/>
          <w:numId w:val="2"/>
        </w:numPr>
        <w:spacing w:before="240"/>
        <w:rPr>
          <w:rFonts w:cs="Times New Roman"/>
          <w:szCs w:val="24"/>
        </w:rPr>
      </w:pPr>
      <w:r w:rsidRPr="00376CC9">
        <w:rPr>
          <w:rFonts w:cs="Times New Roman"/>
          <w:szCs w:val="24"/>
        </w:rPr>
        <w:t>Innovation efforts</w:t>
      </w:r>
    </w:p>
    <w:p w14:paraId="7265745F" w14:textId="77777777" w:rsidR="004403E1" w:rsidRPr="00376CC9" w:rsidRDefault="004403E1" w:rsidP="001B5232">
      <w:pPr>
        <w:spacing w:before="240" w:after="160"/>
        <w:jc w:val="left"/>
        <w:rPr>
          <w:rFonts w:cs="Times New Roman"/>
          <w:szCs w:val="24"/>
        </w:rPr>
      </w:pPr>
    </w:p>
    <w:p w14:paraId="699F53D7" w14:textId="242E5C5C" w:rsidR="004403E1" w:rsidRPr="00376CC9" w:rsidRDefault="004403E1" w:rsidP="001B5232">
      <w:pPr>
        <w:spacing w:before="240" w:after="160"/>
        <w:jc w:val="left"/>
        <w:rPr>
          <w:rFonts w:cs="Times New Roman"/>
          <w:b/>
          <w:bCs/>
          <w:szCs w:val="24"/>
        </w:rPr>
      </w:pPr>
      <w:r w:rsidRPr="00376CC9">
        <w:rPr>
          <w:rFonts w:cs="Times New Roman"/>
          <w:b/>
          <w:bCs/>
          <w:szCs w:val="24"/>
        </w:rPr>
        <w:t>International Experience Programs</w:t>
      </w:r>
    </w:p>
    <w:p w14:paraId="20603FFD" w14:textId="77777777" w:rsidR="004403E1" w:rsidRPr="00376CC9" w:rsidRDefault="004403E1" w:rsidP="001B5232">
      <w:pPr>
        <w:spacing w:before="240"/>
        <w:rPr>
          <w:rFonts w:cs="Times New Roman"/>
          <w:szCs w:val="24"/>
        </w:rPr>
      </w:pPr>
      <w:r w:rsidRPr="00376CC9">
        <w:rPr>
          <w:rFonts w:cs="Times New Roman"/>
          <w:szCs w:val="24"/>
        </w:rPr>
        <w:t>Validity Limitations: These indicators can effectively predict practices in an organization that could be linked to cognitive diversity, but not cognitive heterogeneity. Employees with similar backgrounds can possess different cognitive processing styles, and vice versa.</w:t>
      </w:r>
    </w:p>
    <w:p w14:paraId="7FD4CE9A" w14:textId="2A74EAA5" w:rsidR="004403E1" w:rsidRPr="00376CC9" w:rsidRDefault="004403E1" w:rsidP="001B5232">
      <w:pPr>
        <w:spacing w:before="240" w:after="160"/>
        <w:jc w:val="left"/>
        <w:rPr>
          <w:rFonts w:cs="Times New Roman"/>
          <w:b/>
          <w:bCs/>
          <w:szCs w:val="24"/>
        </w:rPr>
      </w:pPr>
      <w:r w:rsidRPr="00376CC9">
        <w:rPr>
          <w:rFonts w:cs="Times New Roman"/>
          <w:b/>
          <w:bCs/>
          <w:szCs w:val="24"/>
        </w:rPr>
        <w:t>Functional Diversity Proxies:</w:t>
      </w:r>
    </w:p>
    <w:p w14:paraId="2206DB64" w14:textId="77777777" w:rsidR="004403E1" w:rsidRPr="00376CC9" w:rsidRDefault="004403E1" w:rsidP="001B5232">
      <w:pPr>
        <w:pStyle w:val="ListParagraph"/>
        <w:numPr>
          <w:ilvl w:val="0"/>
          <w:numId w:val="4"/>
        </w:numPr>
        <w:spacing w:before="240"/>
        <w:rPr>
          <w:rFonts w:cs="Times New Roman"/>
          <w:szCs w:val="24"/>
        </w:rPr>
      </w:pPr>
      <w:r w:rsidRPr="00376CC9">
        <w:rPr>
          <w:rFonts w:cs="Times New Roman"/>
          <w:szCs w:val="24"/>
        </w:rPr>
        <w:t>Organizational structure descriptions</w:t>
      </w:r>
    </w:p>
    <w:p w14:paraId="3C50B5FE" w14:textId="77777777" w:rsidR="004403E1" w:rsidRPr="00376CC9" w:rsidRDefault="004403E1" w:rsidP="001B5232">
      <w:pPr>
        <w:pStyle w:val="ListParagraph"/>
        <w:numPr>
          <w:ilvl w:val="0"/>
          <w:numId w:val="4"/>
        </w:numPr>
        <w:spacing w:before="240"/>
        <w:rPr>
          <w:rFonts w:cs="Times New Roman"/>
          <w:szCs w:val="24"/>
        </w:rPr>
      </w:pPr>
      <w:r w:rsidRPr="00376CC9">
        <w:rPr>
          <w:rFonts w:cs="Times New Roman"/>
          <w:szCs w:val="24"/>
        </w:rPr>
        <w:t>Cross-Functional Collaboration Efforts</w:t>
      </w:r>
    </w:p>
    <w:p w14:paraId="7F629A53" w14:textId="77777777" w:rsidR="004403E1" w:rsidRPr="00376CC9" w:rsidRDefault="004403E1" w:rsidP="001B5232">
      <w:pPr>
        <w:pStyle w:val="ListParagraph"/>
        <w:numPr>
          <w:ilvl w:val="0"/>
          <w:numId w:val="4"/>
        </w:numPr>
        <w:spacing w:before="240"/>
        <w:rPr>
          <w:rFonts w:cs="Times New Roman"/>
          <w:szCs w:val="24"/>
        </w:rPr>
      </w:pPr>
      <w:r w:rsidRPr="00376CC9">
        <w:rPr>
          <w:rFonts w:cs="Times New Roman"/>
          <w:szCs w:val="24"/>
        </w:rPr>
        <w:t>Recruitment practices that value diverse backgrounds</w:t>
      </w:r>
    </w:p>
    <w:p w14:paraId="04C7662E" w14:textId="77777777" w:rsidR="004403E1" w:rsidRPr="00376CC9" w:rsidRDefault="004403E1" w:rsidP="001B5232">
      <w:pPr>
        <w:spacing w:before="240" w:after="160"/>
        <w:jc w:val="left"/>
        <w:rPr>
          <w:rFonts w:cs="Times New Roman"/>
          <w:szCs w:val="24"/>
        </w:rPr>
      </w:pPr>
    </w:p>
    <w:p w14:paraId="70A7A848" w14:textId="77777777" w:rsidR="004403E1" w:rsidRPr="00376CC9" w:rsidRDefault="004403E1" w:rsidP="001B5232">
      <w:pPr>
        <w:spacing w:before="240"/>
        <w:rPr>
          <w:rFonts w:cs="Times New Roman"/>
          <w:szCs w:val="24"/>
        </w:rPr>
      </w:pPr>
      <w:r w:rsidRPr="00376CC9">
        <w:rPr>
          <w:rFonts w:cs="Times New Roman"/>
          <w:b/>
          <w:bCs/>
          <w:szCs w:val="24"/>
        </w:rPr>
        <w:t>Validity Limitations:</w:t>
      </w:r>
      <w:r w:rsidRPr="00376CC9">
        <w:rPr>
          <w:rFonts w:cs="Times New Roman"/>
          <w:szCs w:val="24"/>
        </w:rPr>
        <w:t xml:space="preserve"> Provides group-level data, not team-level data on functional composition. Reveals plans for diversity, not accomplishments.</w:t>
      </w:r>
    </w:p>
    <w:p w14:paraId="5345560D" w14:textId="77777777" w:rsidR="004403E1" w:rsidRDefault="004403E1" w:rsidP="001B5232">
      <w:pPr>
        <w:spacing w:before="240" w:after="160"/>
        <w:jc w:val="left"/>
        <w:rPr>
          <w:rFonts w:cs="Times New Roman"/>
          <w:szCs w:val="24"/>
        </w:rPr>
      </w:pPr>
    </w:p>
    <w:p w14:paraId="34B1061E" w14:textId="77777777" w:rsidR="00FE40B4" w:rsidRDefault="00FE40B4" w:rsidP="001B5232">
      <w:pPr>
        <w:spacing w:before="240" w:after="160"/>
        <w:jc w:val="left"/>
        <w:rPr>
          <w:rFonts w:cs="Times New Roman"/>
          <w:szCs w:val="24"/>
        </w:rPr>
      </w:pPr>
    </w:p>
    <w:p w14:paraId="0DFD51D1" w14:textId="77777777" w:rsidR="00FE40B4" w:rsidRPr="00376CC9" w:rsidRDefault="00FE40B4" w:rsidP="001B5232">
      <w:pPr>
        <w:spacing w:before="240" w:after="160"/>
        <w:jc w:val="left"/>
        <w:rPr>
          <w:rFonts w:cs="Times New Roman"/>
          <w:szCs w:val="24"/>
        </w:rPr>
      </w:pPr>
    </w:p>
    <w:p w14:paraId="6AEFCD7C" w14:textId="1CAA7B35" w:rsidR="004403E1" w:rsidRPr="00376CC9" w:rsidRDefault="004403E1" w:rsidP="001B5232">
      <w:pPr>
        <w:spacing w:before="240" w:after="160"/>
        <w:jc w:val="left"/>
        <w:rPr>
          <w:rFonts w:cs="Times New Roman"/>
          <w:b/>
          <w:bCs/>
          <w:szCs w:val="24"/>
        </w:rPr>
      </w:pPr>
      <w:r w:rsidRPr="00376CC9">
        <w:rPr>
          <w:rFonts w:cs="Times New Roman"/>
          <w:b/>
          <w:bCs/>
          <w:szCs w:val="24"/>
        </w:rPr>
        <w:lastRenderedPageBreak/>
        <w:t>Performance Dimensions</w:t>
      </w:r>
    </w:p>
    <w:p w14:paraId="01378DE0" w14:textId="7DBF88AA" w:rsidR="004403E1" w:rsidRPr="00376CC9" w:rsidRDefault="004403E1" w:rsidP="001B5232">
      <w:pPr>
        <w:spacing w:before="240"/>
        <w:rPr>
          <w:rFonts w:cs="Times New Roman"/>
          <w:szCs w:val="24"/>
        </w:rPr>
      </w:pPr>
      <w:r w:rsidRPr="00376CC9">
        <w:rPr>
          <w:rFonts w:cs="Times New Roman"/>
          <w:b/>
          <w:bCs/>
          <w:szCs w:val="24"/>
        </w:rPr>
        <w:t>Critical Acknowledgment:</w:t>
      </w:r>
      <w:r w:rsidRPr="00376CC9">
        <w:rPr>
          <w:rFonts w:cs="Times New Roman"/>
          <w:szCs w:val="24"/>
        </w:rPr>
        <w:t xml:space="preserve"> Optimally, research studying team diversity should employ team-level indicators of performance. Secondary data research is limited to using indicators that are organization-level, serving as a</w:t>
      </w:r>
      <w:r w:rsidR="004719F0">
        <w:rPr>
          <w:rFonts w:cs="Times New Roman"/>
          <w:szCs w:val="24"/>
        </w:rPr>
        <w:t xml:space="preserve"> </w:t>
      </w:r>
      <w:r w:rsidRPr="00376CC9">
        <w:rPr>
          <w:rFonts w:cs="Times New Roman"/>
          <w:szCs w:val="24"/>
        </w:rPr>
        <w:t>very poor substitute.</w:t>
      </w:r>
    </w:p>
    <w:p w14:paraId="691DF1D5" w14:textId="7C029757" w:rsidR="004403E1" w:rsidRPr="00376CC9" w:rsidRDefault="004403E1" w:rsidP="001B5232">
      <w:pPr>
        <w:pStyle w:val="ListParagraph"/>
        <w:numPr>
          <w:ilvl w:val="0"/>
          <w:numId w:val="6"/>
        </w:numPr>
        <w:spacing w:before="240"/>
        <w:rPr>
          <w:rFonts w:cs="Times New Roman"/>
          <w:szCs w:val="24"/>
        </w:rPr>
      </w:pPr>
      <w:r w:rsidRPr="00376CC9">
        <w:rPr>
          <w:rFonts w:cs="Times New Roman"/>
          <w:szCs w:val="24"/>
        </w:rPr>
        <w:t>Operational Performance Indicators</w:t>
      </w:r>
    </w:p>
    <w:p w14:paraId="3CD37A62" w14:textId="77777777" w:rsidR="004403E1" w:rsidRPr="00376CC9" w:rsidRDefault="004403E1" w:rsidP="001B5232">
      <w:pPr>
        <w:pStyle w:val="ListParagraph"/>
        <w:numPr>
          <w:ilvl w:val="0"/>
          <w:numId w:val="6"/>
        </w:numPr>
        <w:spacing w:before="240"/>
        <w:rPr>
          <w:rFonts w:cs="Times New Roman"/>
          <w:szCs w:val="24"/>
        </w:rPr>
      </w:pPr>
      <w:r w:rsidRPr="00376CC9">
        <w:rPr>
          <w:rFonts w:cs="Times New Roman"/>
          <w:szCs w:val="24"/>
        </w:rPr>
        <w:t>Sales per Employee</w:t>
      </w:r>
    </w:p>
    <w:p w14:paraId="180AC62A" w14:textId="77777777" w:rsidR="004403E1" w:rsidRPr="00376CC9" w:rsidRDefault="004403E1" w:rsidP="001B5232">
      <w:pPr>
        <w:pStyle w:val="ListParagraph"/>
        <w:numPr>
          <w:ilvl w:val="0"/>
          <w:numId w:val="6"/>
        </w:numPr>
        <w:spacing w:before="240"/>
        <w:rPr>
          <w:rFonts w:cs="Times New Roman"/>
          <w:szCs w:val="24"/>
        </w:rPr>
      </w:pPr>
      <w:r w:rsidRPr="00376CC9">
        <w:rPr>
          <w:rFonts w:cs="Times New Roman"/>
          <w:szCs w:val="24"/>
        </w:rPr>
        <w:t>Store operational efficiency measures</w:t>
      </w:r>
    </w:p>
    <w:p w14:paraId="2EA86F9A" w14:textId="77777777" w:rsidR="004403E1" w:rsidRPr="00376CC9" w:rsidRDefault="004403E1" w:rsidP="001B5232">
      <w:pPr>
        <w:pStyle w:val="ListParagraph"/>
        <w:numPr>
          <w:ilvl w:val="0"/>
          <w:numId w:val="6"/>
        </w:numPr>
        <w:spacing w:before="240"/>
        <w:rPr>
          <w:rFonts w:cs="Times New Roman"/>
          <w:szCs w:val="24"/>
        </w:rPr>
      </w:pPr>
      <w:r w:rsidRPr="00376CC9">
        <w:rPr>
          <w:rFonts w:cs="Times New Roman"/>
          <w:szCs w:val="24"/>
        </w:rPr>
        <w:t>Inventory management performance</w:t>
      </w:r>
    </w:p>
    <w:p w14:paraId="03AFE008" w14:textId="10EB51A9" w:rsidR="004403E1" w:rsidRPr="00376CC9" w:rsidRDefault="004403E1" w:rsidP="001B5232">
      <w:pPr>
        <w:pStyle w:val="ListParagraph"/>
        <w:numPr>
          <w:ilvl w:val="0"/>
          <w:numId w:val="6"/>
        </w:numPr>
        <w:spacing w:before="240"/>
        <w:rPr>
          <w:rFonts w:cs="Times New Roman"/>
          <w:szCs w:val="24"/>
        </w:rPr>
      </w:pPr>
      <w:r w:rsidRPr="00376CC9">
        <w:rPr>
          <w:rFonts w:cs="Times New Roman"/>
          <w:szCs w:val="24"/>
        </w:rPr>
        <w:t>Operating efficiency enhancements</w:t>
      </w:r>
    </w:p>
    <w:p w14:paraId="0D324915" w14:textId="77777777" w:rsidR="004403E1" w:rsidRPr="00376CC9" w:rsidRDefault="004403E1" w:rsidP="001B5232">
      <w:pPr>
        <w:spacing w:before="240" w:after="160"/>
        <w:jc w:val="left"/>
        <w:rPr>
          <w:rFonts w:cs="Times New Roman"/>
          <w:szCs w:val="24"/>
        </w:rPr>
      </w:pPr>
    </w:p>
    <w:p w14:paraId="5D2A6A9E" w14:textId="77777777" w:rsidR="004403E1" w:rsidRPr="00376CC9" w:rsidRDefault="004403E1" w:rsidP="001B5232">
      <w:pPr>
        <w:spacing w:before="240"/>
        <w:rPr>
          <w:rFonts w:cs="Times New Roman"/>
          <w:szCs w:val="24"/>
        </w:rPr>
      </w:pPr>
      <w:r w:rsidRPr="00376CC9">
        <w:rPr>
          <w:rFonts w:cs="Times New Roman"/>
          <w:b/>
          <w:bCs/>
          <w:szCs w:val="24"/>
        </w:rPr>
        <w:t>Validity Limitation:</w:t>
      </w:r>
      <w:r w:rsidRPr="00376CC9">
        <w:rPr>
          <w:rFonts w:cs="Times New Roman"/>
          <w:szCs w:val="24"/>
        </w:rPr>
        <w:t xml:space="preserve"> It is averaged over various roles (e.g., urban vs. rural stores), hindering team-level analysis. It is technology, location, and systems independent, not dependent on team effectiveness.</w:t>
      </w:r>
    </w:p>
    <w:p w14:paraId="3F490DE2" w14:textId="77777777" w:rsidR="004403E1" w:rsidRPr="00376CC9" w:rsidRDefault="004403E1" w:rsidP="001B5232">
      <w:pPr>
        <w:pStyle w:val="ListParagraph"/>
        <w:numPr>
          <w:ilvl w:val="0"/>
          <w:numId w:val="8"/>
        </w:numPr>
        <w:spacing w:before="240"/>
        <w:rPr>
          <w:rFonts w:cs="Times New Roman"/>
          <w:szCs w:val="24"/>
        </w:rPr>
      </w:pPr>
      <w:r w:rsidRPr="00376CC9">
        <w:rPr>
          <w:rFonts w:cs="Times New Roman"/>
          <w:szCs w:val="24"/>
        </w:rPr>
        <w:t>Employee-Related Performance Indicators</w:t>
      </w:r>
    </w:p>
    <w:p w14:paraId="3C8F7BFD" w14:textId="4FD30CD7" w:rsidR="004403E1" w:rsidRPr="00376CC9" w:rsidRDefault="004403E1" w:rsidP="001B5232">
      <w:pPr>
        <w:pStyle w:val="ListParagraph"/>
        <w:numPr>
          <w:ilvl w:val="0"/>
          <w:numId w:val="8"/>
        </w:numPr>
        <w:spacing w:before="240"/>
        <w:rPr>
          <w:rFonts w:cs="Times New Roman"/>
          <w:szCs w:val="24"/>
        </w:rPr>
      </w:pPr>
      <w:r w:rsidRPr="00376CC9">
        <w:rPr>
          <w:rFonts w:cs="Times New Roman"/>
          <w:szCs w:val="24"/>
        </w:rPr>
        <w:t>Employee turnover rates (Voluntary/involuntary if distinguished)</w:t>
      </w:r>
    </w:p>
    <w:p w14:paraId="46C36D3F" w14:textId="6EA06327" w:rsidR="004403E1" w:rsidRPr="00376CC9" w:rsidRDefault="004403E1" w:rsidP="001B5232">
      <w:pPr>
        <w:pStyle w:val="ListParagraph"/>
        <w:numPr>
          <w:ilvl w:val="0"/>
          <w:numId w:val="8"/>
        </w:numPr>
        <w:spacing w:before="240"/>
        <w:rPr>
          <w:rFonts w:cs="Times New Roman"/>
          <w:szCs w:val="24"/>
        </w:rPr>
      </w:pPr>
      <w:r w:rsidRPr="00376CC9">
        <w:rPr>
          <w:rFonts w:cs="Times New Roman"/>
          <w:szCs w:val="24"/>
        </w:rPr>
        <w:t>Absenteeism</w:t>
      </w:r>
    </w:p>
    <w:p w14:paraId="5242EC91" w14:textId="77777777" w:rsidR="004403E1" w:rsidRPr="00376CC9" w:rsidRDefault="004403E1" w:rsidP="001B5232">
      <w:pPr>
        <w:pStyle w:val="ListParagraph"/>
        <w:numPr>
          <w:ilvl w:val="0"/>
          <w:numId w:val="8"/>
        </w:numPr>
        <w:spacing w:before="240"/>
        <w:rPr>
          <w:rFonts w:cs="Times New Roman"/>
          <w:szCs w:val="24"/>
        </w:rPr>
      </w:pPr>
      <w:r w:rsidRPr="00376CC9">
        <w:rPr>
          <w:rFonts w:cs="Times New Roman"/>
          <w:szCs w:val="24"/>
        </w:rPr>
        <w:t>Employee engagement survey data were provided.</w:t>
      </w:r>
    </w:p>
    <w:p w14:paraId="70C313DE" w14:textId="77777777" w:rsidR="004403E1" w:rsidRPr="00376CC9" w:rsidRDefault="004403E1" w:rsidP="001B5232">
      <w:pPr>
        <w:pStyle w:val="ListParagraph"/>
        <w:numPr>
          <w:ilvl w:val="0"/>
          <w:numId w:val="8"/>
        </w:numPr>
        <w:spacing w:before="240"/>
        <w:rPr>
          <w:rFonts w:cs="Times New Roman"/>
          <w:szCs w:val="24"/>
        </w:rPr>
      </w:pPr>
      <w:r w:rsidRPr="00376CC9">
        <w:rPr>
          <w:rFonts w:cs="Times New Roman"/>
          <w:szCs w:val="24"/>
        </w:rPr>
        <w:t>Promotion rates</w:t>
      </w:r>
    </w:p>
    <w:p w14:paraId="22DFF63D" w14:textId="77777777" w:rsidR="004403E1" w:rsidRPr="00376CC9" w:rsidRDefault="004403E1" w:rsidP="001B5232">
      <w:pPr>
        <w:spacing w:before="240" w:after="160"/>
        <w:jc w:val="left"/>
        <w:rPr>
          <w:rFonts w:cs="Times New Roman"/>
          <w:szCs w:val="24"/>
        </w:rPr>
      </w:pPr>
    </w:p>
    <w:p w14:paraId="04F634F7" w14:textId="77777777" w:rsidR="004403E1" w:rsidRPr="00376CC9" w:rsidRDefault="004403E1" w:rsidP="001B5232">
      <w:pPr>
        <w:spacing w:before="240"/>
        <w:rPr>
          <w:rFonts w:cs="Times New Roman"/>
          <w:szCs w:val="24"/>
        </w:rPr>
      </w:pPr>
      <w:r w:rsidRPr="00376CC9">
        <w:rPr>
          <w:rFonts w:cs="Times New Roman"/>
          <w:b/>
          <w:bCs/>
          <w:szCs w:val="24"/>
        </w:rPr>
        <w:t>Validity Limitation:</w:t>
      </w:r>
      <w:r w:rsidRPr="00376CC9">
        <w:rPr>
          <w:rFonts w:cs="Times New Roman"/>
          <w:szCs w:val="24"/>
        </w:rPr>
        <w:t xml:space="preserve"> While turnover is a compilation of various purposes (retirement, promotion, dissatisfaction), findings could be influenced by social desirability bias or framing.</w:t>
      </w:r>
    </w:p>
    <w:p w14:paraId="657D94A4" w14:textId="77777777" w:rsidR="004403E1" w:rsidRPr="00376CC9" w:rsidRDefault="004403E1" w:rsidP="001B5232">
      <w:pPr>
        <w:spacing w:before="240" w:after="160"/>
        <w:jc w:val="left"/>
        <w:rPr>
          <w:rFonts w:cs="Times New Roman"/>
          <w:szCs w:val="24"/>
        </w:rPr>
      </w:pPr>
    </w:p>
    <w:p w14:paraId="745AA10C" w14:textId="3C8C17E6" w:rsidR="004403E1" w:rsidRPr="00376CC9" w:rsidRDefault="004403E1" w:rsidP="001B5232">
      <w:pPr>
        <w:spacing w:before="240" w:after="160"/>
        <w:jc w:val="left"/>
        <w:rPr>
          <w:rFonts w:cs="Times New Roman"/>
          <w:b/>
          <w:bCs/>
          <w:szCs w:val="24"/>
        </w:rPr>
      </w:pPr>
      <w:r w:rsidRPr="00376CC9">
        <w:rPr>
          <w:rFonts w:cs="Times New Roman"/>
          <w:b/>
          <w:bCs/>
          <w:szCs w:val="24"/>
        </w:rPr>
        <w:t>Customer-Related Performance Indicators</w:t>
      </w:r>
    </w:p>
    <w:p w14:paraId="048DCDF6" w14:textId="77777777" w:rsidR="004403E1" w:rsidRPr="00376CC9" w:rsidRDefault="004403E1" w:rsidP="001B5232">
      <w:pPr>
        <w:pStyle w:val="ListParagraph"/>
        <w:numPr>
          <w:ilvl w:val="0"/>
          <w:numId w:val="10"/>
        </w:numPr>
        <w:spacing w:before="240"/>
        <w:rPr>
          <w:rFonts w:cs="Times New Roman"/>
          <w:szCs w:val="24"/>
        </w:rPr>
      </w:pPr>
      <w:r w:rsidRPr="00376CC9">
        <w:rPr>
          <w:rFonts w:cs="Times New Roman"/>
          <w:szCs w:val="24"/>
        </w:rPr>
        <w:t>Customer Satisfaction Scores</w:t>
      </w:r>
    </w:p>
    <w:p w14:paraId="10E0F6C1" w14:textId="1DBC395D" w:rsidR="004403E1" w:rsidRPr="00376CC9" w:rsidRDefault="004403E1" w:rsidP="001B5232">
      <w:pPr>
        <w:pStyle w:val="ListParagraph"/>
        <w:numPr>
          <w:ilvl w:val="0"/>
          <w:numId w:val="10"/>
        </w:numPr>
        <w:spacing w:before="240"/>
        <w:rPr>
          <w:rFonts w:cs="Times New Roman"/>
          <w:szCs w:val="24"/>
        </w:rPr>
      </w:pPr>
      <w:r w:rsidRPr="00376CC9">
        <w:rPr>
          <w:rFonts w:cs="Times New Roman"/>
          <w:szCs w:val="24"/>
        </w:rPr>
        <w:t>Net Promoter Score/Loyalty Metrics</w:t>
      </w:r>
    </w:p>
    <w:p w14:paraId="518AF3C1" w14:textId="62895C11" w:rsidR="004403E1" w:rsidRPr="00376CC9" w:rsidRDefault="004403E1" w:rsidP="001B5232">
      <w:pPr>
        <w:pStyle w:val="ListParagraph"/>
        <w:numPr>
          <w:ilvl w:val="0"/>
          <w:numId w:val="10"/>
        </w:numPr>
        <w:spacing w:before="240"/>
        <w:rPr>
          <w:rFonts w:cs="Times New Roman"/>
          <w:szCs w:val="24"/>
        </w:rPr>
      </w:pPr>
      <w:r w:rsidRPr="00376CC9">
        <w:rPr>
          <w:rFonts w:cs="Times New Roman"/>
          <w:szCs w:val="24"/>
        </w:rPr>
        <w:lastRenderedPageBreak/>
        <w:t>Market Share Performance</w:t>
      </w:r>
    </w:p>
    <w:p w14:paraId="5AB61CFC" w14:textId="77777777" w:rsidR="004403E1" w:rsidRPr="00376CC9" w:rsidRDefault="004403E1" w:rsidP="001B5232">
      <w:pPr>
        <w:pStyle w:val="ListParagraph"/>
        <w:numPr>
          <w:ilvl w:val="0"/>
          <w:numId w:val="10"/>
        </w:numPr>
        <w:spacing w:before="240"/>
        <w:rPr>
          <w:rFonts w:cs="Times New Roman"/>
          <w:szCs w:val="24"/>
        </w:rPr>
      </w:pPr>
      <w:r w:rsidRPr="00376CC9">
        <w:rPr>
          <w:rFonts w:cs="Times New Roman"/>
          <w:szCs w:val="24"/>
        </w:rPr>
        <w:t>Customer complaint data where available</w:t>
      </w:r>
    </w:p>
    <w:p w14:paraId="24C2474A" w14:textId="77777777" w:rsidR="004403E1" w:rsidRPr="00376CC9" w:rsidRDefault="004403E1" w:rsidP="001B5232">
      <w:pPr>
        <w:spacing w:before="240" w:after="160"/>
        <w:jc w:val="left"/>
        <w:rPr>
          <w:rFonts w:cs="Times New Roman"/>
          <w:b/>
          <w:bCs/>
          <w:szCs w:val="24"/>
        </w:rPr>
      </w:pPr>
    </w:p>
    <w:p w14:paraId="1782E2A4" w14:textId="4A9DDA08" w:rsidR="004403E1" w:rsidRPr="00376CC9" w:rsidRDefault="004403E1" w:rsidP="001B5232">
      <w:pPr>
        <w:spacing w:before="240"/>
        <w:rPr>
          <w:rFonts w:cs="Times New Roman"/>
          <w:szCs w:val="24"/>
        </w:rPr>
      </w:pPr>
      <w:r w:rsidRPr="00376CC9">
        <w:rPr>
          <w:rFonts w:cs="Times New Roman"/>
          <w:b/>
          <w:bCs/>
          <w:szCs w:val="24"/>
        </w:rPr>
        <w:t>Validity Limitation:</w:t>
      </w:r>
      <w:r w:rsidRPr="00376CC9">
        <w:rPr>
          <w:rFonts w:cs="Times New Roman"/>
          <w:szCs w:val="24"/>
        </w:rPr>
        <w:t xml:space="preserve"> Deals with multiple stores with varying staff. Customer Satisfaction is driven by pricing, geo-location, and product quality, not purely by staff diversity.</w:t>
      </w:r>
    </w:p>
    <w:p w14:paraId="133D610F" w14:textId="77777777" w:rsidR="004403E1" w:rsidRPr="00376CC9" w:rsidRDefault="004403E1" w:rsidP="001B5232">
      <w:pPr>
        <w:spacing w:before="240" w:after="160"/>
        <w:jc w:val="left"/>
        <w:rPr>
          <w:rFonts w:cs="Times New Roman"/>
          <w:b/>
          <w:bCs/>
          <w:szCs w:val="24"/>
        </w:rPr>
      </w:pPr>
    </w:p>
    <w:p w14:paraId="34C127C2" w14:textId="4C38581E" w:rsidR="004403E1" w:rsidRPr="00376CC9" w:rsidRDefault="004403E1" w:rsidP="001B5232">
      <w:pPr>
        <w:spacing w:before="240" w:after="160"/>
        <w:jc w:val="left"/>
        <w:rPr>
          <w:rFonts w:cs="Times New Roman"/>
          <w:b/>
          <w:bCs/>
          <w:szCs w:val="24"/>
        </w:rPr>
      </w:pPr>
      <w:r w:rsidRPr="00376CC9">
        <w:rPr>
          <w:rFonts w:cs="Times New Roman"/>
          <w:b/>
          <w:bCs/>
          <w:szCs w:val="24"/>
        </w:rPr>
        <w:t>Financial Performance Indicators</w:t>
      </w:r>
    </w:p>
    <w:p w14:paraId="50BD10DF" w14:textId="77777777" w:rsidR="004403E1" w:rsidRPr="00376CC9" w:rsidRDefault="004403E1" w:rsidP="001B5232">
      <w:pPr>
        <w:pStyle w:val="ListParagraph"/>
        <w:numPr>
          <w:ilvl w:val="0"/>
          <w:numId w:val="11"/>
        </w:numPr>
        <w:spacing w:before="240"/>
        <w:rPr>
          <w:rFonts w:cs="Times New Roman"/>
          <w:szCs w:val="24"/>
        </w:rPr>
      </w:pPr>
      <w:r w:rsidRPr="00376CC9">
        <w:rPr>
          <w:rFonts w:cs="Times New Roman"/>
          <w:szCs w:val="24"/>
        </w:rPr>
        <w:t>Revenue growth rates</w:t>
      </w:r>
    </w:p>
    <w:p w14:paraId="45F916F7" w14:textId="77777777" w:rsidR="004403E1" w:rsidRPr="00376CC9" w:rsidRDefault="004403E1" w:rsidP="001B5232">
      <w:pPr>
        <w:pStyle w:val="ListParagraph"/>
        <w:numPr>
          <w:ilvl w:val="0"/>
          <w:numId w:val="11"/>
        </w:numPr>
        <w:spacing w:before="240"/>
        <w:rPr>
          <w:rFonts w:cs="Times New Roman"/>
          <w:szCs w:val="24"/>
        </w:rPr>
      </w:pPr>
      <w:r w:rsidRPr="00376CC9">
        <w:rPr>
          <w:rFonts w:cs="Times New Roman"/>
          <w:szCs w:val="24"/>
        </w:rPr>
        <w:t>Profit margins were provided.</w:t>
      </w:r>
    </w:p>
    <w:p w14:paraId="7FF2E29C" w14:textId="77777777" w:rsidR="004403E1" w:rsidRPr="00376CC9" w:rsidRDefault="004403E1" w:rsidP="001B5232">
      <w:pPr>
        <w:pStyle w:val="ListParagraph"/>
        <w:numPr>
          <w:ilvl w:val="0"/>
          <w:numId w:val="11"/>
        </w:numPr>
        <w:spacing w:before="240"/>
        <w:rPr>
          <w:rFonts w:cs="Times New Roman"/>
          <w:szCs w:val="24"/>
        </w:rPr>
      </w:pPr>
      <w:r w:rsidRPr="00376CC9">
        <w:rPr>
          <w:rFonts w:cs="Times New Roman"/>
          <w:szCs w:val="24"/>
        </w:rPr>
        <w:t>Market Competitiveness Indicators</w:t>
      </w:r>
    </w:p>
    <w:p w14:paraId="23EC83F1" w14:textId="77777777" w:rsidR="004403E1" w:rsidRPr="00376CC9" w:rsidRDefault="004403E1" w:rsidP="001B5232">
      <w:pPr>
        <w:spacing w:before="240" w:after="160"/>
        <w:jc w:val="left"/>
        <w:rPr>
          <w:rFonts w:cs="Times New Roman"/>
          <w:szCs w:val="24"/>
        </w:rPr>
      </w:pPr>
    </w:p>
    <w:p w14:paraId="438E8566" w14:textId="77777777" w:rsidR="004403E1" w:rsidRPr="00376CC9" w:rsidRDefault="004403E1" w:rsidP="001B5232">
      <w:pPr>
        <w:spacing w:before="240"/>
        <w:rPr>
          <w:rFonts w:cs="Times New Roman"/>
          <w:szCs w:val="24"/>
        </w:rPr>
      </w:pPr>
      <w:r w:rsidRPr="00376CC9">
        <w:rPr>
          <w:rFonts w:cs="Times New Roman"/>
          <w:b/>
          <w:bCs/>
          <w:szCs w:val="24"/>
        </w:rPr>
        <w:t>Validity Limitation:</w:t>
      </w:r>
      <w:r w:rsidRPr="00376CC9">
        <w:rPr>
          <w:rFonts w:cs="Times New Roman"/>
          <w:szCs w:val="24"/>
        </w:rPr>
        <w:t xml:space="preserve"> Indicates strategic choices, markets, capital investment—primarily unaffected by team diversity. Offers insight instead of direct measurement of diversity effects.</w:t>
      </w:r>
    </w:p>
    <w:p w14:paraId="4DA07385" w14:textId="77777777" w:rsidR="004403E1" w:rsidRPr="00376CC9" w:rsidRDefault="004403E1" w:rsidP="001B5232">
      <w:pPr>
        <w:spacing w:before="240" w:after="160"/>
        <w:jc w:val="left"/>
        <w:rPr>
          <w:rFonts w:cs="Times New Roman"/>
          <w:szCs w:val="24"/>
        </w:rPr>
      </w:pPr>
    </w:p>
    <w:p w14:paraId="1F7C8A83" w14:textId="77777777" w:rsidR="004403E1" w:rsidRPr="00376CC9" w:rsidRDefault="004403E1" w:rsidP="001B5232">
      <w:pPr>
        <w:spacing w:before="240" w:after="160"/>
        <w:jc w:val="left"/>
        <w:rPr>
          <w:rFonts w:cs="Times New Roman"/>
          <w:b/>
          <w:bCs/>
          <w:szCs w:val="24"/>
        </w:rPr>
      </w:pPr>
      <w:r w:rsidRPr="00376CC9">
        <w:rPr>
          <w:rFonts w:cs="Times New Roman"/>
          <w:b/>
          <w:bCs/>
          <w:szCs w:val="24"/>
        </w:rPr>
        <w:t>Mediating &amp; Moderating Mechanisms</w:t>
      </w:r>
    </w:p>
    <w:p w14:paraId="07DA8B3A" w14:textId="62F894CD" w:rsidR="004403E1" w:rsidRPr="00376CC9" w:rsidRDefault="004403E1" w:rsidP="001B5232">
      <w:pPr>
        <w:spacing w:before="240"/>
        <w:rPr>
          <w:rFonts w:cs="Times New Roman"/>
          <w:szCs w:val="24"/>
        </w:rPr>
      </w:pPr>
      <w:r w:rsidRPr="00376CC9">
        <w:rPr>
          <w:rFonts w:cs="Times New Roman"/>
          <w:szCs w:val="24"/>
        </w:rPr>
        <w:t>Trust (Mata et al., 2021</w:t>
      </w:r>
      <w:r w:rsidR="000135E4" w:rsidRPr="00376CC9">
        <w:rPr>
          <w:rFonts w:cs="Times New Roman"/>
          <w:szCs w:val="24"/>
        </w:rPr>
        <w:t>);</w:t>
      </w:r>
    </w:p>
    <w:p w14:paraId="661BD60F" w14:textId="77777777" w:rsidR="004403E1" w:rsidRPr="00376CC9" w:rsidRDefault="004403E1" w:rsidP="001B5232">
      <w:pPr>
        <w:pStyle w:val="ListParagraph"/>
        <w:numPr>
          <w:ilvl w:val="0"/>
          <w:numId w:val="12"/>
        </w:numPr>
        <w:spacing w:before="240"/>
        <w:rPr>
          <w:rFonts w:cs="Times New Roman"/>
          <w:szCs w:val="24"/>
        </w:rPr>
      </w:pPr>
      <w:r w:rsidRPr="00376CC9">
        <w:rPr>
          <w:rFonts w:cs="Times New Roman"/>
          <w:szCs w:val="24"/>
        </w:rPr>
        <w:t>Data from staff surveys on trust where available</w:t>
      </w:r>
    </w:p>
    <w:p w14:paraId="10AA1D7B" w14:textId="75715D21" w:rsidR="004403E1" w:rsidRPr="00376CC9" w:rsidRDefault="004403E1" w:rsidP="001B5232">
      <w:pPr>
        <w:pStyle w:val="ListParagraph"/>
        <w:numPr>
          <w:ilvl w:val="0"/>
          <w:numId w:val="12"/>
        </w:numPr>
        <w:spacing w:before="240"/>
        <w:rPr>
          <w:rFonts w:cs="Times New Roman"/>
          <w:szCs w:val="24"/>
        </w:rPr>
      </w:pPr>
      <w:r w:rsidRPr="00376CC9">
        <w:rPr>
          <w:rFonts w:cs="Times New Roman"/>
          <w:szCs w:val="24"/>
        </w:rPr>
        <w:t>Retention patterns</w:t>
      </w:r>
    </w:p>
    <w:p w14:paraId="4AE7CC53" w14:textId="77777777" w:rsidR="000135E4" w:rsidRPr="00376CC9" w:rsidRDefault="004403E1" w:rsidP="001B5232">
      <w:pPr>
        <w:pStyle w:val="ListParagraph"/>
        <w:numPr>
          <w:ilvl w:val="0"/>
          <w:numId w:val="12"/>
        </w:numPr>
        <w:spacing w:before="240"/>
        <w:rPr>
          <w:rFonts w:cs="Times New Roman"/>
          <w:szCs w:val="24"/>
        </w:rPr>
      </w:pPr>
      <w:r w:rsidRPr="00376CC9">
        <w:rPr>
          <w:rFonts w:cs="Times New Roman"/>
          <w:szCs w:val="24"/>
        </w:rPr>
        <w:t>Conflict resolution processes that are disclosed</w:t>
      </w:r>
    </w:p>
    <w:p w14:paraId="5AD6474E" w14:textId="77777777" w:rsidR="000135E4" w:rsidRPr="00376CC9" w:rsidRDefault="000135E4" w:rsidP="001B5232">
      <w:pPr>
        <w:pStyle w:val="ListParagraph"/>
        <w:spacing w:before="240"/>
        <w:rPr>
          <w:rFonts w:cs="Times New Roman"/>
          <w:szCs w:val="24"/>
        </w:rPr>
      </w:pPr>
    </w:p>
    <w:p w14:paraId="5811FA1B" w14:textId="77777777" w:rsidR="000135E4" w:rsidRPr="00376CC9" w:rsidRDefault="004403E1" w:rsidP="001B5232">
      <w:pPr>
        <w:spacing w:before="240"/>
        <w:rPr>
          <w:rFonts w:cs="Times New Roman"/>
          <w:szCs w:val="24"/>
        </w:rPr>
      </w:pPr>
      <w:r w:rsidRPr="00376CC9">
        <w:rPr>
          <w:rFonts w:cs="Times New Roman"/>
          <w:b/>
          <w:bCs/>
          <w:szCs w:val="24"/>
        </w:rPr>
        <w:t>Validity Limitation:</w:t>
      </w:r>
      <w:r w:rsidRPr="00376CC9">
        <w:rPr>
          <w:rFonts w:cs="Times New Roman"/>
          <w:szCs w:val="24"/>
        </w:rPr>
        <w:t xml:space="preserve"> Trust is an attitude that is not directly observable using aggregate data. Surveys can indicate social desirability, while there are multiple factors for patient retention that do not include trust.</w:t>
      </w:r>
    </w:p>
    <w:p w14:paraId="6346D4DD" w14:textId="77777777" w:rsidR="000135E4" w:rsidRPr="00376CC9" w:rsidRDefault="000135E4" w:rsidP="001B5232">
      <w:pPr>
        <w:spacing w:before="240"/>
        <w:rPr>
          <w:rFonts w:cs="Times New Roman"/>
          <w:szCs w:val="24"/>
        </w:rPr>
      </w:pPr>
    </w:p>
    <w:p w14:paraId="39D16579" w14:textId="77777777" w:rsidR="000135E4" w:rsidRPr="00376CC9" w:rsidRDefault="004403E1" w:rsidP="001B5232">
      <w:pPr>
        <w:spacing w:before="240"/>
        <w:rPr>
          <w:rFonts w:cs="Times New Roman"/>
          <w:szCs w:val="24"/>
        </w:rPr>
      </w:pPr>
      <w:r w:rsidRPr="00376CC9">
        <w:rPr>
          <w:rFonts w:cs="Times New Roman"/>
          <w:szCs w:val="24"/>
        </w:rPr>
        <w:t xml:space="preserve">Communication Quality (Valls et al., 2016) </w:t>
      </w:r>
    </w:p>
    <w:p w14:paraId="67FDF064" w14:textId="77777777" w:rsidR="000135E4" w:rsidRPr="00376CC9" w:rsidRDefault="004403E1" w:rsidP="001B5232">
      <w:pPr>
        <w:pStyle w:val="ListParagraph"/>
        <w:numPr>
          <w:ilvl w:val="0"/>
          <w:numId w:val="13"/>
        </w:numPr>
        <w:spacing w:before="240"/>
        <w:rPr>
          <w:rFonts w:cs="Times New Roman"/>
          <w:szCs w:val="24"/>
        </w:rPr>
      </w:pPr>
      <w:r w:rsidRPr="00376CC9">
        <w:rPr>
          <w:rFonts w:cs="Times New Roman"/>
          <w:szCs w:val="24"/>
        </w:rPr>
        <w:t xml:space="preserve">Communication infrastructure investment </w:t>
      </w:r>
    </w:p>
    <w:p w14:paraId="0A92E51E" w14:textId="312EB5B7" w:rsidR="004403E1" w:rsidRPr="00376CC9" w:rsidRDefault="004403E1" w:rsidP="001B5232">
      <w:pPr>
        <w:pStyle w:val="ListParagraph"/>
        <w:numPr>
          <w:ilvl w:val="0"/>
          <w:numId w:val="13"/>
        </w:numPr>
        <w:spacing w:before="240"/>
        <w:rPr>
          <w:rFonts w:cs="Times New Roman"/>
          <w:szCs w:val="24"/>
        </w:rPr>
      </w:pPr>
      <w:r w:rsidRPr="00376CC9">
        <w:rPr>
          <w:rFonts w:cs="Times New Roman"/>
          <w:szCs w:val="24"/>
        </w:rPr>
        <w:t>Multilingual support programs</w:t>
      </w:r>
    </w:p>
    <w:p w14:paraId="1EC8E924" w14:textId="77777777" w:rsidR="000135E4" w:rsidRPr="00376CC9" w:rsidRDefault="004403E1" w:rsidP="001B5232">
      <w:pPr>
        <w:pStyle w:val="ListParagraph"/>
        <w:numPr>
          <w:ilvl w:val="0"/>
          <w:numId w:val="13"/>
        </w:numPr>
        <w:spacing w:before="240" w:after="160"/>
        <w:jc w:val="left"/>
        <w:rPr>
          <w:rFonts w:cs="Times New Roman"/>
          <w:szCs w:val="24"/>
        </w:rPr>
      </w:pPr>
      <w:r w:rsidRPr="00376CC9">
        <w:rPr>
          <w:rFonts w:cs="Times New Roman"/>
          <w:szCs w:val="24"/>
        </w:rPr>
        <w:t>Communication technology adoption</w:t>
      </w:r>
    </w:p>
    <w:p w14:paraId="1E0DC362" w14:textId="77777777" w:rsidR="000135E4" w:rsidRPr="00376CC9" w:rsidRDefault="000135E4" w:rsidP="001B5232">
      <w:pPr>
        <w:spacing w:before="240"/>
        <w:rPr>
          <w:rFonts w:cs="Times New Roman"/>
          <w:b/>
          <w:bCs/>
          <w:szCs w:val="24"/>
        </w:rPr>
      </w:pPr>
    </w:p>
    <w:p w14:paraId="64689CF8" w14:textId="77777777" w:rsidR="000135E4" w:rsidRPr="00376CC9" w:rsidRDefault="004403E1" w:rsidP="001B5232">
      <w:pPr>
        <w:spacing w:before="240"/>
        <w:rPr>
          <w:rFonts w:cs="Times New Roman"/>
          <w:szCs w:val="24"/>
        </w:rPr>
      </w:pPr>
      <w:r w:rsidRPr="00376CC9">
        <w:rPr>
          <w:rFonts w:cs="Times New Roman"/>
          <w:b/>
          <w:bCs/>
          <w:szCs w:val="24"/>
        </w:rPr>
        <w:t>Validity Limitation:</w:t>
      </w:r>
      <w:r w:rsidRPr="00376CC9">
        <w:rPr>
          <w:rFonts w:cs="Times New Roman"/>
          <w:szCs w:val="24"/>
        </w:rPr>
        <w:t xml:space="preserve"> Having infrastructure does not necessarily mean good communication. It means enablement, not effectiveness. </w:t>
      </w:r>
    </w:p>
    <w:p w14:paraId="6260845A" w14:textId="77777777" w:rsidR="000135E4" w:rsidRPr="00376CC9" w:rsidRDefault="000135E4" w:rsidP="001B5232">
      <w:pPr>
        <w:spacing w:before="240"/>
        <w:rPr>
          <w:rFonts w:cs="Times New Roman"/>
          <w:szCs w:val="24"/>
        </w:rPr>
      </w:pPr>
    </w:p>
    <w:p w14:paraId="58A97051" w14:textId="77777777" w:rsidR="000135E4" w:rsidRPr="00376CC9" w:rsidRDefault="004403E1" w:rsidP="001B5232">
      <w:pPr>
        <w:spacing w:before="240"/>
        <w:rPr>
          <w:rFonts w:cs="Times New Roman"/>
          <w:szCs w:val="24"/>
        </w:rPr>
      </w:pPr>
      <w:r w:rsidRPr="00376CC9">
        <w:rPr>
          <w:rFonts w:cs="Times New Roman"/>
          <w:szCs w:val="24"/>
        </w:rPr>
        <w:t xml:space="preserve">Inclusion Climate: Shore et al. (2017) </w:t>
      </w:r>
    </w:p>
    <w:p w14:paraId="71C1A9B6" w14:textId="77777777" w:rsidR="000135E4" w:rsidRPr="00376CC9" w:rsidRDefault="004403E1" w:rsidP="001B5232">
      <w:pPr>
        <w:pStyle w:val="ListParagraph"/>
        <w:numPr>
          <w:ilvl w:val="0"/>
          <w:numId w:val="15"/>
        </w:numPr>
        <w:spacing w:before="240"/>
        <w:rPr>
          <w:rFonts w:cs="Times New Roman"/>
          <w:szCs w:val="24"/>
        </w:rPr>
      </w:pPr>
      <w:r w:rsidRPr="00376CC9">
        <w:rPr>
          <w:rFonts w:cs="Times New Roman"/>
          <w:szCs w:val="24"/>
        </w:rPr>
        <w:t xml:space="preserve">Diversity policy comprehensiveness </w:t>
      </w:r>
    </w:p>
    <w:p w14:paraId="5375CB9B" w14:textId="77777777" w:rsidR="000135E4" w:rsidRPr="00376CC9" w:rsidRDefault="004403E1" w:rsidP="001B5232">
      <w:pPr>
        <w:pStyle w:val="ListParagraph"/>
        <w:numPr>
          <w:ilvl w:val="0"/>
          <w:numId w:val="15"/>
        </w:numPr>
        <w:spacing w:before="240"/>
        <w:rPr>
          <w:rFonts w:cs="Times New Roman"/>
          <w:szCs w:val="24"/>
        </w:rPr>
      </w:pPr>
      <w:r w:rsidRPr="00376CC9">
        <w:rPr>
          <w:rFonts w:cs="Times New Roman"/>
          <w:szCs w:val="24"/>
        </w:rPr>
        <w:t xml:space="preserve">Employee resource group representation </w:t>
      </w:r>
    </w:p>
    <w:p w14:paraId="4783B354" w14:textId="77777777" w:rsidR="000135E4" w:rsidRPr="00376CC9" w:rsidRDefault="004403E1" w:rsidP="001B5232">
      <w:pPr>
        <w:pStyle w:val="ListParagraph"/>
        <w:numPr>
          <w:ilvl w:val="0"/>
          <w:numId w:val="15"/>
        </w:numPr>
        <w:spacing w:before="240"/>
        <w:rPr>
          <w:rFonts w:cs="Times New Roman"/>
          <w:szCs w:val="24"/>
        </w:rPr>
      </w:pPr>
      <w:r w:rsidRPr="00376CC9">
        <w:rPr>
          <w:rFonts w:cs="Times New Roman"/>
          <w:szCs w:val="24"/>
        </w:rPr>
        <w:t xml:space="preserve">Inclusion training scope Inclusion-related awards </w:t>
      </w:r>
    </w:p>
    <w:p w14:paraId="0A037FAF" w14:textId="77777777" w:rsidR="000135E4" w:rsidRPr="00376CC9" w:rsidRDefault="004403E1" w:rsidP="001B5232">
      <w:pPr>
        <w:spacing w:before="240"/>
        <w:rPr>
          <w:rFonts w:cs="Times New Roman"/>
          <w:szCs w:val="24"/>
        </w:rPr>
      </w:pPr>
      <w:r w:rsidRPr="00376CC9">
        <w:rPr>
          <w:rFonts w:cs="Times New Roman"/>
          <w:b/>
          <w:bCs/>
          <w:szCs w:val="24"/>
        </w:rPr>
        <w:t xml:space="preserve">Validity Limitation: </w:t>
      </w:r>
      <w:r w:rsidRPr="00376CC9">
        <w:rPr>
          <w:rFonts w:cs="Times New Roman"/>
          <w:szCs w:val="24"/>
        </w:rPr>
        <w:t xml:space="preserve">Indicates organization's intentions and structures, not lived experience of inclusion. Employees can feel left out of inclusion despite inclusive policies. </w:t>
      </w:r>
    </w:p>
    <w:p w14:paraId="7055E63D" w14:textId="77777777" w:rsidR="000135E4" w:rsidRPr="00376CC9" w:rsidRDefault="000135E4" w:rsidP="001B5232">
      <w:pPr>
        <w:spacing w:before="240"/>
        <w:rPr>
          <w:rFonts w:cs="Times New Roman"/>
          <w:szCs w:val="24"/>
        </w:rPr>
      </w:pPr>
    </w:p>
    <w:p w14:paraId="02826F10" w14:textId="77777777" w:rsidR="000135E4" w:rsidRPr="00376CC9" w:rsidRDefault="004403E1" w:rsidP="001B5232">
      <w:pPr>
        <w:spacing w:before="240"/>
        <w:rPr>
          <w:rFonts w:cs="Times New Roman"/>
          <w:szCs w:val="24"/>
        </w:rPr>
      </w:pPr>
      <w:r w:rsidRPr="00376CC9">
        <w:rPr>
          <w:rFonts w:cs="Times New Roman"/>
          <w:szCs w:val="24"/>
        </w:rPr>
        <w:t xml:space="preserve">Absorptive Capacity (Bodla et al., </w:t>
      </w:r>
      <w:r w:rsidR="000135E4" w:rsidRPr="00376CC9">
        <w:rPr>
          <w:rFonts w:cs="Times New Roman"/>
          <w:szCs w:val="24"/>
        </w:rPr>
        <w:t>2018)</w:t>
      </w:r>
    </w:p>
    <w:p w14:paraId="35CF772B" w14:textId="77777777" w:rsidR="000135E4" w:rsidRPr="00376CC9" w:rsidRDefault="004403E1" w:rsidP="001B5232">
      <w:pPr>
        <w:pStyle w:val="ListParagraph"/>
        <w:numPr>
          <w:ilvl w:val="0"/>
          <w:numId w:val="16"/>
        </w:numPr>
        <w:spacing w:before="240"/>
        <w:rPr>
          <w:rFonts w:cs="Times New Roman"/>
          <w:szCs w:val="24"/>
        </w:rPr>
      </w:pPr>
      <w:r w:rsidRPr="00376CC9">
        <w:rPr>
          <w:rFonts w:cs="Times New Roman"/>
          <w:szCs w:val="24"/>
        </w:rPr>
        <w:t>Descriptions of knowledge management systems</w:t>
      </w:r>
    </w:p>
    <w:p w14:paraId="008F5F3A" w14:textId="77777777" w:rsidR="000135E4" w:rsidRPr="00376CC9" w:rsidRDefault="004403E1" w:rsidP="001B5232">
      <w:pPr>
        <w:pStyle w:val="ListParagraph"/>
        <w:numPr>
          <w:ilvl w:val="0"/>
          <w:numId w:val="16"/>
        </w:numPr>
        <w:spacing w:before="240"/>
        <w:rPr>
          <w:rFonts w:cs="Times New Roman"/>
          <w:szCs w:val="24"/>
        </w:rPr>
      </w:pPr>
      <w:r w:rsidRPr="00376CC9">
        <w:rPr>
          <w:rFonts w:cs="Times New Roman"/>
          <w:szCs w:val="24"/>
        </w:rPr>
        <w:t xml:space="preserve">Cross-functional collaboration efforts </w:t>
      </w:r>
    </w:p>
    <w:p w14:paraId="4893819F" w14:textId="77777777" w:rsidR="000135E4" w:rsidRPr="00376CC9" w:rsidRDefault="004403E1" w:rsidP="001B5232">
      <w:pPr>
        <w:pStyle w:val="ListParagraph"/>
        <w:numPr>
          <w:ilvl w:val="0"/>
          <w:numId w:val="16"/>
        </w:numPr>
        <w:spacing w:before="240"/>
        <w:rPr>
          <w:rFonts w:cs="Times New Roman"/>
          <w:szCs w:val="24"/>
        </w:rPr>
      </w:pPr>
      <w:r w:rsidRPr="00376CC9">
        <w:rPr>
          <w:rFonts w:cs="Times New Roman"/>
          <w:szCs w:val="24"/>
        </w:rPr>
        <w:t xml:space="preserve">Despite the controversies that surrounded it </w:t>
      </w:r>
    </w:p>
    <w:p w14:paraId="7E4FCA75" w14:textId="1744E1B4" w:rsidR="004403E1" w:rsidRPr="00376CC9" w:rsidRDefault="004403E1" w:rsidP="001B5232">
      <w:pPr>
        <w:pStyle w:val="ListParagraph"/>
        <w:numPr>
          <w:ilvl w:val="0"/>
          <w:numId w:val="16"/>
        </w:numPr>
        <w:spacing w:before="240"/>
        <w:rPr>
          <w:rFonts w:cs="Times New Roman"/>
          <w:szCs w:val="24"/>
        </w:rPr>
      </w:pPr>
      <w:r w:rsidRPr="00376CC9">
        <w:rPr>
          <w:rFonts w:cs="Times New Roman"/>
          <w:szCs w:val="24"/>
        </w:rPr>
        <w:t>Innovation program descriptions</w:t>
      </w:r>
    </w:p>
    <w:p w14:paraId="0E6A1091" w14:textId="5DE07DD3" w:rsidR="000135E4" w:rsidRPr="00376CC9" w:rsidRDefault="004403E1" w:rsidP="001B5232">
      <w:pPr>
        <w:spacing w:before="240"/>
        <w:rPr>
          <w:rFonts w:cs="Times New Roman"/>
          <w:szCs w:val="24"/>
        </w:rPr>
      </w:pPr>
      <w:r w:rsidRPr="00376CC9">
        <w:rPr>
          <w:rFonts w:cs="Times New Roman"/>
          <w:b/>
          <w:bCs/>
          <w:szCs w:val="24"/>
        </w:rPr>
        <w:t>Validity Limitation:</w:t>
      </w:r>
      <w:r w:rsidRPr="00376CC9">
        <w:rPr>
          <w:rFonts w:cs="Times New Roman"/>
          <w:szCs w:val="24"/>
        </w:rPr>
        <w:t xml:space="preserve"> Does not record effectiveness of knowledge integration, but systems/training used. </w:t>
      </w:r>
    </w:p>
    <w:p w14:paraId="239D1D38" w14:textId="77777777" w:rsidR="000135E4" w:rsidRPr="00376CC9" w:rsidRDefault="000135E4" w:rsidP="001B5232">
      <w:pPr>
        <w:spacing w:before="240"/>
        <w:rPr>
          <w:rFonts w:cs="Times New Roman"/>
          <w:szCs w:val="24"/>
        </w:rPr>
      </w:pPr>
    </w:p>
    <w:p w14:paraId="5616EE27" w14:textId="160A48F2" w:rsidR="004403E1" w:rsidRPr="00376CC9" w:rsidRDefault="004403E1" w:rsidP="001B5232">
      <w:pPr>
        <w:spacing w:before="240"/>
        <w:rPr>
          <w:rFonts w:cs="Times New Roman"/>
          <w:szCs w:val="24"/>
        </w:rPr>
      </w:pPr>
      <w:r w:rsidRPr="00376CC9">
        <w:rPr>
          <w:rFonts w:cs="Times New Roman"/>
          <w:szCs w:val="24"/>
        </w:rPr>
        <w:t>Summary of Operationalization Strategy</w:t>
      </w:r>
    </w:p>
    <w:p w14:paraId="788BE2AB" w14:textId="77777777" w:rsidR="000135E4" w:rsidRPr="00376CC9" w:rsidRDefault="004403E1" w:rsidP="001B5232">
      <w:pPr>
        <w:pStyle w:val="ListParagraph"/>
        <w:numPr>
          <w:ilvl w:val="0"/>
          <w:numId w:val="14"/>
        </w:numPr>
        <w:spacing w:before="240"/>
        <w:rPr>
          <w:rFonts w:cs="Times New Roman"/>
          <w:szCs w:val="24"/>
        </w:rPr>
      </w:pPr>
      <w:r w:rsidRPr="00376CC9">
        <w:rPr>
          <w:rFonts w:cs="Times New Roman"/>
          <w:szCs w:val="24"/>
        </w:rPr>
        <w:t xml:space="preserve">This operationalization makes the following distinctions: Directly Measurable Constructs: Demographic diversity (focusing on gender) &amp; aggregate org. perf. indicators with high construct validity </w:t>
      </w:r>
    </w:p>
    <w:p w14:paraId="3F41E072" w14:textId="77777777" w:rsidR="000135E4" w:rsidRPr="00376CC9" w:rsidRDefault="004403E1" w:rsidP="001B5232">
      <w:pPr>
        <w:pStyle w:val="ListParagraph"/>
        <w:numPr>
          <w:ilvl w:val="0"/>
          <w:numId w:val="14"/>
        </w:numPr>
        <w:spacing w:before="240"/>
        <w:rPr>
          <w:rFonts w:cs="Times New Roman"/>
          <w:szCs w:val="24"/>
        </w:rPr>
      </w:pPr>
      <w:r w:rsidRPr="00376CC9">
        <w:rPr>
          <w:rFonts w:cs="Times New Roman"/>
          <w:szCs w:val="24"/>
        </w:rPr>
        <w:t xml:space="preserve">Validity-limited proxy indicators: Cognitive or functional diversity proxies, teamwork performance indicators using organizational data, indicators of mediating mechanisms—imply construct presence but do not measure it directly </w:t>
      </w:r>
    </w:p>
    <w:p w14:paraId="29F592AE" w14:textId="2983C5A4" w:rsidR="0070400A" w:rsidRPr="00376CC9" w:rsidRDefault="004403E1" w:rsidP="001B5232">
      <w:pPr>
        <w:pStyle w:val="ListParagraph"/>
        <w:numPr>
          <w:ilvl w:val="0"/>
          <w:numId w:val="14"/>
        </w:numPr>
        <w:spacing w:before="240"/>
        <w:rPr>
          <w:rFonts w:cs="Times New Roman"/>
          <w:szCs w:val="24"/>
        </w:rPr>
      </w:pPr>
      <w:r w:rsidRPr="00376CC9">
        <w:rPr>
          <w:rFonts w:cs="Times New Roman"/>
          <w:szCs w:val="24"/>
        </w:rPr>
        <w:t>Inferential indicators: Inclusion climate, Absorptive capacity, Trust inferred from multiple imperfect indicators that need triangulation</w:t>
      </w:r>
    </w:p>
    <w:p w14:paraId="75223145" w14:textId="77777777" w:rsidR="000135E4" w:rsidRPr="00376CC9" w:rsidRDefault="000135E4" w:rsidP="001B5232">
      <w:pPr>
        <w:pStyle w:val="ListParagraph"/>
        <w:spacing w:before="240"/>
      </w:pPr>
    </w:p>
    <w:p w14:paraId="4D08DA6D" w14:textId="77777777" w:rsidR="0070400A" w:rsidRPr="00376CC9" w:rsidRDefault="0070400A" w:rsidP="001B5232">
      <w:pPr>
        <w:pStyle w:val="Heading2"/>
        <w:spacing w:before="240"/>
        <w:rPr>
          <w:rFonts w:cs="Times New Roman"/>
        </w:rPr>
      </w:pPr>
      <w:bookmarkStart w:id="26" w:name="_Toc218684538"/>
      <w:r w:rsidRPr="00376CC9">
        <w:rPr>
          <w:rFonts w:cs="Times New Roman"/>
        </w:rPr>
        <w:t>3.6 Data Analysis Strategy</w:t>
      </w:r>
      <w:bookmarkEnd w:id="26"/>
    </w:p>
    <w:p w14:paraId="67B070CB" w14:textId="77777777" w:rsidR="0070400A" w:rsidRPr="00376CC9" w:rsidRDefault="0070400A" w:rsidP="001B5232">
      <w:pPr>
        <w:spacing w:before="240"/>
        <w:rPr>
          <w:rFonts w:cs="Times New Roman"/>
        </w:rPr>
      </w:pPr>
      <w:r w:rsidRPr="00376CC9">
        <w:rPr>
          <w:rFonts w:cs="Times New Roman"/>
        </w:rPr>
        <w:t>The process of data analysis involves the application of structured qualitative content analysis and comparative trend analysis to ensure the interpretation of the collected data in relation to the research question within the context of the organization based on a philosophical posture of post-positivism because:</w:t>
      </w:r>
    </w:p>
    <w:p w14:paraId="76E41CD8" w14:textId="77777777" w:rsidR="0070400A" w:rsidRPr="00376CC9" w:rsidRDefault="0070400A" w:rsidP="001B5232">
      <w:pPr>
        <w:spacing w:before="240"/>
        <w:rPr>
          <w:rFonts w:cs="Times New Roman"/>
        </w:rPr>
      </w:pPr>
      <w:r w:rsidRPr="00376CC9">
        <w:rPr>
          <w:rFonts w:cs="Times New Roman"/>
        </w:rPr>
        <w:t>The content analyses of corporate documents will be performed through a theory-driven coding system that will be developed based on the results of the literature review. The elements to be coded within the documents include diversity initiatives and policies, composition and demographic trends of the working population, corporate culture and climate measures, performance metrics in a variety of dimensions, mediational elements such as trust and quality of communications, and difficult and achievement measures of diversity management initiatives. The coding process will include a systematic review of the documents to identify relevant excerpts for the elements listed and will involve the recording of detailed data points and descriptions into predetermined conceptual categories.</w:t>
      </w:r>
    </w:p>
    <w:p w14:paraId="28338966" w14:textId="77777777" w:rsidR="0070400A" w:rsidRPr="00376CC9" w:rsidRDefault="0070400A" w:rsidP="001B5232">
      <w:pPr>
        <w:spacing w:before="240"/>
        <w:rPr>
          <w:rFonts w:cs="Times New Roman"/>
        </w:rPr>
      </w:pPr>
    </w:p>
    <w:p w14:paraId="5C2ADC81" w14:textId="77777777" w:rsidR="0070400A" w:rsidRPr="00376CC9" w:rsidRDefault="0070400A" w:rsidP="001B5232">
      <w:pPr>
        <w:spacing w:before="240"/>
        <w:rPr>
          <w:rFonts w:cs="Times New Roman"/>
        </w:rPr>
      </w:pPr>
      <w:r w:rsidRPr="00376CC9">
        <w:rPr>
          <w:rFonts w:cs="Times New Roman"/>
        </w:rPr>
        <w:lastRenderedPageBreak/>
        <w:t>The comparative analysis based on various dimensions will form a basis for the evaluation of trends and connections in diversity metrics and performance indicators in the period spanning 2018 to 2024. The comparison based on the timeline will provide an identification of changes in diversity metrics and performance indicators, while the comparison based on benchmarks will provide a significance test of ALDI in terms of diversity and performance in the retail sector in the United Kingdom.</w:t>
      </w:r>
    </w:p>
    <w:p w14:paraId="20F68A6C" w14:textId="77777777" w:rsidR="0070400A" w:rsidRPr="00376CC9" w:rsidRDefault="0070400A" w:rsidP="001B5232">
      <w:pPr>
        <w:spacing w:before="240"/>
        <w:rPr>
          <w:rFonts w:cs="Times New Roman"/>
        </w:rPr>
      </w:pPr>
    </w:p>
    <w:p w14:paraId="735A2185" w14:textId="77777777" w:rsidR="0070400A" w:rsidRPr="00376CC9" w:rsidRDefault="0070400A" w:rsidP="001B5232">
      <w:pPr>
        <w:spacing w:before="240"/>
        <w:rPr>
          <w:rFonts w:cs="Times New Roman"/>
        </w:rPr>
      </w:pPr>
      <w:r w:rsidRPr="00376CC9">
        <w:rPr>
          <w:rFonts w:cs="Times New Roman"/>
        </w:rPr>
        <w:t>The analytic process recognizes the fact that it is not a test of a statistical hypothesis but a systematic process of interpreting the available data according to certain theoretical frameworks. The identification of patterns will be based upon a focus on the coherent themes across the various data sources, and the mechanisms will be approached with the fact in mind that the presence of a relationship is in no way a proof of causality.</w:t>
      </w:r>
    </w:p>
    <w:p w14:paraId="63C4D14B" w14:textId="77777777" w:rsidR="0070400A" w:rsidRPr="00376CC9" w:rsidRDefault="0070400A" w:rsidP="001B5232">
      <w:pPr>
        <w:spacing w:before="240"/>
        <w:rPr>
          <w:rFonts w:cs="Times New Roman"/>
        </w:rPr>
      </w:pPr>
    </w:p>
    <w:p w14:paraId="109E0C55" w14:textId="77777777" w:rsidR="0070400A" w:rsidRPr="00376CC9" w:rsidRDefault="0070400A" w:rsidP="001B5232">
      <w:pPr>
        <w:pStyle w:val="Heading2"/>
        <w:spacing w:before="240"/>
        <w:rPr>
          <w:rFonts w:cs="Times New Roman"/>
        </w:rPr>
      </w:pPr>
      <w:bookmarkStart w:id="27" w:name="_Toc218684539"/>
      <w:r w:rsidRPr="00376CC9">
        <w:rPr>
          <w:rFonts w:cs="Times New Roman"/>
        </w:rPr>
        <w:t>3.7 Validity, Reliability and Limitations of the Method</w:t>
      </w:r>
      <w:bookmarkEnd w:id="27"/>
    </w:p>
    <w:p w14:paraId="1A4BC371" w14:textId="77777777" w:rsidR="0070400A" w:rsidRPr="00376CC9" w:rsidRDefault="0070400A" w:rsidP="001B5232">
      <w:pPr>
        <w:spacing w:before="240"/>
        <w:rPr>
          <w:rFonts w:cs="Times New Roman"/>
        </w:rPr>
      </w:pPr>
      <w:r w:rsidRPr="00376CC9">
        <w:rPr>
          <w:rFonts w:cs="Times New Roman"/>
        </w:rPr>
        <w:t>For the quality of the research in the secondary data analysis to be guaranteed, validity and reliability in the methodology need to be considered. Triangulation methods based on the combination of data from corporate reports, trade publications, and regulatory documents enhance the validity through the comparison of the findings from the sources. The combination of findings from the sources enhances the validity of the findings based on the observations made in the sources.</w:t>
      </w:r>
    </w:p>
    <w:p w14:paraId="6795801E" w14:textId="77777777" w:rsidR="0070400A" w:rsidRPr="00376CC9" w:rsidRDefault="0070400A" w:rsidP="001B5232">
      <w:pPr>
        <w:spacing w:before="240"/>
        <w:rPr>
          <w:rFonts w:cs="Times New Roman"/>
        </w:rPr>
      </w:pPr>
    </w:p>
    <w:p w14:paraId="6D60F655" w14:textId="77777777" w:rsidR="0070400A" w:rsidRPr="00376CC9" w:rsidRDefault="0070400A" w:rsidP="001B5232">
      <w:pPr>
        <w:spacing w:before="240"/>
        <w:rPr>
          <w:rFonts w:cs="Times New Roman"/>
        </w:rPr>
      </w:pPr>
      <w:r w:rsidRPr="00376CC9">
        <w:rPr>
          <w:rFonts w:cs="Times New Roman"/>
        </w:rPr>
        <w:t>Nonetheless, important shortcomings should be acknowledged too. The reporting in publicly available secondary data tends to be biased due to the voluntary reporting of favourable images by the involved organizations. The process of aggregating the collected data tends to provide a summary report based on the organization, instead of the project and teams, making it difficult to investigate the performance in relation to diversity in teams. Observational causality will be difficult to establish in the results of the secondary data collected for the study.</w:t>
      </w:r>
    </w:p>
    <w:p w14:paraId="438AA528" w14:textId="77777777" w:rsidR="0070400A" w:rsidRPr="00376CC9" w:rsidRDefault="0070400A" w:rsidP="001B5232">
      <w:pPr>
        <w:pStyle w:val="Heading2"/>
        <w:spacing w:before="240"/>
        <w:rPr>
          <w:rFonts w:cs="Times New Roman"/>
        </w:rPr>
      </w:pPr>
      <w:bookmarkStart w:id="28" w:name="_Toc218684540"/>
      <w:r w:rsidRPr="00376CC9">
        <w:rPr>
          <w:rFonts w:cs="Times New Roman"/>
        </w:rPr>
        <w:lastRenderedPageBreak/>
        <w:t>3.8 Ethical Considerations</w:t>
      </w:r>
      <w:bookmarkEnd w:id="28"/>
    </w:p>
    <w:p w14:paraId="38EEBF41" w14:textId="77777777" w:rsidR="0070400A" w:rsidRPr="00376CC9" w:rsidRDefault="0070400A" w:rsidP="001B5232">
      <w:pPr>
        <w:spacing w:before="240"/>
        <w:rPr>
          <w:rFonts w:cs="Times New Roman"/>
        </w:rPr>
      </w:pPr>
      <w:r w:rsidRPr="00376CC9">
        <w:rPr>
          <w:rFonts w:cs="Times New Roman"/>
        </w:rPr>
        <w:t xml:space="preserve">This study strictly abides by the prevailing ethics in conducting studies in business and management, in addition to the University ethics and the ethics of the British Academy of Management. The collection of publicly available secondary data eliminates </w:t>
      </w:r>
      <w:proofErr w:type="gramStart"/>
      <w:r w:rsidRPr="00376CC9">
        <w:rPr>
          <w:rFonts w:cs="Times New Roman"/>
        </w:rPr>
        <w:t>a number of</w:t>
      </w:r>
      <w:proofErr w:type="gramEnd"/>
      <w:r w:rsidRPr="00376CC9">
        <w:rPr>
          <w:rFonts w:cs="Times New Roman"/>
        </w:rPr>
        <w:t xml:space="preserve"> ethical issues associated with conducting studies in organizations. The sources of information applied in the study are publicly available documents that the organizations have published voluntarily and are accessible to the public.</w:t>
      </w:r>
    </w:p>
    <w:p w14:paraId="3A2C04A5" w14:textId="77777777" w:rsidR="0070400A" w:rsidRPr="00376CC9" w:rsidRDefault="0070400A" w:rsidP="001B5232">
      <w:pPr>
        <w:spacing w:before="240"/>
        <w:rPr>
          <w:rFonts w:cs="Times New Roman"/>
        </w:rPr>
      </w:pPr>
    </w:p>
    <w:p w14:paraId="1A03F37E" w14:textId="77777777" w:rsidR="0026595F" w:rsidRPr="00376CC9" w:rsidRDefault="0070400A" w:rsidP="001B5232">
      <w:pPr>
        <w:spacing w:before="240"/>
        <w:rPr>
          <w:rFonts w:cs="Times New Roman"/>
        </w:rPr>
      </w:pPr>
      <w:r w:rsidRPr="00376CC9">
        <w:rPr>
          <w:rFonts w:cs="Times New Roman"/>
        </w:rPr>
        <w:t>Citation and referencing will be done properly, giving credit to the source where necessary. Data will be managed according to university guidelines, where all documents collected will be stored in password-protected university OneDrive accounts. Objectivity and integrity will be achieved by reporting results that emerge based on the data collected, even if it proves contradictory to the expected results. The study will be free from any form of commercial ties and interests that might undermine objectivity. The necessary protocols to be followed in ethics will be those prepared by the university.</w:t>
      </w:r>
    </w:p>
    <w:p w14:paraId="4D7B6EE6" w14:textId="77777777" w:rsidR="0026595F" w:rsidRPr="00376CC9" w:rsidRDefault="0026595F" w:rsidP="001B5232">
      <w:pPr>
        <w:spacing w:before="240" w:after="160"/>
        <w:jc w:val="left"/>
        <w:rPr>
          <w:rFonts w:cs="Times New Roman"/>
        </w:rPr>
      </w:pPr>
      <w:r w:rsidRPr="00376CC9">
        <w:rPr>
          <w:rFonts w:cs="Times New Roman"/>
        </w:rPr>
        <w:br w:type="page"/>
      </w:r>
    </w:p>
    <w:p w14:paraId="135A56FB" w14:textId="77777777" w:rsidR="0026595F" w:rsidRPr="00376CC9" w:rsidRDefault="0026595F" w:rsidP="001B5232">
      <w:pPr>
        <w:pStyle w:val="Heading1"/>
        <w:spacing w:before="240"/>
      </w:pPr>
      <w:bookmarkStart w:id="29" w:name="_Toc218684541"/>
      <w:r w:rsidRPr="00376CC9">
        <w:lastRenderedPageBreak/>
        <w:t>Chapter 4: Findings and Analysis</w:t>
      </w:r>
      <w:bookmarkEnd w:id="29"/>
    </w:p>
    <w:p w14:paraId="0BC7A478" w14:textId="77777777" w:rsidR="0026595F" w:rsidRPr="00376CC9" w:rsidRDefault="0026595F" w:rsidP="001B5232">
      <w:pPr>
        <w:pStyle w:val="Heading2"/>
        <w:spacing w:before="240"/>
      </w:pPr>
      <w:bookmarkStart w:id="30" w:name="_Toc218684542"/>
      <w:r w:rsidRPr="00376CC9">
        <w:t>4.1 Overview of ALDI UK and its Workforce</w:t>
      </w:r>
      <w:bookmarkEnd w:id="30"/>
    </w:p>
    <w:p w14:paraId="7D7CC98B" w14:textId="744B09B0" w:rsidR="0026595F" w:rsidRPr="00376CC9" w:rsidRDefault="0026595F" w:rsidP="001B5232">
      <w:pPr>
        <w:keepNext/>
        <w:spacing w:before="240"/>
      </w:pPr>
      <w:r w:rsidRPr="00376CC9">
        <w:t xml:space="preserve">ALDI UK, a discount supermarket chain owned by a German company, has completely turned around the face of the UK grocery market by adopting such a radical strategy. From 890+ stores at the end of 2020, their stores increased through 2024 to 1,020+, and an outlook of 1,060 by September 2025 is expected. These are clear indications of a long-term commitment with </w:t>
      </w:r>
      <w:proofErr w:type="gramStart"/>
      <w:r w:rsidR="004719F0" w:rsidRPr="00376CC9">
        <w:t>a</w:t>
      </w:r>
      <w:proofErr w:type="gramEnd"/>
      <w:r w:rsidRPr="00376CC9">
        <w:t xml:space="preserve"> planned £800m outlay in 2024 and a record £1.6 billion in 2025 due to a surge in demands for low-cost shopping.</w:t>
      </w:r>
      <w:r w:rsidRPr="00376CC9">
        <w:br/>
      </w:r>
      <w:r w:rsidRPr="00376CC9">
        <w:rPr>
          <w:noProof/>
        </w:rPr>
        <w:drawing>
          <wp:inline distT="0" distB="0" distL="0" distR="0" wp14:anchorId="095B58B5" wp14:editId="1066C89C">
            <wp:extent cx="5943600" cy="3166745"/>
            <wp:effectExtent l="0" t="0" r="0" b="0"/>
            <wp:docPr id="2075697427" name="Picture 1" descr="A chart with different colored circle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697427" name="Picture 1" descr="A chart with different colored circles and numbers&#10;&#10;AI-generated content may be incorrect."/>
                    <pic:cNvPicPr/>
                  </pic:nvPicPr>
                  <pic:blipFill>
                    <a:blip r:embed="rId9"/>
                    <a:stretch>
                      <a:fillRect/>
                    </a:stretch>
                  </pic:blipFill>
                  <pic:spPr>
                    <a:xfrm>
                      <a:off x="0" y="0"/>
                      <a:ext cx="5943600" cy="3166745"/>
                    </a:xfrm>
                    <a:prstGeom prst="rect">
                      <a:avLst/>
                    </a:prstGeom>
                  </pic:spPr>
                </pic:pic>
              </a:graphicData>
            </a:graphic>
          </wp:inline>
        </w:drawing>
      </w:r>
    </w:p>
    <w:p w14:paraId="374CD9C6" w14:textId="4A300A1E" w:rsidR="0026595F" w:rsidRPr="00376CC9" w:rsidRDefault="0026595F" w:rsidP="001B5232">
      <w:pPr>
        <w:pStyle w:val="Caption"/>
        <w:spacing w:before="240" w:line="360" w:lineRule="auto"/>
        <w:jc w:val="center"/>
        <w:rPr>
          <w:i w:val="0"/>
          <w:iCs w:val="0"/>
          <w:color w:val="auto"/>
          <w:sz w:val="24"/>
          <w:szCs w:val="24"/>
        </w:rPr>
      </w:pPr>
      <w:r w:rsidRPr="00376CC9">
        <w:rPr>
          <w:i w:val="0"/>
          <w:iCs w:val="0"/>
          <w:color w:val="auto"/>
          <w:sz w:val="24"/>
          <w:szCs w:val="24"/>
        </w:rPr>
        <w:t xml:space="preserve">Figure </w:t>
      </w:r>
      <w:r w:rsidRPr="00376CC9">
        <w:rPr>
          <w:i w:val="0"/>
          <w:iCs w:val="0"/>
          <w:color w:val="auto"/>
          <w:sz w:val="24"/>
          <w:szCs w:val="24"/>
        </w:rPr>
        <w:fldChar w:fldCharType="begin"/>
      </w:r>
      <w:r w:rsidRPr="00376CC9">
        <w:rPr>
          <w:i w:val="0"/>
          <w:iCs w:val="0"/>
          <w:color w:val="auto"/>
          <w:sz w:val="24"/>
          <w:szCs w:val="24"/>
        </w:rPr>
        <w:instrText xml:space="preserve"> SEQ Figure \* ARABIC </w:instrText>
      </w:r>
      <w:r w:rsidRPr="00376CC9">
        <w:rPr>
          <w:i w:val="0"/>
          <w:iCs w:val="0"/>
          <w:color w:val="auto"/>
          <w:sz w:val="24"/>
          <w:szCs w:val="24"/>
        </w:rPr>
        <w:fldChar w:fldCharType="separate"/>
      </w:r>
      <w:r w:rsidRPr="00376CC9">
        <w:rPr>
          <w:i w:val="0"/>
          <w:iCs w:val="0"/>
          <w:noProof/>
          <w:color w:val="auto"/>
          <w:sz w:val="24"/>
          <w:szCs w:val="24"/>
        </w:rPr>
        <w:t>1</w:t>
      </w:r>
      <w:r w:rsidRPr="00376CC9">
        <w:rPr>
          <w:i w:val="0"/>
          <w:iCs w:val="0"/>
          <w:color w:val="auto"/>
          <w:sz w:val="24"/>
          <w:szCs w:val="24"/>
        </w:rPr>
        <w:fldChar w:fldCharType="end"/>
      </w:r>
      <w:r w:rsidRPr="00376CC9">
        <w:rPr>
          <w:i w:val="0"/>
          <w:iCs w:val="0"/>
          <w:color w:val="auto"/>
          <w:sz w:val="24"/>
          <w:szCs w:val="24"/>
        </w:rPr>
        <w:t>: UK Grocery Market Share over Christmas</w:t>
      </w:r>
    </w:p>
    <w:p w14:paraId="3B0A6F0D" w14:textId="3151CCE7" w:rsidR="0026595F" w:rsidRPr="00376CC9" w:rsidRDefault="0026595F" w:rsidP="001B5232">
      <w:pPr>
        <w:spacing w:before="240"/>
        <w:jc w:val="center"/>
      </w:pPr>
      <w:r w:rsidRPr="00376CC9">
        <w:t>(Source: Data collected from Ada Insight)</w:t>
      </w:r>
    </w:p>
    <w:p w14:paraId="04FD3570" w14:textId="255EA5C6" w:rsidR="0026595F" w:rsidRDefault="0026595F" w:rsidP="001B5232">
      <w:pPr>
        <w:spacing w:before="240"/>
      </w:pPr>
      <w:r w:rsidRPr="00376CC9">
        <w:br/>
        <w:t>With each expansion of its store chain, ALDI also offered more job positions. The number of people in employment in mid-2020 was approximately 35,000, which increased to 40,000 by 2023 a</w:t>
      </w:r>
      <w:r w:rsidRPr="00800251">
        <w:t xml:space="preserve">nd about 45,000 for the forecast years from 2024 to 2025. The massive recruitment drive in 2024 </w:t>
      </w:r>
      <w:r w:rsidRPr="00800251">
        <w:lastRenderedPageBreak/>
        <w:t>is expected to fill about 5,500 additional positions. ALDI remains a significant employer within the UK retail industry due to the numerous stores, delivery points, and headquarters.</w:t>
      </w:r>
    </w:p>
    <w:p w14:paraId="00F7B2C1" w14:textId="77777777" w:rsidR="0026595F" w:rsidRDefault="0026595F" w:rsidP="001B5232">
      <w:pPr>
        <w:spacing w:before="240"/>
      </w:pPr>
      <w:r w:rsidRPr="00800251">
        <w:br/>
        <w:t>During the assessment time, ALDI enhanced its market and did so well despite the tough economic state. Market data from Kantar lists the corresponding market share increase from a figure of about 8.0 percent in July 2020 to 9.3 percent in September 2022, peaking at 11.1 percent in mid-2025, with market shares in 2024 set between 10.6 percent and 10.9 percent. This is despite tough economic times linked with the COVID-19 pandemic, Brexit, and the current cost-of-living crisis facing British shoppers. The statistics showing the growth in sales reveal that the revenue generated by ALDI increased by 4.8 percent in the 12 weeks up to August 10, 2025, and reported double-digit growth in 2022 time periods.</w:t>
      </w:r>
    </w:p>
    <w:p w14:paraId="405A1AB6" w14:textId="77777777" w:rsidR="0026595F" w:rsidRDefault="0026595F" w:rsidP="001B5232">
      <w:pPr>
        <w:keepNext/>
        <w:spacing w:before="240"/>
      </w:pPr>
      <w:r w:rsidRPr="00DA090A">
        <w:rPr>
          <w:noProof/>
        </w:rPr>
        <w:drawing>
          <wp:inline distT="0" distB="0" distL="0" distR="0" wp14:anchorId="522ACCA2" wp14:editId="4EF93306">
            <wp:extent cx="5943600" cy="2038350"/>
            <wp:effectExtent l="0" t="0" r="0" b="0"/>
            <wp:docPr id="1816845638"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845638" name="Picture 1" descr="A screen shot of a graph&#10;&#10;AI-generated content may be incorrect."/>
                    <pic:cNvPicPr/>
                  </pic:nvPicPr>
                  <pic:blipFill>
                    <a:blip r:embed="rId10"/>
                    <a:stretch>
                      <a:fillRect/>
                    </a:stretch>
                  </pic:blipFill>
                  <pic:spPr>
                    <a:xfrm>
                      <a:off x="0" y="0"/>
                      <a:ext cx="5943600" cy="2038350"/>
                    </a:xfrm>
                    <a:prstGeom prst="rect">
                      <a:avLst/>
                    </a:prstGeom>
                  </pic:spPr>
                </pic:pic>
              </a:graphicData>
            </a:graphic>
          </wp:inline>
        </w:drawing>
      </w:r>
    </w:p>
    <w:p w14:paraId="5BBF8465" w14:textId="1A61F1CF" w:rsidR="0026595F" w:rsidRPr="0026595F" w:rsidRDefault="0026595F" w:rsidP="001B5232">
      <w:pPr>
        <w:pStyle w:val="Caption"/>
        <w:spacing w:before="240" w:line="360" w:lineRule="auto"/>
        <w:jc w:val="center"/>
        <w:rPr>
          <w:i w:val="0"/>
          <w:iCs w:val="0"/>
          <w:color w:val="auto"/>
          <w:sz w:val="24"/>
          <w:szCs w:val="24"/>
        </w:rPr>
      </w:pPr>
      <w:r w:rsidRPr="0026595F">
        <w:rPr>
          <w:i w:val="0"/>
          <w:iCs w:val="0"/>
          <w:color w:val="auto"/>
          <w:sz w:val="24"/>
          <w:szCs w:val="24"/>
        </w:rPr>
        <w:t xml:space="preserve">Figure </w:t>
      </w:r>
      <w:r w:rsidRPr="0026595F">
        <w:rPr>
          <w:i w:val="0"/>
          <w:iCs w:val="0"/>
          <w:color w:val="auto"/>
          <w:sz w:val="24"/>
          <w:szCs w:val="24"/>
        </w:rPr>
        <w:fldChar w:fldCharType="begin"/>
      </w:r>
      <w:r w:rsidRPr="0026595F">
        <w:rPr>
          <w:i w:val="0"/>
          <w:iCs w:val="0"/>
          <w:color w:val="auto"/>
          <w:sz w:val="24"/>
          <w:szCs w:val="24"/>
        </w:rPr>
        <w:instrText xml:space="preserve"> SEQ Figure \* ARABIC </w:instrText>
      </w:r>
      <w:r w:rsidRPr="0026595F">
        <w:rPr>
          <w:i w:val="0"/>
          <w:iCs w:val="0"/>
          <w:color w:val="auto"/>
          <w:sz w:val="24"/>
          <w:szCs w:val="24"/>
        </w:rPr>
        <w:fldChar w:fldCharType="separate"/>
      </w:r>
      <w:r>
        <w:rPr>
          <w:i w:val="0"/>
          <w:iCs w:val="0"/>
          <w:noProof/>
          <w:color w:val="auto"/>
          <w:sz w:val="24"/>
          <w:szCs w:val="24"/>
        </w:rPr>
        <w:t>2</w:t>
      </w:r>
      <w:r w:rsidRPr="0026595F">
        <w:rPr>
          <w:i w:val="0"/>
          <w:iCs w:val="0"/>
          <w:color w:val="auto"/>
          <w:sz w:val="24"/>
          <w:szCs w:val="24"/>
        </w:rPr>
        <w:fldChar w:fldCharType="end"/>
      </w:r>
      <w:r w:rsidRPr="0026595F">
        <w:rPr>
          <w:i w:val="0"/>
          <w:iCs w:val="0"/>
          <w:color w:val="auto"/>
          <w:sz w:val="24"/>
          <w:szCs w:val="24"/>
        </w:rPr>
        <w:t>: Grocery Market Share</w:t>
      </w:r>
    </w:p>
    <w:p w14:paraId="696478A5" w14:textId="77777777" w:rsidR="0026595F" w:rsidRDefault="0026595F" w:rsidP="001B5232">
      <w:pPr>
        <w:spacing w:before="240"/>
        <w:jc w:val="center"/>
      </w:pPr>
      <w:r>
        <w:t>(Source: Kantar Website)</w:t>
      </w:r>
    </w:p>
    <w:p w14:paraId="399137E8" w14:textId="547D63A4" w:rsidR="0026595F" w:rsidRDefault="0026595F" w:rsidP="001B5232">
      <w:pPr>
        <w:spacing w:before="240"/>
      </w:pPr>
      <w:r w:rsidRPr="00800251">
        <w:br/>
      </w:r>
      <w:r w:rsidRPr="00DA090A">
        <w:t>ALDI is a lean company, and its business philosophy is</w:t>
      </w:r>
      <w:r w:rsidRPr="00DA090A">
        <w:t> </w:t>
      </w:r>
      <w:r w:rsidRPr="00DA090A">
        <w:t>lean.</w:t>
      </w:r>
      <w:r>
        <w:t xml:space="preserve"> </w:t>
      </w:r>
      <w:r w:rsidRPr="00800251">
        <w:t xml:space="preserve">Its organizational structure is lean and agile, with quick product turnover, and its product assortment is also lean, with a focus on a narrow offering of goods. ALDI also does not have specialized workforce members, and the staff are agile, covering a wide range of tasks, making the organization unique from typical projects involving scientific research. Diversity data from contemporary sources gives both valuable information and information gaps. </w:t>
      </w:r>
      <w:r w:rsidRPr="00DA090A">
        <w:t>The most robust comes</w:t>
      </w:r>
      <w:r w:rsidRPr="00DA090A">
        <w:t> </w:t>
      </w:r>
      <w:r w:rsidRPr="00DA090A">
        <w:t xml:space="preserve">from Gender Pay Gap Reports, which </w:t>
      </w:r>
      <w:r w:rsidRPr="00DA090A">
        <w:lastRenderedPageBreak/>
        <w:t>UK companies with more 250 employees must now publish as a matter of law each year, from the start of the 2019-20 period.</w:t>
      </w:r>
      <w:r>
        <w:t xml:space="preserve"> </w:t>
      </w:r>
      <w:r w:rsidRPr="00800251">
        <w:t>Glassdoor compiles data from about 16,000 reviews, putting ALDI at a rated 3.5 out of 5, with about 57-58% recommending the company as an employment choice. Customer satisfaction ratings position ALDI near the top bargain retailers from 2020 to 2024, with a popularity rating from YouGov at about 78% in mid-2024.</w:t>
      </w:r>
    </w:p>
    <w:p w14:paraId="131A960D" w14:textId="77777777" w:rsidR="0026595F" w:rsidRDefault="0026595F" w:rsidP="001B5232">
      <w:pPr>
        <w:spacing w:before="240" w:after="160"/>
        <w:jc w:val="left"/>
      </w:pPr>
    </w:p>
    <w:p w14:paraId="7DFB3CB2" w14:textId="77777777" w:rsidR="0026595F" w:rsidRPr="005452A6" w:rsidRDefault="0026595F" w:rsidP="001B5232">
      <w:pPr>
        <w:pStyle w:val="Heading2"/>
        <w:spacing w:before="240"/>
      </w:pPr>
      <w:bookmarkStart w:id="31" w:name="_Toc218684543"/>
      <w:r w:rsidRPr="005452A6">
        <w:t>4.2 Team Diversity Dimensions at ALDI UK</w:t>
      </w:r>
      <w:bookmarkEnd w:id="31"/>
    </w:p>
    <w:p w14:paraId="2A547FE9" w14:textId="77777777" w:rsidR="0026595F" w:rsidRDefault="0026595F" w:rsidP="001B5232">
      <w:pPr>
        <w:spacing w:before="240"/>
      </w:pPr>
      <w:r>
        <w:t>The analysis of diversity within teams at ALDI UK is rendered challenging by data availability, where data is mostly limited to gender diversity, reported through Gender Pay Gap reporting, while the rest are not well-documented or recorded by secondary sources. The data limitation problem is compounded by the nature of diversity analysis based on publicly accessible corporate data, especially by companies like ALDI UK, where there are limited reporting requirements beyond the statutory aspect.</w:t>
      </w:r>
    </w:p>
    <w:p w14:paraId="06BBE23E" w14:textId="77777777" w:rsidR="0026595F" w:rsidRDefault="0026595F" w:rsidP="001B5232">
      <w:pPr>
        <w:spacing w:before="240"/>
      </w:pPr>
    </w:p>
    <w:p w14:paraId="70E31AC5" w14:textId="77777777" w:rsidR="0026595F" w:rsidRPr="0039558F" w:rsidRDefault="0026595F" w:rsidP="001B5232">
      <w:pPr>
        <w:spacing w:before="240"/>
        <w:rPr>
          <w:b/>
          <w:bCs/>
        </w:rPr>
      </w:pPr>
      <w:r w:rsidRPr="0039558F">
        <w:rPr>
          <w:b/>
          <w:bCs/>
        </w:rPr>
        <w:t>Demographic Diversity: Gender Composition</w:t>
      </w:r>
    </w:p>
    <w:p w14:paraId="5386E4E3" w14:textId="77777777" w:rsidR="0026595F" w:rsidRDefault="0026595F" w:rsidP="001B5232">
      <w:pPr>
        <w:spacing w:before="240"/>
      </w:pPr>
      <w:r>
        <w:t>Gender composition data, the level of diversity most thoroughly recorded, informs workforce patterns and representation according to hierarchical levels as indicated by Gender Pay Gap Service reports. Analysis of the data demonstrates the rate of women’s median hourly pay to men’s to have been changeable throughout the period covered by this review: pay was 93p for every £1 for men in reporting year 2019/20 (published 2020), rising to 94p in 2020/21, dropping to 91p in 2021/22 but rising to 92p for 2022/23, finally reaching 95p in 2023/24. Mean pay was 9.8% in 2020/21 but improved to 7.46% (7.5% as published in gov.uk) by 2023/24, showing positive change but not equality having been attained.</w:t>
      </w:r>
    </w:p>
    <w:p w14:paraId="021EC021" w14:textId="77777777" w:rsidR="0026595F" w:rsidRDefault="0026595F" w:rsidP="001B5232">
      <w:pPr>
        <w:keepNext/>
        <w:spacing w:before="240"/>
      </w:pPr>
      <w:r w:rsidRPr="00DA090A">
        <w:rPr>
          <w:noProof/>
        </w:rPr>
        <w:lastRenderedPageBreak/>
        <w:drawing>
          <wp:inline distT="0" distB="0" distL="0" distR="0" wp14:anchorId="492754A8" wp14:editId="628878EA">
            <wp:extent cx="4851400" cy="2850715"/>
            <wp:effectExtent l="0" t="0" r="6350" b="6985"/>
            <wp:docPr id="1013871610" name="Picture 1" descr="A graph of a bar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871610" name="Picture 1" descr="A graph of a bar chart&#10;&#10;AI-generated content may be incorrect."/>
                    <pic:cNvPicPr/>
                  </pic:nvPicPr>
                  <pic:blipFill>
                    <a:blip r:embed="rId11"/>
                    <a:stretch>
                      <a:fillRect/>
                    </a:stretch>
                  </pic:blipFill>
                  <pic:spPr>
                    <a:xfrm>
                      <a:off x="0" y="0"/>
                      <a:ext cx="4855032" cy="2852849"/>
                    </a:xfrm>
                    <a:prstGeom prst="rect">
                      <a:avLst/>
                    </a:prstGeom>
                  </pic:spPr>
                </pic:pic>
              </a:graphicData>
            </a:graphic>
          </wp:inline>
        </w:drawing>
      </w:r>
    </w:p>
    <w:p w14:paraId="7907B2E6" w14:textId="0B7770AF" w:rsidR="0026595F" w:rsidRPr="0026595F" w:rsidRDefault="0026595F" w:rsidP="001B5232">
      <w:pPr>
        <w:pStyle w:val="Caption"/>
        <w:spacing w:before="240" w:line="360" w:lineRule="auto"/>
        <w:jc w:val="center"/>
        <w:rPr>
          <w:i w:val="0"/>
          <w:iCs w:val="0"/>
          <w:color w:val="auto"/>
          <w:sz w:val="24"/>
          <w:szCs w:val="24"/>
        </w:rPr>
      </w:pPr>
      <w:r w:rsidRPr="0026595F">
        <w:rPr>
          <w:i w:val="0"/>
          <w:iCs w:val="0"/>
          <w:color w:val="auto"/>
          <w:sz w:val="24"/>
          <w:szCs w:val="24"/>
        </w:rPr>
        <w:t xml:space="preserve">Figure </w:t>
      </w:r>
      <w:r w:rsidRPr="0026595F">
        <w:rPr>
          <w:i w:val="0"/>
          <w:iCs w:val="0"/>
          <w:color w:val="auto"/>
          <w:sz w:val="24"/>
          <w:szCs w:val="24"/>
        </w:rPr>
        <w:fldChar w:fldCharType="begin"/>
      </w:r>
      <w:r w:rsidRPr="0026595F">
        <w:rPr>
          <w:i w:val="0"/>
          <w:iCs w:val="0"/>
          <w:color w:val="auto"/>
          <w:sz w:val="24"/>
          <w:szCs w:val="24"/>
        </w:rPr>
        <w:instrText xml:space="preserve"> SEQ Figure \* ARABIC </w:instrText>
      </w:r>
      <w:r w:rsidRPr="0026595F">
        <w:rPr>
          <w:i w:val="0"/>
          <w:iCs w:val="0"/>
          <w:color w:val="auto"/>
          <w:sz w:val="24"/>
          <w:szCs w:val="24"/>
        </w:rPr>
        <w:fldChar w:fldCharType="separate"/>
      </w:r>
      <w:r>
        <w:rPr>
          <w:i w:val="0"/>
          <w:iCs w:val="0"/>
          <w:noProof/>
          <w:color w:val="auto"/>
          <w:sz w:val="24"/>
          <w:szCs w:val="24"/>
        </w:rPr>
        <w:t>3</w:t>
      </w:r>
      <w:r w:rsidRPr="0026595F">
        <w:rPr>
          <w:i w:val="0"/>
          <w:iCs w:val="0"/>
          <w:color w:val="auto"/>
          <w:sz w:val="24"/>
          <w:szCs w:val="24"/>
        </w:rPr>
        <w:fldChar w:fldCharType="end"/>
      </w:r>
      <w:r w:rsidRPr="0026595F">
        <w:rPr>
          <w:i w:val="0"/>
          <w:iCs w:val="0"/>
          <w:color w:val="auto"/>
          <w:sz w:val="24"/>
          <w:szCs w:val="24"/>
        </w:rPr>
        <w:t>: Gender Pays Structure</w:t>
      </w:r>
    </w:p>
    <w:p w14:paraId="13A23D7B" w14:textId="2ECE96F5" w:rsidR="0026595F" w:rsidRDefault="0026595F" w:rsidP="001B5232">
      <w:pPr>
        <w:spacing w:before="240"/>
        <w:jc w:val="center"/>
      </w:pPr>
      <w:r>
        <w:t>(Source: ALDI UK website)</w:t>
      </w:r>
    </w:p>
    <w:p w14:paraId="0743BD5A" w14:textId="77777777" w:rsidR="0026595F" w:rsidRDefault="0026595F" w:rsidP="001B5232">
      <w:pPr>
        <w:spacing w:before="240"/>
      </w:pPr>
    </w:p>
    <w:p w14:paraId="37672AF9" w14:textId="1AB101E4" w:rsidR="0026595F" w:rsidRDefault="0026595F" w:rsidP="001B5232">
      <w:pPr>
        <w:spacing w:before="240"/>
      </w:pPr>
      <w:r>
        <w:t>The pay quartile distribution shows strong patterns of occupational segregation. In the year 2019/20, the quartile with the highest pay contained 33% females and the lowest pay quartile contained 53% females. Notably, this figure has remained remarkably consistent across the reporting years considered. In the year 2020/21, the quartile with the highest pay contained 33% females and the lowest pay quartile contained 55% females. In the year 2021/22, the quartile with the highest pay contained 33% females and the lowest pay quartile contained 53% females. The steady level of the highest quartile percentage across more than one year with the same figure for females at 33% with little change relative to pay equality improvements is particularly informative.</w:t>
      </w:r>
    </w:p>
    <w:p w14:paraId="0BE87165" w14:textId="77777777" w:rsidR="0026595F" w:rsidRDefault="0026595F" w:rsidP="001B5232">
      <w:pPr>
        <w:spacing w:before="240"/>
      </w:pPr>
      <w:r>
        <w:t>The quartile of female staff in lower pay (always 53-55% of female staff) though comprising only 33% of the third quartile group can be seen as a reflection of the overall retail industry trend where female staff tend to be mainly found in customer-facing posts, whereas leadership and distribution centre jobs are male-dominated. Thus, such a form of occupational division ensures that wage gaps persist despite equal hourly rates for similar jobs, since female staff are mainly found in lower-paying job categories.</w:t>
      </w:r>
    </w:p>
    <w:p w14:paraId="27C686F9" w14:textId="77777777" w:rsidR="0026595F" w:rsidRDefault="0026595F" w:rsidP="001B5232">
      <w:pPr>
        <w:keepNext/>
        <w:spacing w:before="240"/>
      </w:pPr>
      <w:r w:rsidRPr="00DA090A">
        <w:rPr>
          <w:noProof/>
        </w:rPr>
        <w:lastRenderedPageBreak/>
        <w:drawing>
          <wp:inline distT="0" distB="0" distL="0" distR="0" wp14:anchorId="40E448E7" wp14:editId="10CD8B9B">
            <wp:extent cx="5943600" cy="2967990"/>
            <wp:effectExtent l="0" t="0" r="0" b="3810"/>
            <wp:docPr id="1677524292" name="Picture 1" descr="A graph of a number of men and wom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524292" name="Picture 1" descr="A graph of a number of men and women&#10;&#10;AI-generated content may be incorrect."/>
                    <pic:cNvPicPr/>
                  </pic:nvPicPr>
                  <pic:blipFill>
                    <a:blip r:embed="rId12"/>
                    <a:stretch>
                      <a:fillRect/>
                    </a:stretch>
                  </pic:blipFill>
                  <pic:spPr>
                    <a:xfrm>
                      <a:off x="0" y="0"/>
                      <a:ext cx="5943600" cy="2967990"/>
                    </a:xfrm>
                    <a:prstGeom prst="rect">
                      <a:avLst/>
                    </a:prstGeom>
                  </pic:spPr>
                </pic:pic>
              </a:graphicData>
            </a:graphic>
          </wp:inline>
        </w:drawing>
      </w:r>
    </w:p>
    <w:p w14:paraId="6F52E87C" w14:textId="54532D74" w:rsidR="0026595F" w:rsidRPr="0026595F" w:rsidRDefault="0026595F" w:rsidP="001B5232">
      <w:pPr>
        <w:pStyle w:val="Caption"/>
        <w:spacing w:before="240" w:line="360" w:lineRule="auto"/>
        <w:jc w:val="center"/>
        <w:rPr>
          <w:i w:val="0"/>
          <w:iCs w:val="0"/>
          <w:color w:val="auto"/>
          <w:sz w:val="24"/>
          <w:szCs w:val="24"/>
        </w:rPr>
      </w:pPr>
      <w:r w:rsidRPr="0026595F">
        <w:rPr>
          <w:i w:val="0"/>
          <w:iCs w:val="0"/>
          <w:color w:val="auto"/>
          <w:sz w:val="24"/>
          <w:szCs w:val="24"/>
        </w:rPr>
        <w:t xml:space="preserve">Figure </w:t>
      </w:r>
      <w:r w:rsidRPr="0026595F">
        <w:rPr>
          <w:i w:val="0"/>
          <w:iCs w:val="0"/>
          <w:color w:val="auto"/>
          <w:sz w:val="24"/>
          <w:szCs w:val="24"/>
        </w:rPr>
        <w:fldChar w:fldCharType="begin"/>
      </w:r>
      <w:r w:rsidRPr="0026595F">
        <w:rPr>
          <w:i w:val="0"/>
          <w:iCs w:val="0"/>
          <w:color w:val="auto"/>
          <w:sz w:val="24"/>
          <w:szCs w:val="24"/>
        </w:rPr>
        <w:instrText xml:space="preserve"> SEQ Figure \* ARABIC </w:instrText>
      </w:r>
      <w:r w:rsidRPr="0026595F">
        <w:rPr>
          <w:i w:val="0"/>
          <w:iCs w:val="0"/>
          <w:color w:val="auto"/>
          <w:sz w:val="24"/>
          <w:szCs w:val="24"/>
        </w:rPr>
        <w:fldChar w:fldCharType="separate"/>
      </w:r>
      <w:r>
        <w:rPr>
          <w:i w:val="0"/>
          <w:iCs w:val="0"/>
          <w:noProof/>
          <w:color w:val="auto"/>
          <w:sz w:val="24"/>
          <w:szCs w:val="24"/>
        </w:rPr>
        <w:t>4</w:t>
      </w:r>
      <w:r w:rsidRPr="0026595F">
        <w:rPr>
          <w:i w:val="0"/>
          <w:iCs w:val="0"/>
          <w:color w:val="auto"/>
          <w:sz w:val="24"/>
          <w:szCs w:val="24"/>
        </w:rPr>
        <w:fldChar w:fldCharType="end"/>
      </w:r>
      <w:r w:rsidRPr="0026595F">
        <w:rPr>
          <w:i w:val="0"/>
          <w:iCs w:val="0"/>
          <w:color w:val="auto"/>
          <w:sz w:val="24"/>
          <w:szCs w:val="24"/>
        </w:rPr>
        <w:t>: Pay Qualities</w:t>
      </w:r>
    </w:p>
    <w:p w14:paraId="422A857B" w14:textId="19F69C41" w:rsidR="0026595F" w:rsidRDefault="0026595F" w:rsidP="001B5232">
      <w:pPr>
        <w:spacing w:before="240"/>
        <w:jc w:val="center"/>
      </w:pPr>
      <w:r>
        <w:t>(Source: ALDI website)</w:t>
      </w:r>
    </w:p>
    <w:p w14:paraId="1E2BB425" w14:textId="77777777" w:rsidR="0026595F" w:rsidRDefault="0026595F" w:rsidP="001B5232">
      <w:pPr>
        <w:spacing w:before="240"/>
        <w:jc w:val="center"/>
      </w:pPr>
    </w:p>
    <w:p w14:paraId="5AADD11C" w14:textId="78ADE4AC" w:rsidR="0026595F" w:rsidRDefault="0026595F" w:rsidP="001B5232">
      <w:pPr>
        <w:spacing w:before="240"/>
      </w:pPr>
      <w:r>
        <w:t>Patterns of bonus pay also indicate other aspects of gender gaps. In 2020/21, the median bonus pay of females was 26.8% lower compared with that of males, with 14% of females compared with 15% of males receiving bonus pay. However, there was unusual convergence shown by the 2021/22 figures, with a median bonus pay gap of 0%, with only 14% of females and 15% of males receiving bonus pay. However, there was a considerable divergence shown by the 2023/24 figures, with 12% of females and 8% of males receiving bonus pay, with a median bonus pay of 11.58% lower among females compared with males, with a mean bonus pay gap of 25.76%.</w:t>
      </w:r>
    </w:p>
    <w:p w14:paraId="593C06F2" w14:textId="77777777" w:rsidR="0026595F" w:rsidRDefault="0026595F" w:rsidP="001B5232">
      <w:pPr>
        <w:spacing w:before="240"/>
      </w:pPr>
    </w:p>
    <w:p w14:paraId="6EE361B4" w14:textId="77777777" w:rsidR="0026595F" w:rsidRDefault="0026595F" w:rsidP="001B5232">
      <w:pPr>
        <w:spacing w:before="240"/>
      </w:pPr>
      <w:r>
        <w:t xml:space="preserve">This set of awards for the 2023/24 cycle contains a seeming contradiction, in that more women were awarded bonuses proportionately than men, though by vastly smaller sums. This is likely due to a compositional shift, where bonuses may be expanded to cover lower organizational levels at which women are more highly concentrated, while higher-level performance bonuses remain disproportionately concentrated in management-level positions where men are overrepresented. </w:t>
      </w:r>
      <w:r>
        <w:lastRenderedPageBreak/>
        <w:t>The fluctuation in the measures of the bonus gap over a series of years (between 0% and a median of 26.8% difference) indicates possible shifts in reward program design.</w:t>
      </w:r>
    </w:p>
    <w:p w14:paraId="242836E5" w14:textId="77777777" w:rsidR="0026595F" w:rsidRDefault="0026595F" w:rsidP="001B5232">
      <w:pPr>
        <w:spacing w:before="240"/>
      </w:pPr>
    </w:p>
    <w:p w14:paraId="35CEB673" w14:textId="77777777" w:rsidR="0026595F" w:rsidRPr="0039558F" w:rsidRDefault="0026595F" w:rsidP="001B5232">
      <w:pPr>
        <w:spacing w:before="240"/>
        <w:rPr>
          <w:b/>
          <w:bCs/>
        </w:rPr>
      </w:pPr>
      <w:r w:rsidRPr="0039558F">
        <w:rPr>
          <w:b/>
          <w:bCs/>
        </w:rPr>
        <w:t>Demographic Diversity: Other Dimensions</w:t>
      </w:r>
    </w:p>
    <w:p w14:paraId="563A29A6" w14:textId="77777777" w:rsidR="0026595F" w:rsidRDefault="0026595F" w:rsidP="001B5232">
      <w:pPr>
        <w:spacing w:before="240"/>
      </w:pPr>
      <w:r>
        <w:t>Ethnicity, age, nationality, and other dimensions of diversity are still under documented and lacking in accessible secondary sources of ALDI UK information. Neither Gender Pay Gap reports, requiring the publication of ethnicity information, nor diversity reports or other CSR and ESG reports offering ethnic composition, age, and nationality diversity information are accessible in publicly available sources during the time of this review.</w:t>
      </w:r>
    </w:p>
    <w:p w14:paraId="7AB81484" w14:textId="77777777" w:rsidR="0026595F" w:rsidRDefault="0026595F" w:rsidP="001B5232">
      <w:pPr>
        <w:keepNext/>
        <w:spacing w:before="240"/>
        <w:jc w:val="center"/>
      </w:pPr>
      <w:r w:rsidRPr="00DA090A">
        <w:rPr>
          <w:noProof/>
        </w:rPr>
        <w:drawing>
          <wp:inline distT="0" distB="0" distL="0" distR="0" wp14:anchorId="387169F0" wp14:editId="370CC655">
            <wp:extent cx="4000500" cy="2973449"/>
            <wp:effectExtent l="0" t="0" r="0" b="0"/>
            <wp:docPr id="718394155" name="Picture 1" descr="A red circles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394155" name="Picture 1" descr="A red circles with white text&#10;&#10;AI-generated content may be incorrect."/>
                    <pic:cNvPicPr/>
                  </pic:nvPicPr>
                  <pic:blipFill>
                    <a:blip r:embed="rId13"/>
                    <a:stretch>
                      <a:fillRect/>
                    </a:stretch>
                  </pic:blipFill>
                  <pic:spPr>
                    <a:xfrm>
                      <a:off x="0" y="0"/>
                      <a:ext cx="4007681" cy="2978787"/>
                    </a:xfrm>
                    <a:prstGeom prst="rect">
                      <a:avLst/>
                    </a:prstGeom>
                  </pic:spPr>
                </pic:pic>
              </a:graphicData>
            </a:graphic>
          </wp:inline>
        </w:drawing>
      </w:r>
    </w:p>
    <w:p w14:paraId="105CB746" w14:textId="47B836D8" w:rsidR="0026595F" w:rsidRDefault="0026595F" w:rsidP="001B5232">
      <w:pPr>
        <w:pStyle w:val="Caption"/>
        <w:spacing w:before="240" w:line="360" w:lineRule="auto"/>
        <w:jc w:val="center"/>
        <w:rPr>
          <w:i w:val="0"/>
          <w:iCs w:val="0"/>
          <w:color w:val="auto"/>
          <w:sz w:val="24"/>
          <w:szCs w:val="24"/>
        </w:rPr>
      </w:pPr>
      <w:r w:rsidRPr="0026595F">
        <w:rPr>
          <w:i w:val="0"/>
          <w:iCs w:val="0"/>
          <w:color w:val="auto"/>
          <w:sz w:val="24"/>
          <w:szCs w:val="24"/>
        </w:rPr>
        <w:t xml:space="preserve">Figure </w:t>
      </w:r>
      <w:r w:rsidRPr="0026595F">
        <w:rPr>
          <w:i w:val="0"/>
          <w:iCs w:val="0"/>
          <w:color w:val="auto"/>
          <w:sz w:val="24"/>
          <w:szCs w:val="24"/>
        </w:rPr>
        <w:fldChar w:fldCharType="begin"/>
      </w:r>
      <w:r w:rsidRPr="0026595F">
        <w:rPr>
          <w:i w:val="0"/>
          <w:iCs w:val="0"/>
          <w:color w:val="auto"/>
          <w:sz w:val="24"/>
          <w:szCs w:val="24"/>
        </w:rPr>
        <w:instrText xml:space="preserve"> SEQ Figure \* ARABIC </w:instrText>
      </w:r>
      <w:r w:rsidRPr="0026595F">
        <w:rPr>
          <w:i w:val="0"/>
          <w:iCs w:val="0"/>
          <w:color w:val="auto"/>
          <w:sz w:val="24"/>
          <w:szCs w:val="24"/>
        </w:rPr>
        <w:fldChar w:fldCharType="separate"/>
      </w:r>
      <w:r w:rsidRPr="0026595F">
        <w:rPr>
          <w:i w:val="0"/>
          <w:iCs w:val="0"/>
          <w:noProof/>
          <w:color w:val="auto"/>
          <w:sz w:val="24"/>
          <w:szCs w:val="24"/>
        </w:rPr>
        <w:t>5</w:t>
      </w:r>
      <w:r w:rsidRPr="0026595F">
        <w:rPr>
          <w:i w:val="0"/>
          <w:iCs w:val="0"/>
          <w:color w:val="auto"/>
          <w:sz w:val="24"/>
          <w:szCs w:val="24"/>
        </w:rPr>
        <w:fldChar w:fldCharType="end"/>
      </w:r>
      <w:r w:rsidRPr="0026595F">
        <w:rPr>
          <w:i w:val="0"/>
          <w:iCs w:val="0"/>
          <w:color w:val="auto"/>
          <w:sz w:val="24"/>
          <w:szCs w:val="24"/>
        </w:rPr>
        <w:t>: Mean and Median Bonus of Gender Pay</w:t>
      </w:r>
    </w:p>
    <w:p w14:paraId="4A0E899B" w14:textId="1B071071" w:rsidR="0026595F" w:rsidRDefault="0026595F" w:rsidP="001B5232">
      <w:pPr>
        <w:spacing w:before="240"/>
        <w:jc w:val="center"/>
      </w:pPr>
      <w:r>
        <w:t>(Source: ALDI website)</w:t>
      </w:r>
    </w:p>
    <w:p w14:paraId="39E4FB5F" w14:textId="77777777" w:rsidR="0026595F" w:rsidRPr="0026595F" w:rsidRDefault="0026595F" w:rsidP="001B5232">
      <w:pPr>
        <w:spacing w:before="240"/>
        <w:jc w:val="center"/>
      </w:pPr>
    </w:p>
    <w:p w14:paraId="4FEFB678" w14:textId="77777777" w:rsidR="0026595F" w:rsidRDefault="0026595F" w:rsidP="001B5232">
      <w:pPr>
        <w:spacing w:before="240"/>
      </w:pPr>
      <w:r>
        <w:t xml:space="preserve">This is because the lack of publicly available data on diversity, other than gender, indicates that the UK private sector has limited requirements to disclose data on the composition of the workforce. Despite the need to disclose the pay gap between the genders by larger employers as </w:t>
      </w:r>
      <w:r>
        <w:lastRenderedPageBreak/>
        <w:t>required by law, the reporting of the pay gap for ethnicities is voluntary, while the disclosure of diversity data is mainly required by publicly traded companies or those that have voluntarily agreed to the more open reporting standards. As a subsidiary of the German-based ALDI Süd, ALDI UK has limited law requirements for the disclosure of its diversity data, other than the disclosure required by law for the gender pay gap.</w:t>
      </w:r>
    </w:p>
    <w:p w14:paraId="3A3802B8" w14:textId="77777777" w:rsidR="0026595F" w:rsidRDefault="0026595F" w:rsidP="001B5232">
      <w:pPr>
        <w:spacing w:before="240"/>
      </w:pPr>
    </w:p>
    <w:p w14:paraId="11CD209E" w14:textId="77777777" w:rsidR="0026595F" w:rsidRDefault="0026595F" w:rsidP="001B5232">
      <w:pPr>
        <w:spacing w:before="240"/>
      </w:pPr>
      <w:r>
        <w:t xml:space="preserve">The absence of data on ethnic diversity is especially problematic because, with the increasingly multicultural employee base in the UK and its retail industry's reputation for employing a diverse workforce mirroring the communities they serve, systematic observations on such aspects remain mere hypotheses. Urban-based ALDI store employment is expected to be more ethnically diversified than rural ones because of locally disparate labour market structures, although such can never be systematically proved or quantitatively measured from current secondary sources. Similarly, age diversity and functional diversity </w:t>
      </w:r>
      <w:proofErr w:type="gramStart"/>
      <w:r>
        <w:t>with regard to</w:t>
      </w:r>
      <w:proofErr w:type="gramEnd"/>
      <w:r>
        <w:t xml:space="preserve"> operational fields can never be properly ascertained.</w:t>
      </w:r>
    </w:p>
    <w:p w14:paraId="056903BA" w14:textId="77777777" w:rsidR="0026595F" w:rsidRDefault="0026595F" w:rsidP="001B5232">
      <w:pPr>
        <w:spacing w:before="240"/>
      </w:pPr>
    </w:p>
    <w:p w14:paraId="28C09E22" w14:textId="77777777" w:rsidR="0026595F" w:rsidRPr="0039558F" w:rsidRDefault="0026595F" w:rsidP="001B5232">
      <w:pPr>
        <w:spacing w:before="240"/>
        <w:rPr>
          <w:b/>
          <w:bCs/>
        </w:rPr>
      </w:pPr>
      <w:r w:rsidRPr="0039558F">
        <w:rPr>
          <w:b/>
          <w:bCs/>
        </w:rPr>
        <w:t>Functional and Role-Related Diversity</w:t>
      </w:r>
    </w:p>
    <w:p w14:paraId="007F5499" w14:textId="77777777" w:rsidR="0026595F" w:rsidRDefault="0026595F" w:rsidP="001B5232">
      <w:pPr>
        <w:spacing w:before="240"/>
      </w:pPr>
      <w:r>
        <w:t>Functional diversity analysis also faces challenges in the absence of adequate data. This is because corporate information on the distribution of the workforce on a functional basis is not provided. The breakdown of ALDI' s operational areas includes its stores, regional distribution centres, and corporate support services, although the exact distribution on these areas is not provided. This includes the nature of jobs and distribution of expertise in these areas.</w:t>
      </w:r>
    </w:p>
    <w:p w14:paraId="2FDD27AE" w14:textId="77777777" w:rsidR="0026595F" w:rsidRDefault="0026595F" w:rsidP="001B5232">
      <w:pPr>
        <w:spacing w:before="240"/>
      </w:pPr>
    </w:p>
    <w:p w14:paraId="52481D98" w14:textId="77777777" w:rsidR="0026595F" w:rsidRDefault="0026595F" w:rsidP="001B5232">
      <w:pPr>
        <w:spacing w:before="240"/>
      </w:pPr>
      <w:r>
        <w:t xml:space="preserve">Connecting Patterns with Theoretical Frameworks These patterns relate to the composition-emergence framework postulated by Van Knippenberg and Mell (2016) concerning the presence of compositional and emergent diversity. However, since data is only limited to composition, only that aspect shall particularly be analysed. Gender-related pay quartile proportions pertain to composition since it is measurable while those related to emergent aspects of psychology and </w:t>
      </w:r>
      <w:r>
        <w:lastRenderedPageBreak/>
        <w:t>behaviour stemming from interaction are completely unmeasurable. This metric constraint has profoundly important implications for understanding diversity-performance links. The literature review demonstrated that compositional diversity lacks sole causal bearing on outcomes; instead, team processes, communications, trust-building, and inclusive climate shape compositional-performance links. There is sufficient existing ALDI data to determine links between gender composition and pay outcomes; however, little information exists related to theory-driven associations between mediated diversity-performance links, associated teamwork, or inclusion experiences.</w:t>
      </w:r>
    </w:p>
    <w:p w14:paraId="33A43E54" w14:textId="77777777" w:rsidR="0026595F" w:rsidRPr="005452A6" w:rsidRDefault="0026595F" w:rsidP="001B5232">
      <w:pPr>
        <w:spacing w:before="240"/>
      </w:pPr>
    </w:p>
    <w:p w14:paraId="3EF7E01A" w14:textId="77777777" w:rsidR="0026595F" w:rsidRPr="005452A6" w:rsidRDefault="0026595F" w:rsidP="001B5232">
      <w:pPr>
        <w:pStyle w:val="Heading2"/>
        <w:spacing w:before="240"/>
      </w:pPr>
      <w:bookmarkStart w:id="32" w:name="_Toc218684544"/>
      <w:r w:rsidRPr="005452A6">
        <w:t>4.3 Employee Job Performance Indicators at ALDI UK</w:t>
      </w:r>
      <w:bookmarkEnd w:id="32"/>
    </w:p>
    <w:p w14:paraId="465D1924" w14:textId="77777777" w:rsidR="0026595F" w:rsidRDefault="0026595F" w:rsidP="001B5232">
      <w:pPr>
        <w:spacing w:before="240"/>
      </w:pPr>
      <w:r>
        <w:t xml:space="preserve">Evaluation of the performance of ALDI UK employees </w:t>
      </w:r>
      <w:proofErr w:type="gramStart"/>
      <w:r>
        <w:t>through the use of</w:t>
      </w:r>
      <w:proofErr w:type="gramEnd"/>
      <w:r>
        <w:t xml:space="preserve"> secondary data is limited, as the metrics provided are at an organization level and not at the level of the personnel and involve numerous elements beyond the issue of workforce diversity. However, analysis of these metrics can enable the identification of trends.</w:t>
      </w:r>
    </w:p>
    <w:p w14:paraId="7C9A4FCB" w14:textId="77777777" w:rsidR="0026595F" w:rsidRDefault="0026595F" w:rsidP="001B5232">
      <w:pPr>
        <w:spacing w:before="240"/>
      </w:pPr>
    </w:p>
    <w:p w14:paraId="46F41728" w14:textId="77777777" w:rsidR="0026595F" w:rsidRPr="005A0B3B" w:rsidRDefault="0026595F" w:rsidP="001B5232">
      <w:pPr>
        <w:spacing w:before="240"/>
        <w:rPr>
          <w:b/>
          <w:bCs/>
        </w:rPr>
      </w:pPr>
      <w:r w:rsidRPr="005A0B3B">
        <w:rPr>
          <w:b/>
          <w:bCs/>
        </w:rPr>
        <w:t>Productivity and Operations Performance Metrics</w:t>
      </w:r>
    </w:p>
    <w:p w14:paraId="1D292F7A" w14:textId="77777777" w:rsidR="0026595F" w:rsidRDefault="0026595F" w:rsidP="001B5232">
      <w:pPr>
        <w:spacing w:before="240"/>
      </w:pPr>
      <w:r w:rsidRPr="005A0B3B">
        <w:t>Public information is missing to provide direct measures of productivity at the employee</w:t>
      </w:r>
      <w:r w:rsidRPr="005A0B3B">
        <w:t> </w:t>
      </w:r>
      <w:r w:rsidRPr="005A0B3B">
        <w:t>or team level within ALDI UK.</w:t>
      </w:r>
      <w:r>
        <w:t xml:space="preserve"> Data benchmarking sales per employee, transaction productivity, labour ratio, and operational productivity are not available. This is because ALDI operates on a private platform, and productivity rates can be determined only </w:t>
      </w:r>
      <w:proofErr w:type="gramStart"/>
      <w:r>
        <w:t>on the basis of</w:t>
      </w:r>
      <w:proofErr w:type="gramEnd"/>
      <w:r>
        <w:t xml:space="preserve"> market share, expansion, and financial investments.</w:t>
      </w:r>
    </w:p>
    <w:p w14:paraId="500F1BE8" w14:textId="77777777" w:rsidR="0026595F" w:rsidRDefault="0026595F" w:rsidP="001B5232">
      <w:pPr>
        <w:spacing w:before="240"/>
      </w:pPr>
    </w:p>
    <w:p w14:paraId="6EAE8326" w14:textId="77777777" w:rsidR="0026595F" w:rsidRDefault="0026595F" w:rsidP="001B5232">
      <w:pPr>
        <w:spacing w:before="240"/>
      </w:pPr>
      <w:r w:rsidRPr="005A0B3B">
        <w:t>Performance can be gauged</w:t>
      </w:r>
      <w:r w:rsidRPr="005A0B3B">
        <w:t> </w:t>
      </w:r>
      <w:r w:rsidRPr="005A0B3B">
        <w:t>by organisational data. Sales in the overall industry are up 4.8 percent over the latest 12 weeks through Aug 10,</w:t>
      </w:r>
      <w:r w:rsidRPr="005A0B3B">
        <w:t> </w:t>
      </w:r>
      <w:r w:rsidRPr="005A0B3B">
        <w:t>2025, Kantar estimates.</w:t>
      </w:r>
      <w:r>
        <w:t xml:space="preserve"> Industry profiles indicate past double-digit sales increases in 2022, with varying annual/half-year data depending on the source. </w:t>
      </w:r>
      <w:r w:rsidRPr="005A0B3B">
        <w:lastRenderedPageBreak/>
        <w:t>Moreover, market share is now some 3 percentage points</w:t>
      </w:r>
      <w:r w:rsidRPr="005A0B3B">
        <w:t> </w:t>
      </w:r>
      <w:r w:rsidRPr="005A0B3B">
        <w:t>higher than in July 2020 at 8.0% and by mid-2025 reached over 11%.</w:t>
      </w:r>
    </w:p>
    <w:p w14:paraId="37EA29EA" w14:textId="77777777" w:rsidR="0026595F" w:rsidRPr="005A0B3B" w:rsidRDefault="0026595F" w:rsidP="001B5232">
      <w:pPr>
        <w:spacing w:before="240"/>
      </w:pPr>
    </w:p>
    <w:p w14:paraId="2D56B912" w14:textId="77777777" w:rsidR="0026595F" w:rsidRDefault="0026595F" w:rsidP="001B5232">
      <w:pPr>
        <w:spacing w:before="240"/>
      </w:pPr>
      <w:r w:rsidRPr="005A0B3B">
        <w:t>ALDI’s expansion strategy expects scale efficiencies; the average number of stores increased from 890 in 2020 to 1,060 in September</w:t>
      </w:r>
      <w:r w:rsidRPr="005A0B3B">
        <w:t> </w:t>
      </w:r>
      <w:r w:rsidRPr="005A0B3B">
        <w:t>2025, capturing market share.</w:t>
      </w:r>
      <w:r>
        <w:t xml:space="preserve"> Openings of new stores without compromising service standards or market base are indicative of effective processes and structures in place.</w:t>
      </w:r>
    </w:p>
    <w:p w14:paraId="7306B0D1" w14:textId="77777777" w:rsidR="0026595F" w:rsidRDefault="0026595F" w:rsidP="001B5232">
      <w:pPr>
        <w:spacing w:before="240"/>
      </w:pPr>
    </w:p>
    <w:p w14:paraId="62BA347D" w14:textId="77777777" w:rsidR="0026595F" w:rsidRDefault="0026595F" w:rsidP="001B5232">
      <w:pPr>
        <w:spacing w:before="240"/>
      </w:pPr>
      <w:r>
        <w:t>Customer satisfaction factors are represented by customer satisfaction indices, in part a function of store staff. YouGov's mid-2024 popularity level is 78%, ALDI a leading discount store chain (2020-2024). Aggregated figures are difficult to disaggregate by store staff satisfaction versus value, quality, ambient conditions, or location.</w:t>
      </w:r>
    </w:p>
    <w:p w14:paraId="1C7C9546" w14:textId="77777777" w:rsidR="0026595F" w:rsidRDefault="0026595F" w:rsidP="001B5232">
      <w:pPr>
        <w:spacing w:before="240"/>
      </w:pPr>
    </w:p>
    <w:p w14:paraId="72776D8D" w14:textId="77777777" w:rsidR="0026595F" w:rsidRPr="005A0B3B" w:rsidRDefault="0026595F" w:rsidP="001B5232">
      <w:pPr>
        <w:spacing w:before="240"/>
        <w:rPr>
          <w:b/>
          <w:bCs/>
        </w:rPr>
      </w:pPr>
      <w:r w:rsidRPr="005A0B3B">
        <w:rPr>
          <w:b/>
          <w:bCs/>
        </w:rPr>
        <w:t>Indicators of Employee Engagement &amp; Sentiment</w:t>
      </w:r>
    </w:p>
    <w:p w14:paraId="6AB2B33B" w14:textId="77777777" w:rsidR="0026595F" w:rsidRDefault="0026595F" w:rsidP="001B5232">
      <w:pPr>
        <w:spacing w:before="240"/>
      </w:pPr>
      <w:r>
        <w:t>There is no publicly accessible internal engagement data for ALDI. Employee engagement and workplace culture metrics are not provided for evaluation of success from an internal perspective.</w:t>
      </w:r>
    </w:p>
    <w:p w14:paraId="6492C5C2" w14:textId="77777777" w:rsidR="0026595F" w:rsidRDefault="0026595F" w:rsidP="001B5232">
      <w:pPr>
        <w:spacing w:before="240"/>
      </w:pPr>
      <w:r>
        <w:t xml:space="preserve">Glassdoor shows a rating of approximately 3.5 out of 5 based on some 16,000 reviews. The percentage of those who would or would not recommend ALDI to a friend is around 57-58% and 42-43%, respectively. The method involves imperfection </w:t>
      </w:r>
      <w:proofErr w:type="gramStart"/>
      <w:r>
        <w:t>with regard to</w:t>
      </w:r>
      <w:proofErr w:type="gramEnd"/>
      <w:r>
        <w:t xml:space="preserve"> potential biases, missing data (since less than 40% of ALDI employee labour contributes to Glassdoor ratings), and a possible unfitting time to write a review.</w:t>
      </w:r>
    </w:p>
    <w:p w14:paraId="6DB98FD2" w14:textId="77777777" w:rsidR="0026595F" w:rsidRDefault="0026595F" w:rsidP="001B5232">
      <w:pPr>
        <w:spacing w:before="240"/>
      </w:pPr>
    </w:p>
    <w:p w14:paraId="02CF5E28" w14:textId="77777777" w:rsidR="0026595F" w:rsidRPr="005A0B3B" w:rsidRDefault="0026595F" w:rsidP="001B5232">
      <w:pPr>
        <w:spacing w:before="240"/>
        <w:rPr>
          <w:b/>
          <w:bCs/>
        </w:rPr>
      </w:pPr>
      <w:r w:rsidRPr="005A0B3B">
        <w:rPr>
          <w:b/>
          <w:bCs/>
        </w:rPr>
        <w:t>Employee Turnover and Organizational Effectiveness</w:t>
      </w:r>
    </w:p>
    <w:p w14:paraId="685BE98A" w14:textId="77777777" w:rsidR="0026595F" w:rsidRDefault="0026595F" w:rsidP="001B5232">
      <w:pPr>
        <w:spacing w:before="240"/>
      </w:pPr>
      <w:r>
        <w:t xml:space="preserve">ALDI UK refuses to provide any information regarding employee turnover, retention, tenure, or separation. Sector norms (CIPD 2023-24) indicate an average employee turnover of 34%, while </w:t>
      </w:r>
      <w:r>
        <w:lastRenderedPageBreak/>
        <w:t>companies with more than 1,000 employees have an employee turnover range of 13-14%. In 2024, ALDI plans around 5,500 new jobs to drive growth (400+ store openings could increase the workforce by a few hundred to over a thousand depending upon the kind of stores). Absence figures are unknown, although the average number of sick days taken by employees per year is 7.8 according to the CIPD, although industry averages differ. Comparing the Different Periods Although faced with exterior pressures, data indicates a positive performance from 2020 to 2025. Market share increased by 3.1 percentage points from 8.0% to 11.1%, while expenditure increased from a planned investment of £0.8b in 2024 to £1.6b in 2025. Customer sentiment and Glassdoor ratings did not falter, even with accelerated growth. Pandemic impacts, labour market restrictions, inflation, and cost-of-living pressures shaped the retail industry in 2020–2024. Resilience, as demonstrated by the available data, cannot prove if it arises from the quality/diversity of the labour workforce, operational strengths, business model advantages, or market positioning. Perhaps it is a combination of all the mentioned factors.</w:t>
      </w:r>
    </w:p>
    <w:p w14:paraId="291B3824" w14:textId="77777777" w:rsidR="0026595F" w:rsidRPr="005452A6" w:rsidRDefault="0026595F" w:rsidP="001B5232">
      <w:pPr>
        <w:spacing w:before="240"/>
      </w:pPr>
    </w:p>
    <w:p w14:paraId="144581DE" w14:textId="77777777" w:rsidR="0026595F" w:rsidRDefault="0026595F" w:rsidP="001B5232">
      <w:pPr>
        <w:spacing w:before="240"/>
        <w:rPr>
          <w:b/>
          <w:bCs/>
        </w:rPr>
      </w:pPr>
    </w:p>
    <w:p w14:paraId="4993CB62" w14:textId="77777777" w:rsidR="0026595F" w:rsidRPr="005452A6" w:rsidRDefault="0026595F" w:rsidP="001B5232">
      <w:pPr>
        <w:pStyle w:val="Heading2"/>
        <w:spacing w:before="240"/>
      </w:pPr>
      <w:bookmarkStart w:id="33" w:name="_Toc218684545"/>
      <w:r w:rsidRPr="005452A6">
        <w:t>4.4 Linking Diversity to Employee Job Performance</w:t>
      </w:r>
      <w:bookmarkEnd w:id="33"/>
    </w:p>
    <w:p w14:paraId="45EE4F1C" w14:textId="77777777" w:rsidR="0026595F" w:rsidRDefault="0026595F" w:rsidP="001B5232">
      <w:pPr>
        <w:spacing w:before="240"/>
      </w:pPr>
      <w:r>
        <w:t>There are empirical connections between observed diversity and performance, but care is required in their interpretation, taking account of theoretical foundation and serious data limitations. Lack of data on team-level diversity, little publicly available data on performance, and unadjusted variables lead only to provisional, not causal, inferences on diversity-performance.</w:t>
      </w:r>
    </w:p>
    <w:p w14:paraId="625DBD36" w14:textId="77777777" w:rsidR="0026595F" w:rsidRDefault="0026595F" w:rsidP="001B5232">
      <w:pPr>
        <w:spacing w:before="240"/>
      </w:pPr>
    </w:p>
    <w:p w14:paraId="4130AADE" w14:textId="77777777" w:rsidR="0026595F" w:rsidRPr="005A0B3B" w:rsidRDefault="0026595F" w:rsidP="001B5232">
      <w:pPr>
        <w:spacing w:before="240"/>
        <w:rPr>
          <w:b/>
          <w:bCs/>
        </w:rPr>
      </w:pPr>
      <w:r w:rsidRPr="005A0B3B">
        <w:rPr>
          <w:b/>
          <w:bCs/>
        </w:rPr>
        <w:t>Temporal Alignment: Gender Pay Equity and Performance</w:t>
      </w:r>
    </w:p>
    <w:p w14:paraId="0317CFDC" w14:textId="77777777" w:rsidR="0026595F" w:rsidRDefault="0026595F" w:rsidP="001B5232">
      <w:pPr>
        <w:spacing w:before="240"/>
      </w:pPr>
      <w:r w:rsidRPr="008908A6">
        <w:t xml:space="preserve">There have been some encouraging trends about the lowering of the pay gap with advances in performance; nonetheless, it is essential to continue with prudence </w:t>
      </w:r>
      <w:proofErr w:type="gramStart"/>
      <w:r w:rsidRPr="008908A6">
        <w:t>in order to</w:t>
      </w:r>
      <w:proofErr w:type="gramEnd"/>
      <w:r w:rsidRPr="008908A6">
        <w:t xml:space="preserve"> avoid any potential negative consequences. As of the 2019/20 fiscal year, the median hourly salary for women was 93 pence for one pound, but by the 2023/24 fiscal year, it had increased to 95 pence. The difference in the mean hourly salary between men and women decreased from 9.8% in the fiscal year 2020/21 </w:t>
      </w:r>
      <w:r w:rsidRPr="008908A6">
        <w:lastRenderedPageBreak/>
        <w:t xml:space="preserve">to 7.46% in the fiscal year 2023/24. Over the course of this </w:t>
      </w:r>
      <w:proofErr w:type="gramStart"/>
      <w:r w:rsidRPr="008908A6">
        <w:t>time period</w:t>
      </w:r>
      <w:proofErr w:type="gramEnd"/>
      <w:r w:rsidRPr="008908A6">
        <w:t xml:space="preserve">, the market share increased from 8.0 percent to 11.1%, the number of shops increased from 890 to at least 1,020, and sales were good. </w:t>
      </w:r>
    </w:p>
    <w:p w14:paraId="438DC9CB" w14:textId="77777777" w:rsidR="0026595F" w:rsidRPr="008908A6" w:rsidRDefault="0026595F" w:rsidP="001B5232">
      <w:pPr>
        <w:spacing w:before="240"/>
      </w:pPr>
      <w:r w:rsidRPr="008908A6">
        <w:br/>
      </w:r>
      <w:r>
        <w:t xml:space="preserve">By contrast, these occurrences do, in fact, relate or correspond to one another. </w:t>
      </w:r>
      <w:r w:rsidRPr="00DA090A">
        <w:t>In this case it is not</w:t>
      </w:r>
      <w:r w:rsidRPr="00DA090A">
        <w:t> </w:t>
      </w:r>
      <w:r w:rsidRPr="00DA090A">
        <w:t>always required to proof cause and effect relationship.</w:t>
      </w:r>
      <w:r>
        <w:t xml:space="preserve"> </w:t>
      </w:r>
      <w:r w:rsidRPr="008908A6">
        <w:t>There are additional aspects that need to be taken into consideration, such as the characteristics and conditions of discount formats in relation to the constraints imposed by the cost of living, the efficiency of supply chains and formats, competitive issues, consumer behaviour and value pricing, and the numerous advantages that have been associated with discount formats. In a similar vein, the resolution of pay gaps may be the consequence of forces in the labour market (such as tightness, increases in the minimum wage, and competition in retail wage levels), and it is not always the outcome of diversity initiatives.</w:t>
      </w:r>
    </w:p>
    <w:p w14:paraId="3183444B" w14:textId="77777777" w:rsidR="0026595F" w:rsidRDefault="0026595F" w:rsidP="001B5232">
      <w:pPr>
        <w:spacing w:before="240"/>
      </w:pPr>
    </w:p>
    <w:p w14:paraId="13DFD009" w14:textId="77777777" w:rsidR="0026595F" w:rsidRPr="005A0B3B" w:rsidRDefault="0026595F" w:rsidP="001B5232">
      <w:pPr>
        <w:spacing w:before="240"/>
        <w:rPr>
          <w:b/>
          <w:bCs/>
        </w:rPr>
      </w:pPr>
      <w:r w:rsidRPr="005A0B3B">
        <w:rPr>
          <w:b/>
          <w:bCs/>
        </w:rPr>
        <w:t>Persistence of Occupational Segregation Despite Growth</w:t>
      </w:r>
    </w:p>
    <w:p w14:paraId="0C3C9422" w14:textId="77777777" w:rsidR="0026595F" w:rsidRPr="008908A6" w:rsidRDefault="0026595F" w:rsidP="001B5232">
      <w:pPr>
        <w:spacing w:before="240"/>
      </w:pPr>
      <w:r w:rsidRPr="008908A6">
        <w:t xml:space="preserve">In particular, the proportion of women who were present in the highest pay quartile maintained the same at 33% from 2019-20 through 2023-24, and the percentage of women who held leadership roles remained the same at 33% during this </w:t>
      </w:r>
      <w:proofErr w:type="gramStart"/>
      <w:r w:rsidRPr="008908A6">
        <w:t>time period</w:t>
      </w:r>
      <w:proofErr w:type="gramEnd"/>
      <w:r w:rsidRPr="008908A6">
        <w:t xml:space="preserve">. The performance of the organisation improved </w:t>
      </w:r>
      <w:proofErr w:type="gramStart"/>
      <w:r w:rsidRPr="008908A6">
        <w:t>despite the fact that</w:t>
      </w:r>
      <w:proofErr w:type="gramEnd"/>
      <w:r w:rsidRPr="008908A6">
        <w:t xml:space="preserve"> there was no change in the diversity of the leadership. </w:t>
      </w:r>
      <w:r w:rsidRPr="008908A6">
        <w:br/>
      </w:r>
      <w:r w:rsidRPr="008908A6">
        <w:br/>
        <w:t xml:space="preserve">There is a wide variety of perspectives from which one might comprehend this problem. There is a concern that the efficiency approach that ALDI is using is </w:t>
      </w:r>
      <w:proofErr w:type="gramStart"/>
      <w:r w:rsidRPr="008908A6">
        <w:t>taking into account</w:t>
      </w:r>
      <w:proofErr w:type="gramEnd"/>
      <w:r w:rsidRPr="008908A6">
        <w:t xml:space="preserve"> the gender composition of the workforce. On the one hand, this is concerned. </w:t>
      </w:r>
      <w:r w:rsidRPr="00894B37">
        <w:t>This could particularly be due to the increased number of females being observed working in low-paying job categories as frontline workers compared to the increased number of males being observed working in higher-paying job categories as managers.</w:t>
      </w:r>
      <w:r>
        <w:t xml:space="preserve"> </w:t>
      </w:r>
      <w:r w:rsidRPr="008908A6">
        <w:t xml:space="preserve">One school of thought, on the other hand, maintains that the gender breakdown of those in positions of authority is of little significance in this </w:t>
      </w:r>
      <w:proofErr w:type="gramStart"/>
      <w:r w:rsidRPr="008908A6">
        <w:t>particular setting</w:t>
      </w:r>
      <w:proofErr w:type="gramEnd"/>
      <w:r w:rsidRPr="008908A6">
        <w:t>. This is because the job in retail is extremely standardised, which means that diversity within the leadership has less of an impact on the work than projects and innovation do. This is the reason this is the case.</w:t>
      </w:r>
    </w:p>
    <w:p w14:paraId="0B0B8BEF" w14:textId="77777777" w:rsidR="0026595F" w:rsidRDefault="0026595F" w:rsidP="001B5232">
      <w:pPr>
        <w:spacing w:before="240"/>
      </w:pPr>
    </w:p>
    <w:p w14:paraId="55041069" w14:textId="77777777" w:rsidR="0026595F" w:rsidRPr="005A0B3B" w:rsidRDefault="0026595F" w:rsidP="001B5232">
      <w:pPr>
        <w:spacing w:before="240"/>
        <w:rPr>
          <w:b/>
          <w:bCs/>
        </w:rPr>
      </w:pPr>
      <w:r w:rsidRPr="005A0B3B">
        <w:rPr>
          <w:b/>
          <w:bCs/>
        </w:rPr>
        <w:t>Bonus Pay Inequities and Performance Evaluation</w:t>
      </w:r>
    </w:p>
    <w:p w14:paraId="17F67C04" w14:textId="77777777" w:rsidR="0026595F" w:rsidRPr="008908A6" w:rsidRDefault="0026595F" w:rsidP="001B5232">
      <w:pPr>
        <w:spacing w:before="240"/>
      </w:pPr>
      <w:r w:rsidRPr="008908A6">
        <w:t xml:space="preserve">An extra layer of complexity is introduced if bonus patterns are included. Women got 11.58% less median bonus pay and 25.76% less mean bonus pay compared to males for the 2023/24 fiscal year, </w:t>
      </w:r>
      <w:proofErr w:type="gramStart"/>
      <w:r w:rsidRPr="008908A6">
        <w:t>despite the fact that</w:t>
      </w:r>
      <w:proofErr w:type="gramEnd"/>
      <w:r w:rsidRPr="008908A6">
        <w:t xml:space="preserve"> their performance has been on par with that of men. </w:t>
      </w:r>
      <w:proofErr w:type="gramStart"/>
      <w:r w:rsidRPr="008908A6">
        <w:t>In the event that</w:t>
      </w:r>
      <w:proofErr w:type="gramEnd"/>
      <w:r w:rsidRPr="008908A6">
        <w:t xml:space="preserve"> bonus compensation </w:t>
      </w:r>
      <w:proofErr w:type="gramStart"/>
      <w:r w:rsidRPr="008908A6">
        <w:t>is a reflection of</w:t>
      </w:r>
      <w:proofErr w:type="gramEnd"/>
      <w:r w:rsidRPr="008908A6">
        <w:t xml:space="preserve"> performance, it is quite probable that there is an imbalance in the recognition or computation of bonuses. Each year, the bonus pay gap varied, going from a 0% bonus gap in 2021/22 to a 26.8% bonus gap in 2020/21. This variation is most likely a result of changes in incentive schemes or eligibility, rather than disparities in contributions based on gender. In the fiscal year 2023/24, there was an increase in the number of women who earned bonus pay, </w:t>
      </w:r>
      <w:proofErr w:type="gramStart"/>
      <w:r w:rsidRPr="008908A6">
        <w:t>despite the fact that</w:t>
      </w:r>
      <w:proofErr w:type="gramEnd"/>
      <w:r w:rsidRPr="008908A6">
        <w:t xml:space="preserve"> it was distributed at a lower level. This is most likely </w:t>
      </w:r>
      <w:proofErr w:type="gramStart"/>
      <w:r w:rsidRPr="008908A6">
        <w:t>due to the fact that</w:t>
      </w:r>
      <w:proofErr w:type="gramEnd"/>
      <w:r w:rsidRPr="008908A6">
        <w:t xml:space="preserve"> women were eligible for higher-level bonus pay at lower levels, whereas senior males were granted high-level bonus pay.</w:t>
      </w:r>
    </w:p>
    <w:p w14:paraId="66006032" w14:textId="77777777" w:rsidR="0026595F" w:rsidRDefault="0026595F" w:rsidP="001B5232">
      <w:pPr>
        <w:spacing w:before="240"/>
      </w:pPr>
    </w:p>
    <w:p w14:paraId="37774797" w14:textId="77777777" w:rsidR="0026595F" w:rsidRPr="00894B37" w:rsidRDefault="0026595F" w:rsidP="001B5232">
      <w:pPr>
        <w:spacing w:before="240"/>
        <w:rPr>
          <w:b/>
          <w:bCs/>
        </w:rPr>
      </w:pPr>
      <w:r w:rsidRPr="00894B37">
        <w:rPr>
          <w:b/>
          <w:bCs/>
        </w:rPr>
        <w:t>Critical Overall Gaps Hindering Testing of Mechanism</w:t>
      </w:r>
    </w:p>
    <w:p w14:paraId="76023522" w14:textId="77777777" w:rsidR="0026595F" w:rsidRPr="008908A6" w:rsidRDefault="0026595F" w:rsidP="001B5232">
      <w:pPr>
        <w:spacing w:before="240"/>
      </w:pPr>
      <w:r>
        <w:t>Trust, communication, absorptive capacity, and inclusive environment are the factors identified in the studies that have been conducted on mediation for the association between diversity and performance and other factors.</w:t>
      </w:r>
      <w:r w:rsidRPr="008908A6">
        <w:t xml:space="preserve"> Nevertheless, none of these characteristics can be measured in a straightforward manner for ALDI UK. Employee surveys, efficient communication, knowledge management systems, and feelings of belongingness or treatment fairness are not there, which is the reason this is the case. </w:t>
      </w:r>
      <w:r>
        <w:t>Given the knowledge available now, it is no longer possible to determine the relationship between diversity and performance, as both are mediated by all the antecedent variables mentioned above.</w:t>
      </w:r>
    </w:p>
    <w:p w14:paraId="4DBD4BEB" w14:textId="77777777" w:rsidR="0026595F" w:rsidRDefault="0026595F" w:rsidP="001B5232">
      <w:pPr>
        <w:spacing w:before="240"/>
      </w:pPr>
    </w:p>
    <w:p w14:paraId="721645DE" w14:textId="77777777" w:rsidR="0026595F" w:rsidRPr="005A0B3B" w:rsidRDefault="0026595F" w:rsidP="001B5232">
      <w:pPr>
        <w:spacing w:before="240"/>
        <w:rPr>
          <w:b/>
          <w:bCs/>
        </w:rPr>
      </w:pPr>
      <w:r w:rsidRPr="005A0B3B">
        <w:rPr>
          <w:b/>
          <w:bCs/>
        </w:rPr>
        <w:t>Organizational Level of Analysis</w:t>
      </w:r>
    </w:p>
    <w:p w14:paraId="5B834B22" w14:textId="77777777" w:rsidR="0026595F" w:rsidRPr="008908A6" w:rsidRDefault="0026595F" w:rsidP="001B5232">
      <w:pPr>
        <w:spacing w:before="240"/>
      </w:pPr>
      <w:r w:rsidRPr="008908A6">
        <w:t xml:space="preserve">As a result of the consolidation of data among around 1,020 locations and 45,000 workers, the dynamics of team diversity are concealed. It is likely that there will be a significant amount of </w:t>
      </w:r>
      <w:r w:rsidRPr="008908A6">
        <w:lastRenderedPageBreak/>
        <w:t xml:space="preserve">variance at the store level owing to local labour markets, demography, competition, and shop management. As a result, store-level data are necessary </w:t>
      </w:r>
      <w:proofErr w:type="gramStart"/>
      <w:r w:rsidRPr="008908A6">
        <w:t>in order to</w:t>
      </w:r>
      <w:proofErr w:type="gramEnd"/>
      <w:r w:rsidRPr="008908A6">
        <w:t xml:space="preserve"> identify the nature of diversity-performance relationships and relate store diversity composition to store performance.</w:t>
      </w:r>
    </w:p>
    <w:p w14:paraId="56E6505C" w14:textId="77777777" w:rsidR="0026595F" w:rsidRDefault="0026595F" w:rsidP="001B5232">
      <w:pPr>
        <w:spacing w:before="240"/>
      </w:pPr>
    </w:p>
    <w:p w14:paraId="5CA5C0AC" w14:textId="77777777" w:rsidR="0026595F" w:rsidRPr="005A0B3B" w:rsidRDefault="0026595F" w:rsidP="001B5232">
      <w:pPr>
        <w:spacing w:before="240"/>
        <w:rPr>
          <w:b/>
          <w:bCs/>
        </w:rPr>
      </w:pPr>
      <w:r w:rsidRPr="005A0B3B">
        <w:rPr>
          <w:b/>
          <w:bCs/>
        </w:rPr>
        <w:t>Alternative Explanations for Performance</w:t>
      </w:r>
    </w:p>
    <w:p w14:paraId="5DDD6BDC" w14:textId="77777777" w:rsidR="0026595F" w:rsidRPr="008908A6" w:rsidRDefault="0026595F" w:rsidP="001B5232">
      <w:pPr>
        <w:spacing w:before="240"/>
      </w:pPr>
      <w:r w:rsidRPr="008908A6">
        <w:t xml:space="preserve">When it comes to the success of ALDI, there are many more aspects that contribute than just the diversity of its personnel. The effectiveness of the discount model, the product variety, the price, investments in the supply chain and technology, and market penetration are all variables that fall under this category. Management is responsible for determining these parameters, and they do not necessarily </w:t>
      </w:r>
      <w:proofErr w:type="gramStart"/>
      <w:r w:rsidRPr="008908A6">
        <w:t>take into account</w:t>
      </w:r>
      <w:proofErr w:type="gramEnd"/>
      <w:r w:rsidRPr="008908A6">
        <w:t xml:space="preserve"> the diversity of the workforce.</w:t>
      </w:r>
    </w:p>
    <w:p w14:paraId="127FCDE9" w14:textId="77777777" w:rsidR="0026595F" w:rsidRDefault="0026595F" w:rsidP="001B5232">
      <w:pPr>
        <w:spacing w:before="240"/>
      </w:pPr>
    </w:p>
    <w:p w14:paraId="4C0B2834" w14:textId="77777777" w:rsidR="0026595F" w:rsidRPr="005A0B3B" w:rsidRDefault="0026595F" w:rsidP="001B5232">
      <w:pPr>
        <w:spacing w:before="240"/>
        <w:rPr>
          <w:b/>
          <w:bCs/>
        </w:rPr>
      </w:pPr>
      <w:r w:rsidRPr="005A0B3B">
        <w:rPr>
          <w:b/>
          <w:bCs/>
        </w:rPr>
        <w:t>Interpreting the Absence of Observable Diversity-Performance Relationships</w:t>
      </w:r>
    </w:p>
    <w:p w14:paraId="63123472" w14:textId="77777777" w:rsidR="0026595F" w:rsidRDefault="0026595F" w:rsidP="001B5232">
      <w:pPr>
        <w:spacing w:before="240"/>
      </w:pPr>
      <w:r w:rsidRPr="008908A6">
        <w:t xml:space="preserve">The likelihood of these impacts being lower is higher in standardised retail contexts, where the importance of process integrity is greater than that of cooperation. As opposed to a lack of impact, it is possible that its absence is due to limits in the quality of the data. Because of governance flaws, it is possible that ALDI has a diversity management role that is not fully developed and has potential that has not been fully realised. To summarise, according to the existing </w:t>
      </w:r>
      <w:proofErr w:type="gramStart"/>
      <w:r w:rsidRPr="008908A6">
        <w:t>state of affairs</w:t>
      </w:r>
      <w:proofErr w:type="gramEnd"/>
      <w:r w:rsidRPr="008908A6">
        <w:t>, there is a limited quantity of research that demonstrates substantial connections between diversity and the performance of teams. However, this does not constitute proof that such connections do not present themselves. If the data from the team were improved, then more useful patterns would be available.</w:t>
      </w:r>
    </w:p>
    <w:p w14:paraId="4C72E649" w14:textId="77777777" w:rsidR="0026595F" w:rsidRPr="00C90B89" w:rsidRDefault="0026595F" w:rsidP="001B5232">
      <w:pPr>
        <w:spacing w:before="240"/>
      </w:pPr>
    </w:p>
    <w:p w14:paraId="6EF9556F" w14:textId="77777777" w:rsidR="0026595F" w:rsidRDefault="0026595F" w:rsidP="001B5232">
      <w:pPr>
        <w:pStyle w:val="Heading2"/>
        <w:spacing w:before="240"/>
      </w:pPr>
      <w:bookmarkStart w:id="34" w:name="_Toc218684546"/>
      <w:r w:rsidRPr="005452A6">
        <w:t>4.5 Organisational and Leadership Factors at ALDI UK</w:t>
      </w:r>
      <w:bookmarkEnd w:id="34"/>
    </w:p>
    <w:p w14:paraId="6E4F7823" w14:textId="77777777" w:rsidR="0026595F" w:rsidRDefault="0026595F" w:rsidP="001B5232">
      <w:pPr>
        <w:spacing w:before="240"/>
      </w:pPr>
      <w:r>
        <w:t xml:space="preserve">Systemic analysis of diversity efforts within organizations, overall leadership actions on diversity and inclusion, and people management practices at ALDI UK is challenged by substantial and impractical data limitations. While publicly listed corporations provide transparency in terms of </w:t>
      </w:r>
      <w:r>
        <w:lastRenderedPageBreak/>
        <w:t>sustainability reports, diversity statements, corporate social responsibilities, and overall ESG reporting, as required in public disclosable information, being a private subsidiary of its German-based parent, ALDI Süd, makes ALDI UK's disclosure extremely limited, only encompassing statutory legal obligations.</w:t>
      </w:r>
    </w:p>
    <w:p w14:paraId="79C0B772" w14:textId="77777777" w:rsidR="0026595F" w:rsidRDefault="0026595F" w:rsidP="001B5232">
      <w:pPr>
        <w:spacing w:before="240"/>
      </w:pPr>
    </w:p>
    <w:p w14:paraId="714A7D6F" w14:textId="77777777" w:rsidR="0026595F" w:rsidRDefault="0026595F" w:rsidP="001B5232">
      <w:pPr>
        <w:spacing w:before="240"/>
      </w:pPr>
      <w:r w:rsidRPr="002111A9">
        <w:rPr>
          <w:b/>
          <w:bCs/>
        </w:rPr>
        <w:t>Documented Diversity and Inclusion Initiatives</w:t>
      </w:r>
    </w:p>
    <w:p w14:paraId="51BAF040" w14:textId="77777777" w:rsidR="0026595F" w:rsidRDefault="0026595F" w:rsidP="001B5232">
      <w:pPr>
        <w:spacing w:before="240"/>
      </w:pPr>
      <w:r>
        <w:t>Secondary sources find that there is limited diversity and inclusion activity formally delivered at ALDI UK. The company fulfils the compulsory reporting requirements of the UK equality law regarding the Gender Pay Gap, though there is limited reporting of voluntary diversity data beyond the requirements of the equality law. When reporting to the public, there is no inclusion of specific information regarding the delivery strategies, resource application, and outcome measurement of the activities, though there is the standard reporting of equality policy.</w:t>
      </w:r>
    </w:p>
    <w:p w14:paraId="0B9FBADE" w14:textId="77777777" w:rsidR="0026595F" w:rsidRDefault="0026595F" w:rsidP="001B5232">
      <w:pPr>
        <w:spacing w:before="240"/>
      </w:pPr>
    </w:p>
    <w:p w14:paraId="09D0948B" w14:textId="77777777" w:rsidR="0026595F" w:rsidRDefault="0026595F" w:rsidP="001B5232">
      <w:pPr>
        <w:spacing w:before="240"/>
      </w:pPr>
      <w:r>
        <w:t>Some diversity initiatives are mentioned in passing within job seeker recruitment and employer marketing. Apprenticeships for younger candidates and graduate management training programs for recent university graduates may offer diversity entry points, though ALDI reporting is lacking on demographics, completion rates, and outcomes for individuals enrolled in these programs. The employee document set acknowledges organisational support for diverse workplace professionals, though employee resource groups, diversity councils, affinity groups, employee mentor programs for underrepresented groups, and organisational-level diversity-related committee structures are absent.</w:t>
      </w:r>
    </w:p>
    <w:p w14:paraId="21DF4D53" w14:textId="77777777" w:rsidR="0026595F" w:rsidRDefault="0026595F" w:rsidP="001B5232">
      <w:pPr>
        <w:spacing w:before="240"/>
      </w:pPr>
    </w:p>
    <w:p w14:paraId="0EA61ECE" w14:textId="77777777" w:rsidR="0026595F" w:rsidRDefault="0026595F" w:rsidP="001B5232">
      <w:pPr>
        <w:spacing w:before="240"/>
      </w:pPr>
      <w:r>
        <w:t xml:space="preserve">The absence of documentation on public diversity initiatives does not necessarily imply the absence of efforts within the organisation. Some diversity training and development activities, leadership development activities that are supportive of the workforce, and policies related to diversity may be undertaken without the need for public reporting, particularly within private organizations where transparency is minimal. </w:t>
      </w:r>
      <w:r w:rsidRPr="00DA090A">
        <w:t xml:space="preserve">Uncertain projects in available literature can neither </w:t>
      </w:r>
      <w:r w:rsidRPr="00DA090A">
        <w:lastRenderedPageBreak/>
        <w:t>be</w:t>
      </w:r>
      <w:r w:rsidRPr="00DA090A">
        <w:t> </w:t>
      </w:r>
      <w:r w:rsidRPr="00DA090A">
        <w:t>recognised, described nor studied.</w:t>
      </w:r>
      <w:r>
        <w:t xml:space="preserve"> Therefore, such projects should be excised from the evaluation process.</w:t>
      </w:r>
    </w:p>
    <w:p w14:paraId="15F87A6A" w14:textId="77777777" w:rsidR="0026595F" w:rsidRDefault="0026595F" w:rsidP="001B5232">
      <w:pPr>
        <w:spacing w:before="240"/>
      </w:pPr>
    </w:p>
    <w:p w14:paraId="787CE31C" w14:textId="77777777" w:rsidR="0026595F" w:rsidRPr="002111A9" w:rsidRDefault="0026595F" w:rsidP="001B5232">
      <w:pPr>
        <w:spacing w:before="240"/>
        <w:rPr>
          <w:b/>
          <w:bCs/>
        </w:rPr>
      </w:pPr>
      <w:r w:rsidRPr="002111A9">
        <w:rPr>
          <w:b/>
          <w:bCs/>
        </w:rPr>
        <w:t>Leadership Communication and Accountability Frameworks</w:t>
      </w:r>
    </w:p>
    <w:p w14:paraId="6A21A89F" w14:textId="77777777" w:rsidR="0026595F" w:rsidRDefault="0026595F" w:rsidP="001B5232">
      <w:pPr>
        <w:spacing w:before="240"/>
      </w:pPr>
      <w:r>
        <w:t xml:space="preserve">Diversity and inclusion communication for the executive-level leadership of ALDI UK regarding diversity and inclusion appears to be limited. Press releases and statements by the corporation include information on the expansion of operations, performance of the business and the market, competitive pricing structures, and store-opening schedules to entice customers. These communication objectives of ALDI do not include diversity or people management. Organisational positioning by ALDI lies </w:t>
      </w:r>
      <w:proofErr w:type="gramStart"/>
      <w:r>
        <w:t>on the basis of</w:t>
      </w:r>
      <w:proofErr w:type="gramEnd"/>
      <w:r>
        <w:t xml:space="preserve"> efficient business operations and value for customers.</w:t>
      </w:r>
    </w:p>
    <w:p w14:paraId="284EDAEB" w14:textId="77777777" w:rsidR="0026595F" w:rsidRDefault="0026595F" w:rsidP="001B5232">
      <w:pPr>
        <w:spacing w:before="240"/>
      </w:pPr>
    </w:p>
    <w:p w14:paraId="74312636" w14:textId="77777777" w:rsidR="0026595F" w:rsidRDefault="0026595F" w:rsidP="001B5232">
      <w:pPr>
        <w:spacing w:before="240"/>
      </w:pPr>
      <w:r>
        <w:t>Diversity in executive and board representation, by gender, ethnicity, age, and other demographics of important decision-makers, is not reported in publicly available literature. This is not practised by ALDI UK, as it is not done by publicly quoted companies. In carrying out literature reviews, Ali et al. (2022) assumed leadership representation diversity and its influences on organisational diversity because of limited datasets.</w:t>
      </w:r>
    </w:p>
    <w:p w14:paraId="1C93D257" w14:textId="77777777" w:rsidR="0026595F" w:rsidRDefault="0026595F" w:rsidP="001B5232">
      <w:pPr>
        <w:spacing w:before="240"/>
      </w:pPr>
    </w:p>
    <w:p w14:paraId="6DF91CA8" w14:textId="77777777" w:rsidR="0026595F" w:rsidRDefault="0026595F" w:rsidP="001B5232">
      <w:pPr>
        <w:spacing w:before="240"/>
      </w:pPr>
      <w:r>
        <w:t>On the other hand, externally, the linkage of accountability practices pertaining to diversity outcomes with performance appraisal of leadership, compensation packages of executives, promotion decision-making, and corresponding career consequences is unclear. There is no data available regarding whether the most senior officers of the organisation are held accountable or rewarded for performance pertaining to diversity management.</w:t>
      </w:r>
    </w:p>
    <w:p w14:paraId="08CD5D0F" w14:textId="77777777" w:rsidR="0026595F" w:rsidRDefault="0026595F" w:rsidP="001B5232">
      <w:pPr>
        <w:spacing w:before="240"/>
      </w:pPr>
    </w:p>
    <w:p w14:paraId="542C597B" w14:textId="77777777" w:rsidR="006374EA" w:rsidRDefault="006374EA" w:rsidP="001B5232">
      <w:pPr>
        <w:spacing w:before="240"/>
      </w:pPr>
    </w:p>
    <w:p w14:paraId="4977BE06" w14:textId="77777777" w:rsidR="0026595F" w:rsidRPr="002111A9" w:rsidRDefault="0026595F" w:rsidP="001B5232">
      <w:pPr>
        <w:spacing w:before="240"/>
        <w:rPr>
          <w:b/>
          <w:bCs/>
        </w:rPr>
      </w:pPr>
      <w:r w:rsidRPr="002111A9">
        <w:rPr>
          <w:b/>
          <w:bCs/>
        </w:rPr>
        <w:lastRenderedPageBreak/>
        <w:t>Human Resource Management Practices</w:t>
      </w:r>
    </w:p>
    <w:p w14:paraId="11C1C127" w14:textId="77777777" w:rsidR="0026595F" w:rsidRDefault="0026595F" w:rsidP="001B5232">
      <w:pPr>
        <w:spacing w:before="240"/>
      </w:pPr>
      <w:r>
        <w:t>Apart from generic descriptions communicated during recruitment and employer branding, HRM processes such as recruitment, hiring, employee development, performance appraisal systems, promotion systems, and employee retention are not recorded. In job application forms, ALDI communicates a training system, salary packages, and opportunities for employee development, but there is no recorded implementation strategy, participation level, completion rate, demographic characteristics, or rigorous outcome measurement.</w:t>
      </w:r>
    </w:p>
    <w:p w14:paraId="511BA7E5" w14:textId="77777777" w:rsidR="0026595F" w:rsidRDefault="0026595F" w:rsidP="001B5232">
      <w:pPr>
        <w:spacing w:before="240"/>
      </w:pPr>
    </w:p>
    <w:p w14:paraId="2D04D4E8" w14:textId="77777777" w:rsidR="0026595F" w:rsidRDefault="0026595F" w:rsidP="001B5232">
      <w:pPr>
        <w:spacing w:before="240"/>
      </w:pPr>
      <w:r>
        <w:t>The diversity about the kind of payment systems used to address equity issues not considered in the living wages criteria, as well as participation in pay equality audits, and the reduction of unexplained variations in payment inequalities in the industry, is not provided. The persisting gender gaps in the basic payment and the remarkably high levels of gaps in rewards reported in the statutory gender pay gap suggest a mismatch with the external payment competitiveness rhetoric about equity outcomes.</w:t>
      </w:r>
    </w:p>
    <w:p w14:paraId="2D68A485" w14:textId="77777777" w:rsidR="0026595F" w:rsidRDefault="0026595F" w:rsidP="001B5232">
      <w:pPr>
        <w:spacing w:before="240"/>
      </w:pPr>
    </w:p>
    <w:p w14:paraId="227C4CCC" w14:textId="77777777" w:rsidR="0026595F" w:rsidRDefault="0026595F" w:rsidP="001B5232">
      <w:pPr>
        <w:spacing w:before="240"/>
      </w:pPr>
      <w:r>
        <w:t>Flexible work arrangements, part-time work, and work-life balance support are mentioned in recruitment literature as options available to employees; however, data regarding usage rates or the impact on retention and satisfaction levels within any demographic segment is not available.</w:t>
      </w:r>
    </w:p>
    <w:p w14:paraId="159AF6B8" w14:textId="77777777" w:rsidR="0026595F" w:rsidRDefault="0026595F" w:rsidP="001B5232">
      <w:pPr>
        <w:spacing w:before="240"/>
      </w:pPr>
    </w:p>
    <w:p w14:paraId="74F7A4B1" w14:textId="77777777" w:rsidR="0026595F" w:rsidRPr="002111A9" w:rsidRDefault="0026595F" w:rsidP="001B5232">
      <w:pPr>
        <w:spacing w:before="240"/>
        <w:rPr>
          <w:b/>
          <w:bCs/>
        </w:rPr>
      </w:pPr>
      <w:r w:rsidRPr="002111A9">
        <w:rPr>
          <w:b/>
          <w:bCs/>
        </w:rPr>
        <w:t xml:space="preserve">Training and Development </w:t>
      </w:r>
    </w:p>
    <w:p w14:paraId="5B760ED0" w14:textId="77777777" w:rsidR="0026595F" w:rsidRDefault="0026595F" w:rsidP="001B5232">
      <w:pPr>
        <w:spacing w:before="240"/>
      </w:pPr>
      <w:r>
        <w:t xml:space="preserve">Diversity and inclusion training course content, formats, mandatory vs. optional attendance, training completion rates, participant satisfaction measures, and the effectiveness of changing related behaviour are factors that ALDI UK does not include. There is no public indication of whether the organisation provides unconscious bias training to recruitment managers or leadership development training to supervisors to be more inclusive, cross-cultural communication training, and any new variety of diversity training approaches discussed in the literature study. A lack of publicly available training data makes it impossible to determine whether ALDI makes a </w:t>
      </w:r>
      <w:r>
        <w:lastRenderedPageBreak/>
        <w:t xml:space="preserve">considerable effort to improve organisational effectiveness in managing diversity by investing in leadership development, as is a key point discussed within the literature review. </w:t>
      </w:r>
    </w:p>
    <w:p w14:paraId="5B232CC9" w14:textId="77777777" w:rsidR="0026595F" w:rsidRDefault="0026595F" w:rsidP="001B5232">
      <w:pPr>
        <w:spacing w:before="240"/>
      </w:pPr>
    </w:p>
    <w:p w14:paraId="6F79F215" w14:textId="77777777" w:rsidR="0026595F" w:rsidRDefault="0026595F" w:rsidP="001B5232">
      <w:pPr>
        <w:spacing w:before="240"/>
      </w:pPr>
      <w:r w:rsidRPr="005452A6">
        <w:rPr>
          <w:b/>
          <w:bCs/>
        </w:rPr>
        <w:t>Comparison with Sector Transparency Standards</w:t>
      </w:r>
    </w:p>
    <w:p w14:paraId="34491261" w14:textId="77777777" w:rsidR="0026595F" w:rsidRDefault="0026595F" w:rsidP="001B5232">
      <w:pPr>
        <w:spacing w:before="240"/>
      </w:pPr>
      <w:r>
        <w:t>ALDI’s limited disclosure requirements on diversity are vastly different when compared to other large retailers in the UK, and more so when focusing on publicly quoted companies. Tesco, Sainsbury’s, Marks &amp; Spencer, and the John Lewis Partnership all now publish annual or biennial corporate reports on their commitment to diversity which include information not only on the workforce profile for a variety of demographic characteristics but also metrics for representation throughout the organisation, pay gap analysis that goes well beyond the minimum required publicly, and a comprehensive review of their ongoing commitment to action on diversity management initiatives. This allows all stakeholders to assess the commitment to, and performance in terms of, diversity management by the organisation. This is not the case for ALDI due to its limited transparency.</w:t>
      </w:r>
    </w:p>
    <w:p w14:paraId="7252EBBA" w14:textId="77777777" w:rsidR="0026595F" w:rsidRPr="005452A6" w:rsidRDefault="0026595F" w:rsidP="001B5232">
      <w:pPr>
        <w:spacing w:before="240"/>
      </w:pPr>
    </w:p>
    <w:p w14:paraId="722A2C43" w14:textId="77777777" w:rsidR="0026595F" w:rsidRPr="005452A6" w:rsidRDefault="0026595F" w:rsidP="001B5232">
      <w:pPr>
        <w:pStyle w:val="Heading2"/>
        <w:spacing w:before="240"/>
      </w:pPr>
      <w:bookmarkStart w:id="35" w:name="_Toc218684547"/>
      <w:r w:rsidRPr="005452A6">
        <w:t>4.6 Comparison with Wider UK Retail Sector</w:t>
      </w:r>
      <w:bookmarkEnd w:id="35"/>
    </w:p>
    <w:p w14:paraId="56F1038B" w14:textId="6776A6A8" w:rsidR="0026595F" w:rsidRDefault="0026595F" w:rsidP="001B5232">
      <w:pPr>
        <w:spacing w:before="240"/>
      </w:pPr>
      <w:r>
        <w:t xml:space="preserve">To appropriately contextualize the issue of identifiable patterns of diversity and the performance of ALDI UK within the broader retail </w:t>
      </w:r>
      <w:r w:rsidR="00FE40B4">
        <w:t>context and</w:t>
      </w:r>
      <w:r>
        <w:t xml:space="preserve"> help build insight into how well discernible patterns might mark an organization uniquely, rather than being more typical of the sector, there is clearly a need for perspective that is not necessarily facilitated by direct comparison. There are many challenges involved in doing so.</w:t>
      </w:r>
    </w:p>
    <w:p w14:paraId="7721D96A" w14:textId="77777777" w:rsidR="0026595F" w:rsidRDefault="0026595F" w:rsidP="001B5232">
      <w:pPr>
        <w:spacing w:before="240"/>
      </w:pPr>
    </w:p>
    <w:p w14:paraId="689EA341" w14:textId="77777777" w:rsidR="0026595F" w:rsidRPr="00111258" w:rsidRDefault="0026595F" w:rsidP="001B5232">
      <w:pPr>
        <w:spacing w:before="240"/>
        <w:rPr>
          <w:b/>
          <w:bCs/>
        </w:rPr>
      </w:pPr>
      <w:r w:rsidRPr="00111258">
        <w:rPr>
          <w:b/>
          <w:bCs/>
        </w:rPr>
        <w:t>Gender Pay Gap Benchmarking</w:t>
      </w:r>
    </w:p>
    <w:p w14:paraId="28E9D63F" w14:textId="77777777" w:rsidR="0026595F" w:rsidRDefault="0026595F" w:rsidP="001B5232">
      <w:pPr>
        <w:spacing w:before="240"/>
      </w:pPr>
      <w:r>
        <w:t>ALDI’s gender pay gap is 5% (women earning 95p per £1), compared with the average of around 6-9% in 2023-24 reported by other retailers in the UK. ALDI’s gap is not an exception compared to others because it is also within the expected range.</w:t>
      </w:r>
    </w:p>
    <w:p w14:paraId="2DCCFC5D" w14:textId="77777777" w:rsidR="0026595F" w:rsidRDefault="0026595F" w:rsidP="001B5232">
      <w:pPr>
        <w:spacing w:before="240"/>
      </w:pPr>
    </w:p>
    <w:p w14:paraId="2BFA4E95" w14:textId="77777777" w:rsidR="0026595F" w:rsidRDefault="0026595F" w:rsidP="001B5232">
      <w:pPr>
        <w:spacing w:before="240"/>
      </w:pPr>
      <w:r>
        <w:t>Notwithstanding, large variations exist between the retail sectors. Upscale department stores and fashion retailers tend to record larger gaps (10-15%), whereas discount retailers tend to record 5-10% gaps. However, the grocery retail sector displays large variations—some retailers registering gaps below 4%, while others register gaps above 12%.</w:t>
      </w:r>
    </w:p>
    <w:p w14:paraId="3CA578F4" w14:textId="77777777" w:rsidR="0026595F" w:rsidRDefault="0026595F" w:rsidP="001B5232">
      <w:pPr>
        <w:spacing w:before="240"/>
      </w:pPr>
    </w:p>
    <w:p w14:paraId="331E05C7" w14:textId="77777777" w:rsidR="0026595F" w:rsidRDefault="0026595F" w:rsidP="001B5232">
      <w:pPr>
        <w:spacing w:before="240"/>
      </w:pPr>
      <w:r>
        <w:t>The fact that ALDI's quartile distribution for pay remains stable (33% females in the top quartile over several years) also confirms a certain level of occupational segregation, similar to the rest of the sector, where data shows that women make up 30% to 40% of top management positions within the retail sector, although they represent 55% to 60% of the retail workforce.</w:t>
      </w:r>
    </w:p>
    <w:p w14:paraId="21D074AB" w14:textId="77777777" w:rsidR="0026595F" w:rsidRPr="00111258" w:rsidRDefault="0026595F" w:rsidP="001B5232">
      <w:pPr>
        <w:spacing w:before="240"/>
        <w:rPr>
          <w:b/>
          <w:bCs/>
        </w:rPr>
      </w:pPr>
    </w:p>
    <w:p w14:paraId="551881A3" w14:textId="77777777" w:rsidR="0026595F" w:rsidRPr="00111258" w:rsidRDefault="0026595F" w:rsidP="001B5232">
      <w:pPr>
        <w:spacing w:before="240"/>
        <w:rPr>
          <w:b/>
          <w:bCs/>
        </w:rPr>
      </w:pPr>
      <w:r w:rsidRPr="00111258">
        <w:rPr>
          <w:b/>
          <w:bCs/>
        </w:rPr>
        <w:t>Performance Indicator Benchmarking</w:t>
      </w:r>
    </w:p>
    <w:p w14:paraId="283228ED" w14:textId="77777777" w:rsidR="0026595F" w:rsidRDefault="0026595F" w:rsidP="001B5232">
      <w:pPr>
        <w:spacing w:before="240"/>
      </w:pPr>
      <w:r>
        <w:t>The increase in market share of ALDI from 8.0% to 11.1% from 2020 to 2025 was much higher than the rate of growth of the market, which indicates the better performance of this firm compared to the others. The traditional supermarkets experienced a decline in the market share, while the discount rivals experienced an increase in the market share. The re-positioning of the competitors in the marketplace indicates the Customer Satisfaction Positioning, with ALDI as one of the leaders in customer satisfaction in discount retailers in various trackers between 2020-2024, reflects competitive service. Nonetheless, relative customer satisfaction in various retail formats is difficult to compare because each tends to score differently depending on whether they are discount or full-service, based on distinct customer expectations.</w:t>
      </w:r>
    </w:p>
    <w:p w14:paraId="2758D65A" w14:textId="77777777" w:rsidR="0026595F" w:rsidRDefault="0026595F" w:rsidP="001B5232">
      <w:pPr>
        <w:spacing w:before="240"/>
      </w:pPr>
      <w:r>
        <w:t xml:space="preserve">Not expressly engaging in employee sentiment benchmarking on Glassdoor, ALDI’s 3.5 out of 5 ranking and 57-58% recommendation levels are comparative to the mid-market segment for food retailers in the UK. The range of the rankings starts from 3.0 to 3.2 for the budget segment, progressing to 3.8 to 4.2 for the upscale players, while the key more traditional players cluster between 3.3 and 3.7. </w:t>
      </w:r>
    </w:p>
    <w:p w14:paraId="162414C3" w14:textId="77777777" w:rsidR="0026595F" w:rsidRDefault="0026595F" w:rsidP="001B5232">
      <w:pPr>
        <w:spacing w:before="240"/>
      </w:pPr>
    </w:p>
    <w:p w14:paraId="013D3D0F" w14:textId="77777777" w:rsidR="0026595F" w:rsidRPr="00111258" w:rsidRDefault="0026595F" w:rsidP="001B5232">
      <w:pPr>
        <w:spacing w:before="240"/>
        <w:rPr>
          <w:b/>
          <w:bCs/>
        </w:rPr>
      </w:pPr>
      <w:r w:rsidRPr="00111258">
        <w:rPr>
          <w:b/>
          <w:bCs/>
        </w:rPr>
        <w:lastRenderedPageBreak/>
        <w:t>Workforce Turnover Context</w:t>
      </w:r>
    </w:p>
    <w:p w14:paraId="255C0F1D" w14:textId="77777777" w:rsidR="0026595F" w:rsidRDefault="0026595F" w:rsidP="001B5232">
      <w:pPr>
        <w:spacing w:before="240"/>
      </w:pPr>
      <w:r>
        <w:t xml:space="preserve">Lacking ALDI turnover data, comparison is impossible. </w:t>
      </w:r>
      <w:proofErr w:type="gramStart"/>
      <w:r>
        <w:t>On the basis of</w:t>
      </w:r>
      <w:proofErr w:type="gramEnd"/>
      <w:r>
        <w:t xml:space="preserve"> sector context derived from CIPD data, average sector turnover of 34% gives a point of comparison. ALDI's operating factors—large workforce, fixed retail presence, competitive rates of pay—imply low sector turnover positioning, although it is impossible to verify.</w:t>
      </w:r>
    </w:p>
    <w:p w14:paraId="57BC9AE2" w14:textId="77777777" w:rsidR="0026595F" w:rsidRDefault="0026595F" w:rsidP="001B5232">
      <w:pPr>
        <w:spacing w:before="240"/>
      </w:pPr>
    </w:p>
    <w:p w14:paraId="798EC327" w14:textId="77777777" w:rsidR="0026595F" w:rsidRPr="00111258" w:rsidRDefault="0026595F" w:rsidP="001B5232">
      <w:pPr>
        <w:pStyle w:val="Heading2"/>
        <w:spacing w:before="240"/>
      </w:pPr>
      <w:bookmarkStart w:id="36" w:name="_Toc218684548"/>
      <w:r w:rsidRPr="00111258">
        <w:t>4.7 Synthesis of Findings</w:t>
      </w:r>
      <w:bookmarkEnd w:id="36"/>
      <w:r w:rsidRPr="00111258">
        <w:t xml:space="preserve"> </w:t>
      </w:r>
    </w:p>
    <w:p w14:paraId="74E198AA" w14:textId="77777777" w:rsidR="0026595F" w:rsidRDefault="0026595F" w:rsidP="001B5232">
      <w:pPr>
        <w:spacing w:before="240"/>
      </w:pPr>
      <w:r>
        <w:t xml:space="preserve">Analysis of the secondary data </w:t>
      </w:r>
      <w:proofErr w:type="gramStart"/>
      <w:r>
        <w:t>with regard to</w:t>
      </w:r>
      <w:proofErr w:type="gramEnd"/>
      <w:r>
        <w:t xml:space="preserve"> diversity in the workforce and performance of ALDI UK indicates some basic limitations in establishing relationships with publicly available data when dealing with private retail companies.</w:t>
      </w:r>
    </w:p>
    <w:p w14:paraId="0DAAA85F" w14:textId="77777777" w:rsidR="0026595F" w:rsidRDefault="0026595F" w:rsidP="001B5232">
      <w:pPr>
        <w:spacing w:before="240"/>
      </w:pPr>
    </w:p>
    <w:p w14:paraId="670A0CAA" w14:textId="77777777" w:rsidR="0026595F" w:rsidRPr="00111258" w:rsidRDefault="0026595F" w:rsidP="001B5232">
      <w:pPr>
        <w:spacing w:before="240"/>
        <w:rPr>
          <w:b/>
          <w:bCs/>
        </w:rPr>
      </w:pPr>
      <w:r w:rsidRPr="00111258">
        <w:rPr>
          <w:b/>
          <w:bCs/>
        </w:rPr>
        <w:t>Meeting the Research Aims</w:t>
      </w:r>
    </w:p>
    <w:p w14:paraId="0794D2E4" w14:textId="77777777" w:rsidR="0026595F" w:rsidRDefault="0026595F" w:rsidP="001B5232">
      <w:pPr>
        <w:spacing w:before="240"/>
      </w:pPr>
      <w:r>
        <w:t>The first research question, focusing on relationships between dimensions of team diversity and job performance, is answered with very little empirical evidence because of limitations on the data. The one aspect of gender diversity, gender composition, shows a moderate improvement in pay equity (reducing the gap from 7% to 5% median) during a period of strong organizational performance (market share expansion from 8.0% to 11.1%, with continued expansion). The presence of occupational segregation (female percentage constant at 33% in highest pay quartile) coexisting with improvements in performance tempers straightforward conclusions about causal links from improved diversity to success.</w:t>
      </w:r>
    </w:p>
    <w:p w14:paraId="736B3557" w14:textId="77777777" w:rsidR="0026595F" w:rsidRDefault="0026595F" w:rsidP="001B5232">
      <w:pPr>
        <w:spacing w:before="240"/>
      </w:pPr>
    </w:p>
    <w:p w14:paraId="72EA3381" w14:textId="77777777" w:rsidR="0026595F" w:rsidRDefault="0026595F" w:rsidP="001B5232">
      <w:pPr>
        <w:spacing w:before="240"/>
      </w:pPr>
      <w:r>
        <w:t>Other dimensions of diversity, such as ethnicity, age, nationality, and functional diversity, have not been measured in available sources, substantially limiting diversity research generally. Lack of analysis of diversity composition and performance at the team level prohibits exploration of the theoretical processes by which diversity allegedly affects outcomes based on team processes.</w:t>
      </w:r>
    </w:p>
    <w:p w14:paraId="1DC6C118" w14:textId="77777777" w:rsidR="0026595F" w:rsidRDefault="0026595F" w:rsidP="001B5232">
      <w:pPr>
        <w:spacing w:before="240"/>
      </w:pPr>
      <w:r>
        <w:lastRenderedPageBreak/>
        <w:t>There is insufficient evidence available about the role of organizational variables and leadership variables moderating diversity effects to be assessed meaningfully. The efforts put towards diversity management, leadership commitment, HRM, and diversity management initiatives are not recorded publicly to determine if ALDI embraces organizational variables that ensure diversity outcomes.</w:t>
      </w:r>
    </w:p>
    <w:p w14:paraId="6CEA787A" w14:textId="77777777" w:rsidR="0026595F" w:rsidRPr="00111258" w:rsidRDefault="0026595F" w:rsidP="001B5232">
      <w:pPr>
        <w:spacing w:before="240"/>
        <w:rPr>
          <w:b/>
          <w:bCs/>
        </w:rPr>
      </w:pPr>
    </w:p>
    <w:p w14:paraId="7A1CDA73" w14:textId="77777777" w:rsidR="0026595F" w:rsidRPr="00111258" w:rsidRDefault="0026595F" w:rsidP="001B5232">
      <w:pPr>
        <w:spacing w:before="240"/>
        <w:rPr>
          <w:b/>
          <w:bCs/>
        </w:rPr>
      </w:pPr>
      <w:r w:rsidRPr="00111258">
        <w:rPr>
          <w:b/>
          <w:bCs/>
        </w:rPr>
        <w:t>Empirical Evidence Quality Assessment</w:t>
      </w:r>
    </w:p>
    <w:p w14:paraId="3FF570FA" w14:textId="77777777" w:rsidR="0026595F" w:rsidRDefault="0026595F" w:rsidP="001B5232">
      <w:pPr>
        <w:spacing w:before="240"/>
      </w:pPr>
      <w:r>
        <w:t>The empirical basis is, however, not strong because of several limitations. First, the data availability is constrained, and analysis is limited only to the reporting of the gender pay gap. Second, the performance metrics are aggregates and involve numerous factors, which cannot isolate the effects of diversity. Third, the lack of data at the team level hampers the testing of theories that fundamentally emphasize team processes. Fourth, the inability to account for factors that can be confounding variables hampers the assessment of causality of the performance-diversity association.</w:t>
      </w:r>
    </w:p>
    <w:p w14:paraId="45FC02C2" w14:textId="77777777" w:rsidR="0026595F" w:rsidRDefault="0026595F" w:rsidP="001B5232">
      <w:pPr>
        <w:spacing w:before="240"/>
      </w:pPr>
    </w:p>
    <w:p w14:paraId="7002A171" w14:textId="77777777" w:rsidR="0026595F" w:rsidRDefault="0026595F" w:rsidP="001B5232">
      <w:pPr>
        <w:spacing w:before="240"/>
      </w:pPr>
      <w:r>
        <w:t>These factors make it necessary to interpret results in terms of descriptive trends at an individual institution level, as opposed to making broader conclusions. The results demonstrate a clear examination of ALDI’s sustained performance during a time of modest improvement in gender pay gaps and persistent gendered job segmentation. The extent to which diversity management is a source of their performance, neutral towards it, or an unrealized potential is unclear at this point.</w:t>
      </w:r>
    </w:p>
    <w:p w14:paraId="2FF86B81" w14:textId="77777777" w:rsidR="0026595F" w:rsidRDefault="0026595F" w:rsidP="001B5232">
      <w:pPr>
        <w:spacing w:before="240"/>
        <w:rPr>
          <w:b/>
          <w:bCs/>
        </w:rPr>
      </w:pPr>
    </w:p>
    <w:p w14:paraId="68410CA7" w14:textId="77777777" w:rsidR="0026595F" w:rsidRPr="00111258" w:rsidRDefault="0026595F" w:rsidP="001B5232">
      <w:pPr>
        <w:spacing w:before="240"/>
        <w:rPr>
          <w:b/>
          <w:bCs/>
        </w:rPr>
      </w:pPr>
      <w:r w:rsidRPr="00111258">
        <w:rPr>
          <w:b/>
          <w:bCs/>
        </w:rPr>
        <w:t>Theoretical Framework Implications</w:t>
      </w:r>
    </w:p>
    <w:p w14:paraId="228F45E0" w14:textId="77777777" w:rsidR="0026595F" w:rsidRDefault="0026595F" w:rsidP="001B5232">
      <w:pPr>
        <w:spacing w:before="240"/>
      </w:pPr>
      <w:r>
        <w:t>These results make evident the large gaps between theoretical diversity conceptualizations and the potential for measurement by secondary data analysis. The Van Knippenberg and Mell (2016) conceptualization of diversity as compositional versus emergent diversity is exemplified here—whereas the latter (e.g., team processes, inclusion, and trust) is completely unrecoverable from statutory reporting, the former (gender pay quartiles) is possible to recover.</w:t>
      </w:r>
    </w:p>
    <w:p w14:paraId="3F56BD47" w14:textId="77777777" w:rsidR="0026595F" w:rsidRDefault="0026595F" w:rsidP="001B5232">
      <w:pPr>
        <w:spacing w:before="240"/>
      </w:pPr>
      <w:r>
        <w:lastRenderedPageBreak/>
        <w:t>Shore et al.’s (2017) framework, Guillaume et al.’s (2017) need to focus on moderating variables, or Mata et al.’s (2021) theory of mediating trust all argue that there are processes that need direct levels of psychological and interpersonal data, which cannot be collected from corporate reports. This implies that diversity studies need primary data collection that facilitates measurement of variables, or theories need to focus more on organizational variables that could be indirectly assessed using secondary data.</w:t>
      </w:r>
    </w:p>
    <w:p w14:paraId="7DA823A2" w14:textId="77777777" w:rsidR="0026595F" w:rsidRDefault="0026595F" w:rsidP="001B5232">
      <w:pPr>
        <w:spacing w:before="240"/>
      </w:pPr>
    </w:p>
    <w:p w14:paraId="366BEBB3" w14:textId="77777777" w:rsidR="0026595F" w:rsidRPr="00111258" w:rsidRDefault="0026595F" w:rsidP="001B5232">
      <w:pPr>
        <w:spacing w:before="240"/>
        <w:rPr>
          <w:b/>
          <w:bCs/>
        </w:rPr>
      </w:pPr>
      <w:r w:rsidRPr="00111258">
        <w:rPr>
          <w:b/>
          <w:bCs/>
        </w:rPr>
        <w:t>Contributions and Future Directions</w:t>
      </w:r>
    </w:p>
    <w:p w14:paraId="653DF097" w14:textId="77777777" w:rsidR="0026595F" w:rsidRDefault="0026595F" w:rsidP="001B5232">
      <w:pPr>
        <w:spacing w:before="240"/>
      </w:pPr>
      <w:r>
        <w:t xml:space="preserve">In respect of methodology, the study provides lessons about the feasibility and limitations of secondary diversity studies. It is shown that simple diversity can be measured through the mandated gender pay reporting, and trends can be traced. However, </w:t>
      </w:r>
      <w:proofErr w:type="gramStart"/>
      <w:r>
        <w:t>a number of</w:t>
      </w:r>
      <w:proofErr w:type="gramEnd"/>
      <w:r>
        <w:t xml:space="preserve"> theoretical questions about diversity and performance are not answerable with the information that is currently published.</w:t>
      </w:r>
    </w:p>
    <w:p w14:paraId="1443C466" w14:textId="77777777" w:rsidR="0026595F" w:rsidRDefault="0026595F" w:rsidP="001B5232">
      <w:pPr>
        <w:spacing w:before="240"/>
      </w:pPr>
    </w:p>
    <w:p w14:paraId="06D233FB" w14:textId="77777777" w:rsidR="0026595F" w:rsidRDefault="0026595F" w:rsidP="001B5232">
      <w:pPr>
        <w:spacing w:before="240"/>
      </w:pPr>
      <w:r>
        <w:t xml:space="preserve">This kind of occupational segregation in the face of organizational performance calls for serious consideration </w:t>
      </w:r>
      <w:proofErr w:type="gramStart"/>
      <w:r>
        <w:t>with regard to</w:t>
      </w:r>
      <w:proofErr w:type="gramEnd"/>
      <w:r>
        <w:t xml:space="preserve"> the implications between issues pertaining to equity and issues pertaining to efficiency. The fact that ALDI sustains its level of competitiveness with the same level of representation for females within its leadership contradicts the usual belief that competitiveness is necessarily the force behind improvements in diversity.</w:t>
      </w:r>
    </w:p>
    <w:p w14:paraId="4920DD21" w14:textId="77777777" w:rsidR="0026595F" w:rsidRDefault="0026595F" w:rsidP="001B5232">
      <w:pPr>
        <w:spacing w:before="240"/>
      </w:pPr>
    </w:p>
    <w:p w14:paraId="0CD016A1" w14:textId="77777777" w:rsidR="0026595F" w:rsidRPr="00111258" w:rsidRDefault="0026595F" w:rsidP="001B5232">
      <w:pPr>
        <w:spacing w:before="240"/>
        <w:rPr>
          <w:b/>
          <w:bCs/>
        </w:rPr>
      </w:pPr>
      <w:r w:rsidRPr="00111258">
        <w:rPr>
          <w:b/>
          <w:bCs/>
        </w:rPr>
        <w:t xml:space="preserve">Conclusion Assessment </w:t>
      </w:r>
    </w:p>
    <w:p w14:paraId="2600D796" w14:textId="77777777" w:rsidR="0026595F" w:rsidRDefault="0026595F" w:rsidP="001B5232">
      <w:pPr>
        <w:spacing w:before="240"/>
      </w:pPr>
      <w:r>
        <w:t>Secondary data is only able to offer tentative conclusions about ALDI UK diversity-performance links. Gender pays equity has shown small amounts of improvement during the time when organizational performance has also improved, indicating a relationship, albeit not causation. Overall diversity analysis necessitates having data accessible beyond the point of secondary data, significantly inhibiting its potential during theoretical investigations of ALDI UK diversity impacts upon consumer services.</w:t>
      </w:r>
    </w:p>
    <w:p w14:paraId="0A45CB1A" w14:textId="77777777" w:rsidR="006272C3" w:rsidRDefault="006272C3" w:rsidP="006272C3">
      <w:pPr>
        <w:pStyle w:val="Heading2"/>
      </w:pPr>
      <w:bookmarkStart w:id="37" w:name="_Toc218684549"/>
      <w:r>
        <w:lastRenderedPageBreak/>
        <w:t>4.8 Testing Theoretical Proposition</w:t>
      </w:r>
      <w:bookmarkEnd w:id="37"/>
      <w:r>
        <w:t xml:space="preserve"> </w:t>
      </w:r>
    </w:p>
    <w:p w14:paraId="0271C180" w14:textId="77777777" w:rsidR="006272C3" w:rsidRDefault="006272C3" w:rsidP="006272C3">
      <w:r>
        <w:t>The following theoretical predictions can be assessed, although there is a lack of data:</w:t>
      </w:r>
    </w:p>
    <w:tbl>
      <w:tblPr>
        <w:tblStyle w:val="PlainTable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95"/>
        <w:gridCol w:w="2430"/>
        <w:gridCol w:w="2430"/>
        <w:gridCol w:w="2695"/>
      </w:tblGrid>
      <w:tr w:rsidR="006272C3" w14:paraId="73442F83" w14:textId="77777777" w:rsidTr="007C1BA8">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795" w:type="dxa"/>
            <w:tcBorders>
              <w:bottom w:val="none" w:sz="0" w:space="0" w:color="auto"/>
              <w:right w:val="none" w:sz="0" w:space="0" w:color="auto"/>
            </w:tcBorders>
          </w:tcPr>
          <w:p w14:paraId="5718FD97" w14:textId="77777777" w:rsidR="006272C3" w:rsidRPr="00613BC9" w:rsidRDefault="006272C3" w:rsidP="007C1BA8">
            <w:pPr>
              <w:rPr>
                <w:b/>
                <w:bCs/>
              </w:rPr>
            </w:pPr>
            <w:r w:rsidRPr="00613BC9">
              <w:rPr>
                <w:b/>
                <w:bCs/>
              </w:rPr>
              <w:t>Proposition</w:t>
            </w:r>
          </w:p>
        </w:tc>
        <w:tc>
          <w:tcPr>
            <w:tcW w:w="2430" w:type="dxa"/>
            <w:tcBorders>
              <w:bottom w:val="none" w:sz="0" w:space="0" w:color="auto"/>
            </w:tcBorders>
          </w:tcPr>
          <w:p w14:paraId="74C56A23" w14:textId="77777777" w:rsidR="006272C3" w:rsidRPr="00613BC9" w:rsidRDefault="006272C3" w:rsidP="007C1BA8">
            <w:pPr>
              <w:cnfStyle w:val="100000000000" w:firstRow="1" w:lastRow="0" w:firstColumn="0" w:lastColumn="0" w:oddVBand="0" w:evenVBand="0" w:oddHBand="0" w:evenHBand="0" w:firstRowFirstColumn="0" w:firstRowLastColumn="0" w:lastRowFirstColumn="0" w:lastRowLastColumn="0"/>
              <w:rPr>
                <w:b/>
                <w:bCs/>
              </w:rPr>
            </w:pPr>
            <w:r w:rsidRPr="00613BC9">
              <w:rPr>
                <w:b/>
                <w:bCs/>
              </w:rPr>
              <w:t>Prediction</w:t>
            </w:r>
          </w:p>
        </w:tc>
        <w:tc>
          <w:tcPr>
            <w:tcW w:w="2430" w:type="dxa"/>
            <w:tcBorders>
              <w:bottom w:val="none" w:sz="0" w:space="0" w:color="auto"/>
            </w:tcBorders>
          </w:tcPr>
          <w:p w14:paraId="5485AA37" w14:textId="77777777" w:rsidR="006272C3" w:rsidRPr="00613BC9" w:rsidRDefault="006272C3" w:rsidP="007C1BA8">
            <w:pPr>
              <w:cnfStyle w:val="100000000000" w:firstRow="1" w:lastRow="0" w:firstColumn="0" w:lastColumn="0" w:oddVBand="0" w:evenVBand="0" w:oddHBand="0" w:evenHBand="0" w:firstRowFirstColumn="0" w:firstRowLastColumn="0" w:lastRowFirstColumn="0" w:lastRowLastColumn="0"/>
              <w:rPr>
                <w:b/>
                <w:bCs/>
              </w:rPr>
            </w:pPr>
            <w:r w:rsidRPr="00613BC9">
              <w:rPr>
                <w:b/>
                <w:bCs/>
              </w:rPr>
              <w:t xml:space="preserve">Evidence </w:t>
            </w:r>
          </w:p>
        </w:tc>
        <w:tc>
          <w:tcPr>
            <w:tcW w:w="2695" w:type="dxa"/>
            <w:tcBorders>
              <w:bottom w:val="none" w:sz="0" w:space="0" w:color="auto"/>
            </w:tcBorders>
          </w:tcPr>
          <w:p w14:paraId="26DFD03B" w14:textId="77777777" w:rsidR="006272C3" w:rsidRPr="00613BC9" w:rsidRDefault="006272C3" w:rsidP="007C1BA8">
            <w:pPr>
              <w:cnfStyle w:val="100000000000" w:firstRow="1" w:lastRow="0" w:firstColumn="0" w:lastColumn="0" w:oddVBand="0" w:evenVBand="0" w:oddHBand="0" w:evenHBand="0" w:firstRowFirstColumn="0" w:firstRowLastColumn="0" w:lastRowFirstColumn="0" w:lastRowLastColumn="0"/>
              <w:rPr>
                <w:b/>
                <w:bCs/>
              </w:rPr>
            </w:pPr>
            <w:r w:rsidRPr="00613BC9">
              <w:rPr>
                <w:b/>
                <w:bCs/>
              </w:rPr>
              <w:t xml:space="preserve">Assessment </w:t>
            </w:r>
          </w:p>
        </w:tc>
      </w:tr>
      <w:tr w:rsidR="006272C3" w14:paraId="53B02A42" w14:textId="77777777" w:rsidTr="007C1B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tcBorders>
              <w:right w:val="none" w:sz="0" w:space="0" w:color="auto"/>
            </w:tcBorders>
          </w:tcPr>
          <w:p w14:paraId="19DFAAC1" w14:textId="77777777" w:rsidR="006272C3" w:rsidRDefault="006272C3" w:rsidP="007C1BA8">
            <w:r w:rsidRPr="00613BC9">
              <w:t>Diversity-Performance Association</w:t>
            </w:r>
          </w:p>
        </w:tc>
        <w:tc>
          <w:tcPr>
            <w:tcW w:w="2430" w:type="dxa"/>
          </w:tcPr>
          <w:p w14:paraId="34A672D3" w14:textId="77777777" w:rsidR="006272C3" w:rsidRDefault="006272C3" w:rsidP="007C1BA8">
            <w:pPr>
              <w:cnfStyle w:val="000000100000" w:firstRow="0" w:lastRow="0" w:firstColumn="0" w:lastColumn="0" w:oddVBand="0" w:evenVBand="0" w:oddHBand="1" w:evenHBand="0" w:firstRowFirstColumn="0" w:firstRowLastColumn="0" w:lastRowFirstColumn="0" w:lastRowLastColumn="0"/>
            </w:pPr>
            <w:r>
              <w:t>Increases in gender diversity are related to positive gains in the performance of the organization.</w:t>
            </w:r>
          </w:p>
        </w:tc>
        <w:tc>
          <w:tcPr>
            <w:tcW w:w="2430" w:type="dxa"/>
          </w:tcPr>
          <w:p w14:paraId="708FD1C8" w14:textId="77777777" w:rsidR="006272C3" w:rsidRDefault="006272C3" w:rsidP="007C1BA8">
            <w:pPr>
              <w:cnfStyle w:val="000000100000" w:firstRow="0" w:lastRow="0" w:firstColumn="0" w:lastColumn="0" w:oddVBand="0" w:evenVBand="0" w:oddHBand="1" w:evenHBand="0" w:firstRowFirstColumn="0" w:firstRowLastColumn="0" w:lastRowFirstColumn="0" w:lastRowLastColumn="0"/>
            </w:pPr>
            <w:r w:rsidRPr="00613BC9">
              <w:t>Gender</w:t>
            </w:r>
            <w:r>
              <w:t>-</w:t>
            </w:r>
            <w:r w:rsidRPr="00613BC9">
              <w:t>pay gap reduced 7%→5% (2020-2024) coinciding with market share growth 8.0%→11.1%</w:t>
            </w:r>
          </w:p>
        </w:tc>
        <w:tc>
          <w:tcPr>
            <w:tcW w:w="2695" w:type="dxa"/>
          </w:tcPr>
          <w:p w14:paraId="586FCA49" w14:textId="77777777" w:rsidR="006272C3" w:rsidRDefault="006272C3" w:rsidP="007C1BA8">
            <w:pPr>
              <w:cnfStyle w:val="000000100000" w:firstRow="0" w:lastRow="0" w:firstColumn="0" w:lastColumn="0" w:oddVBand="0" w:evenVBand="0" w:oddHBand="1" w:evenHBand="0" w:firstRowFirstColumn="0" w:firstRowLastColumn="0" w:lastRowFirstColumn="0" w:lastRowLastColumn="0"/>
            </w:pPr>
            <w:r>
              <w:t>Partially supported - there is temporal correspondence, but causal relationship has not been established, or other explanation such as market positioning is equally valid</w:t>
            </w:r>
          </w:p>
        </w:tc>
      </w:tr>
      <w:tr w:rsidR="006272C3" w14:paraId="6199190E" w14:textId="77777777" w:rsidTr="007C1BA8">
        <w:tc>
          <w:tcPr>
            <w:cnfStyle w:val="001000000000" w:firstRow="0" w:lastRow="0" w:firstColumn="1" w:lastColumn="0" w:oddVBand="0" w:evenVBand="0" w:oddHBand="0" w:evenHBand="0" w:firstRowFirstColumn="0" w:firstRowLastColumn="0" w:lastRowFirstColumn="0" w:lastRowLastColumn="0"/>
            <w:tcW w:w="1795" w:type="dxa"/>
            <w:tcBorders>
              <w:right w:val="none" w:sz="0" w:space="0" w:color="auto"/>
            </w:tcBorders>
          </w:tcPr>
          <w:p w14:paraId="28521AB7" w14:textId="77777777" w:rsidR="006272C3" w:rsidRDefault="006272C3" w:rsidP="007C1BA8">
            <w:r>
              <w:t>Occupational Segregation as Moderator</w:t>
            </w:r>
          </w:p>
        </w:tc>
        <w:tc>
          <w:tcPr>
            <w:tcW w:w="2430" w:type="dxa"/>
          </w:tcPr>
          <w:p w14:paraId="70D7B82B" w14:textId="77777777" w:rsidR="006272C3" w:rsidRDefault="006272C3" w:rsidP="007C1BA8">
            <w:pPr>
              <w:cnfStyle w:val="000000000000" w:firstRow="0" w:lastRow="0" w:firstColumn="0" w:lastColumn="0" w:oddVBand="0" w:evenVBand="0" w:oddHBand="0" w:evenHBand="0" w:firstRowFirstColumn="0" w:firstRowLastColumn="0" w:lastRowFirstColumn="0" w:lastRowLastColumn="0"/>
            </w:pPr>
            <w:r>
              <w:t>To achieve gains in performance, diversity is necessary both at various levels of a hierarchy as well as overall.</w:t>
            </w:r>
          </w:p>
        </w:tc>
        <w:tc>
          <w:tcPr>
            <w:tcW w:w="2430" w:type="dxa"/>
          </w:tcPr>
          <w:p w14:paraId="1EC133B9" w14:textId="77777777" w:rsidR="006272C3" w:rsidRDefault="006272C3" w:rsidP="007C1BA8">
            <w:pPr>
              <w:cnfStyle w:val="000000000000" w:firstRow="0" w:lastRow="0" w:firstColumn="0" w:lastColumn="0" w:oddVBand="0" w:evenVBand="0" w:oddHBand="0" w:evenHBand="0" w:firstRowFirstColumn="0" w:firstRowLastColumn="0" w:lastRowFirstColumn="0" w:lastRowLastColumn="0"/>
            </w:pPr>
            <w:r>
              <w:t>Top quartile on female representation at 33% despite growth</w:t>
            </w:r>
          </w:p>
          <w:p w14:paraId="74E9FB79" w14:textId="77777777" w:rsidR="006272C3" w:rsidRDefault="006272C3" w:rsidP="007C1BA8">
            <w:pPr>
              <w:cnfStyle w:val="000000000000" w:firstRow="0" w:lastRow="0" w:firstColumn="0" w:lastColumn="0" w:oddVBand="0" w:evenVBand="0" w:oddHBand="0" w:evenHBand="0" w:firstRowFirstColumn="0" w:firstRowLastColumn="0" w:lastRowFirstColumn="0" w:lastRowLastColumn="0"/>
            </w:pPr>
          </w:p>
        </w:tc>
        <w:tc>
          <w:tcPr>
            <w:tcW w:w="2695" w:type="dxa"/>
          </w:tcPr>
          <w:p w14:paraId="4F6144CC" w14:textId="77777777" w:rsidR="006272C3" w:rsidRDefault="006272C3" w:rsidP="007C1BA8">
            <w:pPr>
              <w:cnfStyle w:val="000000000000" w:firstRow="0" w:lastRow="0" w:firstColumn="0" w:lastColumn="0" w:oddVBand="0" w:evenVBand="0" w:oddHBand="0" w:evenHBand="0" w:firstRowFirstColumn="0" w:firstRowLastColumn="0" w:lastRowFirstColumn="0" w:lastRowLastColumn="0"/>
            </w:pPr>
            <w:r>
              <w:t>This result goes against the theory since there has been no change in leadership diversity yet there has been an improvement in performance. It is a possibility that the operational efficiency models don't necessarily depend on leadership diversity.</w:t>
            </w:r>
          </w:p>
        </w:tc>
      </w:tr>
      <w:tr w:rsidR="006272C3" w14:paraId="10FEF195" w14:textId="77777777" w:rsidTr="007C1B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tcBorders>
              <w:right w:val="none" w:sz="0" w:space="0" w:color="auto"/>
            </w:tcBorders>
          </w:tcPr>
          <w:p w14:paraId="49630AD9" w14:textId="77777777" w:rsidR="006272C3" w:rsidRDefault="006272C3" w:rsidP="007C1BA8">
            <w:r>
              <w:t>Mediating Mechanisms Observability</w:t>
            </w:r>
          </w:p>
        </w:tc>
        <w:tc>
          <w:tcPr>
            <w:tcW w:w="2430" w:type="dxa"/>
          </w:tcPr>
          <w:p w14:paraId="09A7AB02" w14:textId="77777777" w:rsidR="006374EA" w:rsidRDefault="006272C3" w:rsidP="007C1BA8">
            <w:pPr>
              <w:cnfStyle w:val="000000100000" w:firstRow="0" w:lastRow="0" w:firstColumn="0" w:lastColumn="0" w:oddVBand="0" w:evenVBand="0" w:oddHBand="1" w:evenHBand="0" w:firstRowFirstColumn="0" w:firstRowLastColumn="0" w:lastRowFirstColumn="0" w:lastRowLastColumn="0"/>
            </w:pPr>
            <w:r>
              <w:t xml:space="preserve">Indicators of trust, quality of communications, and inclusion climate ought to be trackable </w:t>
            </w:r>
          </w:p>
          <w:p w14:paraId="77A3FBB9" w14:textId="48FC1468" w:rsidR="006272C3" w:rsidRDefault="006272C3" w:rsidP="007C1BA8">
            <w:pPr>
              <w:cnfStyle w:val="000000100000" w:firstRow="0" w:lastRow="0" w:firstColumn="0" w:lastColumn="0" w:oddVBand="0" w:evenVBand="0" w:oddHBand="1" w:evenHBand="0" w:firstRowFirstColumn="0" w:firstRowLastColumn="0" w:lastRowFirstColumn="0" w:lastRowLastColumn="0"/>
            </w:pPr>
            <w:r>
              <w:t>within organizational contexts</w:t>
            </w:r>
          </w:p>
        </w:tc>
        <w:tc>
          <w:tcPr>
            <w:tcW w:w="2430" w:type="dxa"/>
          </w:tcPr>
          <w:p w14:paraId="68FCE0B1" w14:textId="77777777" w:rsidR="006272C3" w:rsidRDefault="006272C3" w:rsidP="007C1BA8">
            <w:pPr>
              <w:cnfStyle w:val="000000100000" w:firstRow="0" w:lastRow="0" w:firstColumn="0" w:lastColumn="0" w:oddVBand="0" w:evenVBand="0" w:oddHBand="1" w:evenHBand="0" w:firstRowFirstColumn="0" w:firstRowLastColumn="0" w:lastRowFirstColumn="0" w:lastRowLastColumn="0"/>
            </w:pPr>
            <w:r>
              <w:t>No available proxy data for team-level psychological constructs</w:t>
            </w:r>
          </w:p>
        </w:tc>
        <w:tc>
          <w:tcPr>
            <w:tcW w:w="2695" w:type="dxa"/>
          </w:tcPr>
          <w:p w14:paraId="4844C323" w14:textId="77777777" w:rsidR="006272C3" w:rsidRDefault="006272C3" w:rsidP="007C1BA8">
            <w:pPr>
              <w:cnfStyle w:val="000000100000" w:firstRow="0" w:lastRow="0" w:firstColumn="0" w:lastColumn="0" w:oddVBand="0" w:evenVBand="0" w:oddHBand="1" w:evenHBand="0" w:firstRowFirstColumn="0" w:firstRowLastColumn="0" w:lastRowFirstColumn="0" w:lastRowLastColumn="0"/>
            </w:pPr>
            <w:r>
              <w:t>Not testable - theoretical mechanisms are necessarily inferential; framework requires organizational-level indicators</w:t>
            </w:r>
          </w:p>
        </w:tc>
      </w:tr>
      <w:tr w:rsidR="006272C3" w14:paraId="549911F0" w14:textId="77777777" w:rsidTr="007C1BA8">
        <w:tc>
          <w:tcPr>
            <w:cnfStyle w:val="001000000000" w:firstRow="0" w:lastRow="0" w:firstColumn="1" w:lastColumn="0" w:oddVBand="0" w:evenVBand="0" w:oddHBand="0" w:evenHBand="0" w:firstRowFirstColumn="0" w:firstRowLastColumn="0" w:lastRowFirstColumn="0" w:lastRowLastColumn="0"/>
            <w:tcW w:w="1795" w:type="dxa"/>
            <w:tcBorders>
              <w:right w:val="none" w:sz="0" w:space="0" w:color="auto"/>
            </w:tcBorders>
          </w:tcPr>
          <w:p w14:paraId="1F8688C5" w14:textId="77777777" w:rsidR="006272C3" w:rsidRDefault="006272C3" w:rsidP="007C1BA8">
            <w:r>
              <w:lastRenderedPageBreak/>
              <w:t xml:space="preserve">Sector Convergence </w:t>
            </w:r>
          </w:p>
        </w:tc>
        <w:tc>
          <w:tcPr>
            <w:tcW w:w="2430" w:type="dxa"/>
          </w:tcPr>
          <w:p w14:paraId="0739A46B" w14:textId="77777777" w:rsidR="006272C3" w:rsidRDefault="006272C3" w:rsidP="007C1BA8">
            <w:pPr>
              <w:cnfStyle w:val="000000000000" w:firstRow="0" w:lastRow="0" w:firstColumn="0" w:lastColumn="0" w:oddVBand="0" w:evenVBand="0" w:oddHBand="0" w:evenHBand="0" w:firstRowFirstColumn="0" w:firstRowLastColumn="0" w:lastRowFirstColumn="0" w:lastRowLastColumn="0"/>
            </w:pPr>
            <w:r>
              <w:t>Patterns of diversity in the retailing industry should be grouped around the norms of the industry.</w:t>
            </w:r>
          </w:p>
        </w:tc>
        <w:tc>
          <w:tcPr>
            <w:tcW w:w="2430" w:type="dxa"/>
          </w:tcPr>
          <w:p w14:paraId="49654ED9" w14:textId="77777777" w:rsidR="006272C3" w:rsidRDefault="006272C3" w:rsidP="007C1BA8">
            <w:pPr>
              <w:cnfStyle w:val="000000000000" w:firstRow="0" w:lastRow="0" w:firstColumn="0" w:lastColumn="0" w:oddVBand="0" w:evenVBand="0" w:oddHBand="0" w:evenHBand="0" w:firstRowFirstColumn="0" w:firstRowLastColumn="0" w:lastRowFirstColumn="0" w:lastRowLastColumn="0"/>
            </w:pPr>
            <w:r>
              <w:t>ALDI gender gap (5%) within sector range (5-10%); quartile distribution matches competitors</w:t>
            </w:r>
          </w:p>
        </w:tc>
        <w:tc>
          <w:tcPr>
            <w:tcW w:w="2695" w:type="dxa"/>
          </w:tcPr>
          <w:p w14:paraId="4E8EBA97" w14:textId="77777777" w:rsidR="006272C3" w:rsidRDefault="006272C3" w:rsidP="007C1BA8">
            <w:pPr>
              <w:cnfStyle w:val="000000000000" w:firstRow="0" w:lastRow="0" w:firstColumn="0" w:lastColumn="0" w:oddVBand="0" w:evenVBand="0" w:oddHBand="0" w:evenHBand="0" w:firstRowFirstColumn="0" w:firstRowLastColumn="0" w:lastRowFirstColumn="0" w:lastRowLastColumn="0"/>
            </w:pPr>
            <w:r>
              <w:t>Supported - This suggests that institutional isomorphism exercises stronger influence over diversity patterns than strategic differentiation in libraries.</w:t>
            </w:r>
          </w:p>
        </w:tc>
      </w:tr>
    </w:tbl>
    <w:p w14:paraId="7A3B0DD6" w14:textId="77777777" w:rsidR="006272C3" w:rsidRDefault="006272C3" w:rsidP="006272C3"/>
    <w:p w14:paraId="0BAD486B" w14:textId="77777777" w:rsidR="006272C3" w:rsidRPr="00613BC9" w:rsidRDefault="006272C3" w:rsidP="006272C3">
      <w:pPr>
        <w:rPr>
          <w:b/>
          <w:bCs/>
        </w:rPr>
      </w:pPr>
      <w:r w:rsidRPr="00613BC9">
        <w:rPr>
          <w:b/>
          <w:bCs/>
        </w:rPr>
        <w:t xml:space="preserve">Critical Implication: </w:t>
      </w:r>
    </w:p>
    <w:p w14:paraId="11BFDAFC" w14:textId="77777777" w:rsidR="006272C3" w:rsidRDefault="006272C3" w:rsidP="006272C3">
      <w:r>
        <w:t>Retail diversity-performance links could follow operational channels (role clarity, process compliance, service contact quality) and not innovation channels (creative fusion or knowledge integration) postulated in project team theory.</w:t>
      </w:r>
    </w:p>
    <w:p w14:paraId="4F31F9D8" w14:textId="77777777" w:rsidR="006272C3" w:rsidRDefault="006272C3" w:rsidP="006272C3"/>
    <w:p w14:paraId="2C0F16D2" w14:textId="77777777" w:rsidR="006272C3" w:rsidRDefault="006272C3" w:rsidP="006272C3">
      <w:pPr>
        <w:pStyle w:val="Heading2"/>
      </w:pPr>
      <w:bookmarkStart w:id="38" w:name="_Toc218684550"/>
      <w:r>
        <w:t>4.9 Alternative Explanations and Conflicting Hypotheses</w:t>
      </w:r>
      <w:bookmarkEnd w:id="38"/>
    </w:p>
    <w:tbl>
      <w:tblPr>
        <w:tblStyle w:val="PlainTable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37"/>
        <w:gridCol w:w="2337"/>
        <w:gridCol w:w="2338"/>
        <w:gridCol w:w="2338"/>
      </w:tblGrid>
      <w:tr w:rsidR="006272C3" w14:paraId="3BD5CACF" w14:textId="77777777" w:rsidTr="007C1BA8">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337" w:type="dxa"/>
            <w:tcBorders>
              <w:bottom w:val="none" w:sz="0" w:space="0" w:color="auto"/>
              <w:right w:val="none" w:sz="0" w:space="0" w:color="auto"/>
            </w:tcBorders>
          </w:tcPr>
          <w:p w14:paraId="59EB3CDF" w14:textId="77777777" w:rsidR="006272C3" w:rsidRPr="00C5011B" w:rsidRDefault="006272C3" w:rsidP="007C1BA8">
            <w:pPr>
              <w:rPr>
                <w:b/>
                <w:bCs/>
              </w:rPr>
            </w:pPr>
            <w:r w:rsidRPr="00C5011B">
              <w:rPr>
                <w:b/>
                <w:bCs/>
              </w:rPr>
              <w:t xml:space="preserve">Alternative </w:t>
            </w:r>
          </w:p>
        </w:tc>
        <w:tc>
          <w:tcPr>
            <w:tcW w:w="2337" w:type="dxa"/>
            <w:tcBorders>
              <w:bottom w:val="none" w:sz="0" w:space="0" w:color="auto"/>
            </w:tcBorders>
          </w:tcPr>
          <w:p w14:paraId="308B14E6" w14:textId="77777777" w:rsidR="006272C3" w:rsidRPr="00C5011B" w:rsidRDefault="006272C3" w:rsidP="007C1BA8">
            <w:pPr>
              <w:cnfStyle w:val="100000000000" w:firstRow="1" w:lastRow="0" w:firstColumn="0" w:lastColumn="0" w:oddVBand="0" w:evenVBand="0" w:oddHBand="0" w:evenHBand="0" w:firstRowFirstColumn="0" w:firstRowLastColumn="0" w:lastRowFirstColumn="0" w:lastRowLastColumn="0"/>
              <w:rPr>
                <w:b/>
                <w:bCs/>
              </w:rPr>
            </w:pPr>
            <w:r w:rsidRPr="00C5011B">
              <w:rPr>
                <w:b/>
                <w:bCs/>
              </w:rPr>
              <w:t>Hypothesis</w:t>
            </w:r>
          </w:p>
        </w:tc>
        <w:tc>
          <w:tcPr>
            <w:tcW w:w="2338" w:type="dxa"/>
            <w:tcBorders>
              <w:bottom w:val="none" w:sz="0" w:space="0" w:color="auto"/>
            </w:tcBorders>
          </w:tcPr>
          <w:p w14:paraId="62AD85E2" w14:textId="77777777" w:rsidR="006272C3" w:rsidRPr="00C5011B" w:rsidRDefault="006272C3" w:rsidP="007C1BA8">
            <w:pPr>
              <w:cnfStyle w:val="100000000000" w:firstRow="1" w:lastRow="0" w:firstColumn="0" w:lastColumn="0" w:oddVBand="0" w:evenVBand="0" w:oddHBand="0" w:evenHBand="0" w:firstRowFirstColumn="0" w:firstRowLastColumn="0" w:lastRowFirstColumn="0" w:lastRowLastColumn="0"/>
              <w:rPr>
                <w:b/>
                <w:bCs/>
              </w:rPr>
            </w:pPr>
            <w:r w:rsidRPr="00C5011B">
              <w:rPr>
                <w:b/>
                <w:bCs/>
              </w:rPr>
              <w:t>Rationale</w:t>
            </w:r>
          </w:p>
        </w:tc>
        <w:tc>
          <w:tcPr>
            <w:tcW w:w="2338" w:type="dxa"/>
            <w:tcBorders>
              <w:bottom w:val="none" w:sz="0" w:space="0" w:color="auto"/>
            </w:tcBorders>
          </w:tcPr>
          <w:p w14:paraId="35F61022" w14:textId="77777777" w:rsidR="006272C3" w:rsidRPr="00C5011B" w:rsidRDefault="006272C3" w:rsidP="007C1BA8">
            <w:pPr>
              <w:cnfStyle w:val="100000000000" w:firstRow="1" w:lastRow="0" w:firstColumn="0" w:lastColumn="0" w:oddVBand="0" w:evenVBand="0" w:oddHBand="0" w:evenHBand="0" w:firstRowFirstColumn="0" w:firstRowLastColumn="0" w:lastRowFirstColumn="0" w:lastRowLastColumn="0"/>
              <w:rPr>
                <w:b/>
                <w:bCs/>
              </w:rPr>
            </w:pPr>
            <w:r w:rsidRPr="00C5011B">
              <w:rPr>
                <w:b/>
                <w:bCs/>
              </w:rPr>
              <w:t>Assessment</w:t>
            </w:r>
          </w:p>
        </w:tc>
      </w:tr>
      <w:tr w:rsidR="006272C3" w14:paraId="311ADD9D" w14:textId="77777777" w:rsidTr="007C1B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Borders>
              <w:right w:val="none" w:sz="0" w:space="0" w:color="auto"/>
            </w:tcBorders>
          </w:tcPr>
          <w:p w14:paraId="13D2349A" w14:textId="77777777" w:rsidR="006272C3" w:rsidRDefault="006272C3" w:rsidP="007C1BA8">
            <w:r>
              <w:t>Reverse Causality</w:t>
            </w:r>
          </w:p>
        </w:tc>
        <w:tc>
          <w:tcPr>
            <w:tcW w:w="2337" w:type="dxa"/>
          </w:tcPr>
          <w:p w14:paraId="0238C3C7" w14:textId="77777777" w:rsidR="006272C3" w:rsidRDefault="006272C3" w:rsidP="007C1BA8">
            <w:pPr>
              <w:cnfStyle w:val="000000100000" w:firstRow="0" w:lastRow="0" w:firstColumn="0" w:lastColumn="0" w:oddVBand="0" w:evenVBand="0" w:oddHBand="1" w:evenHBand="0" w:firstRowFirstColumn="0" w:firstRowLastColumn="0" w:lastRowFirstColumn="0" w:lastRowLastColumn="0"/>
            </w:pPr>
            <w:r>
              <w:t>Strong performance enables diversity investment, not vice versa</w:t>
            </w:r>
          </w:p>
        </w:tc>
        <w:tc>
          <w:tcPr>
            <w:tcW w:w="2338" w:type="dxa"/>
          </w:tcPr>
          <w:p w14:paraId="56BB55E0" w14:textId="77777777" w:rsidR="006272C3" w:rsidRDefault="006272C3" w:rsidP="007C1BA8">
            <w:pPr>
              <w:cnfStyle w:val="000000100000" w:firstRow="0" w:lastRow="0" w:firstColumn="0" w:lastColumn="0" w:oddVBand="0" w:evenVBand="0" w:oddHBand="1" w:evenHBand="0" w:firstRowFirstColumn="0" w:firstRowLastColumn="0" w:lastRowFirstColumn="0" w:lastRowLastColumn="0"/>
            </w:pPr>
            <w:r>
              <w:t>Market expansion for ALDI (35,000 employees → 45,000 employees) provides job opportunities for diversity</w:t>
            </w:r>
          </w:p>
        </w:tc>
        <w:tc>
          <w:tcPr>
            <w:tcW w:w="2338" w:type="dxa"/>
          </w:tcPr>
          <w:p w14:paraId="6BDA4F23" w14:textId="04315FA8" w:rsidR="006272C3" w:rsidRDefault="006272C3" w:rsidP="007C1BA8">
            <w:pPr>
              <w:cnfStyle w:val="000000100000" w:firstRow="0" w:lastRow="0" w:firstColumn="0" w:lastColumn="0" w:oddVBand="0" w:evenVBand="0" w:oddHBand="1" w:evenHBand="0" w:firstRowFirstColumn="0" w:firstRowLastColumn="0" w:lastRowFirstColumn="0" w:lastRowLastColumn="0"/>
            </w:pPr>
            <w:r>
              <w:t xml:space="preserve">Credible, as a strong financial position enables the payment of competitive salaries, attracting a range of individuals, while improved gender gaps may be a result of a tight </w:t>
            </w:r>
            <w:r w:rsidR="00FE40B4">
              <w:t>labour</w:t>
            </w:r>
            <w:r>
              <w:t xml:space="preserve"> market and not necessarily a diversity strategy</w:t>
            </w:r>
          </w:p>
        </w:tc>
      </w:tr>
      <w:tr w:rsidR="006272C3" w14:paraId="6DFC7FB2" w14:textId="77777777" w:rsidTr="007C1BA8">
        <w:tc>
          <w:tcPr>
            <w:cnfStyle w:val="001000000000" w:firstRow="0" w:lastRow="0" w:firstColumn="1" w:lastColumn="0" w:oddVBand="0" w:evenVBand="0" w:oddHBand="0" w:evenHBand="0" w:firstRowFirstColumn="0" w:firstRowLastColumn="0" w:lastRowFirstColumn="0" w:lastRowLastColumn="0"/>
            <w:tcW w:w="2337" w:type="dxa"/>
            <w:tcBorders>
              <w:right w:val="none" w:sz="0" w:space="0" w:color="auto"/>
            </w:tcBorders>
          </w:tcPr>
          <w:p w14:paraId="6EB49916" w14:textId="77777777" w:rsidR="006272C3" w:rsidRDefault="006272C3" w:rsidP="007C1BA8">
            <w:r>
              <w:t>Institutional Compliance</w:t>
            </w:r>
          </w:p>
        </w:tc>
        <w:tc>
          <w:tcPr>
            <w:tcW w:w="2337" w:type="dxa"/>
          </w:tcPr>
          <w:p w14:paraId="2161E505" w14:textId="77777777" w:rsidR="006272C3" w:rsidRDefault="006272C3" w:rsidP="007C1BA8">
            <w:pPr>
              <w:cnfStyle w:val="000000000000" w:firstRow="0" w:lastRow="0" w:firstColumn="0" w:lastColumn="0" w:oddVBand="0" w:evenVBand="0" w:oddHBand="0" w:evenHBand="0" w:firstRowFirstColumn="0" w:firstRowLastColumn="0" w:lastRowFirstColumn="0" w:lastRowLastColumn="0"/>
            </w:pPr>
            <w:r>
              <w:t xml:space="preserve">Diversity trends affected by regulation (Gender Pay Gap </w:t>
            </w:r>
            <w:r>
              <w:lastRenderedPageBreak/>
              <w:t>reporting requirement in 2017) rather than optimization</w:t>
            </w:r>
          </w:p>
        </w:tc>
        <w:tc>
          <w:tcPr>
            <w:tcW w:w="2338" w:type="dxa"/>
          </w:tcPr>
          <w:p w14:paraId="439BA664" w14:textId="77777777" w:rsidR="006272C3" w:rsidRDefault="006272C3" w:rsidP="007C1BA8">
            <w:pPr>
              <w:cnfStyle w:val="000000000000" w:firstRow="0" w:lastRow="0" w:firstColumn="0" w:lastColumn="0" w:oddVBand="0" w:evenVBand="0" w:oddHBand="0" w:evenHBand="0" w:firstRowFirstColumn="0" w:firstRowLastColumn="0" w:lastRowFirstColumn="0" w:lastRowLastColumn="0"/>
            </w:pPr>
            <w:r>
              <w:lastRenderedPageBreak/>
              <w:t xml:space="preserve">The positive improvements occur within the mandatory </w:t>
            </w:r>
            <w:r>
              <w:lastRenderedPageBreak/>
              <w:t>period of reporting; there is no voluntary disclosure of diversity information beyond the legal obligations.</w:t>
            </w:r>
          </w:p>
        </w:tc>
        <w:tc>
          <w:tcPr>
            <w:tcW w:w="2338" w:type="dxa"/>
          </w:tcPr>
          <w:p w14:paraId="454B1F4C" w14:textId="77777777" w:rsidR="006272C3" w:rsidRDefault="006272C3" w:rsidP="007C1BA8">
            <w:pPr>
              <w:cnfStyle w:val="000000000000" w:firstRow="0" w:lastRow="0" w:firstColumn="0" w:lastColumn="0" w:oddVBand="0" w:evenVBand="0" w:oddHBand="0" w:evenHBand="0" w:firstRowFirstColumn="0" w:firstRowLastColumn="0" w:lastRowFirstColumn="0" w:lastRowLastColumn="0"/>
            </w:pPr>
            <w:r>
              <w:lastRenderedPageBreak/>
              <w:t xml:space="preserve">Likely contributing factor: It is a visible metric that </w:t>
            </w:r>
            <w:r>
              <w:lastRenderedPageBreak/>
              <w:t>organizations react to. “The other areas of diversity that are not easily quantified</w:t>
            </w:r>
          </w:p>
        </w:tc>
      </w:tr>
      <w:tr w:rsidR="006272C3" w14:paraId="4B9EB668" w14:textId="77777777" w:rsidTr="007C1B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Borders>
              <w:right w:val="none" w:sz="0" w:space="0" w:color="auto"/>
            </w:tcBorders>
          </w:tcPr>
          <w:p w14:paraId="0ABBCEBF" w14:textId="77777777" w:rsidR="006272C3" w:rsidRDefault="006272C3" w:rsidP="007C1BA8">
            <w:r>
              <w:lastRenderedPageBreak/>
              <w:t>Business Model Dominance</w:t>
            </w:r>
          </w:p>
        </w:tc>
        <w:tc>
          <w:tcPr>
            <w:tcW w:w="2337" w:type="dxa"/>
          </w:tcPr>
          <w:p w14:paraId="61F72B42" w14:textId="77777777" w:rsidR="006272C3" w:rsidRDefault="006272C3" w:rsidP="007C1BA8">
            <w:pPr>
              <w:cnfStyle w:val="000000100000" w:firstRow="0" w:lastRow="0" w:firstColumn="0" w:lastColumn="0" w:oddVBand="0" w:evenVBand="0" w:oddHBand="1" w:evenHBand="0" w:firstRowFirstColumn="0" w:firstRowLastColumn="0" w:lastRowFirstColumn="0" w:lastRowLastColumn="0"/>
            </w:pPr>
            <w:r>
              <w:t>Success in discount retail model dominates effects due to composition of the workforce</w:t>
            </w:r>
          </w:p>
        </w:tc>
        <w:tc>
          <w:tcPr>
            <w:tcW w:w="2338" w:type="dxa"/>
          </w:tcPr>
          <w:p w14:paraId="624373D1" w14:textId="77777777" w:rsidR="006272C3" w:rsidRDefault="006272C3" w:rsidP="007C1BA8">
            <w:pPr>
              <w:cnfStyle w:val="000000100000" w:firstRow="0" w:lastRow="0" w:firstColumn="0" w:lastColumn="0" w:oddVBand="0" w:evenVBand="0" w:oddHBand="1" w:evenHBand="0" w:firstRowFirstColumn="0" w:firstRowLastColumn="0" w:lastRowFirstColumn="0" w:lastRowLastColumn="0"/>
            </w:pPr>
            <w:r>
              <w:t>Crisis of living costs: value-driven; price/efficiency value of ALDI: independent of diversity.</w:t>
            </w:r>
          </w:p>
        </w:tc>
        <w:tc>
          <w:tcPr>
            <w:tcW w:w="2338" w:type="dxa"/>
          </w:tcPr>
          <w:p w14:paraId="50BF07E5" w14:textId="369EBD2D" w:rsidR="006272C3" w:rsidRDefault="006272C3" w:rsidP="007C1BA8">
            <w:pPr>
              <w:cnfStyle w:val="000000100000" w:firstRow="0" w:lastRow="0" w:firstColumn="0" w:lastColumn="0" w:oddVBand="0" w:evenVBand="0" w:oddHBand="1" w:evenHBand="0" w:firstRowFirstColumn="0" w:firstRowLastColumn="0" w:lastRowFirstColumn="0" w:lastRowLastColumn="0"/>
            </w:pPr>
            <w:r>
              <w:t xml:space="preserve">Strong alternative: market positioning, efficiency in supply chain, format strength </w:t>
            </w:r>
            <w:r w:rsidR="00FE40B4">
              <w:t>is</w:t>
            </w:r>
            <w:r>
              <w:t xml:space="preserve"> likely more important than issues of diversity</w:t>
            </w:r>
          </w:p>
        </w:tc>
      </w:tr>
      <w:tr w:rsidR="006272C3" w14:paraId="1867B469" w14:textId="77777777" w:rsidTr="007C1BA8">
        <w:tc>
          <w:tcPr>
            <w:cnfStyle w:val="001000000000" w:firstRow="0" w:lastRow="0" w:firstColumn="1" w:lastColumn="0" w:oddVBand="0" w:evenVBand="0" w:oddHBand="0" w:evenHBand="0" w:firstRowFirstColumn="0" w:firstRowLastColumn="0" w:lastRowFirstColumn="0" w:lastRowLastColumn="0"/>
            <w:tcW w:w="2337" w:type="dxa"/>
            <w:tcBorders>
              <w:right w:val="none" w:sz="0" w:space="0" w:color="auto"/>
            </w:tcBorders>
          </w:tcPr>
          <w:p w14:paraId="22C881EF" w14:textId="77777777" w:rsidR="006272C3" w:rsidRDefault="006272C3" w:rsidP="007C1BA8">
            <w:r>
              <w:t>Measurement Artifact Hypothesis</w:t>
            </w:r>
          </w:p>
        </w:tc>
        <w:tc>
          <w:tcPr>
            <w:tcW w:w="2337" w:type="dxa"/>
          </w:tcPr>
          <w:p w14:paraId="012D729D" w14:textId="77777777" w:rsidR="006272C3" w:rsidRDefault="006272C3" w:rsidP="007C1BA8">
            <w:pPr>
              <w:cnfStyle w:val="000000000000" w:firstRow="0" w:lastRow="0" w:firstColumn="0" w:lastColumn="0" w:oddVBand="0" w:evenVBand="0" w:oddHBand="0" w:evenHBand="0" w:firstRowFirstColumn="0" w:firstRowLastColumn="0" w:lastRowFirstColumn="0" w:lastRowLastColumn="0"/>
            </w:pPr>
            <w:r>
              <w:t>Organizational-level variability is camouflaged by aggregation</w:t>
            </w:r>
          </w:p>
        </w:tc>
        <w:tc>
          <w:tcPr>
            <w:tcW w:w="2338" w:type="dxa"/>
          </w:tcPr>
          <w:p w14:paraId="47929AC5" w14:textId="77777777" w:rsidR="006272C3" w:rsidRDefault="006272C3" w:rsidP="007C1BA8">
            <w:pPr>
              <w:cnfStyle w:val="000000000000" w:firstRow="0" w:lastRow="0" w:firstColumn="0" w:lastColumn="0" w:oddVBand="0" w:evenVBand="0" w:oddHBand="0" w:evenHBand="0" w:firstRowFirstColumn="0" w:firstRowLastColumn="0" w:lastRowFirstColumn="0" w:lastRowLastColumn="0"/>
            </w:pPr>
            <w:r>
              <w:t>1,020 stores in the UK are likely to show variation masked by consolidation reporting</w:t>
            </w:r>
          </w:p>
        </w:tc>
        <w:tc>
          <w:tcPr>
            <w:tcW w:w="2338" w:type="dxa"/>
          </w:tcPr>
          <w:p w14:paraId="5E485813" w14:textId="77777777" w:rsidR="006272C3" w:rsidRDefault="006272C3" w:rsidP="007C1BA8">
            <w:pPr>
              <w:cnfStyle w:val="000000000000" w:firstRow="0" w:lastRow="0" w:firstColumn="0" w:lastColumn="0" w:oddVBand="0" w:evenVBand="0" w:oddHBand="0" w:evenHBand="0" w:firstRowFirstColumn="0" w:firstRowLastColumn="0" w:lastRowFirstColumn="0" w:lastRowLastColumn="0"/>
            </w:pPr>
            <w:r>
              <w:t>Likely; team-level associations between diversity and performance may be present but nullified by aggregate data</w:t>
            </w:r>
          </w:p>
        </w:tc>
      </w:tr>
    </w:tbl>
    <w:p w14:paraId="5D80DC03" w14:textId="77777777" w:rsidR="006272C3" w:rsidRDefault="006272C3" w:rsidP="006272C3"/>
    <w:p w14:paraId="33853DF3" w14:textId="77777777" w:rsidR="006272C3" w:rsidRPr="00C5011B" w:rsidRDefault="006272C3" w:rsidP="006272C3">
      <w:pPr>
        <w:rPr>
          <w:b/>
          <w:bCs/>
        </w:rPr>
      </w:pPr>
      <w:r w:rsidRPr="00C5011B">
        <w:rPr>
          <w:b/>
          <w:bCs/>
        </w:rPr>
        <w:t xml:space="preserve">Synthesis: </w:t>
      </w:r>
    </w:p>
    <w:p w14:paraId="19A66B78" w14:textId="77777777" w:rsidR="006272C3" w:rsidRPr="00C5011B" w:rsidRDefault="006272C3" w:rsidP="006272C3">
      <w:r>
        <w:t>Explanations with equal or greater support relative to diversity-driven performance include synthesis. The claims are specific and require accounting for factors such as business model or environment.</w:t>
      </w:r>
    </w:p>
    <w:p w14:paraId="032EC6E1" w14:textId="2075AC6B" w:rsidR="006272C3" w:rsidRDefault="003E4B3A" w:rsidP="006272C3">
      <w:r>
        <w:br w:type="page"/>
      </w:r>
    </w:p>
    <w:p w14:paraId="404E7E3E" w14:textId="77777777" w:rsidR="003E4B3A" w:rsidRPr="003E4B3A" w:rsidRDefault="003E4B3A" w:rsidP="003E4B3A">
      <w:pPr>
        <w:pStyle w:val="Heading1"/>
      </w:pPr>
      <w:bookmarkStart w:id="39" w:name="_Toc218684551"/>
      <w:r w:rsidRPr="003E4B3A">
        <w:lastRenderedPageBreak/>
        <w:t>Chapter 5: Conclusions and Recommendations</w:t>
      </w:r>
      <w:bookmarkEnd w:id="39"/>
    </w:p>
    <w:p w14:paraId="1E4DE5A5" w14:textId="77777777" w:rsidR="003E4B3A" w:rsidRPr="003E4B3A" w:rsidRDefault="003E4B3A" w:rsidP="003E4B3A">
      <w:pPr>
        <w:pStyle w:val="Heading2"/>
      </w:pPr>
      <w:bookmarkStart w:id="40" w:name="_Toc218684552"/>
      <w:r w:rsidRPr="003E4B3A">
        <w:t>5.1 Summary of Key Findings</w:t>
      </w:r>
      <w:bookmarkEnd w:id="40"/>
    </w:p>
    <w:p w14:paraId="2D6FAB9B" w14:textId="77777777" w:rsidR="003E4B3A" w:rsidRPr="003E4B3A" w:rsidRDefault="003E4B3A" w:rsidP="003E4B3A">
      <w:pPr>
        <w:spacing w:before="240"/>
        <w:rPr>
          <w:rFonts w:cs="Times New Roman"/>
        </w:rPr>
      </w:pPr>
      <w:r w:rsidRPr="003E4B3A">
        <w:rPr>
          <w:rFonts w:cs="Times New Roman"/>
        </w:rPr>
        <w:t>This study aimed to explore the relationship between team diversity and employee performance at ALDI UK, focusing on how various diversity dimensions—such as gender, cognitive, and functional diversity—impact organizational outcomes. The research objectives and questions guided the investigation into ALDI UK’s workforce diversity and its effects on performance.</w:t>
      </w:r>
    </w:p>
    <w:p w14:paraId="43E0E187" w14:textId="77777777" w:rsidR="00215BA6" w:rsidRDefault="00215BA6" w:rsidP="00215BA6">
      <w:r>
        <w:t>There are three conclusive findings, irrespective of data limitations:</w:t>
      </w:r>
    </w:p>
    <w:p w14:paraId="418FBF0D" w14:textId="77777777" w:rsidR="00215BA6" w:rsidRDefault="00215BA6" w:rsidP="00215BA6">
      <w:pPr>
        <w:rPr>
          <w:b/>
          <w:bCs/>
        </w:rPr>
      </w:pPr>
    </w:p>
    <w:p w14:paraId="2538CC1D" w14:textId="5F8662F8" w:rsidR="00215BA6" w:rsidRPr="00215BA6" w:rsidRDefault="00215BA6" w:rsidP="00215BA6">
      <w:pPr>
        <w:rPr>
          <w:b/>
          <w:bCs/>
        </w:rPr>
      </w:pPr>
      <w:r w:rsidRPr="00215BA6">
        <w:rPr>
          <w:b/>
          <w:bCs/>
        </w:rPr>
        <w:t>Finding 1: Limited Progress for Gender Equity Despite Segregation</w:t>
      </w:r>
    </w:p>
    <w:p w14:paraId="0EFB46BC" w14:textId="4EB0BE28" w:rsidR="00215BA6" w:rsidRDefault="00215BA6" w:rsidP="00215BA6">
      <w:r>
        <w:t xml:space="preserve">The gender wage gap narrowed from 7% to 5% median (2020-2024), but the proportion of women in the top quartile of earners remained unchanged at 33%. The discrepancy suggests that there has been equalization of pay rates within each category of work, but there has been no change in the composition of occupations </w:t>
      </w:r>
      <w:r w:rsidRPr="003E4B3A">
        <w:rPr>
          <w:rFonts w:cs="Times New Roman"/>
        </w:rPr>
        <w:t>(Ali et al., 2022)</w:t>
      </w:r>
      <w:r>
        <w:t>. The concentration of women in lower-paying frontline roles has continued despite the expansion of the organization that provides an opportunity to progress.</w:t>
      </w:r>
    </w:p>
    <w:p w14:paraId="58D557BD" w14:textId="77777777" w:rsidR="00215BA6" w:rsidRDefault="00215BA6" w:rsidP="00215BA6">
      <w:pPr>
        <w:rPr>
          <w:b/>
          <w:bCs/>
        </w:rPr>
      </w:pPr>
    </w:p>
    <w:p w14:paraId="0B93C568" w14:textId="77777777" w:rsidR="00215BA6" w:rsidRPr="00215BA6" w:rsidRDefault="00215BA6" w:rsidP="00215BA6">
      <w:pPr>
        <w:rPr>
          <w:b/>
          <w:bCs/>
        </w:rPr>
      </w:pPr>
      <w:r w:rsidRPr="00215BA6">
        <w:rPr>
          <w:b/>
          <w:bCs/>
        </w:rPr>
        <w:t>Finding 2: Performance-Diversity Temporal Alignment without Causal Proof</w:t>
      </w:r>
    </w:p>
    <w:p w14:paraId="4FF21B6F" w14:textId="6D83C76C" w:rsidR="00215BA6" w:rsidRDefault="00215BA6" w:rsidP="00215BA6">
      <w:r w:rsidRPr="00215BA6">
        <w:t xml:space="preserve">The growth of ALDI's market shares (8.0% to 11.1%) and better gender equity simultaneously occurred, indicating compatibility but not causation. Other theories related to discount formats being advantageous during </w:t>
      </w:r>
      <w:r w:rsidR="00FE40B4" w:rsidRPr="00215BA6">
        <w:t>cost-of-living</w:t>
      </w:r>
      <w:r w:rsidRPr="00215BA6">
        <w:t xml:space="preserve"> crises, supply chains, pricing strategies, to name a few, are of equal explanatory power. Lack of change in leadership diversity defies model predictions related to representation within hierarchies.</w:t>
      </w:r>
    </w:p>
    <w:p w14:paraId="73FCC6F3" w14:textId="77777777" w:rsidR="00215BA6" w:rsidRDefault="00215BA6" w:rsidP="00215BA6">
      <w:pPr>
        <w:rPr>
          <w:b/>
          <w:bCs/>
        </w:rPr>
      </w:pPr>
    </w:p>
    <w:p w14:paraId="16135B6D" w14:textId="77777777" w:rsidR="00215BA6" w:rsidRPr="00215BA6" w:rsidRDefault="00215BA6" w:rsidP="00215BA6">
      <w:pPr>
        <w:rPr>
          <w:b/>
          <w:bCs/>
        </w:rPr>
      </w:pPr>
      <w:r w:rsidRPr="00215BA6">
        <w:rPr>
          <w:b/>
          <w:bCs/>
        </w:rPr>
        <w:t>Finding 3: Measurement-theory gap precludes mechanism testing.</w:t>
      </w:r>
    </w:p>
    <w:p w14:paraId="7C4B8BE0" w14:textId="43694BAB" w:rsidR="003E4B3A" w:rsidRPr="00215BA6" w:rsidRDefault="00215BA6" w:rsidP="00215BA6">
      <w:r>
        <w:t xml:space="preserve">Theories focusing on trust, quality communication, inclusion climate, and absorptive capacity fail to be operationalized </w:t>
      </w:r>
      <w:proofErr w:type="gramStart"/>
      <w:r>
        <w:t>on the basis of</w:t>
      </w:r>
      <w:proofErr w:type="gramEnd"/>
      <w:r>
        <w:t xml:space="preserve"> secondary data available to a corporation. Compositional diversity, which is defined through the concept of the Gender Pay Gap report, reveals the surface elements alone; it is not possible to observe the process of emergent diversity.</w:t>
      </w:r>
    </w:p>
    <w:p w14:paraId="794213A5" w14:textId="77777777" w:rsidR="003E4B3A" w:rsidRPr="003E4B3A" w:rsidRDefault="003E4B3A" w:rsidP="003E4B3A">
      <w:pPr>
        <w:pStyle w:val="Heading2"/>
      </w:pPr>
      <w:bookmarkStart w:id="41" w:name="_Toc218684553"/>
      <w:r w:rsidRPr="003E4B3A">
        <w:lastRenderedPageBreak/>
        <w:t>5.2 Theoretical Contributions</w:t>
      </w:r>
      <w:bookmarkEnd w:id="41"/>
    </w:p>
    <w:p w14:paraId="76F8AA22" w14:textId="77777777" w:rsidR="003E4B3A" w:rsidRPr="003E4B3A" w:rsidRDefault="003E4B3A" w:rsidP="003E4B3A">
      <w:pPr>
        <w:spacing w:before="240"/>
        <w:rPr>
          <w:rFonts w:cs="Times New Roman"/>
        </w:rPr>
      </w:pPr>
      <w:r w:rsidRPr="003E4B3A">
        <w:rPr>
          <w:rFonts w:cs="Times New Roman"/>
        </w:rPr>
        <w:t>This research adds significant nuance to existing diversity-performance research, especially in the context of retail environments and employee-level outcomes. Previous studies have focused primarily on project-based or knowledge-intensive sectors, where diversity often impacts innovation and creativity in tangible ways. However, this study highlights that in retail settings—where tasks are standardized, and roles are more operational—diversity can still affect performance, albeit in more subtle ways.</w:t>
      </w:r>
    </w:p>
    <w:p w14:paraId="3CA3CAAB" w14:textId="77777777" w:rsidR="003E4B3A" w:rsidRPr="003E4B3A" w:rsidRDefault="003E4B3A" w:rsidP="003E4B3A">
      <w:pPr>
        <w:numPr>
          <w:ilvl w:val="0"/>
          <w:numId w:val="23"/>
        </w:numPr>
        <w:spacing w:before="240"/>
        <w:rPr>
          <w:rFonts w:cs="Times New Roman"/>
        </w:rPr>
      </w:pPr>
      <w:r w:rsidRPr="003E4B3A">
        <w:rPr>
          <w:rFonts w:cs="Times New Roman"/>
          <w:b/>
          <w:bCs/>
        </w:rPr>
        <w:t>Contextualizing Diversity in Retail</w:t>
      </w:r>
      <w:r w:rsidRPr="003E4B3A">
        <w:rPr>
          <w:rFonts w:cs="Times New Roman"/>
        </w:rPr>
        <w:t>:</w:t>
      </w:r>
      <w:r w:rsidRPr="003E4B3A">
        <w:rPr>
          <w:rFonts w:cs="Times New Roman"/>
        </w:rPr>
        <w:br/>
        <w:t>The study emphasizes that the diversity-performance relationship is contingent on the context in which it is studied. While much of the existing literature focuses on the impact of diversity in project-based teams, this research provides insights into how diversity influences performance in a more operational, customer-facing environment like retail. The findings suggest that the impact of diversity in retail is moderated by factors such as team processes, communication, and organizational culture (Guillaume et al., 2017).</w:t>
      </w:r>
    </w:p>
    <w:p w14:paraId="72A2E6BF" w14:textId="77777777" w:rsidR="003E4B3A" w:rsidRPr="003E4B3A" w:rsidRDefault="003E4B3A" w:rsidP="003E4B3A">
      <w:pPr>
        <w:numPr>
          <w:ilvl w:val="0"/>
          <w:numId w:val="23"/>
        </w:numPr>
        <w:spacing w:before="240"/>
        <w:rPr>
          <w:rFonts w:cs="Times New Roman"/>
        </w:rPr>
      </w:pPr>
      <w:r w:rsidRPr="003E4B3A">
        <w:rPr>
          <w:rFonts w:cs="Times New Roman"/>
          <w:b/>
          <w:bCs/>
        </w:rPr>
        <w:t>Compositional vs. Emergent Diversity</w:t>
      </w:r>
      <w:r w:rsidRPr="003E4B3A">
        <w:rPr>
          <w:rFonts w:cs="Times New Roman"/>
        </w:rPr>
        <w:t>:</w:t>
      </w:r>
      <w:r w:rsidRPr="003E4B3A">
        <w:rPr>
          <w:rFonts w:cs="Times New Roman"/>
        </w:rPr>
        <w:br/>
        <w:t>The distinction between compositional diversity (e.g., gender, age) and emergent diversity (e.g., cognitive styles, team processes) is a key contribution of this study. The research found that compositional diversity, especially gender diversity, was relatively easier to measure through secondary data. However, emergent diversity, such as cognitive and functional diversity, proved difficult to assess in retail environments due to the lack of direct data on team processes. This highlights the need for further research that develops ways to measure and assess emergent diversity in operational settings (Van Knippenberg &amp; Mell, 2016).</w:t>
      </w:r>
    </w:p>
    <w:p w14:paraId="6E7B2B6A" w14:textId="77777777" w:rsidR="003E4B3A" w:rsidRPr="003E4B3A" w:rsidRDefault="003E4B3A" w:rsidP="003E4B3A">
      <w:pPr>
        <w:numPr>
          <w:ilvl w:val="0"/>
          <w:numId w:val="23"/>
        </w:numPr>
        <w:spacing w:before="240"/>
        <w:rPr>
          <w:rFonts w:cs="Times New Roman"/>
        </w:rPr>
      </w:pPr>
      <w:r w:rsidRPr="003E4B3A">
        <w:rPr>
          <w:rFonts w:cs="Times New Roman"/>
          <w:b/>
          <w:bCs/>
        </w:rPr>
        <w:t>Impact of Mediators</w:t>
      </w:r>
      <w:r w:rsidRPr="003E4B3A">
        <w:rPr>
          <w:rFonts w:cs="Times New Roman"/>
        </w:rPr>
        <w:t>:</w:t>
      </w:r>
      <w:r w:rsidRPr="003E4B3A">
        <w:rPr>
          <w:rFonts w:cs="Times New Roman"/>
        </w:rPr>
        <w:br/>
        <w:t xml:space="preserve">The study extends the theoretical understanding of how mediators such as trust, communication, and absorptive capacity influence the relationship between diversity and performance. These findings contribute to the broader literature by suggesting that the positive effects of diversity can be amplified when organizations create an environment </w:t>
      </w:r>
      <w:r w:rsidRPr="003E4B3A">
        <w:rPr>
          <w:rFonts w:cs="Times New Roman"/>
        </w:rPr>
        <w:lastRenderedPageBreak/>
        <w:t>that fosters open communication and trust among diverse team members (Mata et al., 2021).</w:t>
      </w:r>
    </w:p>
    <w:p w14:paraId="063D6F6E" w14:textId="7020428C" w:rsidR="003E4B3A" w:rsidRPr="003E4B3A" w:rsidRDefault="003E4B3A" w:rsidP="003E4B3A">
      <w:pPr>
        <w:spacing w:before="240"/>
        <w:rPr>
          <w:rFonts w:cs="Times New Roman"/>
        </w:rPr>
      </w:pPr>
    </w:p>
    <w:p w14:paraId="7DE8946A" w14:textId="77777777" w:rsidR="003E4B3A" w:rsidRPr="003E4B3A" w:rsidRDefault="003E4B3A" w:rsidP="003E4B3A">
      <w:pPr>
        <w:pStyle w:val="Heading2"/>
      </w:pPr>
      <w:bookmarkStart w:id="42" w:name="_Toc218684554"/>
      <w:r w:rsidRPr="003E4B3A">
        <w:t>5.3 Practical Recommendations for ALDI UK and UK Retail</w:t>
      </w:r>
      <w:bookmarkEnd w:id="42"/>
    </w:p>
    <w:p w14:paraId="5E92B552" w14:textId="77777777" w:rsidR="003E4B3A" w:rsidRPr="003E4B3A" w:rsidRDefault="003E4B3A" w:rsidP="003E4B3A">
      <w:pPr>
        <w:spacing w:before="240"/>
        <w:rPr>
          <w:rFonts w:cs="Times New Roman"/>
        </w:rPr>
      </w:pPr>
      <w:r w:rsidRPr="003E4B3A">
        <w:rPr>
          <w:rFonts w:cs="Times New Roman"/>
        </w:rPr>
        <w:t>Based on the research findings, several practical recommendations are made for ALDI UK and the wider UK retail sector to enhance their diversity management practices and improve team performance:</w:t>
      </w:r>
    </w:p>
    <w:p w14:paraId="3D42ECB9" w14:textId="77777777" w:rsidR="003E4B3A" w:rsidRPr="003E4B3A" w:rsidRDefault="003E4B3A" w:rsidP="003E4B3A">
      <w:pPr>
        <w:numPr>
          <w:ilvl w:val="0"/>
          <w:numId w:val="24"/>
        </w:numPr>
        <w:spacing w:before="240"/>
        <w:rPr>
          <w:rFonts w:cs="Times New Roman"/>
        </w:rPr>
      </w:pPr>
      <w:r w:rsidRPr="003E4B3A">
        <w:rPr>
          <w:rFonts w:cs="Times New Roman"/>
          <w:b/>
          <w:bCs/>
        </w:rPr>
        <w:t>Team Composition and Deployment</w:t>
      </w:r>
      <w:r w:rsidRPr="003E4B3A">
        <w:rPr>
          <w:rFonts w:cs="Times New Roman"/>
        </w:rPr>
        <w:t>:</w:t>
      </w:r>
      <w:r w:rsidRPr="003E4B3A">
        <w:rPr>
          <w:rFonts w:cs="Times New Roman"/>
        </w:rPr>
        <w:br/>
        <w:t>ALDI UK should strive to diversify its teams beyond gender diversity by focusing on cognitive and functional diversity as well. This can be achieved by actively promoting the recruitment of employees with varied educational backgrounds, skills, and experiences. The company should also consider cross-functional team arrangements and job rotation schemes to encourage knowledge-sharing and diverse problem-solving approaches (Bodla et al., 2018).</w:t>
      </w:r>
    </w:p>
    <w:p w14:paraId="4B803831" w14:textId="77777777" w:rsidR="003E4B3A" w:rsidRPr="003E4B3A" w:rsidRDefault="003E4B3A" w:rsidP="003E4B3A">
      <w:pPr>
        <w:numPr>
          <w:ilvl w:val="0"/>
          <w:numId w:val="24"/>
        </w:numPr>
        <w:spacing w:before="240"/>
        <w:rPr>
          <w:rFonts w:cs="Times New Roman"/>
        </w:rPr>
      </w:pPr>
      <w:r w:rsidRPr="003E4B3A">
        <w:rPr>
          <w:rFonts w:cs="Times New Roman"/>
          <w:b/>
          <w:bCs/>
        </w:rPr>
        <w:t>Inclusive HRM and D&amp;I Practices</w:t>
      </w:r>
      <w:r w:rsidRPr="003E4B3A">
        <w:rPr>
          <w:rFonts w:cs="Times New Roman"/>
        </w:rPr>
        <w:t>:</w:t>
      </w:r>
      <w:r w:rsidRPr="003E4B3A">
        <w:rPr>
          <w:rFonts w:cs="Times New Roman"/>
        </w:rPr>
        <w:br/>
        <w:t>ALDI UK should strengthen its diversity and inclusion (D&amp;I) practices by ensuring that diversity is not only represented at the entry and mid-levels but also at senior and leadership positions. The company should also establish more inclusive human resource management (HRM) practices that encourage diverse talent retention, career progression, and mentorship programs. Additionally, expanding diversity data collection to include ethnicity, age, and functional diversity will help the company better understand its workforce composition and inform more targeted diversity interventions (Shore et al., 2017).</w:t>
      </w:r>
    </w:p>
    <w:p w14:paraId="10F8987B" w14:textId="77777777" w:rsidR="003E4B3A" w:rsidRPr="003E4B3A" w:rsidRDefault="003E4B3A" w:rsidP="003E4B3A">
      <w:pPr>
        <w:numPr>
          <w:ilvl w:val="0"/>
          <w:numId w:val="24"/>
        </w:numPr>
        <w:spacing w:before="240"/>
        <w:rPr>
          <w:rFonts w:cs="Times New Roman"/>
        </w:rPr>
      </w:pPr>
      <w:r w:rsidRPr="003E4B3A">
        <w:rPr>
          <w:rFonts w:cs="Times New Roman"/>
          <w:b/>
          <w:bCs/>
        </w:rPr>
        <w:t>Leadership Development and Communication</w:t>
      </w:r>
      <w:r w:rsidRPr="003E4B3A">
        <w:rPr>
          <w:rFonts w:cs="Times New Roman"/>
        </w:rPr>
        <w:t>:</w:t>
      </w:r>
      <w:r w:rsidRPr="003E4B3A">
        <w:rPr>
          <w:rFonts w:cs="Times New Roman"/>
        </w:rPr>
        <w:br/>
        <w:t xml:space="preserve">Leadership plays a pivotal role in driving the success of diversity initiatives. ALDI UK should invest in leadership development programs that emphasize inclusive leadership, cultural competence, and conflict management. Training leaders to communicate </w:t>
      </w:r>
      <w:r w:rsidRPr="003E4B3A">
        <w:rPr>
          <w:rFonts w:cs="Times New Roman"/>
        </w:rPr>
        <w:lastRenderedPageBreak/>
        <w:t>effectively with diverse teams and build trust within their teams will be essential in fostering an inclusive and high-performing work environment (Ali et al., 2022).</w:t>
      </w:r>
    </w:p>
    <w:p w14:paraId="2BFE50A5" w14:textId="77777777" w:rsidR="003E4B3A" w:rsidRDefault="003E4B3A" w:rsidP="003E4B3A">
      <w:pPr>
        <w:numPr>
          <w:ilvl w:val="0"/>
          <w:numId w:val="24"/>
        </w:numPr>
        <w:spacing w:before="240"/>
        <w:rPr>
          <w:rFonts w:cs="Times New Roman"/>
        </w:rPr>
      </w:pPr>
      <w:r w:rsidRPr="003E4B3A">
        <w:rPr>
          <w:rFonts w:cs="Times New Roman"/>
          <w:b/>
          <w:bCs/>
        </w:rPr>
        <w:t>Managing Conflict and Enhancing Psychological Safety and Trust</w:t>
      </w:r>
      <w:r w:rsidRPr="003E4B3A">
        <w:rPr>
          <w:rFonts w:cs="Times New Roman"/>
        </w:rPr>
        <w:t>:</w:t>
      </w:r>
      <w:r w:rsidRPr="003E4B3A">
        <w:rPr>
          <w:rFonts w:cs="Times New Roman"/>
        </w:rPr>
        <w:br/>
        <w:t>Retail organizations often face interpersonal conflict due to diverse backgrounds and perspectives. It is important for ALDI UK to establish a framework for conflict resolution and promote psychological safety within teams. This involves creating an environment where team members feel comfortable voicing their opinions, challenging ideas respectfully, and learning from mistakes. ALDI should also prioritize initiatives that enhance trust within teams, as trust has been identified as a key mediator in the diversity-performance relationship (Mata et al., 2021).</w:t>
      </w:r>
    </w:p>
    <w:p w14:paraId="3B58C35B" w14:textId="77777777" w:rsidR="00215BA6" w:rsidRPr="003E4B3A" w:rsidRDefault="00215BA6" w:rsidP="00215BA6">
      <w:pPr>
        <w:spacing w:before="240"/>
        <w:rPr>
          <w:rFonts w:cs="Times New Roman"/>
        </w:rPr>
      </w:pPr>
    </w:p>
    <w:p w14:paraId="23F76B78" w14:textId="2289491D" w:rsidR="00215BA6" w:rsidRPr="00215BA6" w:rsidRDefault="00215BA6" w:rsidP="00215BA6">
      <w:pPr>
        <w:pStyle w:val="Heading3"/>
      </w:pPr>
      <w:bookmarkStart w:id="43" w:name="_Toc218684555"/>
      <w:r>
        <w:t xml:space="preserve">5.3.1 </w:t>
      </w:r>
      <w:r w:rsidRPr="00215BA6">
        <w:t>Constraints and Realistic Expectations</w:t>
      </w:r>
      <w:bookmarkEnd w:id="43"/>
    </w:p>
    <w:p w14:paraId="65E2AF09" w14:textId="77777777" w:rsidR="00215BA6" w:rsidRPr="00215BA6" w:rsidRDefault="00215BA6" w:rsidP="00215BA6">
      <w:pPr>
        <w:spacing w:before="240"/>
        <w:rPr>
          <w:rFonts w:cs="Times New Roman"/>
          <w:b/>
          <w:bCs/>
        </w:rPr>
      </w:pPr>
      <w:r w:rsidRPr="00215BA6">
        <w:rPr>
          <w:rFonts w:cs="Times New Roman"/>
          <w:b/>
          <w:bCs/>
        </w:rPr>
        <w:t>What ALDI Cannot Change:</w:t>
      </w:r>
    </w:p>
    <w:p w14:paraId="4461E14F" w14:textId="60C2DFBC" w:rsidR="00215BA6" w:rsidRPr="00215BA6" w:rsidRDefault="00215BA6" w:rsidP="00215BA6">
      <w:pPr>
        <w:pStyle w:val="ListParagraph"/>
        <w:numPr>
          <w:ilvl w:val="0"/>
          <w:numId w:val="28"/>
        </w:numPr>
        <w:spacing w:before="240"/>
        <w:rPr>
          <w:rFonts w:cs="Times New Roman"/>
        </w:rPr>
      </w:pPr>
      <w:r w:rsidRPr="00215BA6">
        <w:rPr>
          <w:rFonts w:cs="Times New Roman"/>
        </w:rPr>
        <w:t>Private ownership results in limited requirements for public disclosure, while the decision to report voluntarily rests with the leadership of the</w:t>
      </w:r>
    </w:p>
    <w:p w14:paraId="7A0D62E5" w14:textId="6FF68E6D" w:rsidR="00215BA6" w:rsidRPr="00215BA6" w:rsidRDefault="00215BA6" w:rsidP="00215BA6">
      <w:pPr>
        <w:pStyle w:val="ListParagraph"/>
        <w:numPr>
          <w:ilvl w:val="0"/>
          <w:numId w:val="28"/>
        </w:numPr>
        <w:spacing w:before="240"/>
        <w:rPr>
          <w:rFonts w:cs="Times New Roman"/>
        </w:rPr>
      </w:pPr>
      <w:r w:rsidRPr="00215BA6">
        <w:rPr>
          <w:rFonts w:cs="Times New Roman"/>
        </w:rPr>
        <w:t>Flat organizational structure provides limited upward mobility within hierarchy structures—ceiling for Store Manager</w:t>
      </w:r>
    </w:p>
    <w:p w14:paraId="6E97EB2B" w14:textId="0DC23EF9" w:rsidR="00215BA6" w:rsidRPr="00215BA6" w:rsidRDefault="00215BA6" w:rsidP="00215BA6">
      <w:pPr>
        <w:pStyle w:val="ListParagraph"/>
        <w:numPr>
          <w:ilvl w:val="0"/>
          <w:numId w:val="28"/>
        </w:numPr>
        <w:spacing w:before="240"/>
        <w:rPr>
          <w:rFonts w:cs="Times New Roman"/>
        </w:rPr>
      </w:pPr>
      <w:r w:rsidRPr="00215BA6">
        <w:rPr>
          <w:rFonts w:cs="Times New Roman"/>
        </w:rPr>
        <w:t>Truth about the retail job market—turnover, working on weekends/ evenings—particularly hurts caregivers</w:t>
      </w:r>
    </w:p>
    <w:p w14:paraId="5525B3C0" w14:textId="77777777" w:rsidR="00215BA6" w:rsidRPr="00215BA6" w:rsidRDefault="00215BA6" w:rsidP="00215BA6">
      <w:pPr>
        <w:pStyle w:val="ListParagraph"/>
        <w:numPr>
          <w:ilvl w:val="0"/>
          <w:numId w:val="28"/>
        </w:numPr>
        <w:spacing w:before="240"/>
        <w:rPr>
          <w:rFonts w:cs="Times New Roman"/>
        </w:rPr>
      </w:pPr>
      <w:r w:rsidRPr="00215BA6">
        <w:rPr>
          <w:rFonts w:cs="Times New Roman"/>
        </w:rPr>
        <w:t>What Requires Long-Term Commitment:</w:t>
      </w:r>
    </w:p>
    <w:p w14:paraId="226DB294" w14:textId="2B985359" w:rsidR="00215BA6" w:rsidRPr="00215BA6" w:rsidRDefault="00215BA6" w:rsidP="00215BA6">
      <w:pPr>
        <w:pStyle w:val="ListParagraph"/>
        <w:numPr>
          <w:ilvl w:val="0"/>
          <w:numId w:val="28"/>
        </w:numPr>
        <w:spacing w:before="240"/>
        <w:rPr>
          <w:rFonts w:cs="Times New Roman"/>
        </w:rPr>
      </w:pPr>
      <w:r w:rsidRPr="00215BA6">
        <w:rPr>
          <w:rFonts w:cs="Times New Roman"/>
        </w:rPr>
        <w:t>Leadership pipeline diversity—the demographic make-up of senior levels does not change quickly. It may take 5 to 7 years to bring significant change.</w:t>
      </w:r>
    </w:p>
    <w:p w14:paraId="6568ABD5" w14:textId="49931BA5" w:rsidR="00215BA6" w:rsidRPr="00215BA6" w:rsidRDefault="00215BA6" w:rsidP="00215BA6">
      <w:pPr>
        <w:pStyle w:val="ListParagraph"/>
        <w:numPr>
          <w:ilvl w:val="0"/>
          <w:numId w:val="28"/>
        </w:numPr>
        <w:spacing w:before="240"/>
        <w:rPr>
          <w:rFonts w:cs="Times New Roman"/>
        </w:rPr>
      </w:pPr>
      <w:r w:rsidRPr="00215BA6">
        <w:rPr>
          <w:rFonts w:cs="Times New Roman"/>
        </w:rPr>
        <w:t>Cultural transformation: an ‘inclusion climate’ can’t be achieved with ‘quick fixes’; it</w:t>
      </w:r>
    </w:p>
    <w:p w14:paraId="7B9502EF" w14:textId="77777777" w:rsidR="00215BA6" w:rsidRPr="00215BA6" w:rsidRDefault="00215BA6" w:rsidP="00215BA6">
      <w:pPr>
        <w:spacing w:before="240"/>
        <w:rPr>
          <w:rFonts w:cs="Times New Roman"/>
          <w:b/>
          <w:bCs/>
        </w:rPr>
      </w:pPr>
      <w:r w:rsidRPr="00215BA6">
        <w:rPr>
          <w:rFonts w:cs="Times New Roman"/>
          <w:b/>
          <w:bCs/>
        </w:rPr>
        <w:t>What Offers Quick Wins:</w:t>
      </w:r>
    </w:p>
    <w:p w14:paraId="1E9E94FF" w14:textId="70906A5E" w:rsidR="00215BA6" w:rsidRPr="00215BA6" w:rsidRDefault="00215BA6" w:rsidP="00215BA6">
      <w:pPr>
        <w:pStyle w:val="ListParagraph"/>
        <w:numPr>
          <w:ilvl w:val="0"/>
          <w:numId w:val="27"/>
        </w:numPr>
        <w:spacing w:before="240"/>
        <w:rPr>
          <w:rFonts w:cs="Times New Roman"/>
        </w:rPr>
      </w:pPr>
      <w:r w:rsidRPr="00215BA6">
        <w:rPr>
          <w:rFonts w:cs="Times New Roman"/>
        </w:rPr>
        <w:t>Policy revisions—parental leave, flexible scheduling, anti-discrimination policy supportable within months</w:t>
      </w:r>
    </w:p>
    <w:p w14:paraId="44C6AC04" w14:textId="090A70A7" w:rsidR="00215BA6" w:rsidRPr="00215BA6" w:rsidRDefault="00215BA6" w:rsidP="00215BA6">
      <w:pPr>
        <w:pStyle w:val="ListParagraph"/>
        <w:numPr>
          <w:ilvl w:val="0"/>
          <w:numId w:val="27"/>
        </w:numPr>
        <w:spacing w:before="240"/>
        <w:rPr>
          <w:rFonts w:cs="Times New Roman"/>
        </w:rPr>
      </w:pPr>
      <w:r w:rsidRPr="00215BA6">
        <w:rPr>
          <w:rFonts w:cs="Times New Roman"/>
        </w:rPr>
        <w:t>Training deployment – Manager capability building scalable – Rapidly</w:t>
      </w:r>
    </w:p>
    <w:p w14:paraId="14C1E3D5" w14:textId="3A2A6FA9" w:rsidR="00215BA6" w:rsidRPr="00215BA6" w:rsidRDefault="00215BA6" w:rsidP="00215BA6">
      <w:pPr>
        <w:pStyle w:val="ListParagraph"/>
        <w:numPr>
          <w:ilvl w:val="0"/>
          <w:numId w:val="27"/>
        </w:numPr>
        <w:spacing w:before="240"/>
        <w:rPr>
          <w:rFonts w:cs="Times New Roman"/>
        </w:rPr>
      </w:pPr>
      <w:r w:rsidRPr="00215BA6">
        <w:rPr>
          <w:rFonts w:cs="Times New Roman"/>
        </w:rPr>
        <w:t>Measurement infrastructure—data systems implementable within fiscal year</w:t>
      </w:r>
    </w:p>
    <w:p w14:paraId="53DC3A45" w14:textId="6D4E15B4" w:rsidR="00215BA6" w:rsidRDefault="00215BA6" w:rsidP="00215BA6">
      <w:pPr>
        <w:spacing w:before="240"/>
        <w:rPr>
          <w:rFonts w:cs="Times New Roman"/>
        </w:rPr>
      </w:pPr>
      <w:r w:rsidRPr="00215BA6">
        <w:rPr>
          <w:rFonts w:cs="Times New Roman"/>
          <w:b/>
          <w:bCs/>
        </w:rPr>
        <w:lastRenderedPageBreak/>
        <w:t>Realistic Timeline:</w:t>
      </w:r>
      <w:r w:rsidRPr="00215BA6">
        <w:rPr>
          <w:rFonts w:cs="Times New Roman"/>
        </w:rPr>
        <w:t xml:space="preserve"> Observable progress in gender equity can be expected within 3 years; diversity in ethnicity can be improved based on voluntary adoption of measurements; functional or cognitive diversity can be enhanced based on investment in flexibility.</w:t>
      </w:r>
    </w:p>
    <w:p w14:paraId="4BC07EF0" w14:textId="77777777" w:rsidR="00215BA6" w:rsidRPr="003E4B3A" w:rsidRDefault="00215BA6" w:rsidP="00215BA6">
      <w:pPr>
        <w:spacing w:before="240"/>
        <w:rPr>
          <w:rFonts w:cs="Times New Roman"/>
        </w:rPr>
      </w:pPr>
    </w:p>
    <w:p w14:paraId="05C213F4" w14:textId="77777777" w:rsidR="003E4B3A" w:rsidRPr="003E4B3A" w:rsidRDefault="003E4B3A" w:rsidP="003E4B3A">
      <w:pPr>
        <w:pStyle w:val="Heading2"/>
      </w:pPr>
      <w:bookmarkStart w:id="44" w:name="_Toc218684556"/>
      <w:r w:rsidRPr="003E4B3A">
        <w:t>5.4 Limitations of the Study</w:t>
      </w:r>
      <w:bookmarkEnd w:id="44"/>
    </w:p>
    <w:p w14:paraId="01843CA7" w14:textId="77777777" w:rsidR="003E4B3A" w:rsidRPr="003E4B3A" w:rsidRDefault="003E4B3A" w:rsidP="003E4B3A">
      <w:pPr>
        <w:spacing w:before="240"/>
        <w:rPr>
          <w:rFonts w:cs="Times New Roman"/>
        </w:rPr>
      </w:pPr>
      <w:r w:rsidRPr="003E4B3A">
        <w:rPr>
          <w:rFonts w:cs="Times New Roman"/>
        </w:rPr>
        <w:t>While this study provides valuable insights into the relationship between diversity and performance at ALDI UK, several limitations should be acknowledged:</w:t>
      </w:r>
    </w:p>
    <w:p w14:paraId="4917914F" w14:textId="77777777" w:rsidR="003E4B3A" w:rsidRPr="003E4B3A" w:rsidRDefault="003E4B3A" w:rsidP="003E4B3A">
      <w:pPr>
        <w:numPr>
          <w:ilvl w:val="0"/>
          <w:numId w:val="25"/>
        </w:numPr>
        <w:spacing w:before="240"/>
        <w:rPr>
          <w:rFonts w:cs="Times New Roman"/>
        </w:rPr>
      </w:pPr>
      <w:r w:rsidRPr="003E4B3A">
        <w:rPr>
          <w:rFonts w:cs="Times New Roman"/>
          <w:b/>
          <w:bCs/>
        </w:rPr>
        <w:t>Secondary Data</w:t>
      </w:r>
      <w:r w:rsidRPr="003E4B3A">
        <w:rPr>
          <w:rFonts w:cs="Times New Roman"/>
        </w:rPr>
        <w:t>:</w:t>
      </w:r>
      <w:r w:rsidRPr="003E4B3A">
        <w:rPr>
          <w:rFonts w:cs="Times New Roman"/>
        </w:rPr>
        <w:br/>
        <w:t>The reliance on secondary data, such as publicly available corporate reports and gender pay gap data, meant that the study was constrained by the information that was accessible. This limitation prevented a more in-depth analysis of other diversity dimensions, such as cognitive and functional diversity.</w:t>
      </w:r>
    </w:p>
    <w:p w14:paraId="282E57D9" w14:textId="77777777" w:rsidR="003E4B3A" w:rsidRPr="003E4B3A" w:rsidRDefault="003E4B3A" w:rsidP="003E4B3A">
      <w:pPr>
        <w:numPr>
          <w:ilvl w:val="0"/>
          <w:numId w:val="25"/>
        </w:numPr>
        <w:spacing w:before="240"/>
        <w:rPr>
          <w:rFonts w:cs="Times New Roman"/>
        </w:rPr>
      </w:pPr>
      <w:r w:rsidRPr="003E4B3A">
        <w:rPr>
          <w:rFonts w:cs="Times New Roman"/>
          <w:b/>
          <w:bCs/>
        </w:rPr>
        <w:t>Restricted Indicators</w:t>
      </w:r>
      <w:r w:rsidRPr="003E4B3A">
        <w:rPr>
          <w:rFonts w:cs="Times New Roman"/>
        </w:rPr>
        <w:t>:</w:t>
      </w:r>
      <w:r w:rsidRPr="003E4B3A">
        <w:rPr>
          <w:rFonts w:cs="Times New Roman"/>
        </w:rPr>
        <w:br/>
        <w:t>The study was limited by the indicators available for measuring diversity and performance. For example, while gender diversity data was readily available, other dimensions of diversity, such as ethnicity, were underreported. Additionally, performance indicators were aggregated at the organizational level, making it difficult to assess team-level performance or link it directly to diversity metrics.</w:t>
      </w:r>
    </w:p>
    <w:p w14:paraId="14ECDE1A" w14:textId="77777777" w:rsidR="003E4B3A" w:rsidRPr="003E4B3A" w:rsidRDefault="003E4B3A" w:rsidP="003E4B3A">
      <w:pPr>
        <w:numPr>
          <w:ilvl w:val="0"/>
          <w:numId w:val="25"/>
        </w:numPr>
        <w:spacing w:before="240"/>
        <w:rPr>
          <w:rFonts w:cs="Times New Roman"/>
        </w:rPr>
      </w:pPr>
      <w:r w:rsidRPr="003E4B3A">
        <w:rPr>
          <w:rFonts w:cs="Times New Roman"/>
          <w:b/>
          <w:bCs/>
        </w:rPr>
        <w:t>Lack of Causal Proof</w:t>
      </w:r>
      <w:r w:rsidRPr="003E4B3A">
        <w:rPr>
          <w:rFonts w:cs="Times New Roman"/>
        </w:rPr>
        <w:t>:</w:t>
      </w:r>
      <w:r w:rsidRPr="003E4B3A">
        <w:rPr>
          <w:rFonts w:cs="Times New Roman"/>
        </w:rPr>
        <w:br/>
        <w:t>Due to the nature of secondary data, the study could not establish causal relationships between diversity and performance. The findings are largely descriptive, highlighting trends and correlations rather than direct cause-and-effect relationships.</w:t>
      </w:r>
    </w:p>
    <w:p w14:paraId="5E113CBF" w14:textId="77777777" w:rsidR="003E4B3A" w:rsidRPr="003E4B3A" w:rsidRDefault="003E4B3A" w:rsidP="003E4B3A">
      <w:pPr>
        <w:numPr>
          <w:ilvl w:val="0"/>
          <w:numId w:val="25"/>
        </w:numPr>
        <w:spacing w:before="240"/>
        <w:rPr>
          <w:rFonts w:cs="Times New Roman"/>
        </w:rPr>
      </w:pPr>
      <w:r w:rsidRPr="003E4B3A">
        <w:rPr>
          <w:rFonts w:cs="Times New Roman"/>
          <w:b/>
          <w:bCs/>
        </w:rPr>
        <w:t>Limited Generalizability</w:t>
      </w:r>
      <w:r w:rsidRPr="003E4B3A">
        <w:rPr>
          <w:rFonts w:cs="Times New Roman"/>
        </w:rPr>
        <w:t>:</w:t>
      </w:r>
      <w:r w:rsidRPr="003E4B3A">
        <w:rPr>
          <w:rFonts w:cs="Times New Roman"/>
        </w:rPr>
        <w:br/>
        <w:t>The case study of ALDI UK provides valuable insights into diversity in the retail sector, but the findings may not be generalizable to other organizations or industries. The specific context of ALDI’s business model, organizational structure, and diversity practices may limit the applicability of the results to other retail companies or sectors.</w:t>
      </w:r>
    </w:p>
    <w:p w14:paraId="56545928" w14:textId="32C6DF5C" w:rsidR="003E4B3A" w:rsidRPr="003E4B3A" w:rsidRDefault="003E4B3A" w:rsidP="003E4B3A">
      <w:pPr>
        <w:spacing w:before="240"/>
        <w:rPr>
          <w:rFonts w:cs="Times New Roman"/>
        </w:rPr>
      </w:pPr>
    </w:p>
    <w:p w14:paraId="7CED3157" w14:textId="77777777" w:rsidR="003E4B3A" w:rsidRPr="003E4B3A" w:rsidRDefault="003E4B3A" w:rsidP="003E4B3A">
      <w:pPr>
        <w:pStyle w:val="Heading2"/>
      </w:pPr>
      <w:bookmarkStart w:id="45" w:name="_Toc218684557"/>
      <w:r w:rsidRPr="003E4B3A">
        <w:t>5.5 Suggestions for Future Research</w:t>
      </w:r>
      <w:bookmarkEnd w:id="45"/>
    </w:p>
    <w:p w14:paraId="328AC055" w14:textId="77777777" w:rsidR="003E4B3A" w:rsidRPr="003E4B3A" w:rsidRDefault="003E4B3A" w:rsidP="003E4B3A">
      <w:pPr>
        <w:spacing w:before="240"/>
        <w:rPr>
          <w:rFonts w:cs="Times New Roman"/>
        </w:rPr>
      </w:pPr>
      <w:r w:rsidRPr="003E4B3A">
        <w:rPr>
          <w:rFonts w:cs="Times New Roman"/>
        </w:rPr>
        <w:t>Given the limitations of this study, several avenues for future research are suggested:</w:t>
      </w:r>
    </w:p>
    <w:p w14:paraId="10013BBF" w14:textId="77777777" w:rsidR="003E4B3A" w:rsidRPr="003E4B3A" w:rsidRDefault="003E4B3A" w:rsidP="003E4B3A">
      <w:pPr>
        <w:numPr>
          <w:ilvl w:val="0"/>
          <w:numId w:val="26"/>
        </w:numPr>
        <w:spacing w:before="240"/>
        <w:rPr>
          <w:rFonts w:cs="Times New Roman"/>
        </w:rPr>
      </w:pPr>
      <w:r w:rsidRPr="003E4B3A">
        <w:rPr>
          <w:rFonts w:cs="Times New Roman"/>
          <w:b/>
          <w:bCs/>
        </w:rPr>
        <w:t>Primary Data with ALDI Employees (Surveys/Interviews)</w:t>
      </w:r>
      <w:r w:rsidRPr="003E4B3A">
        <w:rPr>
          <w:rFonts w:cs="Times New Roman"/>
        </w:rPr>
        <w:t>:</w:t>
      </w:r>
      <w:r w:rsidRPr="003E4B3A">
        <w:rPr>
          <w:rFonts w:cs="Times New Roman"/>
        </w:rPr>
        <w:br/>
        <w:t>Future research could involve primary data collection through surveys and interviews with ALDI employees to gain a more comprehensive understanding of how diversity impacts team dynamics and job performance at the individual and team levels. Primary data would also allow for a more nuanced exploration of mediating factors, such as trust, communication, and psychological safety.</w:t>
      </w:r>
    </w:p>
    <w:p w14:paraId="1A5DD113" w14:textId="77777777" w:rsidR="003E4B3A" w:rsidRPr="003E4B3A" w:rsidRDefault="003E4B3A" w:rsidP="003E4B3A">
      <w:pPr>
        <w:numPr>
          <w:ilvl w:val="0"/>
          <w:numId w:val="26"/>
        </w:numPr>
        <w:spacing w:before="240"/>
        <w:rPr>
          <w:rFonts w:cs="Times New Roman"/>
        </w:rPr>
      </w:pPr>
      <w:r w:rsidRPr="003E4B3A">
        <w:rPr>
          <w:rFonts w:cs="Times New Roman"/>
          <w:b/>
          <w:bCs/>
        </w:rPr>
        <w:t>Comparative Studies Across Retailers or Countries</w:t>
      </w:r>
      <w:r w:rsidRPr="003E4B3A">
        <w:rPr>
          <w:rFonts w:cs="Times New Roman"/>
        </w:rPr>
        <w:t>:</w:t>
      </w:r>
      <w:r w:rsidRPr="003E4B3A">
        <w:rPr>
          <w:rFonts w:cs="Times New Roman"/>
        </w:rPr>
        <w:br/>
        <w:t>A comparative study across different retailers or countries could provide a broader understanding of how diversity influences performance in retail settings. This would be particularly useful in examining how cultural and regional differences impact the diversity-performance relationship in the retail sector.</w:t>
      </w:r>
    </w:p>
    <w:p w14:paraId="1C2A92B5" w14:textId="77777777" w:rsidR="003E4B3A" w:rsidRPr="003E4B3A" w:rsidRDefault="003E4B3A" w:rsidP="003E4B3A">
      <w:pPr>
        <w:numPr>
          <w:ilvl w:val="0"/>
          <w:numId w:val="26"/>
        </w:numPr>
        <w:spacing w:before="240"/>
        <w:rPr>
          <w:rFonts w:cs="Times New Roman"/>
        </w:rPr>
      </w:pPr>
      <w:r w:rsidRPr="003E4B3A">
        <w:rPr>
          <w:rFonts w:cs="Times New Roman"/>
          <w:b/>
          <w:bCs/>
        </w:rPr>
        <w:t>Mixed-Methods Work Linking Objective KPIs with Employee Perceptions</w:t>
      </w:r>
      <w:r w:rsidRPr="003E4B3A">
        <w:rPr>
          <w:rFonts w:cs="Times New Roman"/>
        </w:rPr>
        <w:t>:</w:t>
      </w:r>
      <w:r w:rsidRPr="003E4B3A">
        <w:rPr>
          <w:rFonts w:cs="Times New Roman"/>
        </w:rPr>
        <w:br/>
        <w:t>A mixed-methods approach that combines quantitative data (e.g., sales performance, turnover rates) with qualitative data (e.g., employee perceptions of diversity and inclusion) could provide a more holistic view of how diversity affects performance. This approach would allow researchers to connect objective performance indicators with subjective employee experiences, offering a richer understanding of the diversity-performance relationship.</w:t>
      </w:r>
    </w:p>
    <w:p w14:paraId="207D1256" w14:textId="06545E6C" w:rsidR="004A31ED" w:rsidRPr="00916468" w:rsidRDefault="004A31ED" w:rsidP="001B5232">
      <w:pPr>
        <w:spacing w:before="240"/>
        <w:rPr>
          <w:rFonts w:cs="Times New Roman"/>
        </w:rPr>
      </w:pPr>
      <w:r w:rsidRPr="00916468">
        <w:rPr>
          <w:rFonts w:cs="Times New Roman"/>
        </w:rPr>
        <w:br w:type="page"/>
      </w:r>
    </w:p>
    <w:p w14:paraId="7166842F" w14:textId="2F8284FE" w:rsidR="00166B03" w:rsidRPr="00916468" w:rsidRDefault="004A31ED" w:rsidP="001B5232">
      <w:pPr>
        <w:pStyle w:val="Heading1"/>
        <w:spacing w:before="240"/>
        <w:rPr>
          <w:rFonts w:cs="Times New Roman"/>
        </w:rPr>
      </w:pPr>
      <w:bookmarkStart w:id="46" w:name="_Toc218684558"/>
      <w:r w:rsidRPr="00916468">
        <w:rPr>
          <w:rFonts w:cs="Times New Roman"/>
        </w:rPr>
        <w:lastRenderedPageBreak/>
        <w:t>References</w:t>
      </w:r>
      <w:bookmarkEnd w:id="46"/>
    </w:p>
    <w:p w14:paraId="5E99A77B" w14:textId="77777777" w:rsidR="004A31ED" w:rsidRPr="00916468" w:rsidRDefault="004A31ED" w:rsidP="001B5232">
      <w:pPr>
        <w:spacing w:before="240" w:after="240"/>
        <w:jc w:val="left"/>
        <w:rPr>
          <w:rFonts w:cs="Times New Roman"/>
        </w:rPr>
      </w:pPr>
      <w:r w:rsidRPr="00916468">
        <w:rPr>
          <w:rFonts w:cs="Times New Roman"/>
        </w:rPr>
        <w:t xml:space="preserve">Ali, J., Khastoori, S., Sorooshian, S. and Campbell, N., 2022. Diversity impact on organizational performance: Moderating and mediating role of diversity beliefs and leadership expertise. </w:t>
      </w:r>
      <w:r w:rsidRPr="00916468">
        <w:rPr>
          <w:rFonts w:cs="Times New Roman"/>
          <w:i/>
          <w:iCs/>
        </w:rPr>
        <w:t>PLOS ONE</w:t>
      </w:r>
      <w:r w:rsidRPr="00916468">
        <w:rPr>
          <w:rFonts w:cs="Times New Roman"/>
        </w:rPr>
        <w:t>.</w:t>
      </w:r>
    </w:p>
    <w:p w14:paraId="47BAFAF1" w14:textId="4F2168FC" w:rsidR="004A31ED" w:rsidRPr="00916468" w:rsidRDefault="004A31ED" w:rsidP="001B5232">
      <w:pPr>
        <w:spacing w:before="240" w:after="240"/>
        <w:jc w:val="left"/>
        <w:rPr>
          <w:rFonts w:cs="Times New Roman"/>
        </w:rPr>
      </w:pPr>
      <w:r w:rsidRPr="00916468">
        <w:rPr>
          <w:rFonts w:cs="Times New Roman"/>
        </w:rPr>
        <w:t xml:space="preserve">Naqvi, S.M.M.R., Ishtiaq, M., Kanwal, N., Butt, M.U. and Nawaz, S., 2013. Impact of gender diversity on team performance: The moderating role of organizational culture in telecom sector of Pakistan. </w:t>
      </w:r>
      <w:r w:rsidRPr="00916468">
        <w:rPr>
          <w:rFonts w:cs="Times New Roman"/>
          <w:i/>
          <w:iCs/>
        </w:rPr>
        <w:t xml:space="preserve">Asian Journal of Social Sciences </w:t>
      </w:r>
      <w:r w:rsidR="00FC01D2" w:rsidRPr="00916468">
        <w:rPr>
          <w:rFonts w:cs="Times New Roman"/>
          <w:i/>
          <w:iCs/>
        </w:rPr>
        <w:t>and</w:t>
      </w:r>
      <w:r w:rsidRPr="00916468">
        <w:rPr>
          <w:rFonts w:cs="Times New Roman"/>
          <w:i/>
          <w:iCs/>
        </w:rPr>
        <w:t xml:space="preserve"> Humanities</w:t>
      </w:r>
      <w:r w:rsidRPr="00916468">
        <w:rPr>
          <w:rFonts w:cs="Times New Roman"/>
        </w:rPr>
        <w:t>, 2(4), pp.228–235.</w:t>
      </w:r>
    </w:p>
    <w:p w14:paraId="6B39C08C" w14:textId="77777777" w:rsidR="004A31ED" w:rsidRPr="00916468" w:rsidRDefault="004A31ED" w:rsidP="001B5232">
      <w:pPr>
        <w:spacing w:before="240" w:after="240"/>
        <w:jc w:val="left"/>
        <w:rPr>
          <w:rFonts w:cs="Times New Roman"/>
        </w:rPr>
      </w:pPr>
      <w:r w:rsidRPr="00916468">
        <w:rPr>
          <w:rFonts w:cs="Times New Roman"/>
        </w:rPr>
        <w:t xml:space="preserve">Bakker, R.M., Boroş, S., Kenis, P. and Oerlemans, L.A., 2013. It's only temporary: Time frame and the dynamics of creative project teams. </w:t>
      </w:r>
      <w:r w:rsidRPr="00916468">
        <w:rPr>
          <w:rFonts w:cs="Times New Roman"/>
          <w:i/>
          <w:iCs/>
        </w:rPr>
        <w:t>British Journal of Management</w:t>
      </w:r>
      <w:r w:rsidRPr="00916468">
        <w:rPr>
          <w:rFonts w:cs="Times New Roman"/>
        </w:rPr>
        <w:t>, 24(3), pp.383–397.</w:t>
      </w:r>
    </w:p>
    <w:p w14:paraId="219CA243" w14:textId="77777777" w:rsidR="004A31ED" w:rsidRPr="00916468" w:rsidRDefault="004A31ED" w:rsidP="001B5232">
      <w:pPr>
        <w:spacing w:before="240" w:after="240"/>
        <w:jc w:val="left"/>
        <w:rPr>
          <w:rFonts w:cs="Times New Roman"/>
        </w:rPr>
      </w:pPr>
      <w:r w:rsidRPr="00916468">
        <w:rPr>
          <w:rFonts w:cs="Times New Roman"/>
        </w:rPr>
        <w:t xml:space="preserve">Behfar, K.J., Mannix, E.A., Peterson, R.S. and Trochim, W.M., 2011. Conflict in small groups: The meaning and consequences of process conflict. </w:t>
      </w:r>
      <w:r w:rsidRPr="00916468">
        <w:rPr>
          <w:rFonts w:cs="Times New Roman"/>
          <w:i/>
          <w:iCs/>
        </w:rPr>
        <w:t>Small Group Research</w:t>
      </w:r>
      <w:r w:rsidRPr="00916468">
        <w:rPr>
          <w:rFonts w:cs="Times New Roman"/>
        </w:rPr>
        <w:t>, 42(2), pp.127–176.</w:t>
      </w:r>
    </w:p>
    <w:p w14:paraId="1109B14B" w14:textId="77777777" w:rsidR="004A31ED" w:rsidRPr="00916468" w:rsidRDefault="004A31ED" w:rsidP="001B5232">
      <w:pPr>
        <w:spacing w:before="240" w:after="240"/>
        <w:jc w:val="left"/>
        <w:rPr>
          <w:rFonts w:cs="Times New Roman"/>
        </w:rPr>
      </w:pPr>
      <w:r w:rsidRPr="00916468">
        <w:rPr>
          <w:rFonts w:cs="Times New Roman"/>
        </w:rPr>
        <w:t xml:space="preserve">Breuer, C., Hüffmeier, J. and Hertel, G., 2016. Does trust matter more in virtual teams? A meta-analysis of trust and team effectiveness considering virtuality and documentation as moderators. </w:t>
      </w:r>
      <w:r w:rsidRPr="00916468">
        <w:rPr>
          <w:rFonts w:cs="Times New Roman"/>
          <w:i/>
          <w:iCs/>
        </w:rPr>
        <w:t>Journal of Applied Psychology</w:t>
      </w:r>
      <w:r w:rsidRPr="00916468">
        <w:rPr>
          <w:rFonts w:cs="Times New Roman"/>
        </w:rPr>
        <w:t>, 101(8), pp.1151–1177.</w:t>
      </w:r>
    </w:p>
    <w:p w14:paraId="3BE352A1" w14:textId="663EF110" w:rsidR="004A31ED" w:rsidRPr="00916468" w:rsidRDefault="004A31ED" w:rsidP="001B5232">
      <w:pPr>
        <w:spacing w:before="240" w:after="240"/>
        <w:jc w:val="left"/>
        <w:rPr>
          <w:rFonts w:cs="Times New Roman"/>
        </w:rPr>
      </w:pPr>
      <w:r w:rsidRPr="00916468">
        <w:rPr>
          <w:rFonts w:cs="Times New Roman"/>
        </w:rPr>
        <w:t xml:space="preserve">Chung, B.G., Ehrhart, K.H., Shore, L.M., Randel, A.E., Dean, M.A. and Kedharnath, U., 2020. Work group inclusion: Test of a scale and model. </w:t>
      </w:r>
      <w:r w:rsidRPr="00916468">
        <w:rPr>
          <w:rFonts w:cs="Times New Roman"/>
          <w:i/>
          <w:iCs/>
        </w:rPr>
        <w:t xml:space="preserve">Group </w:t>
      </w:r>
      <w:r w:rsidR="00FC01D2" w:rsidRPr="00916468">
        <w:rPr>
          <w:rFonts w:cs="Times New Roman"/>
          <w:i/>
          <w:iCs/>
        </w:rPr>
        <w:t>and</w:t>
      </w:r>
      <w:r w:rsidRPr="00916468">
        <w:rPr>
          <w:rFonts w:cs="Times New Roman"/>
          <w:i/>
          <w:iCs/>
        </w:rPr>
        <w:t xml:space="preserve"> Organization Management</w:t>
      </w:r>
      <w:r w:rsidRPr="00916468">
        <w:rPr>
          <w:rFonts w:cs="Times New Roman"/>
        </w:rPr>
        <w:t>, 45(1), pp.75–102.</w:t>
      </w:r>
    </w:p>
    <w:p w14:paraId="1AE5AFCD" w14:textId="77777777" w:rsidR="004A31ED" w:rsidRPr="00916468" w:rsidRDefault="004A31ED" w:rsidP="001B5232">
      <w:pPr>
        <w:spacing w:before="240" w:after="240"/>
        <w:jc w:val="left"/>
        <w:rPr>
          <w:rFonts w:cs="Times New Roman"/>
        </w:rPr>
      </w:pPr>
      <w:r w:rsidRPr="00916468">
        <w:rPr>
          <w:rFonts w:cs="Times New Roman"/>
        </w:rPr>
        <w:t xml:space="preserve">Downey, S.N., van der Werff, L., Thomas, K.M. and Plaut, V.C., 2015. The role of diversity practices and inclusion in promoting trust and employee engagement. </w:t>
      </w:r>
      <w:r w:rsidRPr="00916468">
        <w:rPr>
          <w:rFonts w:cs="Times New Roman"/>
          <w:i/>
          <w:iCs/>
        </w:rPr>
        <w:t>Journal of Applied Social Psychology</w:t>
      </w:r>
      <w:r w:rsidRPr="00916468">
        <w:rPr>
          <w:rFonts w:cs="Times New Roman"/>
        </w:rPr>
        <w:t>, 45(1), pp.35–44.</w:t>
      </w:r>
    </w:p>
    <w:p w14:paraId="7895FF9F" w14:textId="77777777" w:rsidR="004A31ED" w:rsidRPr="00916468" w:rsidRDefault="004A31ED" w:rsidP="001B5232">
      <w:pPr>
        <w:spacing w:before="240" w:after="240"/>
        <w:jc w:val="left"/>
        <w:rPr>
          <w:rFonts w:cs="Times New Roman"/>
        </w:rPr>
      </w:pPr>
      <w:r w:rsidRPr="00916468">
        <w:rPr>
          <w:rFonts w:cs="Times New Roman"/>
        </w:rPr>
        <w:t xml:space="preserve">Edmondson, A.C. and Harvey, J.F., 2018. Cross-boundary teaming for innovation: Integrating research on teams and knowledge in organizations. </w:t>
      </w:r>
      <w:r w:rsidRPr="00916468">
        <w:rPr>
          <w:rFonts w:cs="Times New Roman"/>
          <w:i/>
          <w:iCs/>
        </w:rPr>
        <w:t>Human Resource Management Review</w:t>
      </w:r>
      <w:r w:rsidRPr="00916468">
        <w:rPr>
          <w:rFonts w:cs="Times New Roman"/>
        </w:rPr>
        <w:t>, 28(4), pp.347–360.</w:t>
      </w:r>
    </w:p>
    <w:p w14:paraId="2D7C60C9" w14:textId="77777777" w:rsidR="004A31ED" w:rsidRPr="00916468" w:rsidRDefault="004A31ED" w:rsidP="001B5232">
      <w:pPr>
        <w:spacing w:before="240" w:after="240"/>
        <w:jc w:val="left"/>
        <w:rPr>
          <w:rFonts w:cs="Times New Roman"/>
        </w:rPr>
      </w:pPr>
      <w:r w:rsidRPr="00916468">
        <w:rPr>
          <w:rFonts w:cs="Times New Roman"/>
        </w:rPr>
        <w:t xml:space="preserve">Gilson, L.L., Maynard, M.T., Jones Young, N.C., Vartiainen, M. and Hakonen, M., 2015. Virtual teams research: 10 years, 10 themes, and 10 opportunities. </w:t>
      </w:r>
      <w:r w:rsidRPr="00916468">
        <w:rPr>
          <w:rFonts w:cs="Times New Roman"/>
          <w:i/>
          <w:iCs/>
        </w:rPr>
        <w:t>Journal of Management</w:t>
      </w:r>
      <w:r w:rsidRPr="00916468">
        <w:rPr>
          <w:rFonts w:cs="Times New Roman"/>
        </w:rPr>
        <w:t>, 41(5), pp.1313–1337.</w:t>
      </w:r>
    </w:p>
    <w:p w14:paraId="1799D9C3" w14:textId="77777777" w:rsidR="004A31ED" w:rsidRPr="00916468" w:rsidRDefault="004A31ED" w:rsidP="001B5232">
      <w:pPr>
        <w:spacing w:before="240" w:after="240"/>
        <w:jc w:val="left"/>
        <w:rPr>
          <w:rFonts w:cs="Times New Roman"/>
        </w:rPr>
      </w:pPr>
      <w:r w:rsidRPr="00916468">
        <w:rPr>
          <w:rFonts w:cs="Times New Roman"/>
        </w:rPr>
        <w:lastRenderedPageBreak/>
        <w:t xml:space="preserve">Guillaume, Y.R., Dawson, J.F., Otaye-Ebede, L., Woods, S.A. and West, M.A., 2017. Harnessing demographic differences in organizations: What moderates the effects of workplace diversity? </w:t>
      </w:r>
      <w:r w:rsidRPr="00916468">
        <w:rPr>
          <w:rFonts w:cs="Times New Roman"/>
          <w:i/>
          <w:iCs/>
        </w:rPr>
        <w:t>Journal of Organizational Behavior</w:t>
      </w:r>
      <w:r w:rsidRPr="00916468">
        <w:rPr>
          <w:rFonts w:cs="Times New Roman"/>
        </w:rPr>
        <w:t>, 38(2), pp.276–303.</w:t>
      </w:r>
    </w:p>
    <w:p w14:paraId="0443C00C" w14:textId="420E6C95" w:rsidR="004A31ED" w:rsidRPr="00916468" w:rsidRDefault="004A31ED" w:rsidP="001B5232">
      <w:pPr>
        <w:spacing w:before="240" w:after="240"/>
        <w:jc w:val="left"/>
        <w:rPr>
          <w:rFonts w:cs="Times New Roman"/>
        </w:rPr>
      </w:pPr>
      <w:r w:rsidRPr="00916468">
        <w:rPr>
          <w:rFonts w:cs="Times New Roman"/>
        </w:rPr>
        <w:t xml:space="preserve">Homan, A.C. and Greer, L.L., 2013. Considering diversity: The positive effects of considerate leadership in diverse teams. </w:t>
      </w:r>
      <w:r w:rsidRPr="00916468">
        <w:rPr>
          <w:rFonts w:cs="Times New Roman"/>
          <w:i/>
          <w:iCs/>
        </w:rPr>
        <w:t xml:space="preserve">Group Processes </w:t>
      </w:r>
      <w:r w:rsidR="00FC01D2" w:rsidRPr="00916468">
        <w:rPr>
          <w:rFonts w:cs="Times New Roman"/>
          <w:i/>
          <w:iCs/>
        </w:rPr>
        <w:t>and</w:t>
      </w:r>
      <w:r w:rsidRPr="00916468">
        <w:rPr>
          <w:rFonts w:cs="Times New Roman"/>
          <w:i/>
          <w:iCs/>
        </w:rPr>
        <w:t xml:space="preserve"> Intergroup Relations</w:t>
      </w:r>
      <w:r w:rsidRPr="00916468">
        <w:rPr>
          <w:rFonts w:cs="Times New Roman"/>
        </w:rPr>
        <w:t>, 16(1), pp.105–125.</w:t>
      </w:r>
    </w:p>
    <w:p w14:paraId="362B344C" w14:textId="77777777" w:rsidR="004A31ED" w:rsidRPr="00916468" w:rsidRDefault="004A31ED" w:rsidP="001B5232">
      <w:pPr>
        <w:spacing w:before="240" w:after="240"/>
        <w:jc w:val="left"/>
        <w:rPr>
          <w:rFonts w:cs="Times New Roman"/>
        </w:rPr>
      </w:pPr>
      <w:r w:rsidRPr="00916468">
        <w:rPr>
          <w:rFonts w:cs="Times New Roman"/>
        </w:rPr>
        <w:t xml:space="preserve">Jones, G., Chace, B.C. and Wright, J., 2020. Cultural diversity drives innovation: Empowering teams for success. </w:t>
      </w:r>
      <w:r w:rsidRPr="00916468">
        <w:rPr>
          <w:rFonts w:cs="Times New Roman"/>
          <w:i/>
          <w:iCs/>
        </w:rPr>
        <w:t>International Journal of Innovation Science</w:t>
      </w:r>
      <w:r w:rsidRPr="00916468">
        <w:rPr>
          <w:rFonts w:cs="Times New Roman"/>
        </w:rPr>
        <w:t>, 12(3), pp.323–340. doi:10.1108/ijis-04-2020-0042.</w:t>
      </w:r>
    </w:p>
    <w:p w14:paraId="32821A55" w14:textId="77777777" w:rsidR="004A31ED" w:rsidRPr="00916468" w:rsidRDefault="004A31ED" w:rsidP="001B5232">
      <w:pPr>
        <w:spacing w:before="240" w:after="240"/>
        <w:jc w:val="left"/>
        <w:rPr>
          <w:rFonts w:cs="Times New Roman"/>
        </w:rPr>
      </w:pPr>
      <w:r w:rsidRPr="00916468">
        <w:rPr>
          <w:rFonts w:cs="Times New Roman"/>
        </w:rPr>
        <w:t xml:space="preserve">Joslin, R. and Müller, R., 2015. Relationships between a project management methodology and project success in different project governance contexts. </w:t>
      </w:r>
      <w:r w:rsidRPr="00916468">
        <w:rPr>
          <w:rFonts w:cs="Times New Roman"/>
          <w:i/>
          <w:iCs/>
        </w:rPr>
        <w:t>International Journal of Project Management</w:t>
      </w:r>
      <w:r w:rsidRPr="00916468">
        <w:rPr>
          <w:rFonts w:cs="Times New Roman"/>
        </w:rPr>
        <w:t>, 33(6), pp.1377–1392.</w:t>
      </w:r>
    </w:p>
    <w:p w14:paraId="4438F6BC" w14:textId="77777777" w:rsidR="004A31ED" w:rsidRPr="00916468" w:rsidRDefault="004A31ED" w:rsidP="001B5232">
      <w:pPr>
        <w:spacing w:before="240" w:after="240"/>
        <w:jc w:val="left"/>
        <w:rPr>
          <w:rFonts w:cs="Times New Roman"/>
        </w:rPr>
      </w:pPr>
      <w:r w:rsidRPr="00916468">
        <w:rPr>
          <w:rFonts w:cs="Times New Roman"/>
        </w:rPr>
        <w:t xml:space="preserve">Stephan, U., 2022. Cross-cultural innovation and entrepreneurship. </w:t>
      </w:r>
      <w:r w:rsidRPr="00916468">
        <w:rPr>
          <w:rFonts w:cs="Times New Roman"/>
          <w:i/>
          <w:iCs/>
        </w:rPr>
        <w:t>Annual Review of Organizational Psychology and Organizational Behavior</w:t>
      </w:r>
      <w:r w:rsidRPr="00916468">
        <w:rPr>
          <w:rFonts w:cs="Times New Roman"/>
        </w:rPr>
        <w:t>, 9(1), pp.277–308.</w:t>
      </w:r>
    </w:p>
    <w:p w14:paraId="585E6B8D" w14:textId="77777777" w:rsidR="004A31ED" w:rsidRPr="00916468" w:rsidRDefault="004A31ED" w:rsidP="001B5232">
      <w:pPr>
        <w:spacing w:before="240" w:after="240"/>
        <w:jc w:val="left"/>
        <w:rPr>
          <w:rFonts w:cs="Times New Roman"/>
        </w:rPr>
      </w:pPr>
      <w:r w:rsidRPr="00916468">
        <w:rPr>
          <w:rFonts w:cs="Times New Roman"/>
        </w:rPr>
        <w:t xml:space="preserve">Liu, J., Zhu, Y. and Wang, H., 2023. Managing the negative impact of workforce diversity: The important roles of inclusive HRM and employee learning-oriented behaviors. </w:t>
      </w:r>
      <w:r w:rsidRPr="00916468">
        <w:rPr>
          <w:rFonts w:cs="Times New Roman"/>
          <w:i/>
          <w:iCs/>
        </w:rPr>
        <w:t>Frontiers in Psychology</w:t>
      </w:r>
      <w:r w:rsidRPr="00916468">
        <w:rPr>
          <w:rFonts w:cs="Times New Roman"/>
        </w:rPr>
        <w:t>.</w:t>
      </w:r>
    </w:p>
    <w:p w14:paraId="3950F796" w14:textId="44157F07" w:rsidR="004A31ED" w:rsidRPr="00916468" w:rsidRDefault="004A31ED" w:rsidP="001B5232">
      <w:pPr>
        <w:spacing w:before="240" w:after="240"/>
        <w:jc w:val="left"/>
        <w:rPr>
          <w:rFonts w:cs="Times New Roman"/>
        </w:rPr>
      </w:pPr>
      <w:r w:rsidRPr="00916468">
        <w:rPr>
          <w:rFonts w:cs="Times New Roman"/>
        </w:rPr>
        <w:t xml:space="preserve">Bodla, A.A., Tang, N., Jiang, W. and Tian, L., 2018. Diversity and creativity in cross-national teams: The role of team knowledge sharing and inclusive climate. </w:t>
      </w:r>
      <w:r w:rsidRPr="00916468">
        <w:rPr>
          <w:rFonts w:cs="Times New Roman"/>
          <w:i/>
          <w:iCs/>
        </w:rPr>
        <w:t xml:space="preserve">Journal of Management </w:t>
      </w:r>
      <w:r w:rsidR="00FC01D2" w:rsidRPr="00916468">
        <w:rPr>
          <w:rFonts w:cs="Times New Roman"/>
          <w:i/>
          <w:iCs/>
        </w:rPr>
        <w:t>and</w:t>
      </w:r>
      <w:r w:rsidRPr="00916468">
        <w:rPr>
          <w:rFonts w:cs="Times New Roman"/>
          <w:i/>
          <w:iCs/>
        </w:rPr>
        <w:t xml:space="preserve"> Organization</w:t>
      </w:r>
      <w:r w:rsidRPr="00916468">
        <w:rPr>
          <w:rFonts w:cs="Times New Roman"/>
        </w:rPr>
        <w:t>, 24(5), pp.711–729.</w:t>
      </w:r>
    </w:p>
    <w:p w14:paraId="7236F687" w14:textId="77777777" w:rsidR="004A31ED" w:rsidRPr="00916468" w:rsidRDefault="004A31ED" w:rsidP="001B5232">
      <w:pPr>
        <w:spacing w:before="240" w:after="240"/>
        <w:jc w:val="left"/>
        <w:rPr>
          <w:rFonts w:cs="Times New Roman"/>
        </w:rPr>
      </w:pPr>
      <w:r w:rsidRPr="00916468">
        <w:rPr>
          <w:rFonts w:cs="Times New Roman"/>
        </w:rPr>
        <w:t xml:space="preserve">Bahrain, N.K., Sakrani, S.R. and Maidin, A., 2023. Communication barriers in work environment: Understanding impact and challenges. </w:t>
      </w:r>
      <w:r w:rsidRPr="00916468">
        <w:rPr>
          <w:rFonts w:cs="Times New Roman"/>
          <w:i/>
          <w:iCs/>
        </w:rPr>
        <w:t>International Journal of Academic Research in Business and Social Sciences</w:t>
      </w:r>
      <w:r w:rsidRPr="00916468">
        <w:rPr>
          <w:rFonts w:cs="Times New Roman"/>
        </w:rPr>
        <w:t>, 13(11), pp.1489–1503.</w:t>
      </w:r>
    </w:p>
    <w:p w14:paraId="419C8C5C" w14:textId="77777777" w:rsidR="004A31ED" w:rsidRPr="00916468" w:rsidRDefault="004A31ED" w:rsidP="001B5232">
      <w:pPr>
        <w:spacing w:before="240" w:after="240"/>
        <w:jc w:val="left"/>
        <w:rPr>
          <w:rFonts w:cs="Times New Roman"/>
        </w:rPr>
      </w:pPr>
      <w:r w:rsidRPr="00916468">
        <w:rPr>
          <w:rFonts w:cs="Times New Roman"/>
        </w:rPr>
        <w:t xml:space="preserve">Valls, V., González‐Romá, V. and Tomás, I., 2016. Linking educational diversity and team performance: Team communication quality and innovation team climate matter. </w:t>
      </w:r>
      <w:r w:rsidRPr="00916468">
        <w:rPr>
          <w:rFonts w:cs="Times New Roman"/>
          <w:i/>
          <w:iCs/>
        </w:rPr>
        <w:t>Journal of Occupational and Organizational Psychology</w:t>
      </w:r>
      <w:r w:rsidRPr="00916468">
        <w:rPr>
          <w:rFonts w:cs="Times New Roman"/>
        </w:rPr>
        <w:t>, 89(4), pp.751–771.</w:t>
      </w:r>
    </w:p>
    <w:p w14:paraId="2DC16DE1" w14:textId="77777777" w:rsidR="004A31ED" w:rsidRPr="00916468" w:rsidRDefault="004A31ED" w:rsidP="001B5232">
      <w:pPr>
        <w:spacing w:before="240" w:after="240"/>
        <w:jc w:val="left"/>
        <w:rPr>
          <w:rFonts w:cs="Times New Roman"/>
        </w:rPr>
      </w:pPr>
      <w:r w:rsidRPr="00916468">
        <w:rPr>
          <w:rFonts w:cs="Times New Roman"/>
        </w:rPr>
        <w:lastRenderedPageBreak/>
        <w:t xml:space="preserve">Mata, M.N., Khan, F.H., Khan, K.I., Martins, J.M., Rita, J.X. and Dantas, R., 2021. Team diversity and project performance: Role of trust and absorptive capacity in IT industry. </w:t>
      </w:r>
      <w:r w:rsidRPr="00916468">
        <w:rPr>
          <w:rFonts w:cs="Times New Roman"/>
          <w:i/>
          <w:iCs/>
        </w:rPr>
        <w:t>Academy of Strategic Management Journal</w:t>
      </w:r>
      <w:r w:rsidRPr="00916468">
        <w:rPr>
          <w:rFonts w:cs="Times New Roman"/>
        </w:rPr>
        <w:t>, 20(2), pp.1–20.</w:t>
      </w:r>
    </w:p>
    <w:p w14:paraId="70A11D03" w14:textId="77777777" w:rsidR="004A31ED" w:rsidRPr="00916468" w:rsidRDefault="004A31ED" w:rsidP="001B5232">
      <w:pPr>
        <w:spacing w:before="240" w:after="240"/>
        <w:jc w:val="left"/>
        <w:rPr>
          <w:rFonts w:cs="Times New Roman"/>
        </w:rPr>
      </w:pPr>
      <w:r w:rsidRPr="00916468">
        <w:rPr>
          <w:rFonts w:cs="Times New Roman"/>
        </w:rPr>
        <w:t xml:space="preserve">Nishii, L.H., 2013. The benefits of climate for inclusion for gender-diverse groups. </w:t>
      </w:r>
      <w:r w:rsidRPr="00916468">
        <w:rPr>
          <w:rFonts w:cs="Times New Roman"/>
          <w:i/>
          <w:iCs/>
        </w:rPr>
        <w:t>Academy of Management Journal</w:t>
      </w:r>
      <w:r w:rsidRPr="00916468">
        <w:rPr>
          <w:rFonts w:cs="Times New Roman"/>
        </w:rPr>
        <w:t>, 56(6), pp.1754–1774.</w:t>
      </w:r>
    </w:p>
    <w:p w14:paraId="6FE2F8D8" w14:textId="77777777" w:rsidR="004A31ED" w:rsidRPr="00916468" w:rsidRDefault="004A31ED" w:rsidP="001B5232">
      <w:pPr>
        <w:spacing w:before="240" w:after="240"/>
        <w:jc w:val="left"/>
        <w:rPr>
          <w:rFonts w:cs="Times New Roman"/>
        </w:rPr>
      </w:pPr>
      <w:r w:rsidRPr="00916468">
        <w:rPr>
          <w:rFonts w:cs="Times New Roman"/>
        </w:rPr>
        <w:t xml:space="preserve">Okatta, C.G., Ajayi, F.A. and Olawale, O., 2024. Enhancing organizational performance through diversity and inclusion initiatives: A meta-analysis. </w:t>
      </w:r>
      <w:r w:rsidRPr="00916468">
        <w:rPr>
          <w:rFonts w:cs="Times New Roman"/>
          <w:i/>
          <w:iCs/>
        </w:rPr>
        <w:t>Management Research</w:t>
      </w:r>
      <w:r w:rsidRPr="00916468">
        <w:rPr>
          <w:rFonts w:cs="Times New Roman"/>
        </w:rPr>
        <w:t>.</w:t>
      </w:r>
    </w:p>
    <w:p w14:paraId="717160F0" w14:textId="77777777" w:rsidR="004A31ED" w:rsidRPr="00916468" w:rsidRDefault="004A31ED" w:rsidP="001B5232">
      <w:pPr>
        <w:spacing w:before="240" w:after="240"/>
        <w:jc w:val="left"/>
        <w:rPr>
          <w:rFonts w:cs="Times New Roman"/>
        </w:rPr>
      </w:pPr>
      <w:r w:rsidRPr="00916468">
        <w:rPr>
          <w:rFonts w:cs="Times New Roman"/>
        </w:rPr>
        <w:t xml:space="preserve">Kasih, E. and Ruslaini, R., 2024. The impact of diversity and inclusion initiatives on organizational performance. </w:t>
      </w:r>
      <w:r w:rsidRPr="00916468">
        <w:rPr>
          <w:rFonts w:cs="Times New Roman"/>
          <w:i/>
          <w:iCs/>
        </w:rPr>
        <w:t>SSRN</w:t>
      </w:r>
      <w:r w:rsidRPr="00916468">
        <w:rPr>
          <w:rFonts w:cs="Times New Roman"/>
        </w:rPr>
        <w:t>.</w:t>
      </w:r>
    </w:p>
    <w:p w14:paraId="25A0DBBD" w14:textId="77777777" w:rsidR="004A31ED" w:rsidRPr="00916468" w:rsidRDefault="004A31ED" w:rsidP="001B5232">
      <w:pPr>
        <w:spacing w:before="240" w:after="240"/>
        <w:jc w:val="left"/>
        <w:rPr>
          <w:rFonts w:cs="Times New Roman"/>
        </w:rPr>
      </w:pPr>
      <w:r w:rsidRPr="00916468">
        <w:rPr>
          <w:rFonts w:cs="Times New Roman"/>
        </w:rPr>
        <w:t xml:space="preserve">Patrício, L. and Franco, M., 2022. A systematic literature review about team diversity and team performance: Future lines of investigation. </w:t>
      </w:r>
      <w:r w:rsidRPr="00916468">
        <w:rPr>
          <w:rFonts w:cs="Times New Roman"/>
          <w:i/>
          <w:iCs/>
        </w:rPr>
        <w:t>Administrative Sciences</w:t>
      </w:r>
      <w:r w:rsidRPr="00916468">
        <w:rPr>
          <w:rFonts w:cs="Times New Roman"/>
        </w:rPr>
        <w:t>, 12(1), 31. doi:10.3390/admsci12010031.</w:t>
      </w:r>
    </w:p>
    <w:p w14:paraId="271AA193" w14:textId="77777777" w:rsidR="004A31ED" w:rsidRPr="00916468" w:rsidRDefault="004A31ED" w:rsidP="001B5232">
      <w:pPr>
        <w:spacing w:before="240" w:after="240"/>
        <w:jc w:val="left"/>
        <w:rPr>
          <w:rFonts w:cs="Times New Roman"/>
        </w:rPr>
      </w:pPr>
      <w:r w:rsidRPr="00916468">
        <w:rPr>
          <w:rFonts w:cs="Times New Roman"/>
        </w:rPr>
        <w:t xml:space="preserve">Pinto, J.K., Patanakul, P. and Pinto, M.B., 2018. The aura of capability: Gender bias in selection for a project manager job. </w:t>
      </w:r>
      <w:r w:rsidRPr="00916468">
        <w:rPr>
          <w:rFonts w:cs="Times New Roman"/>
          <w:i/>
          <w:iCs/>
        </w:rPr>
        <w:t>International Journal of Project Management</w:t>
      </w:r>
      <w:r w:rsidRPr="00916468">
        <w:rPr>
          <w:rFonts w:cs="Times New Roman"/>
        </w:rPr>
        <w:t>, 36(3), pp.420–431.</w:t>
      </w:r>
    </w:p>
    <w:p w14:paraId="43B55BEB" w14:textId="77777777" w:rsidR="004A31ED" w:rsidRPr="00916468" w:rsidRDefault="004A31ED" w:rsidP="001B5232">
      <w:pPr>
        <w:spacing w:before="240" w:after="240"/>
        <w:jc w:val="left"/>
        <w:rPr>
          <w:rFonts w:cs="Times New Roman"/>
        </w:rPr>
      </w:pPr>
      <w:r w:rsidRPr="00916468">
        <w:rPr>
          <w:rFonts w:cs="Times New Roman"/>
        </w:rPr>
        <w:t xml:space="preserve">Shore, L.M., Cleveland, J.N. and Sanchez, D., 2017. Inclusive workplaces: A review and model. </w:t>
      </w:r>
      <w:r w:rsidRPr="00916468">
        <w:rPr>
          <w:rFonts w:cs="Times New Roman"/>
          <w:i/>
          <w:iCs/>
        </w:rPr>
        <w:t>Human Resource Management Review</w:t>
      </w:r>
      <w:r w:rsidRPr="00916468">
        <w:rPr>
          <w:rFonts w:cs="Times New Roman"/>
        </w:rPr>
        <w:t>, 28(2), pp.176–189.</w:t>
      </w:r>
    </w:p>
    <w:p w14:paraId="1F942635" w14:textId="77777777" w:rsidR="004A31ED" w:rsidRPr="00916468" w:rsidRDefault="004A31ED" w:rsidP="001B5232">
      <w:pPr>
        <w:spacing w:before="240" w:after="240"/>
        <w:jc w:val="left"/>
        <w:rPr>
          <w:rFonts w:cs="Times New Roman"/>
        </w:rPr>
      </w:pPr>
      <w:r w:rsidRPr="00916468">
        <w:rPr>
          <w:rFonts w:cs="Times New Roman"/>
        </w:rPr>
        <w:t xml:space="preserve">Stahl, G.K. and Maznevski, M.L., 2021. Unraveling the effects of cultural diversity in teams: A retrospective of research on multicultural work groups. </w:t>
      </w:r>
      <w:r w:rsidRPr="00916468">
        <w:rPr>
          <w:rFonts w:cs="Times New Roman"/>
          <w:i/>
          <w:iCs/>
        </w:rPr>
        <w:t>Journal of International Business Studies</w:t>
      </w:r>
      <w:r w:rsidRPr="00916468">
        <w:rPr>
          <w:rFonts w:cs="Times New Roman"/>
        </w:rPr>
        <w:t>, 52(1), pp.4–22.</w:t>
      </w:r>
    </w:p>
    <w:p w14:paraId="118A7EF2" w14:textId="77777777" w:rsidR="004A31ED" w:rsidRPr="00916468" w:rsidRDefault="004A31ED" w:rsidP="001B5232">
      <w:pPr>
        <w:spacing w:before="240" w:after="240"/>
        <w:jc w:val="left"/>
        <w:rPr>
          <w:rFonts w:cs="Times New Roman"/>
        </w:rPr>
      </w:pPr>
      <w:r w:rsidRPr="00916468">
        <w:rPr>
          <w:rFonts w:cs="Times New Roman"/>
        </w:rPr>
        <w:t xml:space="preserve">Tenzer, H., Pudelko, M. and Harzing, A.W., 2013. The impact of language barriers on trust formation in multinational teams. </w:t>
      </w:r>
      <w:r w:rsidRPr="00916468">
        <w:rPr>
          <w:rFonts w:cs="Times New Roman"/>
          <w:i/>
          <w:iCs/>
        </w:rPr>
        <w:t>Journal of International Business Studies</w:t>
      </w:r>
      <w:r w:rsidRPr="00916468">
        <w:rPr>
          <w:rFonts w:cs="Times New Roman"/>
        </w:rPr>
        <w:t>, 45(5), pp.508–535.</w:t>
      </w:r>
    </w:p>
    <w:p w14:paraId="0934CC87" w14:textId="77777777" w:rsidR="004A31ED" w:rsidRPr="00916468" w:rsidRDefault="004A31ED" w:rsidP="001B5232">
      <w:pPr>
        <w:spacing w:before="240" w:after="240"/>
        <w:jc w:val="left"/>
        <w:rPr>
          <w:rFonts w:cs="Times New Roman"/>
        </w:rPr>
      </w:pPr>
      <w:r w:rsidRPr="00916468">
        <w:rPr>
          <w:rFonts w:cs="Times New Roman"/>
        </w:rPr>
        <w:t xml:space="preserve">Urionabarrenetxea, S., Fernández-Sainz, A. and García-Merino, J.D., 2021. Team diversity and performance in management students: Towards an integrated model. </w:t>
      </w:r>
      <w:r w:rsidRPr="00916468">
        <w:rPr>
          <w:rFonts w:cs="Times New Roman"/>
          <w:i/>
          <w:iCs/>
        </w:rPr>
        <w:t>The International Journal of Management Education</w:t>
      </w:r>
      <w:r w:rsidRPr="00916468">
        <w:rPr>
          <w:rFonts w:cs="Times New Roman"/>
        </w:rPr>
        <w:t>, 19(3), 100276. doi:10.1016/j.ijme.2021.100276.</w:t>
      </w:r>
    </w:p>
    <w:p w14:paraId="49971CE0" w14:textId="77777777" w:rsidR="004A31ED" w:rsidRPr="00916468" w:rsidRDefault="004A31ED" w:rsidP="001B5232">
      <w:pPr>
        <w:spacing w:before="240" w:after="240"/>
        <w:jc w:val="left"/>
        <w:rPr>
          <w:rFonts w:cs="Times New Roman"/>
        </w:rPr>
      </w:pPr>
      <w:r w:rsidRPr="00916468">
        <w:rPr>
          <w:rFonts w:cs="Times New Roman"/>
        </w:rPr>
        <w:lastRenderedPageBreak/>
        <w:t xml:space="preserve">Van Knippenberg, D. and Mell, J.N., 2016. Past, present, and potential future of team diversity research: From compositional diversity to emergent diversity. </w:t>
      </w:r>
      <w:r w:rsidRPr="00916468">
        <w:rPr>
          <w:rFonts w:cs="Times New Roman"/>
          <w:i/>
          <w:iCs/>
        </w:rPr>
        <w:t>Organizational Behavior and Human Decision Processes</w:t>
      </w:r>
      <w:r w:rsidRPr="00916468">
        <w:rPr>
          <w:rFonts w:cs="Times New Roman"/>
        </w:rPr>
        <w:t>, 136, pp.135–145.</w:t>
      </w:r>
    </w:p>
    <w:p w14:paraId="453BA24E" w14:textId="77777777" w:rsidR="004A31ED" w:rsidRPr="00916468" w:rsidRDefault="004A31ED" w:rsidP="001B5232">
      <w:pPr>
        <w:spacing w:before="240" w:after="240"/>
        <w:jc w:val="left"/>
        <w:rPr>
          <w:rFonts w:cs="Times New Roman"/>
        </w:rPr>
      </w:pPr>
      <w:r w:rsidRPr="00916468">
        <w:rPr>
          <w:rFonts w:cs="Times New Roman"/>
        </w:rPr>
        <w:t xml:space="preserve">Wallrich, L., Opara, V., Wesołowska, M., Barnoth, D. and Yousefi, S., 2024. The relationship between team diversity and team performance: Reconciling promise and reality through a comprehensive meta-analysis registered report. </w:t>
      </w:r>
      <w:r w:rsidRPr="00916468">
        <w:rPr>
          <w:rFonts w:cs="Times New Roman"/>
          <w:i/>
          <w:iCs/>
        </w:rPr>
        <w:t>Journal of Business and Psychology</w:t>
      </w:r>
      <w:r w:rsidRPr="00916468">
        <w:rPr>
          <w:rFonts w:cs="Times New Roman"/>
        </w:rPr>
        <w:t>.</w:t>
      </w:r>
    </w:p>
    <w:p w14:paraId="58804010" w14:textId="27E773A3" w:rsidR="00517AA7" w:rsidRDefault="004A31ED" w:rsidP="001B5232">
      <w:pPr>
        <w:spacing w:before="240" w:after="240"/>
        <w:jc w:val="left"/>
        <w:rPr>
          <w:rFonts w:cs="Times New Roman"/>
        </w:rPr>
      </w:pPr>
      <w:r w:rsidRPr="00916468">
        <w:rPr>
          <w:rFonts w:cs="Times New Roman"/>
        </w:rPr>
        <w:t xml:space="preserve">Yousef, K., 2024. Exploring the impact of cultural diversity in global projects: A comparative analysis of virtual and face-to-face teamwork. </w:t>
      </w:r>
      <w:r w:rsidRPr="00916468">
        <w:rPr>
          <w:rFonts w:cs="Times New Roman"/>
          <w:i/>
          <w:iCs/>
        </w:rPr>
        <w:t>SAGE Journals</w:t>
      </w:r>
      <w:r w:rsidRPr="00916468">
        <w:rPr>
          <w:rFonts w:cs="Times New Roman"/>
        </w:rPr>
        <w:t>. doi:10.1177/14705958241253754.</w:t>
      </w:r>
    </w:p>
    <w:p w14:paraId="19C88559" w14:textId="77777777" w:rsidR="00786B8F" w:rsidRDefault="00786B8F" w:rsidP="001B5232">
      <w:pPr>
        <w:spacing w:before="240" w:after="240"/>
        <w:jc w:val="left"/>
        <w:rPr>
          <w:rFonts w:cs="Times New Roman"/>
        </w:rPr>
      </w:pPr>
    </w:p>
    <w:p w14:paraId="55592035" w14:textId="57356313" w:rsidR="00786B8F" w:rsidRDefault="00786B8F">
      <w:pPr>
        <w:spacing w:after="160" w:line="259" w:lineRule="auto"/>
        <w:jc w:val="left"/>
        <w:rPr>
          <w:rFonts w:cs="Times New Roman"/>
        </w:rPr>
      </w:pPr>
      <w:r>
        <w:rPr>
          <w:rFonts w:cs="Times New Roman"/>
        </w:rPr>
        <w:br w:type="page"/>
      </w:r>
    </w:p>
    <w:p w14:paraId="3626B73B" w14:textId="3432EADD" w:rsidR="00786B8F" w:rsidRDefault="00786B8F" w:rsidP="00897882">
      <w:pPr>
        <w:pStyle w:val="Heading1"/>
      </w:pPr>
      <w:bookmarkStart w:id="47" w:name="_Toc218684559"/>
      <w:r>
        <w:lastRenderedPageBreak/>
        <w:t>Appendix A: Sources of the study</w:t>
      </w:r>
      <w:bookmarkEnd w:id="47"/>
    </w:p>
    <w:tbl>
      <w:tblPr>
        <w:tblW w:w="9670" w:type="dxa"/>
        <w:tblLook w:val="04A0" w:firstRow="1" w:lastRow="0" w:firstColumn="1" w:lastColumn="0" w:noHBand="0" w:noVBand="1"/>
      </w:tblPr>
      <w:tblGrid>
        <w:gridCol w:w="437"/>
        <w:gridCol w:w="1606"/>
        <w:gridCol w:w="2240"/>
        <w:gridCol w:w="1806"/>
        <w:gridCol w:w="1296"/>
        <w:gridCol w:w="2960"/>
      </w:tblGrid>
      <w:tr w:rsidR="00897882" w:rsidRPr="00897882" w14:paraId="56FEC95C" w14:textId="77777777" w:rsidTr="00897882">
        <w:trPr>
          <w:trHeight w:val="290"/>
        </w:trPr>
        <w:tc>
          <w:tcPr>
            <w:tcW w:w="400" w:type="dxa"/>
            <w:tcBorders>
              <w:top w:val="single" w:sz="4" w:space="0" w:color="auto"/>
              <w:left w:val="single" w:sz="4" w:space="0" w:color="auto"/>
              <w:bottom w:val="single" w:sz="4" w:space="0" w:color="auto"/>
              <w:right w:val="single" w:sz="4" w:space="0" w:color="auto"/>
            </w:tcBorders>
            <w:shd w:val="clear" w:color="000000" w:fill="C5D9F1"/>
            <w:noWrap/>
            <w:vAlign w:val="center"/>
            <w:hideMark/>
          </w:tcPr>
          <w:p w14:paraId="5B79680D" w14:textId="77777777" w:rsidR="00897882" w:rsidRPr="00897882" w:rsidRDefault="00897882" w:rsidP="00897882">
            <w:pPr>
              <w:spacing w:line="240" w:lineRule="auto"/>
              <w:jc w:val="center"/>
              <w:rPr>
                <w:rFonts w:eastAsia="Times New Roman" w:cs="Times New Roman"/>
                <w:b/>
                <w:bCs/>
                <w:color w:val="000000"/>
                <w:sz w:val="18"/>
                <w:szCs w:val="18"/>
                <w:lang w:eastAsia="en-GB"/>
              </w:rPr>
            </w:pPr>
            <w:r w:rsidRPr="00897882">
              <w:rPr>
                <w:rFonts w:eastAsia="Times New Roman" w:cs="Times New Roman"/>
                <w:b/>
                <w:bCs/>
                <w:color w:val="000000"/>
                <w:sz w:val="18"/>
                <w:szCs w:val="18"/>
                <w:lang w:eastAsia="en-GB"/>
              </w:rPr>
              <w:t>SL</w:t>
            </w:r>
          </w:p>
        </w:tc>
        <w:tc>
          <w:tcPr>
            <w:tcW w:w="1400" w:type="dxa"/>
            <w:tcBorders>
              <w:top w:val="single" w:sz="4" w:space="0" w:color="auto"/>
              <w:left w:val="nil"/>
              <w:bottom w:val="single" w:sz="4" w:space="0" w:color="auto"/>
              <w:right w:val="single" w:sz="4" w:space="0" w:color="auto"/>
            </w:tcBorders>
            <w:shd w:val="clear" w:color="000000" w:fill="C5D9F1"/>
            <w:noWrap/>
            <w:vAlign w:val="center"/>
            <w:hideMark/>
          </w:tcPr>
          <w:p w14:paraId="5B99A558" w14:textId="77777777" w:rsidR="00897882" w:rsidRPr="00897882" w:rsidRDefault="00897882" w:rsidP="00897882">
            <w:pPr>
              <w:spacing w:line="240" w:lineRule="auto"/>
              <w:jc w:val="center"/>
              <w:rPr>
                <w:rFonts w:eastAsia="Times New Roman" w:cs="Times New Roman"/>
                <w:b/>
                <w:bCs/>
                <w:color w:val="000000"/>
                <w:sz w:val="18"/>
                <w:szCs w:val="18"/>
                <w:lang w:eastAsia="en-GB"/>
              </w:rPr>
            </w:pPr>
            <w:r w:rsidRPr="00897882">
              <w:rPr>
                <w:rFonts w:eastAsia="Times New Roman" w:cs="Times New Roman"/>
                <w:b/>
                <w:bCs/>
                <w:color w:val="000000"/>
                <w:sz w:val="18"/>
                <w:szCs w:val="18"/>
                <w:lang w:eastAsia="en-GB"/>
              </w:rPr>
              <w:t>Authors</w:t>
            </w:r>
          </w:p>
        </w:tc>
        <w:tc>
          <w:tcPr>
            <w:tcW w:w="2240" w:type="dxa"/>
            <w:tcBorders>
              <w:top w:val="single" w:sz="4" w:space="0" w:color="auto"/>
              <w:left w:val="nil"/>
              <w:bottom w:val="single" w:sz="4" w:space="0" w:color="auto"/>
              <w:right w:val="single" w:sz="4" w:space="0" w:color="auto"/>
            </w:tcBorders>
            <w:shd w:val="clear" w:color="000000" w:fill="C5D9F1"/>
            <w:noWrap/>
            <w:vAlign w:val="center"/>
            <w:hideMark/>
          </w:tcPr>
          <w:p w14:paraId="30690D04" w14:textId="77777777" w:rsidR="00897882" w:rsidRPr="00897882" w:rsidRDefault="00897882" w:rsidP="00897882">
            <w:pPr>
              <w:spacing w:line="240" w:lineRule="auto"/>
              <w:jc w:val="center"/>
              <w:rPr>
                <w:rFonts w:eastAsia="Times New Roman" w:cs="Times New Roman"/>
                <w:b/>
                <w:bCs/>
                <w:color w:val="000000"/>
                <w:sz w:val="18"/>
                <w:szCs w:val="18"/>
                <w:lang w:eastAsia="en-GB"/>
              </w:rPr>
            </w:pPr>
            <w:r w:rsidRPr="00897882">
              <w:rPr>
                <w:rFonts w:eastAsia="Times New Roman" w:cs="Times New Roman"/>
                <w:b/>
                <w:bCs/>
                <w:color w:val="000000"/>
                <w:sz w:val="18"/>
                <w:szCs w:val="18"/>
                <w:lang w:eastAsia="en-GB"/>
              </w:rPr>
              <w:t>Title</w:t>
            </w:r>
          </w:p>
        </w:tc>
        <w:tc>
          <w:tcPr>
            <w:tcW w:w="1680" w:type="dxa"/>
            <w:tcBorders>
              <w:top w:val="single" w:sz="4" w:space="0" w:color="auto"/>
              <w:left w:val="nil"/>
              <w:bottom w:val="single" w:sz="4" w:space="0" w:color="auto"/>
              <w:right w:val="single" w:sz="4" w:space="0" w:color="auto"/>
            </w:tcBorders>
            <w:shd w:val="clear" w:color="000000" w:fill="C5D9F1"/>
            <w:noWrap/>
            <w:vAlign w:val="center"/>
            <w:hideMark/>
          </w:tcPr>
          <w:p w14:paraId="49252972" w14:textId="77777777" w:rsidR="00897882" w:rsidRPr="00897882" w:rsidRDefault="00897882" w:rsidP="00897882">
            <w:pPr>
              <w:spacing w:line="240" w:lineRule="auto"/>
              <w:jc w:val="center"/>
              <w:rPr>
                <w:rFonts w:eastAsia="Times New Roman" w:cs="Times New Roman"/>
                <w:b/>
                <w:bCs/>
                <w:color w:val="000000"/>
                <w:sz w:val="18"/>
                <w:szCs w:val="18"/>
                <w:lang w:eastAsia="en-GB"/>
              </w:rPr>
            </w:pPr>
            <w:r w:rsidRPr="00897882">
              <w:rPr>
                <w:rFonts w:eastAsia="Times New Roman" w:cs="Times New Roman"/>
                <w:b/>
                <w:bCs/>
                <w:color w:val="000000"/>
                <w:sz w:val="18"/>
                <w:szCs w:val="18"/>
                <w:lang w:eastAsia="en-GB"/>
              </w:rPr>
              <w:t>Themes</w:t>
            </w:r>
          </w:p>
        </w:tc>
        <w:tc>
          <w:tcPr>
            <w:tcW w:w="990" w:type="dxa"/>
            <w:tcBorders>
              <w:top w:val="single" w:sz="4" w:space="0" w:color="auto"/>
              <w:left w:val="nil"/>
              <w:bottom w:val="single" w:sz="4" w:space="0" w:color="auto"/>
              <w:right w:val="single" w:sz="4" w:space="0" w:color="auto"/>
            </w:tcBorders>
            <w:shd w:val="clear" w:color="000000" w:fill="C5D9F1"/>
            <w:noWrap/>
            <w:vAlign w:val="center"/>
            <w:hideMark/>
          </w:tcPr>
          <w:p w14:paraId="31B3CFD5" w14:textId="77777777" w:rsidR="00897882" w:rsidRPr="00897882" w:rsidRDefault="00897882" w:rsidP="00897882">
            <w:pPr>
              <w:spacing w:line="240" w:lineRule="auto"/>
              <w:jc w:val="center"/>
              <w:rPr>
                <w:rFonts w:eastAsia="Times New Roman" w:cs="Times New Roman"/>
                <w:b/>
                <w:bCs/>
                <w:color w:val="000000"/>
                <w:sz w:val="18"/>
                <w:szCs w:val="18"/>
                <w:lang w:eastAsia="en-GB"/>
              </w:rPr>
            </w:pPr>
            <w:r w:rsidRPr="00897882">
              <w:rPr>
                <w:rFonts w:eastAsia="Times New Roman" w:cs="Times New Roman"/>
                <w:b/>
                <w:bCs/>
                <w:color w:val="000000"/>
                <w:sz w:val="18"/>
                <w:szCs w:val="18"/>
                <w:lang w:eastAsia="en-GB"/>
              </w:rPr>
              <w:t>Journal</w:t>
            </w:r>
          </w:p>
        </w:tc>
        <w:tc>
          <w:tcPr>
            <w:tcW w:w="2960" w:type="dxa"/>
            <w:tcBorders>
              <w:top w:val="single" w:sz="4" w:space="0" w:color="auto"/>
              <w:left w:val="nil"/>
              <w:bottom w:val="single" w:sz="4" w:space="0" w:color="auto"/>
              <w:right w:val="single" w:sz="4" w:space="0" w:color="auto"/>
            </w:tcBorders>
            <w:shd w:val="clear" w:color="000000" w:fill="C5D9F1"/>
            <w:noWrap/>
            <w:vAlign w:val="center"/>
            <w:hideMark/>
          </w:tcPr>
          <w:p w14:paraId="5A38FAEA" w14:textId="77777777" w:rsidR="00897882" w:rsidRPr="00897882" w:rsidRDefault="00897882" w:rsidP="00897882">
            <w:pPr>
              <w:spacing w:line="240" w:lineRule="auto"/>
              <w:jc w:val="center"/>
              <w:rPr>
                <w:rFonts w:eastAsia="Times New Roman" w:cs="Times New Roman"/>
                <w:b/>
                <w:bCs/>
                <w:color w:val="000000"/>
                <w:sz w:val="18"/>
                <w:szCs w:val="18"/>
                <w:lang w:eastAsia="en-GB"/>
              </w:rPr>
            </w:pPr>
            <w:r w:rsidRPr="00897882">
              <w:rPr>
                <w:rFonts w:eastAsia="Times New Roman" w:cs="Times New Roman"/>
                <w:b/>
                <w:bCs/>
                <w:color w:val="000000"/>
                <w:sz w:val="18"/>
                <w:szCs w:val="18"/>
                <w:lang w:eastAsia="en-GB"/>
              </w:rPr>
              <w:t>Research Objectives</w:t>
            </w:r>
          </w:p>
        </w:tc>
      </w:tr>
      <w:tr w:rsidR="00897882" w:rsidRPr="00897882" w14:paraId="3DD6705E" w14:textId="77777777" w:rsidTr="00897882">
        <w:trPr>
          <w:trHeight w:val="630"/>
        </w:trPr>
        <w:tc>
          <w:tcPr>
            <w:tcW w:w="400" w:type="dxa"/>
            <w:tcBorders>
              <w:top w:val="nil"/>
              <w:left w:val="single" w:sz="4" w:space="0" w:color="auto"/>
              <w:bottom w:val="single" w:sz="4" w:space="0" w:color="auto"/>
              <w:right w:val="single" w:sz="4" w:space="0" w:color="auto"/>
            </w:tcBorders>
            <w:noWrap/>
            <w:vAlign w:val="center"/>
            <w:hideMark/>
          </w:tcPr>
          <w:p w14:paraId="077FACE9"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1</w:t>
            </w:r>
          </w:p>
        </w:tc>
        <w:tc>
          <w:tcPr>
            <w:tcW w:w="1400" w:type="dxa"/>
            <w:tcBorders>
              <w:top w:val="nil"/>
              <w:left w:val="nil"/>
              <w:bottom w:val="single" w:sz="4" w:space="0" w:color="auto"/>
              <w:right w:val="single" w:sz="4" w:space="0" w:color="auto"/>
            </w:tcBorders>
            <w:vAlign w:val="center"/>
            <w:hideMark/>
          </w:tcPr>
          <w:p w14:paraId="48191BFE"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Jamshid Ali; Sudhaishna Khastoori; Shahryar Sorooshian; Nadine Campbell</w:t>
            </w:r>
          </w:p>
        </w:tc>
        <w:tc>
          <w:tcPr>
            <w:tcW w:w="2240" w:type="dxa"/>
            <w:tcBorders>
              <w:top w:val="nil"/>
              <w:left w:val="nil"/>
              <w:bottom w:val="single" w:sz="4" w:space="0" w:color="auto"/>
              <w:right w:val="single" w:sz="4" w:space="0" w:color="auto"/>
            </w:tcBorders>
            <w:vAlign w:val="center"/>
            <w:hideMark/>
          </w:tcPr>
          <w:p w14:paraId="0653C5B4"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Diversity impact on organizational performance: Moderating and mediating role of diversity beliefs and leadership expertise</w:t>
            </w:r>
          </w:p>
        </w:tc>
        <w:tc>
          <w:tcPr>
            <w:tcW w:w="1680" w:type="dxa"/>
            <w:tcBorders>
              <w:top w:val="nil"/>
              <w:left w:val="nil"/>
              <w:bottom w:val="single" w:sz="4" w:space="0" w:color="auto"/>
              <w:right w:val="single" w:sz="4" w:space="0" w:color="auto"/>
            </w:tcBorders>
            <w:vAlign w:val="center"/>
            <w:hideMark/>
          </w:tcPr>
          <w:p w14:paraId="56D4497B"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Organizational performance; diversity beliefs; leadership expertise; mediation/moderation</w:t>
            </w:r>
          </w:p>
        </w:tc>
        <w:tc>
          <w:tcPr>
            <w:tcW w:w="990" w:type="dxa"/>
            <w:tcBorders>
              <w:top w:val="nil"/>
              <w:left w:val="nil"/>
              <w:bottom w:val="single" w:sz="4" w:space="0" w:color="auto"/>
              <w:right w:val="single" w:sz="4" w:space="0" w:color="auto"/>
            </w:tcBorders>
            <w:vAlign w:val="center"/>
            <w:hideMark/>
          </w:tcPr>
          <w:p w14:paraId="2913CB47"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PLOS ONE</w:t>
            </w:r>
          </w:p>
        </w:tc>
        <w:tc>
          <w:tcPr>
            <w:tcW w:w="2960" w:type="dxa"/>
            <w:tcBorders>
              <w:top w:val="nil"/>
              <w:left w:val="nil"/>
              <w:bottom w:val="single" w:sz="4" w:space="0" w:color="auto"/>
              <w:right w:val="single" w:sz="4" w:space="0" w:color="auto"/>
            </w:tcBorders>
            <w:vAlign w:val="center"/>
            <w:hideMark/>
          </w:tcPr>
          <w:p w14:paraId="776A233A"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Examine direct and indirect effects of diversity on organizational performance.</w:t>
            </w:r>
            <w:r w:rsidRPr="00897882">
              <w:rPr>
                <w:rFonts w:eastAsia="Times New Roman" w:cs="Times New Roman"/>
                <w:color w:val="000000"/>
                <w:sz w:val="18"/>
                <w:szCs w:val="18"/>
                <w:lang w:eastAsia="en-GB"/>
              </w:rPr>
              <w:br/>
              <w:t>Test the moderating role of diversity beliefs.</w:t>
            </w:r>
            <w:r w:rsidRPr="00897882">
              <w:rPr>
                <w:rFonts w:eastAsia="Times New Roman" w:cs="Times New Roman"/>
                <w:color w:val="000000"/>
                <w:sz w:val="18"/>
                <w:szCs w:val="18"/>
                <w:lang w:eastAsia="en-GB"/>
              </w:rPr>
              <w:br/>
              <w:t>Investigate the mediating role of leadership expertise.</w:t>
            </w:r>
          </w:p>
        </w:tc>
      </w:tr>
      <w:tr w:rsidR="00897882" w:rsidRPr="00897882" w14:paraId="1568E8DF" w14:textId="77777777" w:rsidTr="00897882">
        <w:trPr>
          <w:trHeight w:val="630"/>
        </w:trPr>
        <w:tc>
          <w:tcPr>
            <w:tcW w:w="400" w:type="dxa"/>
            <w:tcBorders>
              <w:top w:val="nil"/>
              <w:left w:val="single" w:sz="4" w:space="0" w:color="auto"/>
              <w:bottom w:val="single" w:sz="4" w:space="0" w:color="auto"/>
              <w:right w:val="single" w:sz="4" w:space="0" w:color="auto"/>
            </w:tcBorders>
            <w:noWrap/>
            <w:vAlign w:val="center"/>
            <w:hideMark/>
          </w:tcPr>
          <w:p w14:paraId="66A18935"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2</w:t>
            </w:r>
          </w:p>
        </w:tc>
        <w:tc>
          <w:tcPr>
            <w:tcW w:w="1400" w:type="dxa"/>
            <w:tcBorders>
              <w:top w:val="nil"/>
              <w:left w:val="nil"/>
              <w:bottom w:val="single" w:sz="4" w:space="0" w:color="auto"/>
              <w:right w:val="single" w:sz="4" w:space="0" w:color="auto"/>
            </w:tcBorders>
            <w:vAlign w:val="center"/>
            <w:hideMark/>
          </w:tcPr>
          <w:p w14:paraId="5E19A5E5"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S.M.M.R. Naqvi; M. Ishtiaq; N. Kanwal; M.U. Butt; S. Nawaz</w:t>
            </w:r>
          </w:p>
        </w:tc>
        <w:tc>
          <w:tcPr>
            <w:tcW w:w="2240" w:type="dxa"/>
            <w:tcBorders>
              <w:top w:val="nil"/>
              <w:left w:val="nil"/>
              <w:bottom w:val="single" w:sz="4" w:space="0" w:color="auto"/>
              <w:right w:val="single" w:sz="4" w:space="0" w:color="auto"/>
            </w:tcBorders>
            <w:vAlign w:val="center"/>
            <w:hideMark/>
          </w:tcPr>
          <w:p w14:paraId="18FE34C2"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Impact of gender diversity on team performance: The moderating role of organizational culture in telecom sector of Pakistan</w:t>
            </w:r>
          </w:p>
        </w:tc>
        <w:tc>
          <w:tcPr>
            <w:tcW w:w="1680" w:type="dxa"/>
            <w:tcBorders>
              <w:top w:val="nil"/>
              <w:left w:val="nil"/>
              <w:bottom w:val="single" w:sz="4" w:space="0" w:color="auto"/>
              <w:right w:val="single" w:sz="4" w:space="0" w:color="auto"/>
            </w:tcBorders>
            <w:vAlign w:val="center"/>
            <w:hideMark/>
          </w:tcPr>
          <w:p w14:paraId="6B3AC5E6"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Gender diversity; organizational culture; telecom industry; team performance</w:t>
            </w:r>
          </w:p>
        </w:tc>
        <w:tc>
          <w:tcPr>
            <w:tcW w:w="990" w:type="dxa"/>
            <w:tcBorders>
              <w:top w:val="nil"/>
              <w:left w:val="nil"/>
              <w:bottom w:val="single" w:sz="4" w:space="0" w:color="auto"/>
              <w:right w:val="single" w:sz="4" w:space="0" w:color="auto"/>
            </w:tcBorders>
            <w:vAlign w:val="center"/>
            <w:hideMark/>
          </w:tcPr>
          <w:p w14:paraId="48C6F713"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Asian Journal of Social Sciences and Humanities</w:t>
            </w:r>
          </w:p>
        </w:tc>
        <w:tc>
          <w:tcPr>
            <w:tcW w:w="2960" w:type="dxa"/>
            <w:tcBorders>
              <w:top w:val="nil"/>
              <w:left w:val="nil"/>
              <w:bottom w:val="single" w:sz="4" w:space="0" w:color="auto"/>
              <w:right w:val="single" w:sz="4" w:space="0" w:color="auto"/>
            </w:tcBorders>
            <w:vAlign w:val="center"/>
            <w:hideMark/>
          </w:tcPr>
          <w:p w14:paraId="14016ABF"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Examine the impact of gender diversity on team performance.</w:t>
            </w:r>
            <w:r w:rsidRPr="00897882">
              <w:rPr>
                <w:rFonts w:eastAsia="Times New Roman" w:cs="Times New Roman"/>
                <w:color w:val="000000"/>
                <w:sz w:val="18"/>
                <w:szCs w:val="18"/>
                <w:lang w:eastAsia="en-GB"/>
              </w:rPr>
              <w:br/>
              <w:t>Test organizational culture as a moderating variable.</w:t>
            </w:r>
            <w:r w:rsidRPr="00897882">
              <w:rPr>
                <w:rFonts w:eastAsia="Times New Roman" w:cs="Times New Roman"/>
                <w:color w:val="000000"/>
                <w:sz w:val="18"/>
                <w:szCs w:val="18"/>
                <w:lang w:eastAsia="en-GB"/>
              </w:rPr>
              <w:br/>
              <w:t>Provide sector-specific insights for the telecom industry.</w:t>
            </w:r>
          </w:p>
        </w:tc>
      </w:tr>
      <w:tr w:rsidR="00897882" w:rsidRPr="00897882" w14:paraId="121610F4" w14:textId="77777777" w:rsidTr="00897882">
        <w:trPr>
          <w:trHeight w:val="630"/>
        </w:trPr>
        <w:tc>
          <w:tcPr>
            <w:tcW w:w="400" w:type="dxa"/>
            <w:tcBorders>
              <w:top w:val="nil"/>
              <w:left w:val="single" w:sz="4" w:space="0" w:color="auto"/>
              <w:bottom w:val="single" w:sz="4" w:space="0" w:color="auto"/>
              <w:right w:val="single" w:sz="4" w:space="0" w:color="auto"/>
            </w:tcBorders>
            <w:noWrap/>
            <w:vAlign w:val="center"/>
            <w:hideMark/>
          </w:tcPr>
          <w:p w14:paraId="74BA716D"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3</w:t>
            </w:r>
          </w:p>
        </w:tc>
        <w:tc>
          <w:tcPr>
            <w:tcW w:w="1400" w:type="dxa"/>
            <w:tcBorders>
              <w:top w:val="nil"/>
              <w:left w:val="nil"/>
              <w:bottom w:val="single" w:sz="4" w:space="0" w:color="auto"/>
              <w:right w:val="single" w:sz="4" w:space="0" w:color="auto"/>
            </w:tcBorders>
            <w:vAlign w:val="center"/>
            <w:hideMark/>
          </w:tcPr>
          <w:p w14:paraId="2F9E4834"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R.M. Bakker; S. Boroş; P. Kenis; L.A. Oerlemans</w:t>
            </w:r>
          </w:p>
        </w:tc>
        <w:tc>
          <w:tcPr>
            <w:tcW w:w="2240" w:type="dxa"/>
            <w:tcBorders>
              <w:top w:val="nil"/>
              <w:left w:val="nil"/>
              <w:bottom w:val="single" w:sz="4" w:space="0" w:color="auto"/>
              <w:right w:val="single" w:sz="4" w:space="0" w:color="auto"/>
            </w:tcBorders>
            <w:vAlign w:val="center"/>
            <w:hideMark/>
          </w:tcPr>
          <w:p w14:paraId="6644B20E"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It's only temporary: Time frame and the dynamics of creative project teams</w:t>
            </w:r>
          </w:p>
        </w:tc>
        <w:tc>
          <w:tcPr>
            <w:tcW w:w="1680" w:type="dxa"/>
            <w:tcBorders>
              <w:top w:val="nil"/>
              <w:left w:val="nil"/>
              <w:bottom w:val="single" w:sz="4" w:space="0" w:color="auto"/>
              <w:right w:val="single" w:sz="4" w:space="0" w:color="auto"/>
            </w:tcBorders>
            <w:vAlign w:val="center"/>
            <w:hideMark/>
          </w:tcPr>
          <w:p w14:paraId="746FA1A4"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Temporal dynamics; creative teams; project teams</w:t>
            </w:r>
          </w:p>
        </w:tc>
        <w:tc>
          <w:tcPr>
            <w:tcW w:w="990" w:type="dxa"/>
            <w:tcBorders>
              <w:top w:val="nil"/>
              <w:left w:val="nil"/>
              <w:bottom w:val="single" w:sz="4" w:space="0" w:color="auto"/>
              <w:right w:val="single" w:sz="4" w:space="0" w:color="auto"/>
            </w:tcBorders>
            <w:vAlign w:val="center"/>
            <w:hideMark/>
          </w:tcPr>
          <w:p w14:paraId="7999199E"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British Journal of Management</w:t>
            </w:r>
          </w:p>
        </w:tc>
        <w:tc>
          <w:tcPr>
            <w:tcW w:w="2960" w:type="dxa"/>
            <w:tcBorders>
              <w:top w:val="nil"/>
              <w:left w:val="nil"/>
              <w:bottom w:val="single" w:sz="4" w:space="0" w:color="auto"/>
              <w:right w:val="single" w:sz="4" w:space="0" w:color="auto"/>
            </w:tcBorders>
            <w:vAlign w:val="center"/>
            <w:hideMark/>
          </w:tcPr>
          <w:p w14:paraId="0178CB26"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Understand how time frames affect creative project teams.</w:t>
            </w:r>
            <w:r w:rsidRPr="00897882">
              <w:rPr>
                <w:rFonts w:eastAsia="Times New Roman" w:cs="Times New Roman"/>
                <w:color w:val="000000"/>
                <w:sz w:val="18"/>
                <w:szCs w:val="18"/>
                <w:lang w:eastAsia="en-GB"/>
              </w:rPr>
              <w:br/>
              <w:t>Examine team dynamics across the project lifecycle.</w:t>
            </w:r>
            <w:r w:rsidRPr="00897882">
              <w:rPr>
                <w:rFonts w:eastAsia="Times New Roman" w:cs="Times New Roman"/>
                <w:color w:val="000000"/>
                <w:sz w:val="18"/>
                <w:szCs w:val="18"/>
                <w:lang w:eastAsia="en-GB"/>
              </w:rPr>
              <w:br/>
              <w:t>Investigate temporal factors influencing team creativity.</w:t>
            </w:r>
          </w:p>
        </w:tc>
      </w:tr>
      <w:tr w:rsidR="00897882" w:rsidRPr="00897882" w14:paraId="00F64E21" w14:textId="77777777" w:rsidTr="00897882">
        <w:trPr>
          <w:trHeight w:val="630"/>
        </w:trPr>
        <w:tc>
          <w:tcPr>
            <w:tcW w:w="400" w:type="dxa"/>
            <w:tcBorders>
              <w:top w:val="nil"/>
              <w:left w:val="single" w:sz="4" w:space="0" w:color="auto"/>
              <w:bottom w:val="single" w:sz="4" w:space="0" w:color="auto"/>
              <w:right w:val="single" w:sz="4" w:space="0" w:color="auto"/>
            </w:tcBorders>
            <w:noWrap/>
            <w:vAlign w:val="center"/>
            <w:hideMark/>
          </w:tcPr>
          <w:p w14:paraId="73951131"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4</w:t>
            </w:r>
          </w:p>
        </w:tc>
        <w:tc>
          <w:tcPr>
            <w:tcW w:w="1400" w:type="dxa"/>
            <w:tcBorders>
              <w:top w:val="nil"/>
              <w:left w:val="nil"/>
              <w:bottom w:val="single" w:sz="4" w:space="0" w:color="auto"/>
              <w:right w:val="single" w:sz="4" w:space="0" w:color="auto"/>
            </w:tcBorders>
            <w:vAlign w:val="center"/>
            <w:hideMark/>
          </w:tcPr>
          <w:p w14:paraId="38C1851E"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K.J. Behfar; E.A. Mannix; R.S. Peterson; W.M. Trochim</w:t>
            </w:r>
          </w:p>
        </w:tc>
        <w:tc>
          <w:tcPr>
            <w:tcW w:w="2240" w:type="dxa"/>
            <w:tcBorders>
              <w:top w:val="nil"/>
              <w:left w:val="nil"/>
              <w:bottom w:val="single" w:sz="4" w:space="0" w:color="auto"/>
              <w:right w:val="single" w:sz="4" w:space="0" w:color="auto"/>
            </w:tcBorders>
            <w:vAlign w:val="center"/>
            <w:hideMark/>
          </w:tcPr>
          <w:p w14:paraId="731C98F3"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Conflict in small groups: The meaning and consequences of process conflict</w:t>
            </w:r>
          </w:p>
        </w:tc>
        <w:tc>
          <w:tcPr>
            <w:tcW w:w="1680" w:type="dxa"/>
            <w:tcBorders>
              <w:top w:val="nil"/>
              <w:left w:val="nil"/>
              <w:bottom w:val="single" w:sz="4" w:space="0" w:color="auto"/>
              <w:right w:val="single" w:sz="4" w:space="0" w:color="auto"/>
            </w:tcBorders>
            <w:vAlign w:val="center"/>
            <w:hideMark/>
          </w:tcPr>
          <w:p w14:paraId="2B24A64D"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Team conflict; process conflict; small groups</w:t>
            </w:r>
          </w:p>
        </w:tc>
        <w:tc>
          <w:tcPr>
            <w:tcW w:w="990" w:type="dxa"/>
            <w:tcBorders>
              <w:top w:val="nil"/>
              <w:left w:val="nil"/>
              <w:bottom w:val="single" w:sz="4" w:space="0" w:color="auto"/>
              <w:right w:val="single" w:sz="4" w:space="0" w:color="auto"/>
            </w:tcBorders>
            <w:vAlign w:val="center"/>
            <w:hideMark/>
          </w:tcPr>
          <w:p w14:paraId="380CB3E9"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Small Group Research</w:t>
            </w:r>
          </w:p>
        </w:tc>
        <w:tc>
          <w:tcPr>
            <w:tcW w:w="2960" w:type="dxa"/>
            <w:tcBorders>
              <w:top w:val="nil"/>
              <w:left w:val="nil"/>
              <w:bottom w:val="single" w:sz="4" w:space="0" w:color="auto"/>
              <w:right w:val="single" w:sz="4" w:space="0" w:color="auto"/>
            </w:tcBorders>
            <w:vAlign w:val="center"/>
            <w:hideMark/>
          </w:tcPr>
          <w:p w14:paraId="5A5EC69D"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Clarify the meaning of process conflict.</w:t>
            </w:r>
            <w:r w:rsidRPr="00897882">
              <w:rPr>
                <w:rFonts w:eastAsia="Times New Roman" w:cs="Times New Roman"/>
                <w:color w:val="000000"/>
                <w:sz w:val="18"/>
                <w:szCs w:val="18"/>
                <w:lang w:eastAsia="en-GB"/>
              </w:rPr>
              <w:br/>
              <w:t>Examine the consequences of process conflict on team functioning.</w:t>
            </w:r>
            <w:r w:rsidRPr="00897882">
              <w:rPr>
                <w:rFonts w:eastAsia="Times New Roman" w:cs="Times New Roman"/>
                <w:color w:val="000000"/>
                <w:sz w:val="18"/>
                <w:szCs w:val="18"/>
                <w:lang w:eastAsia="en-GB"/>
              </w:rPr>
              <w:br/>
              <w:t>Distinguish process conflict from other forms of conflict.</w:t>
            </w:r>
          </w:p>
        </w:tc>
      </w:tr>
      <w:tr w:rsidR="00897882" w:rsidRPr="00897882" w14:paraId="23EDF34C" w14:textId="77777777" w:rsidTr="00897882">
        <w:trPr>
          <w:trHeight w:val="630"/>
        </w:trPr>
        <w:tc>
          <w:tcPr>
            <w:tcW w:w="400" w:type="dxa"/>
            <w:tcBorders>
              <w:top w:val="nil"/>
              <w:left w:val="single" w:sz="4" w:space="0" w:color="auto"/>
              <w:bottom w:val="single" w:sz="4" w:space="0" w:color="auto"/>
              <w:right w:val="single" w:sz="4" w:space="0" w:color="auto"/>
            </w:tcBorders>
            <w:noWrap/>
            <w:vAlign w:val="center"/>
            <w:hideMark/>
          </w:tcPr>
          <w:p w14:paraId="041FFA58"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5</w:t>
            </w:r>
          </w:p>
        </w:tc>
        <w:tc>
          <w:tcPr>
            <w:tcW w:w="1400" w:type="dxa"/>
            <w:tcBorders>
              <w:top w:val="nil"/>
              <w:left w:val="nil"/>
              <w:bottom w:val="single" w:sz="4" w:space="0" w:color="auto"/>
              <w:right w:val="single" w:sz="4" w:space="0" w:color="auto"/>
            </w:tcBorders>
            <w:vAlign w:val="center"/>
            <w:hideMark/>
          </w:tcPr>
          <w:p w14:paraId="59D3B7D8"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C. Breuer; J. Hüffmeier; G. Hertel</w:t>
            </w:r>
          </w:p>
        </w:tc>
        <w:tc>
          <w:tcPr>
            <w:tcW w:w="2240" w:type="dxa"/>
            <w:tcBorders>
              <w:top w:val="nil"/>
              <w:left w:val="nil"/>
              <w:bottom w:val="single" w:sz="4" w:space="0" w:color="auto"/>
              <w:right w:val="single" w:sz="4" w:space="0" w:color="auto"/>
            </w:tcBorders>
            <w:vAlign w:val="center"/>
            <w:hideMark/>
          </w:tcPr>
          <w:p w14:paraId="2A40AF72"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Does trust matter more in virtual teams? A meta-analysis of trust and team effectiveness considering virtuality and documentation as moderators</w:t>
            </w:r>
          </w:p>
        </w:tc>
        <w:tc>
          <w:tcPr>
            <w:tcW w:w="1680" w:type="dxa"/>
            <w:tcBorders>
              <w:top w:val="nil"/>
              <w:left w:val="nil"/>
              <w:bottom w:val="single" w:sz="4" w:space="0" w:color="auto"/>
              <w:right w:val="single" w:sz="4" w:space="0" w:color="auto"/>
            </w:tcBorders>
            <w:vAlign w:val="center"/>
            <w:hideMark/>
          </w:tcPr>
          <w:p w14:paraId="0E977811"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Virtual teams; trust; team effectiveness; meta-analysis</w:t>
            </w:r>
          </w:p>
        </w:tc>
        <w:tc>
          <w:tcPr>
            <w:tcW w:w="990" w:type="dxa"/>
            <w:tcBorders>
              <w:top w:val="nil"/>
              <w:left w:val="nil"/>
              <w:bottom w:val="single" w:sz="4" w:space="0" w:color="auto"/>
              <w:right w:val="single" w:sz="4" w:space="0" w:color="auto"/>
            </w:tcBorders>
            <w:vAlign w:val="center"/>
            <w:hideMark/>
          </w:tcPr>
          <w:p w14:paraId="63E5DADF"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Journal of Applied Psychology</w:t>
            </w:r>
          </w:p>
        </w:tc>
        <w:tc>
          <w:tcPr>
            <w:tcW w:w="2960" w:type="dxa"/>
            <w:tcBorders>
              <w:top w:val="nil"/>
              <w:left w:val="nil"/>
              <w:bottom w:val="single" w:sz="4" w:space="0" w:color="auto"/>
              <w:right w:val="single" w:sz="4" w:space="0" w:color="auto"/>
            </w:tcBorders>
            <w:vAlign w:val="center"/>
            <w:hideMark/>
          </w:tcPr>
          <w:p w14:paraId="040A8DC8"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Conduct a meta-analysis on the trust–team effectiveness relationship.</w:t>
            </w:r>
            <w:r w:rsidRPr="00897882">
              <w:rPr>
                <w:rFonts w:eastAsia="Times New Roman" w:cs="Times New Roman"/>
                <w:color w:val="000000"/>
                <w:sz w:val="18"/>
                <w:szCs w:val="18"/>
                <w:lang w:eastAsia="en-GB"/>
              </w:rPr>
              <w:br/>
              <w:t>Compare the importance of trust in virtual versus face-to-face teams.</w:t>
            </w:r>
            <w:r w:rsidRPr="00897882">
              <w:rPr>
                <w:rFonts w:eastAsia="Times New Roman" w:cs="Times New Roman"/>
                <w:color w:val="000000"/>
                <w:sz w:val="18"/>
                <w:szCs w:val="18"/>
                <w:lang w:eastAsia="en-GB"/>
              </w:rPr>
              <w:br/>
              <w:t>Examine documentation as a moderating factor.</w:t>
            </w:r>
          </w:p>
        </w:tc>
      </w:tr>
      <w:tr w:rsidR="00897882" w:rsidRPr="00897882" w14:paraId="3100B045" w14:textId="77777777" w:rsidTr="00897882">
        <w:trPr>
          <w:trHeight w:val="630"/>
        </w:trPr>
        <w:tc>
          <w:tcPr>
            <w:tcW w:w="400" w:type="dxa"/>
            <w:tcBorders>
              <w:top w:val="nil"/>
              <w:left w:val="single" w:sz="4" w:space="0" w:color="auto"/>
              <w:bottom w:val="single" w:sz="4" w:space="0" w:color="auto"/>
              <w:right w:val="single" w:sz="4" w:space="0" w:color="auto"/>
            </w:tcBorders>
            <w:noWrap/>
            <w:vAlign w:val="center"/>
            <w:hideMark/>
          </w:tcPr>
          <w:p w14:paraId="7A9B6294"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6</w:t>
            </w:r>
          </w:p>
        </w:tc>
        <w:tc>
          <w:tcPr>
            <w:tcW w:w="1400" w:type="dxa"/>
            <w:tcBorders>
              <w:top w:val="nil"/>
              <w:left w:val="nil"/>
              <w:bottom w:val="single" w:sz="4" w:space="0" w:color="auto"/>
              <w:right w:val="single" w:sz="4" w:space="0" w:color="auto"/>
            </w:tcBorders>
            <w:vAlign w:val="center"/>
            <w:hideMark/>
          </w:tcPr>
          <w:p w14:paraId="3621BBE8"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B.G. Chung; K.H. Ehrhart; L.M. Shore; A.E. Randel; M.A. Dean; U. Kedharnath</w:t>
            </w:r>
          </w:p>
        </w:tc>
        <w:tc>
          <w:tcPr>
            <w:tcW w:w="2240" w:type="dxa"/>
            <w:tcBorders>
              <w:top w:val="nil"/>
              <w:left w:val="nil"/>
              <w:bottom w:val="single" w:sz="4" w:space="0" w:color="auto"/>
              <w:right w:val="single" w:sz="4" w:space="0" w:color="auto"/>
            </w:tcBorders>
            <w:vAlign w:val="center"/>
            <w:hideMark/>
          </w:tcPr>
          <w:p w14:paraId="47327BBD"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Work group inclusion: Test of a scale and model</w:t>
            </w:r>
          </w:p>
        </w:tc>
        <w:tc>
          <w:tcPr>
            <w:tcW w:w="1680" w:type="dxa"/>
            <w:tcBorders>
              <w:top w:val="nil"/>
              <w:left w:val="nil"/>
              <w:bottom w:val="single" w:sz="4" w:space="0" w:color="auto"/>
              <w:right w:val="single" w:sz="4" w:space="0" w:color="auto"/>
            </w:tcBorders>
            <w:vAlign w:val="center"/>
            <w:hideMark/>
          </w:tcPr>
          <w:p w14:paraId="76C1CDEF"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Inclusion measurement; work group inclusion; scale development</w:t>
            </w:r>
          </w:p>
        </w:tc>
        <w:tc>
          <w:tcPr>
            <w:tcW w:w="990" w:type="dxa"/>
            <w:tcBorders>
              <w:top w:val="nil"/>
              <w:left w:val="nil"/>
              <w:bottom w:val="single" w:sz="4" w:space="0" w:color="auto"/>
              <w:right w:val="single" w:sz="4" w:space="0" w:color="auto"/>
            </w:tcBorders>
            <w:vAlign w:val="center"/>
            <w:hideMark/>
          </w:tcPr>
          <w:p w14:paraId="04064695"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Group and Organization Management</w:t>
            </w:r>
          </w:p>
        </w:tc>
        <w:tc>
          <w:tcPr>
            <w:tcW w:w="2960" w:type="dxa"/>
            <w:tcBorders>
              <w:top w:val="nil"/>
              <w:left w:val="nil"/>
              <w:bottom w:val="single" w:sz="4" w:space="0" w:color="auto"/>
              <w:right w:val="single" w:sz="4" w:space="0" w:color="auto"/>
            </w:tcBorders>
            <w:vAlign w:val="center"/>
            <w:hideMark/>
          </w:tcPr>
          <w:p w14:paraId="7FCE863C"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Develop and validate a work group inclusion scale.</w:t>
            </w:r>
            <w:r w:rsidRPr="00897882">
              <w:rPr>
                <w:rFonts w:eastAsia="Times New Roman" w:cs="Times New Roman"/>
                <w:color w:val="000000"/>
                <w:sz w:val="18"/>
                <w:szCs w:val="18"/>
                <w:lang w:eastAsia="en-GB"/>
              </w:rPr>
              <w:br/>
              <w:t>Test a theoretical model of inclusion.</w:t>
            </w:r>
            <w:r w:rsidRPr="00897882">
              <w:rPr>
                <w:rFonts w:eastAsia="Times New Roman" w:cs="Times New Roman"/>
                <w:color w:val="000000"/>
                <w:sz w:val="18"/>
                <w:szCs w:val="18"/>
                <w:lang w:eastAsia="en-GB"/>
              </w:rPr>
              <w:br/>
              <w:t>Examine antecedents and outcomes of inclusion.</w:t>
            </w:r>
          </w:p>
        </w:tc>
      </w:tr>
      <w:tr w:rsidR="00897882" w:rsidRPr="00897882" w14:paraId="3F13F846" w14:textId="77777777" w:rsidTr="00897882">
        <w:trPr>
          <w:trHeight w:val="630"/>
        </w:trPr>
        <w:tc>
          <w:tcPr>
            <w:tcW w:w="400" w:type="dxa"/>
            <w:tcBorders>
              <w:top w:val="nil"/>
              <w:left w:val="single" w:sz="4" w:space="0" w:color="auto"/>
              <w:bottom w:val="single" w:sz="4" w:space="0" w:color="auto"/>
              <w:right w:val="single" w:sz="4" w:space="0" w:color="auto"/>
            </w:tcBorders>
            <w:noWrap/>
            <w:vAlign w:val="center"/>
            <w:hideMark/>
          </w:tcPr>
          <w:p w14:paraId="0277264E"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7</w:t>
            </w:r>
          </w:p>
        </w:tc>
        <w:tc>
          <w:tcPr>
            <w:tcW w:w="1400" w:type="dxa"/>
            <w:tcBorders>
              <w:top w:val="nil"/>
              <w:left w:val="nil"/>
              <w:bottom w:val="single" w:sz="4" w:space="0" w:color="auto"/>
              <w:right w:val="single" w:sz="4" w:space="0" w:color="auto"/>
            </w:tcBorders>
            <w:vAlign w:val="center"/>
            <w:hideMark/>
          </w:tcPr>
          <w:p w14:paraId="30052CA5"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S.N. Downey; L. van der Werff; K.M. Thomas; V.C. Plaut</w:t>
            </w:r>
          </w:p>
        </w:tc>
        <w:tc>
          <w:tcPr>
            <w:tcW w:w="2240" w:type="dxa"/>
            <w:tcBorders>
              <w:top w:val="nil"/>
              <w:left w:val="nil"/>
              <w:bottom w:val="single" w:sz="4" w:space="0" w:color="auto"/>
              <w:right w:val="single" w:sz="4" w:space="0" w:color="auto"/>
            </w:tcBorders>
            <w:vAlign w:val="center"/>
            <w:hideMark/>
          </w:tcPr>
          <w:p w14:paraId="518E7329"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The role of diversity practices and inclusion in promoting trust and employee engagement</w:t>
            </w:r>
          </w:p>
        </w:tc>
        <w:tc>
          <w:tcPr>
            <w:tcW w:w="1680" w:type="dxa"/>
            <w:tcBorders>
              <w:top w:val="nil"/>
              <w:left w:val="nil"/>
              <w:bottom w:val="single" w:sz="4" w:space="0" w:color="auto"/>
              <w:right w:val="single" w:sz="4" w:space="0" w:color="auto"/>
            </w:tcBorders>
            <w:vAlign w:val="center"/>
            <w:hideMark/>
          </w:tcPr>
          <w:p w14:paraId="60E4C5BB"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Diversity practices; inclusion; trust; employee engagement</w:t>
            </w:r>
          </w:p>
        </w:tc>
        <w:tc>
          <w:tcPr>
            <w:tcW w:w="990" w:type="dxa"/>
            <w:tcBorders>
              <w:top w:val="nil"/>
              <w:left w:val="nil"/>
              <w:bottom w:val="single" w:sz="4" w:space="0" w:color="auto"/>
              <w:right w:val="single" w:sz="4" w:space="0" w:color="auto"/>
            </w:tcBorders>
            <w:vAlign w:val="center"/>
            <w:hideMark/>
          </w:tcPr>
          <w:p w14:paraId="43828EF8"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Journal of Applied Social Psychology</w:t>
            </w:r>
          </w:p>
        </w:tc>
        <w:tc>
          <w:tcPr>
            <w:tcW w:w="2960" w:type="dxa"/>
            <w:tcBorders>
              <w:top w:val="nil"/>
              <w:left w:val="nil"/>
              <w:bottom w:val="single" w:sz="4" w:space="0" w:color="auto"/>
              <w:right w:val="single" w:sz="4" w:space="0" w:color="auto"/>
            </w:tcBorders>
            <w:vAlign w:val="center"/>
            <w:hideMark/>
          </w:tcPr>
          <w:p w14:paraId="02B3997D" w14:textId="0708DAE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Examine the relationship between diversity practices and employee trust.</w:t>
            </w:r>
            <w:r w:rsidRPr="00897882">
              <w:rPr>
                <w:rFonts w:eastAsia="Times New Roman" w:cs="Times New Roman"/>
                <w:color w:val="000000"/>
                <w:sz w:val="18"/>
                <w:szCs w:val="18"/>
                <w:lang w:eastAsia="en-GB"/>
              </w:rPr>
              <w:br/>
            </w:r>
            <w:r w:rsidR="00FE40B4" w:rsidRPr="00897882">
              <w:rPr>
                <w:rFonts w:eastAsia="Times New Roman" w:cs="Times New Roman"/>
                <w:color w:val="000000"/>
                <w:sz w:val="18"/>
                <w:szCs w:val="18"/>
                <w:lang w:eastAsia="en-GB"/>
              </w:rPr>
              <w:t>Analyse</w:t>
            </w:r>
            <w:r w:rsidRPr="00897882">
              <w:rPr>
                <w:rFonts w:eastAsia="Times New Roman" w:cs="Times New Roman"/>
                <w:color w:val="000000"/>
                <w:sz w:val="18"/>
                <w:szCs w:val="18"/>
                <w:lang w:eastAsia="en-GB"/>
              </w:rPr>
              <w:t xml:space="preserve"> inclusion as a mediating mechanism.</w:t>
            </w:r>
            <w:r w:rsidRPr="00897882">
              <w:rPr>
                <w:rFonts w:eastAsia="Times New Roman" w:cs="Times New Roman"/>
                <w:color w:val="000000"/>
                <w:sz w:val="18"/>
                <w:szCs w:val="18"/>
                <w:lang w:eastAsia="en-GB"/>
              </w:rPr>
              <w:br/>
              <w:t>Assess effects on employee engagement.</w:t>
            </w:r>
          </w:p>
        </w:tc>
      </w:tr>
      <w:tr w:rsidR="00897882" w:rsidRPr="00897882" w14:paraId="670CEC97" w14:textId="77777777" w:rsidTr="00897882">
        <w:trPr>
          <w:trHeight w:val="630"/>
        </w:trPr>
        <w:tc>
          <w:tcPr>
            <w:tcW w:w="400" w:type="dxa"/>
            <w:tcBorders>
              <w:top w:val="nil"/>
              <w:left w:val="single" w:sz="4" w:space="0" w:color="auto"/>
              <w:bottom w:val="single" w:sz="4" w:space="0" w:color="auto"/>
              <w:right w:val="single" w:sz="4" w:space="0" w:color="auto"/>
            </w:tcBorders>
            <w:noWrap/>
            <w:vAlign w:val="center"/>
            <w:hideMark/>
          </w:tcPr>
          <w:p w14:paraId="7C28612E"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8</w:t>
            </w:r>
          </w:p>
        </w:tc>
        <w:tc>
          <w:tcPr>
            <w:tcW w:w="1400" w:type="dxa"/>
            <w:tcBorders>
              <w:top w:val="nil"/>
              <w:left w:val="nil"/>
              <w:bottom w:val="single" w:sz="4" w:space="0" w:color="auto"/>
              <w:right w:val="single" w:sz="4" w:space="0" w:color="auto"/>
            </w:tcBorders>
            <w:vAlign w:val="center"/>
            <w:hideMark/>
          </w:tcPr>
          <w:p w14:paraId="34252B0E"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A.C. Edmondson; J.F. Harvey</w:t>
            </w:r>
          </w:p>
        </w:tc>
        <w:tc>
          <w:tcPr>
            <w:tcW w:w="2240" w:type="dxa"/>
            <w:tcBorders>
              <w:top w:val="nil"/>
              <w:left w:val="nil"/>
              <w:bottom w:val="single" w:sz="4" w:space="0" w:color="auto"/>
              <w:right w:val="single" w:sz="4" w:space="0" w:color="auto"/>
            </w:tcBorders>
            <w:vAlign w:val="center"/>
            <w:hideMark/>
          </w:tcPr>
          <w:p w14:paraId="10F18FFB"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Cross-boundary teaming for innovation: Integrating research on teams and knowledge in organizations</w:t>
            </w:r>
          </w:p>
        </w:tc>
        <w:tc>
          <w:tcPr>
            <w:tcW w:w="1680" w:type="dxa"/>
            <w:tcBorders>
              <w:top w:val="nil"/>
              <w:left w:val="nil"/>
              <w:bottom w:val="single" w:sz="4" w:space="0" w:color="auto"/>
              <w:right w:val="single" w:sz="4" w:space="0" w:color="auto"/>
            </w:tcBorders>
            <w:vAlign w:val="center"/>
            <w:hideMark/>
          </w:tcPr>
          <w:p w14:paraId="1E2D4622"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Cross-boundary teams; innovation; knowledge integration</w:t>
            </w:r>
          </w:p>
        </w:tc>
        <w:tc>
          <w:tcPr>
            <w:tcW w:w="990" w:type="dxa"/>
            <w:tcBorders>
              <w:top w:val="nil"/>
              <w:left w:val="nil"/>
              <w:bottom w:val="single" w:sz="4" w:space="0" w:color="auto"/>
              <w:right w:val="single" w:sz="4" w:space="0" w:color="auto"/>
            </w:tcBorders>
            <w:vAlign w:val="center"/>
            <w:hideMark/>
          </w:tcPr>
          <w:p w14:paraId="49E857CC"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Human Resource Management Review</w:t>
            </w:r>
          </w:p>
        </w:tc>
        <w:tc>
          <w:tcPr>
            <w:tcW w:w="2960" w:type="dxa"/>
            <w:tcBorders>
              <w:top w:val="nil"/>
              <w:left w:val="nil"/>
              <w:bottom w:val="single" w:sz="4" w:space="0" w:color="auto"/>
              <w:right w:val="single" w:sz="4" w:space="0" w:color="auto"/>
            </w:tcBorders>
            <w:vAlign w:val="center"/>
            <w:hideMark/>
          </w:tcPr>
          <w:p w14:paraId="717D17F4"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Integrate research on teams and knowledge management.</w:t>
            </w:r>
            <w:r w:rsidRPr="00897882">
              <w:rPr>
                <w:rFonts w:eastAsia="Times New Roman" w:cs="Times New Roman"/>
                <w:color w:val="000000"/>
                <w:sz w:val="18"/>
                <w:szCs w:val="18"/>
                <w:lang w:eastAsia="en-GB"/>
              </w:rPr>
              <w:br/>
              <w:t>Examine cross-boundary collaboration for innovation.</w:t>
            </w:r>
            <w:r w:rsidRPr="00897882">
              <w:rPr>
                <w:rFonts w:eastAsia="Times New Roman" w:cs="Times New Roman"/>
                <w:color w:val="000000"/>
                <w:sz w:val="18"/>
                <w:szCs w:val="18"/>
                <w:lang w:eastAsia="en-GB"/>
              </w:rPr>
              <w:br/>
              <w:t>Develop an integrated theoretical framework.</w:t>
            </w:r>
          </w:p>
        </w:tc>
      </w:tr>
      <w:tr w:rsidR="00897882" w:rsidRPr="00897882" w14:paraId="3878AF83" w14:textId="77777777" w:rsidTr="00897882">
        <w:trPr>
          <w:trHeight w:val="630"/>
        </w:trPr>
        <w:tc>
          <w:tcPr>
            <w:tcW w:w="400" w:type="dxa"/>
            <w:tcBorders>
              <w:top w:val="nil"/>
              <w:left w:val="single" w:sz="4" w:space="0" w:color="auto"/>
              <w:bottom w:val="single" w:sz="4" w:space="0" w:color="auto"/>
              <w:right w:val="single" w:sz="4" w:space="0" w:color="auto"/>
            </w:tcBorders>
            <w:noWrap/>
            <w:vAlign w:val="center"/>
            <w:hideMark/>
          </w:tcPr>
          <w:p w14:paraId="75DD4DEB"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9</w:t>
            </w:r>
          </w:p>
        </w:tc>
        <w:tc>
          <w:tcPr>
            <w:tcW w:w="1400" w:type="dxa"/>
            <w:tcBorders>
              <w:top w:val="nil"/>
              <w:left w:val="nil"/>
              <w:bottom w:val="single" w:sz="4" w:space="0" w:color="auto"/>
              <w:right w:val="single" w:sz="4" w:space="0" w:color="auto"/>
            </w:tcBorders>
            <w:vAlign w:val="center"/>
            <w:hideMark/>
          </w:tcPr>
          <w:p w14:paraId="4603343F"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L.L. Gilson; M.T. Maynard; N.C. Jones Young; M. Vartiainen; M. Hakonen</w:t>
            </w:r>
          </w:p>
        </w:tc>
        <w:tc>
          <w:tcPr>
            <w:tcW w:w="2240" w:type="dxa"/>
            <w:tcBorders>
              <w:top w:val="nil"/>
              <w:left w:val="nil"/>
              <w:bottom w:val="single" w:sz="4" w:space="0" w:color="auto"/>
              <w:right w:val="single" w:sz="4" w:space="0" w:color="auto"/>
            </w:tcBorders>
            <w:vAlign w:val="center"/>
            <w:hideMark/>
          </w:tcPr>
          <w:p w14:paraId="03F822BE"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Virtual teams research: 10 years, 10 themes, and 10 opportunities</w:t>
            </w:r>
          </w:p>
        </w:tc>
        <w:tc>
          <w:tcPr>
            <w:tcW w:w="1680" w:type="dxa"/>
            <w:tcBorders>
              <w:top w:val="nil"/>
              <w:left w:val="nil"/>
              <w:bottom w:val="single" w:sz="4" w:space="0" w:color="auto"/>
              <w:right w:val="single" w:sz="4" w:space="0" w:color="auto"/>
            </w:tcBorders>
            <w:vAlign w:val="center"/>
            <w:hideMark/>
          </w:tcPr>
          <w:p w14:paraId="61597BEF"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Virtual teams; literature review; research themes</w:t>
            </w:r>
          </w:p>
        </w:tc>
        <w:tc>
          <w:tcPr>
            <w:tcW w:w="990" w:type="dxa"/>
            <w:tcBorders>
              <w:top w:val="nil"/>
              <w:left w:val="nil"/>
              <w:bottom w:val="single" w:sz="4" w:space="0" w:color="auto"/>
              <w:right w:val="single" w:sz="4" w:space="0" w:color="auto"/>
            </w:tcBorders>
            <w:vAlign w:val="center"/>
            <w:hideMark/>
          </w:tcPr>
          <w:p w14:paraId="40F46068"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Journal of Management</w:t>
            </w:r>
          </w:p>
        </w:tc>
        <w:tc>
          <w:tcPr>
            <w:tcW w:w="2960" w:type="dxa"/>
            <w:tcBorders>
              <w:top w:val="nil"/>
              <w:left w:val="nil"/>
              <w:bottom w:val="single" w:sz="4" w:space="0" w:color="auto"/>
              <w:right w:val="single" w:sz="4" w:space="0" w:color="auto"/>
            </w:tcBorders>
            <w:vAlign w:val="center"/>
            <w:hideMark/>
          </w:tcPr>
          <w:p w14:paraId="7A2354C9"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Review ten years of virtual team research.</w:t>
            </w:r>
            <w:r w:rsidRPr="00897882">
              <w:rPr>
                <w:rFonts w:eastAsia="Times New Roman" w:cs="Times New Roman"/>
                <w:color w:val="000000"/>
                <w:sz w:val="18"/>
                <w:szCs w:val="18"/>
                <w:lang w:eastAsia="en-GB"/>
              </w:rPr>
              <w:br/>
              <w:t>Identify key themes in the literature.</w:t>
            </w:r>
            <w:r w:rsidRPr="00897882">
              <w:rPr>
                <w:rFonts w:eastAsia="Times New Roman" w:cs="Times New Roman"/>
                <w:color w:val="000000"/>
                <w:sz w:val="18"/>
                <w:szCs w:val="18"/>
                <w:lang w:eastAsia="en-GB"/>
              </w:rPr>
              <w:br/>
              <w:t>Propose future research opportunities.</w:t>
            </w:r>
          </w:p>
        </w:tc>
      </w:tr>
      <w:tr w:rsidR="00897882" w:rsidRPr="00897882" w14:paraId="04D3AFA1" w14:textId="77777777" w:rsidTr="00897882">
        <w:trPr>
          <w:trHeight w:val="630"/>
        </w:trPr>
        <w:tc>
          <w:tcPr>
            <w:tcW w:w="400" w:type="dxa"/>
            <w:tcBorders>
              <w:top w:val="nil"/>
              <w:left w:val="single" w:sz="4" w:space="0" w:color="auto"/>
              <w:bottom w:val="single" w:sz="4" w:space="0" w:color="auto"/>
              <w:right w:val="single" w:sz="4" w:space="0" w:color="auto"/>
            </w:tcBorders>
            <w:noWrap/>
            <w:vAlign w:val="center"/>
            <w:hideMark/>
          </w:tcPr>
          <w:p w14:paraId="08F1FE3F"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lastRenderedPageBreak/>
              <w:t>10</w:t>
            </w:r>
          </w:p>
        </w:tc>
        <w:tc>
          <w:tcPr>
            <w:tcW w:w="1400" w:type="dxa"/>
            <w:tcBorders>
              <w:top w:val="nil"/>
              <w:left w:val="nil"/>
              <w:bottom w:val="single" w:sz="4" w:space="0" w:color="auto"/>
              <w:right w:val="single" w:sz="4" w:space="0" w:color="auto"/>
            </w:tcBorders>
            <w:vAlign w:val="center"/>
            <w:hideMark/>
          </w:tcPr>
          <w:p w14:paraId="46B37F91"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Y.R. Guillaume; J.F. Dawson; L. Otaye-Ebede; S.A. Woods; M.A. West</w:t>
            </w:r>
          </w:p>
        </w:tc>
        <w:tc>
          <w:tcPr>
            <w:tcW w:w="2240" w:type="dxa"/>
            <w:tcBorders>
              <w:top w:val="nil"/>
              <w:left w:val="nil"/>
              <w:bottom w:val="single" w:sz="4" w:space="0" w:color="auto"/>
              <w:right w:val="single" w:sz="4" w:space="0" w:color="auto"/>
            </w:tcBorders>
            <w:vAlign w:val="center"/>
            <w:hideMark/>
          </w:tcPr>
          <w:p w14:paraId="6F31BEDB"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Harnessing demographic differences in organizations: What moderates the effects of workplace diversity?</w:t>
            </w:r>
          </w:p>
        </w:tc>
        <w:tc>
          <w:tcPr>
            <w:tcW w:w="1680" w:type="dxa"/>
            <w:tcBorders>
              <w:top w:val="nil"/>
              <w:left w:val="nil"/>
              <w:bottom w:val="single" w:sz="4" w:space="0" w:color="auto"/>
              <w:right w:val="single" w:sz="4" w:space="0" w:color="auto"/>
            </w:tcBorders>
            <w:vAlign w:val="center"/>
            <w:hideMark/>
          </w:tcPr>
          <w:p w14:paraId="6273C7F3"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Demographic diversity; moderators; organizational context</w:t>
            </w:r>
          </w:p>
        </w:tc>
        <w:tc>
          <w:tcPr>
            <w:tcW w:w="990" w:type="dxa"/>
            <w:tcBorders>
              <w:top w:val="nil"/>
              <w:left w:val="nil"/>
              <w:bottom w:val="single" w:sz="4" w:space="0" w:color="auto"/>
              <w:right w:val="single" w:sz="4" w:space="0" w:color="auto"/>
            </w:tcBorders>
            <w:vAlign w:val="center"/>
            <w:hideMark/>
          </w:tcPr>
          <w:p w14:paraId="0ECAA0CE"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Journal of Organizational Behavior</w:t>
            </w:r>
          </w:p>
        </w:tc>
        <w:tc>
          <w:tcPr>
            <w:tcW w:w="2960" w:type="dxa"/>
            <w:tcBorders>
              <w:top w:val="nil"/>
              <w:left w:val="nil"/>
              <w:bottom w:val="single" w:sz="4" w:space="0" w:color="auto"/>
              <w:right w:val="single" w:sz="4" w:space="0" w:color="auto"/>
            </w:tcBorders>
            <w:vAlign w:val="center"/>
            <w:hideMark/>
          </w:tcPr>
          <w:p w14:paraId="0E87A50D"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Identify key moderators of workplace diversity effects.</w:t>
            </w:r>
            <w:r w:rsidRPr="00897882">
              <w:rPr>
                <w:rFonts w:eastAsia="Times New Roman" w:cs="Times New Roman"/>
                <w:color w:val="000000"/>
                <w:sz w:val="18"/>
                <w:szCs w:val="18"/>
                <w:lang w:eastAsia="en-GB"/>
              </w:rPr>
              <w:br/>
              <w:t>Examine contextual factors influencing diversity outcomes.</w:t>
            </w:r>
            <w:r w:rsidRPr="00897882">
              <w:rPr>
                <w:rFonts w:eastAsia="Times New Roman" w:cs="Times New Roman"/>
                <w:color w:val="000000"/>
                <w:sz w:val="18"/>
                <w:szCs w:val="18"/>
                <w:lang w:eastAsia="en-GB"/>
              </w:rPr>
              <w:br/>
              <w:t>Provide evidence-based diversity management guidance.</w:t>
            </w:r>
          </w:p>
        </w:tc>
      </w:tr>
      <w:tr w:rsidR="00897882" w:rsidRPr="00897882" w14:paraId="53B3D048" w14:textId="77777777" w:rsidTr="00897882">
        <w:trPr>
          <w:trHeight w:val="630"/>
        </w:trPr>
        <w:tc>
          <w:tcPr>
            <w:tcW w:w="400" w:type="dxa"/>
            <w:tcBorders>
              <w:top w:val="nil"/>
              <w:left w:val="single" w:sz="4" w:space="0" w:color="auto"/>
              <w:bottom w:val="single" w:sz="4" w:space="0" w:color="auto"/>
              <w:right w:val="single" w:sz="4" w:space="0" w:color="auto"/>
            </w:tcBorders>
            <w:noWrap/>
            <w:vAlign w:val="center"/>
            <w:hideMark/>
          </w:tcPr>
          <w:p w14:paraId="4805670A"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11</w:t>
            </w:r>
          </w:p>
        </w:tc>
        <w:tc>
          <w:tcPr>
            <w:tcW w:w="1400" w:type="dxa"/>
            <w:tcBorders>
              <w:top w:val="nil"/>
              <w:left w:val="nil"/>
              <w:bottom w:val="single" w:sz="4" w:space="0" w:color="auto"/>
              <w:right w:val="single" w:sz="4" w:space="0" w:color="auto"/>
            </w:tcBorders>
            <w:vAlign w:val="center"/>
            <w:hideMark/>
          </w:tcPr>
          <w:p w14:paraId="124EC347"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A.C. Homan; L.L. Greer</w:t>
            </w:r>
          </w:p>
        </w:tc>
        <w:tc>
          <w:tcPr>
            <w:tcW w:w="2240" w:type="dxa"/>
            <w:tcBorders>
              <w:top w:val="nil"/>
              <w:left w:val="nil"/>
              <w:bottom w:val="single" w:sz="4" w:space="0" w:color="auto"/>
              <w:right w:val="single" w:sz="4" w:space="0" w:color="auto"/>
            </w:tcBorders>
            <w:vAlign w:val="center"/>
            <w:hideMark/>
          </w:tcPr>
          <w:p w14:paraId="72A629B2"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Considering diversity: The positive effects of considerate leadership in diverse teams</w:t>
            </w:r>
          </w:p>
        </w:tc>
        <w:tc>
          <w:tcPr>
            <w:tcW w:w="1680" w:type="dxa"/>
            <w:tcBorders>
              <w:top w:val="nil"/>
              <w:left w:val="nil"/>
              <w:bottom w:val="single" w:sz="4" w:space="0" w:color="auto"/>
              <w:right w:val="single" w:sz="4" w:space="0" w:color="auto"/>
            </w:tcBorders>
            <w:vAlign w:val="center"/>
            <w:hideMark/>
          </w:tcPr>
          <w:p w14:paraId="6B9A86A0"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Leadership; diverse teams; team processes</w:t>
            </w:r>
          </w:p>
        </w:tc>
        <w:tc>
          <w:tcPr>
            <w:tcW w:w="990" w:type="dxa"/>
            <w:tcBorders>
              <w:top w:val="nil"/>
              <w:left w:val="nil"/>
              <w:bottom w:val="single" w:sz="4" w:space="0" w:color="auto"/>
              <w:right w:val="single" w:sz="4" w:space="0" w:color="auto"/>
            </w:tcBorders>
            <w:vAlign w:val="center"/>
            <w:hideMark/>
          </w:tcPr>
          <w:p w14:paraId="222B96CC"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Group Processes and Intergroup Relations</w:t>
            </w:r>
          </w:p>
        </w:tc>
        <w:tc>
          <w:tcPr>
            <w:tcW w:w="2960" w:type="dxa"/>
            <w:tcBorders>
              <w:top w:val="nil"/>
              <w:left w:val="nil"/>
              <w:bottom w:val="single" w:sz="4" w:space="0" w:color="auto"/>
              <w:right w:val="single" w:sz="4" w:space="0" w:color="auto"/>
            </w:tcBorders>
            <w:vAlign w:val="center"/>
            <w:hideMark/>
          </w:tcPr>
          <w:p w14:paraId="7D44CE85"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Examine leadership styles effective in diverse teams.</w:t>
            </w:r>
            <w:r w:rsidRPr="00897882">
              <w:rPr>
                <w:rFonts w:eastAsia="Times New Roman" w:cs="Times New Roman"/>
                <w:color w:val="000000"/>
                <w:sz w:val="18"/>
                <w:szCs w:val="18"/>
                <w:lang w:eastAsia="en-GB"/>
              </w:rPr>
              <w:br/>
              <w:t>Test the effects of considerate leadership.</w:t>
            </w:r>
            <w:r w:rsidRPr="00897882">
              <w:rPr>
                <w:rFonts w:eastAsia="Times New Roman" w:cs="Times New Roman"/>
                <w:color w:val="000000"/>
                <w:sz w:val="18"/>
                <w:szCs w:val="18"/>
                <w:lang w:eastAsia="en-GB"/>
              </w:rPr>
              <w:br/>
              <w:t>Identify leader behaviors that leverage diversity.</w:t>
            </w:r>
          </w:p>
        </w:tc>
      </w:tr>
      <w:tr w:rsidR="00897882" w:rsidRPr="00897882" w14:paraId="4971643E" w14:textId="77777777" w:rsidTr="00897882">
        <w:trPr>
          <w:trHeight w:val="630"/>
        </w:trPr>
        <w:tc>
          <w:tcPr>
            <w:tcW w:w="400" w:type="dxa"/>
            <w:tcBorders>
              <w:top w:val="nil"/>
              <w:left w:val="single" w:sz="4" w:space="0" w:color="auto"/>
              <w:bottom w:val="single" w:sz="4" w:space="0" w:color="auto"/>
              <w:right w:val="single" w:sz="4" w:space="0" w:color="auto"/>
            </w:tcBorders>
            <w:noWrap/>
            <w:vAlign w:val="center"/>
            <w:hideMark/>
          </w:tcPr>
          <w:p w14:paraId="344A3FAF"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12</w:t>
            </w:r>
          </w:p>
        </w:tc>
        <w:tc>
          <w:tcPr>
            <w:tcW w:w="1400" w:type="dxa"/>
            <w:tcBorders>
              <w:top w:val="nil"/>
              <w:left w:val="nil"/>
              <w:bottom w:val="single" w:sz="4" w:space="0" w:color="auto"/>
              <w:right w:val="single" w:sz="4" w:space="0" w:color="auto"/>
            </w:tcBorders>
            <w:vAlign w:val="center"/>
            <w:hideMark/>
          </w:tcPr>
          <w:p w14:paraId="1F79FB23"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Graham Jones; Bernardita Chirino Chace; Justin Wright</w:t>
            </w:r>
          </w:p>
        </w:tc>
        <w:tc>
          <w:tcPr>
            <w:tcW w:w="2240" w:type="dxa"/>
            <w:tcBorders>
              <w:top w:val="nil"/>
              <w:left w:val="nil"/>
              <w:bottom w:val="single" w:sz="4" w:space="0" w:color="auto"/>
              <w:right w:val="single" w:sz="4" w:space="0" w:color="auto"/>
            </w:tcBorders>
            <w:vAlign w:val="center"/>
            <w:hideMark/>
          </w:tcPr>
          <w:p w14:paraId="25A42A09"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Cultural diversity drives innovation: Empowering teams for success</w:t>
            </w:r>
          </w:p>
        </w:tc>
        <w:tc>
          <w:tcPr>
            <w:tcW w:w="1680" w:type="dxa"/>
            <w:tcBorders>
              <w:top w:val="nil"/>
              <w:left w:val="nil"/>
              <w:bottom w:val="single" w:sz="4" w:space="0" w:color="auto"/>
              <w:right w:val="single" w:sz="4" w:space="0" w:color="auto"/>
            </w:tcBorders>
            <w:vAlign w:val="center"/>
            <w:hideMark/>
          </w:tcPr>
          <w:p w14:paraId="25ED5737"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Cultural diversity; innovation; empowerment</w:t>
            </w:r>
          </w:p>
        </w:tc>
        <w:tc>
          <w:tcPr>
            <w:tcW w:w="990" w:type="dxa"/>
            <w:tcBorders>
              <w:top w:val="nil"/>
              <w:left w:val="nil"/>
              <w:bottom w:val="single" w:sz="4" w:space="0" w:color="auto"/>
              <w:right w:val="single" w:sz="4" w:space="0" w:color="auto"/>
            </w:tcBorders>
            <w:vAlign w:val="center"/>
            <w:hideMark/>
          </w:tcPr>
          <w:p w14:paraId="1D379872"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International Journal of Innovation Science</w:t>
            </w:r>
          </w:p>
        </w:tc>
        <w:tc>
          <w:tcPr>
            <w:tcW w:w="2960" w:type="dxa"/>
            <w:tcBorders>
              <w:top w:val="nil"/>
              <w:left w:val="nil"/>
              <w:bottom w:val="single" w:sz="4" w:space="0" w:color="auto"/>
              <w:right w:val="single" w:sz="4" w:space="0" w:color="auto"/>
            </w:tcBorders>
            <w:vAlign w:val="center"/>
            <w:hideMark/>
          </w:tcPr>
          <w:p w14:paraId="78E0217B"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Demonstrate the link between cultural diversity and innovation.</w:t>
            </w:r>
            <w:r w:rsidRPr="00897882">
              <w:rPr>
                <w:rFonts w:eastAsia="Times New Roman" w:cs="Times New Roman"/>
                <w:color w:val="000000"/>
                <w:sz w:val="18"/>
                <w:szCs w:val="18"/>
                <w:lang w:eastAsia="en-GB"/>
              </w:rPr>
              <w:br/>
              <w:t>Explore empowerment mechanisms.</w:t>
            </w:r>
            <w:r w:rsidRPr="00897882">
              <w:rPr>
                <w:rFonts w:eastAsia="Times New Roman" w:cs="Times New Roman"/>
                <w:color w:val="000000"/>
                <w:sz w:val="18"/>
                <w:szCs w:val="18"/>
                <w:lang w:eastAsia="en-GB"/>
              </w:rPr>
              <w:br/>
              <w:t>Provide practical implications for team management.</w:t>
            </w:r>
          </w:p>
        </w:tc>
      </w:tr>
      <w:tr w:rsidR="00897882" w:rsidRPr="00897882" w14:paraId="3FDEEE06" w14:textId="77777777" w:rsidTr="00897882">
        <w:trPr>
          <w:trHeight w:val="630"/>
        </w:trPr>
        <w:tc>
          <w:tcPr>
            <w:tcW w:w="400" w:type="dxa"/>
            <w:tcBorders>
              <w:top w:val="nil"/>
              <w:left w:val="single" w:sz="4" w:space="0" w:color="auto"/>
              <w:bottom w:val="single" w:sz="4" w:space="0" w:color="auto"/>
              <w:right w:val="single" w:sz="4" w:space="0" w:color="auto"/>
            </w:tcBorders>
            <w:noWrap/>
            <w:vAlign w:val="center"/>
            <w:hideMark/>
          </w:tcPr>
          <w:p w14:paraId="1E1F8268"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13</w:t>
            </w:r>
          </w:p>
        </w:tc>
        <w:tc>
          <w:tcPr>
            <w:tcW w:w="1400" w:type="dxa"/>
            <w:tcBorders>
              <w:top w:val="nil"/>
              <w:left w:val="nil"/>
              <w:bottom w:val="single" w:sz="4" w:space="0" w:color="auto"/>
              <w:right w:val="single" w:sz="4" w:space="0" w:color="auto"/>
            </w:tcBorders>
            <w:vAlign w:val="center"/>
            <w:hideMark/>
          </w:tcPr>
          <w:p w14:paraId="39DA8821"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R. Joslin; R. Müller</w:t>
            </w:r>
          </w:p>
        </w:tc>
        <w:tc>
          <w:tcPr>
            <w:tcW w:w="2240" w:type="dxa"/>
            <w:tcBorders>
              <w:top w:val="nil"/>
              <w:left w:val="nil"/>
              <w:bottom w:val="single" w:sz="4" w:space="0" w:color="auto"/>
              <w:right w:val="single" w:sz="4" w:space="0" w:color="auto"/>
            </w:tcBorders>
            <w:vAlign w:val="center"/>
            <w:hideMark/>
          </w:tcPr>
          <w:p w14:paraId="0FA5243F"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Relationships between a project management methodology and project success in different project governance contexts</w:t>
            </w:r>
          </w:p>
        </w:tc>
        <w:tc>
          <w:tcPr>
            <w:tcW w:w="1680" w:type="dxa"/>
            <w:tcBorders>
              <w:top w:val="nil"/>
              <w:left w:val="nil"/>
              <w:bottom w:val="single" w:sz="4" w:space="0" w:color="auto"/>
              <w:right w:val="single" w:sz="4" w:space="0" w:color="auto"/>
            </w:tcBorders>
            <w:vAlign w:val="center"/>
            <w:hideMark/>
          </w:tcPr>
          <w:p w14:paraId="4D6C3896"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Project management methodology; project success; governance</w:t>
            </w:r>
          </w:p>
        </w:tc>
        <w:tc>
          <w:tcPr>
            <w:tcW w:w="990" w:type="dxa"/>
            <w:tcBorders>
              <w:top w:val="nil"/>
              <w:left w:val="nil"/>
              <w:bottom w:val="single" w:sz="4" w:space="0" w:color="auto"/>
              <w:right w:val="single" w:sz="4" w:space="0" w:color="auto"/>
            </w:tcBorders>
            <w:vAlign w:val="center"/>
            <w:hideMark/>
          </w:tcPr>
          <w:p w14:paraId="4BC3B912"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International Journal of Project Management</w:t>
            </w:r>
          </w:p>
        </w:tc>
        <w:tc>
          <w:tcPr>
            <w:tcW w:w="2960" w:type="dxa"/>
            <w:tcBorders>
              <w:top w:val="nil"/>
              <w:left w:val="nil"/>
              <w:bottom w:val="single" w:sz="4" w:space="0" w:color="auto"/>
              <w:right w:val="single" w:sz="4" w:space="0" w:color="auto"/>
            </w:tcBorders>
            <w:vAlign w:val="center"/>
            <w:hideMark/>
          </w:tcPr>
          <w:p w14:paraId="2E9FB491"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Examine the relationship between project management methodology and success.</w:t>
            </w:r>
            <w:r w:rsidRPr="00897882">
              <w:rPr>
                <w:rFonts w:eastAsia="Times New Roman" w:cs="Times New Roman"/>
                <w:color w:val="000000"/>
                <w:sz w:val="18"/>
                <w:szCs w:val="18"/>
                <w:lang w:eastAsia="en-GB"/>
              </w:rPr>
              <w:br/>
              <w:t>Test effects across different governance contexts.</w:t>
            </w:r>
            <w:r w:rsidRPr="00897882">
              <w:rPr>
                <w:rFonts w:eastAsia="Times New Roman" w:cs="Times New Roman"/>
                <w:color w:val="000000"/>
                <w:sz w:val="18"/>
                <w:szCs w:val="18"/>
                <w:lang w:eastAsia="en-GB"/>
              </w:rPr>
              <w:br/>
              <w:t>Identify best-fit methodological approaches.</w:t>
            </w:r>
          </w:p>
        </w:tc>
      </w:tr>
      <w:tr w:rsidR="00897882" w:rsidRPr="00897882" w14:paraId="2D9F24E4" w14:textId="77777777" w:rsidTr="00897882">
        <w:trPr>
          <w:trHeight w:val="1050"/>
        </w:trPr>
        <w:tc>
          <w:tcPr>
            <w:tcW w:w="400" w:type="dxa"/>
            <w:tcBorders>
              <w:top w:val="nil"/>
              <w:left w:val="single" w:sz="4" w:space="0" w:color="auto"/>
              <w:bottom w:val="single" w:sz="4" w:space="0" w:color="auto"/>
              <w:right w:val="single" w:sz="4" w:space="0" w:color="auto"/>
            </w:tcBorders>
            <w:noWrap/>
            <w:vAlign w:val="center"/>
            <w:hideMark/>
          </w:tcPr>
          <w:p w14:paraId="665E43BB"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14</w:t>
            </w:r>
          </w:p>
        </w:tc>
        <w:tc>
          <w:tcPr>
            <w:tcW w:w="1400" w:type="dxa"/>
            <w:tcBorders>
              <w:top w:val="nil"/>
              <w:left w:val="nil"/>
              <w:bottom w:val="single" w:sz="4" w:space="0" w:color="auto"/>
              <w:right w:val="single" w:sz="4" w:space="0" w:color="auto"/>
            </w:tcBorders>
            <w:vAlign w:val="center"/>
            <w:hideMark/>
          </w:tcPr>
          <w:p w14:paraId="495937D2"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U. Stephan</w:t>
            </w:r>
          </w:p>
        </w:tc>
        <w:tc>
          <w:tcPr>
            <w:tcW w:w="2240" w:type="dxa"/>
            <w:tcBorders>
              <w:top w:val="nil"/>
              <w:left w:val="nil"/>
              <w:bottom w:val="single" w:sz="4" w:space="0" w:color="auto"/>
              <w:right w:val="single" w:sz="4" w:space="0" w:color="auto"/>
            </w:tcBorders>
            <w:vAlign w:val="center"/>
            <w:hideMark/>
          </w:tcPr>
          <w:p w14:paraId="7EBF59CA"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Cross-cultural innovation and entrepreneurship</w:t>
            </w:r>
          </w:p>
        </w:tc>
        <w:tc>
          <w:tcPr>
            <w:tcW w:w="1680" w:type="dxa"/>
            <w:tcBorders>
              <w:top w:val="nil"/>
              <w:left w:val="nil"/>
              <w:bottom w:val="single" w:sz="4" w:space="0" w:color="auto"/>
              <w:right w:val="single" w:sz="4" w:space="0" w:color="auto"/>
            </w:tcBorders>
            <w:vAlign w:val="center"/>
            <w:hideMark/>
          </w:tcPr>
          <w:p w14:paraId="0DE486CF"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Cross-cultural innovation; entrepreneurship; culture</w:t>
            </w:r>
          </w:p>
        </w:tc>
        <w:tc>
          <w:tcPr>
            <w:tcW w:w="990" w:type="dxa"/>
            <w:tcBorders>
              <w:top w:val="nil"/>
              <w:left w:val="nil"/>
              <w:bottom w:val="single" w:sz="4" w:space="0" w:color="auto"/>
              <w:right w:val="single" w:sz="4" w:space="0" w:color="auto"/>
            </w:tcBorders>
            <w:vAlign w:val="center"/>
            <w:hideMark/>
          </w:tcPr>
          <w:p w14:paraId="13146062"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Annual Review of Organizational Psychology and Organizational Behavior</w:t>
            </w:r>
          </w:p>
        </w:tc>
        <w:tc>
          <w:tcPr>
            <w:tcW w:w="2960" w:type="dxa"/>
            <w:tcBorders>
              <w:top w:val="nil"/>
              <w:left w:val="nil"/>
              <w:bottom w:val="single" w:sz="4" w:space="0" w:color="auto"/>
              <w:right w:val="single" w:sz="4" w:space="0" w:color="auto"/>
            </w:tcBorders>
            <w:vAlign w:val="center"/>
            <w:hideMark/>
          </w:tcPr>
          <w:p w14:paraId="0FC25763"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Review research on cross-cultural innovation.</w:t>
            </w:r>
            <w:r w:rsidRPr="00897882">
              <w:rPr>
                <w:rFonts w:eastAsia="Times New Roman" w:cs="Times New Roman"/>
                <w:color w:val="000000"/>
                <w:sz w:val="18"/>
                <w:szCs w:val="18"/>
                <w:lang w:eastAsia="en-GB"/>
              </w:rPr>
              <w:br/>
              <w:t>Examine cultural influences on entrepreneurship.</w:t>
            </w:r>
            <w:r w:rsidRPr="00897882">
              <w:rPr>
                <w:rFonts w:eastAsia="Times New Roman" w:cs="Times New Roman"/>
                <w:color w:val="000000"/>
                <w:sz w:val="18"/>
                <w:szCs w:val="18"/>
                <w:lang w:eastAsia="en-GB"/>
              </w:rPr>
              <w:br/>
              <w:t>Synthesize key theoretical perspectives.</w:t>
            </w:r>
          </w:p>
        </w:tc>
      </w:tr>
      <w:tr w:rsidR="00897882" w:rsidRPr="00897882" w14:paraId="366460FA" w14:textId="77777777" w:rsidTr="00897882">
        <w:trPr>
          <w:trHeight w:val="630"/>
        </w:trPr>
        <w:tc>
          <w:tcPr>
            <w:tcW w:w="400" w:type="dxa"/>
            <w:tcBorders>
              <w:top w:val="nil"/>
              <w:left w:val="single" w:sz="4" w:space="0" w:color="auto"/>
              <w:bottom w:val="single" w:sz="4" w:space="0" w:color="auto"/>
              <w:right w:val="single" w:sz="4" w:space="0" w:color="auto"/>
            </w:tcBorders>
            <w:noWrap/>
            <w:vAlign w:val="center"/>
            <w:hideMark/>
          </w:tcPr>
          <w:p w14:paraId="4D5713F2"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15</w:t>
            </w:r>
          </w:p>
        </w:tc>
        <w:tc>
          <w:tcPr>
            <w:tcW w:w="1400" w:type="dxa"/>
            <w:tcBorders>
              <w:top w:val="nil"/>
              <w:left w:val="nil"/>
              <w:bottom w:val="single" w:sz="4" w:space="0" w:color="auto"/>
              <w:right w:val="single" w:sz="4" w:space="0" w:color="auto"/>
            </w:tcBorders>
            <w:vAlign w:val="center"/>
            <w:hideMark/>
          </w:tcPr>
          <w:p w14:paraId="20A511F1"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Jiakun Liu; Yufeng Zhu; Huatian Wang</w:t>
            </w:r>
          </w:p>
        </w:tc>
        <w:tc>
          <w:tcPr>
            <w:tcW w:w="2240" w:type="dxa"/>
            <w:tcBorders>
              <w:top w:val="nil"/>
              <w:left w:val="nil"/>
              <w:bottom w:val="single" w:sz="4" w:space="0" w:color="auto"/>
              <w:right w:val="single" w:sz="4" w:space="0" w:color="auto"/>
            </w:tcBorders>
            <w:vAlign w:val="center"/>
            <w:hideMark/>
          </w:tcPr>
          <w:p w14:paraId="77AE1B05"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Managing the negative impact of workforce diversity: The important roles of inclusive HRM and employee learning-oriented behaviors</w:t>
            </w:r>
          </w:p>
        </w:tc>
        <w:tc>
          <w:tcPr>
            <w:tcW w:w="1680" w:type="dxa"/>
            <w:tcBorders>
              <w:top w:val="nil"/>
              <w:left w:val="nil"/>
              <w:bottom w:val="single" w:sz="4" w:space="0" w:color="auto"/>
              <w:right w:val="single" w:sz="4" w:space="0" w:color="auto"/>
            </w:tcBorders>
            <w:vAlign w:val="center"/>
            <w:hideMark/>
          </w:tcPr>
          <w:p w14:paraId="6D4F922A"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Inclusive HRM; learning behaviors; negative diversity impacts</w:t>
            </w:r>
          </w:p>
        </w:tc>
        <w:tc>
          <w:tcPr>
            <w:tcW w:w="990" w:type="dxa"/>
            <w:tcBorders>
              <w:top w:val="nil"/>
              <w:left w:val="nil"/>
              <w:bottom w:val="single" w:sz="4" w:space="0" w:color="auto"/>
              <w:right w:val="single" w:sz="4" w:space="0" w:color="auto"/>
            </w:tcBorders>
            <w:vAlign w:val="center"/>
            <w:hideMark/>
          </w:tcPr>
          <w:p w14:paraId="20A73F22"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Frontiers in Psychology</w:t>
            </w:r>
          </w:p>
        </w:tc>
        <w:tc>
          <w:tcPr>
            <w:tcW w:w="2960" w:type="dxa"/>
            <w:tcBorders>
              <w:top w:val="nil"/>
              <w:left w:val="nil"/>
              <w:bottom w:val="single" w:sz="4" w:space="0" w:color="auto"/>
              <w:right w:val="single" w:sz="4" w:space="0" w:color="auto"/>
            </w:tcBorders>
            <w:vAlign w:val="center"/>
            <w:hideMark/>
          </w:tcPr>
          <w:p w14:paraId="4B2DC827"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Address negative consequences of workforce diversity.</w:t>
            </w:r>
            <w:r w:rsidRPr="00897882">
              <w:rPr>
                <w:rFonts w:eastAsia="Times New Roman" w:cs="Times New Roman"/>
                <w:color w:val="000000"/>
                <w:sz w:val="18"/>
                <w:szCs w:val="18"/>
                <w:lang w:eastAsia="en-GB"/>
              </w:rPr>
              <w:br/>
              <w:t>Examine inclusive HRM as a mitigation strategy.</w:t>
            </w:r>
            <w:r w:rsidRPr="00897882">
              <w:rPr>
                <w:rFonts w:eastAsia="Times New Roman" w:cs="Times New Roman"/>
                <w:color w:val="000000"/>
                <w:sz w:val="18"/>
                <w:szCs w:val="18"/>
                <w:lang w:eastAsia="en-GB"/>
              </w:rPr>
              <w:br/>
              <w:t>Investigate learning-oriented behaviors as moderators.</w:t>
            </w:r>
          </w:p>
        </w:tc>
      </w:tr>
      <w:tr w:rsidR="00897882" w:rsidRPr="00897882" w14:paraId="5FA3FF6B" w14:textId="77777777" w:rsidTr="00897882">
        <w:trPr>
          <w:trHeight w:val="630"/>
        </w:trPr>
        <w:tc>
          <w:tcPr>
            <w:tcW w:w="400" w:type="dxa"/>
            <w:tcBorders>
              <w:top w:val="nil"/>
              <w:left w:val="single" w:sz="4" w:space="0" w:color="auto"/>
              <w:bottom w:val="single" w:sz="4" w:space="0" w:color="auto"/>
              <w:right w:val="single" w:sz="4" w:space="0" w:color="auto"/>
            </w:tcBorders>
            <w:noWrap/>
            <w:vAlign w:val="center"/>
            <w:hideMark/>
          </w:tcPr>
          <w:p w14:paraId="43E9245F"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16</w:t>
            </w:r>
          </w:p>
        </w:tc>
        <w:tc>
          <w:tcPr>
            <w:tcW w:w="1400" w:type="dxa"/>
            <w:tcBorders>
              <w:top w:val="nil"/>
              <w:left w:val="nil"/>
              <w:bottom w:val="single" w:sz="4" w:space="0" w:color="auto"/>
              <w:right w:val="single" w:sz="4" w:space="0" w:color="auto"/>
            </w:tcBorders>
            <w:vAlign w:val="center"/>
            <w:hideMark/>
          </w:tcPr>
          <w:p w14:paraId="62252A46"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A.A. Bodla; N. Tang; W. Jiang; L. Tian</w:t>
            </w:r>
          </w:p>
        </w:tc>
        <w:tc>
          <w:tcPr>
            <w:tcW w:w="2240" w:type="dxa"/>
            <w:tcBorders>
              <w:top w:val="nil"/>
              <w:left w:val="nil"/>
              <w:bottom w:val="single" w:sz="4" w:space="0" w:color="auto"/>
              <w:right w:val="single" w:sz="4" w:space="0" w:color="auto"/>
            </w:tcBorders>
            <w:vAlign w:val="center"/>
            <w:hideMark/>
          </w:tcPr>
          <w:p w14:paraId="46D3B07F"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Diversity and creativity in cross-national teams: The role of team knowledge sharing and inclusive climate</w:t>
            </w:r>
          </w:p>
        </w:tc>
        <w:tc>
          <w:tcPr>
            <w:tcW w:w="1680" w:type="dxa"/>
            <w:tcBorders>
              <w:top w:val="nil"/>
              <w:left w:val="nil"/>
              <w:bottom w:val="single" w:sz="4" w:space="0" w:color="auto"/>
              <w:right w:val="single" w:sz="4" w:space="0" w:color="auto"/>
            </w:tcBorders>
            <w:vAlign w:val="center"/>
            <w:hideMark/>
          </w:tcPr>
          <w:p w14:paraId="4226D5A6"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Cross-national teams; creativity; knowledge sharing; inclusive climate</w:t>
            </w:r>
          </w:p>
        </w:tc>
        <w:tc>
          <w:tcPr>
            <w:tcW w:w="990" w:type="dxa"/>
            <w:tcBorders>
              <w:top w:val="nil"/>
              <w:left w:val="nil"/>
              <w:bottom w:val="single" w:sz="4" w:space="0" w:color="auto"/>
              <w:right w:val="single" w:sz="4" w:space="0" w:color="auto"/>
            </w:tcBorders>
            <w:vAlign w:val="center"/>
            <w:hideMark/>
          </w:tcPr>
          <w:p w14:paraId="66DF0F27"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Journal of Management and Organization</w:t>
            </w:r>
          </w:p>
        </w:tc>
        <w:tc>
          <w:tcPr>
            <w:tcW w:w="2960" w:type="dxa"/>
            <w:tcBorders>
              <w:top w:val="nil"/>
              <w:left w:val="nil"/>
              <w:bottom w:val="single" w:sz="4" w:space="0" w:color="auto"/>
              <w:right w:val="single" w:sz="4" w:space="0" w:color="auto"/>
            </w:tcBorders>
            <w:vAlign w:val="center"/>
            <w:hideMark/>
          </w:tcPr>
          <w:p w14:paraId="165540CF"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Examine the diversity–creativity relationship in cross-national teams.</w:t>
            </w:r>
            <w:r w:rsidRPr="00897882">
              <w:rPr>
                <w:rFonts w:eastAsia="Times New Roman" w:cs="Times New Roman"/>
                <w:color w:val="000000"/>
                <w:sz w:val="18"/>
                <w:szCs w:val="18"/>
                <w:lang w:eastAsia="en-GB"/>
              </w:rPr>
              <w:br/>
              <w:t>Test team knowledge sharing as a mediating mechanism.</w:t>
            </w:r>
            <w:r w:rsidRPr="00897882">
              <w:rPr>
                <w:rFonts w:eastAsia="Times New Roman" w:cs="Times New Roman"/>
                <w:color w:val="000000"/>
                <w:sz w:val="18"/>
                <w:szCs w:val="18"/>
                <w:lang w:eastAsia="en-GB"/>
              </w:rPr>
              <w:br/>
              <w:t>Investigate the effects of an inclusive team climate.</w:t>
            </w:r>
          </w:p>
        </w:tc>
      </w:tr>
      <w:tr w:rsidR="00897882" w:rsidRPr="00897882" w14:paraId="3B23C1AD" w14:textId="77777777" w:rsidTr="00897882">
        <w:trPr>
          <w:trHeight w:val="840"/>
        </w:trPr>
        <w:tc>
          <w:tcPr>
            <w:tcW w:w="400" w:type="dxa"/>
            <w:tcBorders>
              <w:top w:val="nil"/>
              <w:left w:val="single" w:sz="4" w:space="0" w:color="auto"/>
              <w:bottom w:val="single" w:sz="4" w:space="0" w:color="auto"/>
              <w:right w:val="single" w:sz="4" w:space="0" w:color="auto"/>
            </w:tcBorders>
            <w:noWrap/>
            <w:vAlign w:val="center"/>
            <w:hideMark/>
          </w:tcPr>
          <w:p w14:paraId="318A8AE2"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17</w:t>
            </w:r>
          </w:p>
        </w:tc>
        <w:tc>
          <w:tcPr>
            <w:tcW w:w="1400" w:type="dxa"/>
            <w:tcBorders>
              <w:top w:val="nil"/>
              <w:left w:val="nil"/>
              <w:bottom w:val="single" w:sz="4" w:space="0" w:color="auto"/>
              <w:right w:val="single" w:sz="4" w:space="0" w:color="auto"/>
            </w:tcBorders>
            <w:vAlign w:val="center"/>
            <w:hideMark/>
          </w:tcPr>
          <w:p w14:paraId="2AFEBFDE"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N.K. Bahrain; S.R. Sakrani; A. Maidin</w:t>
            </w:r>
          </w:p>
        </w:tc>
        <w:tc>
          <w:tcPr>
            <w:tcW w:w="2240" w:type="dxa"/>
            <w:tcBorders>
              <w:top w:val="nil"/>
              <w:left w:val="nil"/>
              <w:bottom w:val="single" w:sz="4" w:space="0" w:color="auto"/>
              <w:right w:val="single" w:sz="4" w:space="0" w:color="auto"/>
            </w:tcBorders>
            <w:vAlign w:val="center"/>
            <w:hideMark/>
          </w:tcPr>
          <w:p w14:paraId="0A13713B"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Communication barriers in work environment: Understanding impact and challenges</w:t>
            </w:r>
          </w:p>
        </w:tc>
        <w:tc>
          <w:tcPr>
            <w:tcW w:w="1680" w:type="dxa"/>
            <w:tcBorders>
              <w:top w:val="nil"/>
              <w:left w:val="nil"/>
              <w:bottom w:val="single" w:sz="4" w:space="0" w:color="auto"/>
              <w:right w:val="single" w:sz="4" w:space="0" w:color="auto"/>
            </w:tcBorders>
            <w:vAlign w:val="center"/>
            <w:hideMark/>
          </w:tcPr>
          <w:p w14:paraId="26EBA626"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Communication barriers; workplace communication; performance impact</w:t>
            </w:r>
          </w:p>
        </w:tc>
        <w:tc>
          <w:tcPr>
            <w:tcW w:w="990" w:type="dxa"/>
            <w:tcBorders>
              <w:top w:val="nil"/>
              <w:left w:val="nil"/>
              <w:bottom w:val="single" w:sz="4" w:space="0" w:color="auto"/>
              <w:right w:val="single" w:sz="4" w:space="0" w:color="auto"/>
            </w:tcBorders>
            <w:vAlign w:val="center"/>
            <w:hideMark/>
          </w:tcPr>
          <w:p w14:paraId="3951BEBF"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International Journal of Academic Research in Business and Social Sciences</w:t>
            </w:r>
          </w:p>
        </w:tc>
        <w:tc>
          <w:tcPr>
            <w:tcW w:w="2960" w:type="dxa"/>
            <w:tcBorders>
              <w:top w:val="nil"/>
              <w:left w:val="nil"/>
              <w:bottom w:val="single" w:sz="4" w:space="0" w:color="auto"/>
              <w:right w:val="single" w:sz="4" w:space="0" w:color="auto"/>
            </w:tcBorders>
            <w:vAlign w:val="center"/>
            <w:hideMark/>
          </w:tcPr>
          <w:p w14:paraId="100F6F0B"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Identify communication barriers in diverse workplaces.</w:t>
            </w:r>
            <w:r w:rsidRPr="00897882">
              <w:rPr>
                <w:rFonts w:eastAsia="Times New Roman" w:cs="Times New Roman"/>
                <w:color w:val="000000"/>
                <w:sz w:val="18"/>
                <w:szCs w:val="18"/>
                <w:lang w:eastAsia="en-GB"/>
              </w:rPr>
              <w:br/>
              <w:t>Examine their impact on team functioning and performance.</w:t>
            </w:r>
            <w:r w:rsidRPr="00897882">
              <w:rPr>
                <w:rFonts w:eastAsia="Times New Roman" w:cs="Times New Roman"/>
                <w:color w:val="000000"/>
                <w:sz w:val="18"/>
                <w:szCs w:val="18"/>
                <w:lang w:eastAsia="en-GB"/>
              </w:rPr>
              <w:br/>
              <w:t>Propose solutions to overcome communication challenges.</w:t>
            </w:r>
          </w:p>
        </w:tc>
      </w:tr>
      <w:tr w:rsidR="00897882" w:rsidRPr="00897882" w14:paraId="4DEAD392" w14:textId="77777777" w:rsidTr="00897882">
        <w:trPr>
          <w:trHeight w:val="840"/>
        </w:trPr>
        <w:tc>
          <w:tcPr>
            <w:tcW w:w="400" w:type="dxa"/>
            <w:tcBorders>
              <w:top w:val="nil"/>
              <w:left w:val="single" w:sz="4" w:space="0" w:color="auto"/>
              <w:bottom w:val="single" w:sz="4" w:space="0" w:color="auto"/>
              <w:right w:val="single" w:sz="4" w:space="0" w:color="auto"/>
            </w:tcBorders>
            <w:noWrap/>
            <w:vAlign w:val="center"/>
            <w:hideMark/>
          </w:tcPr>
          <w:p w14:paraId="65C9EB07"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18</w:t>
            </w:r>
          </w:p>
        </w:tc>
        <w:tc>
          <w:tcPr>
            <w:tcW w:w="1400" w:type="dxa"/>
            <w:tcBorders>
              <w:top w:val="nil"/>
              <w:left w:val="nil"/>
              <w:bottom w:val="single" w:sz="4" w:space="0" w:color="auto"/>
              <w:right w:val="single" w:sz="4" w:space="0" w:color="auto"/>
            </w:tcBorders>
            <w:vAlign w:val="center"/>
            <w:hideMark/>
          </w:tcPr>
          <w:p w14:paraId="0E4A5BF0"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V. Valls; V. González-Romá; I. Tomás</w:t>
            </w:r>
          </w:p>
        </w:tc>
        <w:tc>
          <w:tcPr>
            <w:tcW w:w="2240" w:type="dxa"/>
            <w:tcBorders>
              <w:top w:val="nil"/>
              <w:left w:val="nil"/>
              <w:bottom w:val="single" w:sz="4" w:space="0" w:color="auto"/>
              <w:right w:val="single" w:sz="4" w:space="0" w:color="auto"/>
            </w:tcBorders>
            <w:vAlign w:val="center"/>
            <w:hideMark/>
          </w:tcPr>
          <w:p w14:paraId="55B5CB58"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Linking educational diversity and team performance: Team communication quality and innovation team climate matter</w:t>
            </w:r>
          </w:p>
        </w:tc>
        <w:tc>
          <w:tcPr>
            <w:tcW w:w="1680" w:type="dxa"/>
            <w:tcBorders>
              <w:top w:val="nil"/>
              <w:left w:val="nil"/>
              <w:bottom w:val="single" w:sz="4" w:space="0" w:color="auto"/>
              <w:right w:val="single" w:sz="4" w:space="0" w:color="auto"/>
            </w:tcBorders>
            <w:vAlign w:val="center"/>
            <w:hideMark/>
          </w:tcPr>
          <w:p w14:paraId="3A46E1E9"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Educational diversity; team communication; innovation climate</w:t>
            </w:r>
          </w:p>
        </w:tc>
        <w:tc>
          <w:tcPr>
            <w:tcW w:w="990" w:type="dxa"/>
            <w:tcBorders>
              <w:top w:val="nil"/>
              <w:left w:val="nil"/>
              <w:bottom w:val="single" w:sz="4" w:space="0" w:color="auto"/>
              <w:right w:val="single" w:sz="4" w:space="0" w:color="auto"/>
            </w:tcBorders>
            <w:vAlign w:val="center"/>
            <w:hideMark/>
          </w:tcPr>
          <w:p w14:paraId="4C55738C"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Journal of Occupational and Organizational Psychology</w:t>
            </w:r>
          </w:p>
        </w:tc>
        <w:tc>
          <w:tcPr>
            <w:tcW w:w="2960" w:type="dxa"/>
            <w:tcBorders>
              <w:top w:val="nil"/>
              <w:left w:val="nil"/>
              <w:bottom w:val="single" w:sz="4" w:space="0" w:color="auto"/>
              <w:right w:val="single" w:sz="4" w:space="0" w:color="auto"/>
            </w:tcBorders>
            <w:vAlign w:val="center"/>
            <w:hideMark/>
          </w:tcPr>
          <w:p w14:paraId="053E9BC7"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Examine the relationship between educational diversity and team performance.</w:t>
            </w:r>
            <w:r w:rsidRPr="00897882">
              <w:rPr>
                <w:rFonts w:eastAsia="Times New Roman" w:cs="Times New Roman"/>
                <w:color w:val="000000"/>
                <w:sz w:val="18"/>
                <w:szCs w:val="18"/>
                <w:lang w:eastAsia="en-GB"/>
              </w:rPr>
              <w:br/>
              <w:t>Test communication quality as a mediating variable.</w:t>
            </w:r>
            <w:r w:rsidRPr="00897882">
              <w:rPr>
                <w:rFonts w:eastAsia="Times New Roman" w:cs="Times New Roman"/>
                <w:color w:val="000000"/>
                <w:sz w:val="18"/>
                <w:szCs w:val="18"/>
                <w:lang w:eastAsia="en-GB"/>
              </w:rPr>
              <w:br/>
              <w:t>Assess the role of innovation team climate.</w:t>
            </w:r>
          </w:p>
        </w:tc>
      </w:tr>
      <w:tr w:rsidR="00897882" w:rsidRPr="00897882" w14:paraId="74619DCB" w14:textId="77777777" w:rsidTr="00897882">
        <w:trPr>
          <w:trHeight w:val="630"/>
        </w:trPr>
        <w:tc>
          <w:tcPr>
            <w:tcW w:w="400" w:type="dxa"/>
            <w:tcBorders>
              <w:top w:val="nil"/>
              <w:left w:val="single" w:sz="4" w:space="0" w:color="auto"/>
              <w:bottom w:val="single" w:sz="4" w:space="0" w:color="auto"/>
              <w:right w:val="single" w:sz="4" w:space="0" w:color="auto"/>
            </w:tcBorders>
            <w:noWrap/>
            <w:vAlign w:val="center"/>
            <w:hideMark/>
          </w:tcPr>
          <w:p w14:paraId="44C35D4F"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19</w:t>
            </w:r>
          </w:p>
        </w:tc>
        <w:tc>
          <w:tcPr>
            <w:tcW w:w="1400" w:type="dxa"/>
            <w:tcBorders>
              <w:top w:val="nil"/>
              <w:left w:val="nil"/>
              <w:bottom w:val="single" w:sz="4" w:space="0" w:color="auto"/>
              <w:right w:val="single" w:sz="4" w:space="0" w:color="auto"/>
            </w:tcBorders>
            <w:vAlign w:val="center"/>
            <w:hideMark/>
          </w:tcPr>
          <w:p w14:paraId="15DF6E4D"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M.N. Mata; F.H. Khan; K.I. Khan; J.M. Martins; J.X. Rita; R. Dantas</w:t>
            </w:r>
          </w:p>
        </w:tc>
        <w:tc>
          <w:tcPr>
            <w:tcW w:w="2240" w:type="dxa"/>
            <w:tcBorders>
              <w:top w:val="nil"/>
              <w:left w:val="nil"/>
              <w:bottom w:val="single" w:sz="4" w:space="0" w:color="auto"/>
              <w:right w:val="single" w:sz="4" w:space="0" w:color="auto"/>
            </w:tcBorders>
            <w:vAlign w:val="center"/>
            <w:hideMark/>
          </w:tcPr>
          <w:p w14:paraId="37974834"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Team diversity and project performance: Role of trust and absorptive capacity in IT industry</w:t>
            </w:r>
          </w:p>
        </w:tc>
        <w:tc>
          <w:tcPr>
            <w:tcW w:w="1680" w:type="dxa"/>
            <w:tcBorders>
              <w:top w:val="nil"/>
              <w:left w:val="nil"/>
              <w:bottom w:val="single" w:sz="4" w:space="0" w:color="auto"/>
              <w:right w:val="single" w:sz="4" w:space="0" w:color="auto"/>
            </w:tcBorders>
            <w:vAlign w:val="center"/>
            <w:hideMark/>
          </w:tcPr>
          <w:p w14:paraId="41B9D0A0"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Team diversity; trust; absorptive capacity; IT projects</w:t>
            </w:r>
          </w:p>
        </w:tc>
        <w:tc>
          <w:tcPr>
            <w:tcW w:w="990" w:type="dxa"/>
            <w:tcBorders>
              <w:top w:val="nil"/>
              <w:left w:val="nil"/>
              <w:bottom w:val="single" w:sz="4" w:space="0" w:color="auto"/>
              <w:right w:val="single" w:sz="4" w:space="0" w:color="auto"/>
            </w:tcBorders>
            <w:vAlign w:val="center"/>
            <w:hideMark/>
          </w:tcPr>
          <w:p w14:paraId="10856CE2"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Academy of Strategic Management Journal</w:t>
            </w:r>
          </w:p>
        </w:tc>
        <w:tc>
          <w:tcPr>
            <w:tcW w:w="2960" w:type="dxa"/>
            <w:tcBorders>
              <w:top w:val="nil"/>
              <w:left w:val="nil"/>
              <w:bottom w:val="single" w:sz="4" w:space="0" w:color="auto"/>
              <w:right w:val="single" w:sz="4" w:space="0" w:color="auto"/>
            </w:tcBorders>
            <w:vAlign w:val="center"/>
            <w:hideMark/>
          </w:tcPr>
          <w:p w14:paraId="69AEDD03"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Examine the diversity–performance relationship in IT projects.</w:t>
            </w:r>
            <w:r w:rsidRPr="00897882">
              <w:rPr>
                <w:rFonts w:eastAsia="Times New Roman" w:cs="Times New Roman"/>
                <w:color w:val="000000"/>
                <w:sz w:val="18"/>
                <w:szCs w:val="18"/>
                <w:lang w:eastAsia="en-GB"/>
              </w:rPr>
              <w:br/>
              <w:t>Test trust as a mediating mechanism.</w:t>
            </w:r>
            <w:r w:rsidRPr="00897882">
              <w:rPr>
                <w:rFonts w:eastAsia="Times New Roman" w:cs="Times New Roman"/>
                <w:color w:val="000000"/>
                <w:sz w:val="18"/>
                <w:szCs w:val="18"/>
                <w:lang w:eastAsia="en-GB"/>
              </w:rPr>
              <w:br/>
              <w:t>Investigate the role of absorptive capacity.</w:t>
            </w:r>
          </w:p>
        </w:tc>
      </w:tr>
      <w:tr w:rsidR="00897882" w:rsidRPr="00897882" w14:paraId="1EE9260F" w14:textId="77777777" w:rsidTr="00897882">
        <w:trPr>
          <w:trHeight w:val="630"/>
        </w:trPr>
        <w:tc>
          <w:tcPr>
            <w:tcW w:w="400" w:type="dxa"/>
            <w:tcBorders>
              <w:top w:val="nil"/>
              <w:left w:val="single" w:sz="4" w:space="0" w:color="auto"/>
              <w:bottom w:val="single" w:sz="4" w:space="0" w:color="auto"/>
              <w:right w:val="single" w:sz="4" w:space="0" w:color="auto"/>
            </w:tcBorders>
            <w:noWrap/>
            <w:vAlign w:val="center"/>
            <w:hideMark/>
          </w:tcPr>
          <w:p w14:paraId="5FEF6F8D"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lastRenderedPageBreak/>
              <w:t>20</w:t>
            </w:r>
          </w:p>
        </w:tc>
        <w:tc>
          <w:tcPr>
            <w:tcW w:w="1400" w:type="dxa"/>
            <w:tcBorders>
              <w:top w:val="nil"/>
              <w:left w:val="nil"/>
              <w:bottom w:val="single" w:sz="4" w:space="0" w:color="auto"/>
              <w:right w:val="single" w:sz="4" w:space="0" w:color="auto"/>
            </w:tcBorders>
            <w:vAlign w:val="center"/>
            <w:hideMark/>
          </w:tcPr>
          <w:p w14:paraId="7F976955"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L.H. Nishii</w:t>
            </w:r>
          </w:p>
        </w:tc>
        <w:tc>
          <w:tcPr>
            <w:tcW w:w="2240" w:type="dxa"/>
            <w:tcBorders>
              <w:top w:val="nil"/>
              <w:left w:val="nil"/>
              <w:bottom w:val="single" w:sz="4" w:space="0" w:color="auto"/>
              <w:right w:val="single" w:sz="4" w:space="0" w:color="auto"/>
            </w:tcBorders>
            <w:vAlign w:val="center"/>
            <w:hideMark/>
          </w:tcPr>
          <w:p w14:paraId="6EB0DE68"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The benefits of climate for inclusion for gender-diverse groups</w:t>
            </w:r>
          </w:p>
        </w:tc>
        <w:tc>
          <w:tcPr>
            <w:tcW w:w="1680" w:type="dxa"/>
            <w:tcBorders>
              <w:top w:val="nil"/>
              <w:left w:val="nil"/>
              <w:bottom w:val="single" w:sz="4" w:space="0" w:color="auto"/>
              <w:right w:val="single" w:sz="4" w:space="0" w:color="auto"/>
            </w:tcBorders>
            <w:vAlign w:val="center"/>
            <w:hideMark/>
          </w:tcPr>
          <w:p w14:paraId="125137CA"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Inclusion climate; gender diversity; organizational climate</w:t>
            </w:r>
          </w:p>
        </w:tc>
        <w:tc>
          <w:tcPr>
            <w:tcW w:w="990" w:type="dxa"/>
            <w:tcBorders>
              <w:top w:val="nil"/>
              <w:left w:val="nil"/>
              <w:bottom w:val="single" w:sz="4" w:space="0" w:color="auto"/>
              <w:right w:val="single" w:sz="4" w:space="0" w:color="auto"/>
            </w:tcBorders>
            <w:vAlign w:val="center"/>
            <w:hideMark/>
          </w:tcPr>
          <w:p w14:paraId="50D60B89"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Academy of Management Journal</w:t>
            </w:r>
          </w:p>
        </w:tc>
        <w:tc>
          <w:tcPr>
            <w:tcW w:w="2960" w:type="dxa"/>
            <w:tcBorders>
              <w:top w:val="nil"/>
              <w:left w:val="nil"/>
              <w:bottom w:val="single" w:sz="4" w:space="0" w:color="auto"/>
              <w:right w:val="single" w:sz="4" w:space="0" w:color="auto"/>
            </w:tcBorders>
            <w:vAlign w:val="center"/>
            <w:hideMark/>
          </w:tcPr>
          <w:p w14:paraId="3E8567BA"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Examine the benefits of an inclusion climate.</w:t>
            </w:r>
            <w:r w:rsidRPr="00897882">
              <w:rPr>
                <w:rFonts w:eastAsia="Times New Roman" w:cs="Times New Roman"/>
                <w:color w:val="000000"/>
                <w:sz w:val="18"/>
                <w:szCs w:val="18"/>
                <w:lang w:eastAsia="en-GB"/>
              </w:rPr>
              <w:br/>
              <w:t>Test effects specifically for gender-diverse groups.</w:t>
            </w:r>
            <w:r w:rsidRPr="00897882">
              <w:rPr>
                <w:rFonts w:eastAsia="Times New Roman" w:cs="Times New Roman"/>
                <w:color w:val="000000"/>
                <w:sz w:val="18"/>
                <w:szCs w:val="18"/>
                <w:lang w:eastAsia="en-GB"/>
              </w:rPr>
              <w:br/>
              <w:t>Identify mechanisms linking climate to outcomes.</w:t>
            </w:r>
          </w:p>
        </w:tc>
      </w:tr>
      <w:tr w:rsidR="00897882" w:rsidRPr="00897882" w14:paraId="581294E6" w14:textId="77777777" w:rsidTr="00897882">
        <w:trPr>
          <w:trHeight w:val="630"/>
        </w:trPr>
        <w:tc>
          <w:tcPr>
            <w:tcW w:w="400" w:type="dxa"/>
            <w:tcBorders>
              <w:top w:val="nil"/>
              <w:left w:val="single" w:sz="4" w:space="0" w:color="auto"/>
              <w:bottom w:val="single" w:sz="4" w:space="0" w:color="auto"/>
              <w:right w:val="single" w:sz="4" w:space="0" w:color="auto"/>
            </w:tcBorders>
            <w:noWrap/>
            <w:vAlign w:val="center"/>
            <w:hideMark/>
          </w:tcPr>
          <w:p w14:paraId="7165DEF8"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21</w:t>
            </w:r>
          </w:p>
        </w:tc>
        <w:tc>
          <w:tcPr>
            <w:tcW w:w="1400" w:type="dxa"/>
            <w:tcBorders>
              <w:top w:val="nil"/>
              <w:left w:val="nil"/>
              <w:bottom w:val="single" w:sz="4" w:space="0" w:color="auto"/>
              <w:right w:val="single" w:sz="4" w:space="0" w:color="auto"/>
            </w:tcBorders>
            <w:vAlign w:val="center"/>
            <w:hideMark/>
          </w:tcPr>
          <w:p w14:paraId="6C27C1E8"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C.G. Okatta; F.A. Ajayi; O. Olawale</w:t>
            </w:r>
          </w:p>
        </w:tc>
        <w:tc>
          <w:tcPr>
            <w:tcW w:w="2240" w:type="dxa"/>
            <w:tcBorders>
              <w:top w:val="nil"/>
              <w:left w:val="nil"/>
              <w:bottom w:val="single" w:sz="4" w:space="0" w:color="auto"/>
              <w:right w:val="single" w:sz="4" w:space="0" w:color="auto"/>
            </w:tcBorders>
            <w:vAlign w:val="center"/>
            <w:hideMark/>
          </w:tcPr>
          <w:p w14:paraId="4C46DE30"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Enhancing organizational performance through diversity and inclusion initiatives: A meta-analysis</w:t>
            </w:r>
          </w:p>
        </w:tc>
        <w:tc>
          <w:tcPr>
            <w:tcW w:w="1680" w:type="dxa"/>
            <w:tcBorders>
              <w:top w:val="nil"/>
              <w:left w:val="nil"/>
              <w:bottom w:val="single" w:sz="4" w:space="0" w:color="auto"/>
              <w:right w:val="single" w:sz="4" w:space="0" w:color="auto"/>
            </w:tcBorders>
            <w:vAlign w:val="center"/>
            <w:hideMark/>
          </w:tcPr>
          <w:p w14:paraId="55C6A97C"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Diversity and inclusion initiatives; meta-analysis; performance</w:t>
            </w:r>
          </w:p>
        </w:tc>
        <w:tc>
          <w:tcPr>
            <w:tcW w:w="990" w:type="dxa"/>
            <w:tcBorders>
              <w:top w:val="nil"/>
              <w:left w:val="nil"/>
              <w:bottom w:val="single" w:sz="4" w:space="0" w:color="auto"/>
              <w:right w:val="single" w:sz="4" w:space="0" w:color="auto"/>
            </w:tcBorders>
            <w:vAlign w:val="center"/>
            <w:hideMark/>
          </w:tcPr>
          <w:p w14:paraId="4160CFEA"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Management Research</w:t>
            </w:r>
          </w:p>
        </w:tc>
        <w:tc>
          <w:tcPr>
            <w:tcW w:w="2960" w:type="dxa"/>
            <w:tcBorders>
              <w:top w:val="nil"/>
              <w:left w:val="nil"/>
              <w:bottom w:val="single" w:sz="4" w:space="0" w:color="auto"/>
              <w:right w:val="single" w:sz="4" w:space="0" w:color="auto"/>
            </w:tcBorders>
            <w:vAlign w:val="center"/>
            <w:hideMark/>
          </w:tcPr>
          <w:p w14:paraId="3A1523FE"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Conduct a meta-analysis of diversity and inclusion initiatives.</w:t>
            </w:r>
            <w:r w:rsidRPr="00897882">
              <w:rPr>
                <w:rFonts w:eastAsia="Times New Roman" w:cs="Times New Roman"/>
                <w:color w:val="000000"/>
                <w:sz w:val="18"/>
                <w:szCs w:val="18"/>
                <w:lang w:eastAsia="en-GB"/>
              </w:rPr>
              <w:br/>
              <w:t>Quantify effect sizes of diversity programs.</w:t>
            </w:r>
            <w:r w:rsidRPr="00897882">
              <w:rPr>
                <w:rFonts w:eastAsia="Times New Roman" w:cs="Times New Roman"/>
                <w:color w:val="000000"/>
                <w:sz w:val="18"/>
                <w:szCs w:val="18"/>
                <w:lang w:eastAsia="en-GB"/>
              </w:rPr>
              <w:br/>
              <w:t>Identify the most effective interventions.</w:t>
            </w:r>
          </w:p>
        </w:tc>
      </w:tr>
      <w:tr w:rsidR="00897882" w:rsidRPr="00897882" w14:paraId="3BB43D52" w14:textId="77777777" w:rsidTr="00897882">
        <w:trPr>
          <w:trHeight w:val="630"/>
        </w:trPr>
        <w:tc>
          <w:tcPr>
            <w:tcW w:w="400" w:type="dxa"/>
            <w:tcBorders>
              <w:top w:val="nil"/>
              <w:left w:val="single" w:sz="4" w:space="0" w:color="auto"/>
              <w:bottom w:val="single" w:sz="4" w:space="0" w:color="auto"/>
              <w:right w:val="single" w:sz="4" w:space="0" w:color="auto"/>
            </w:tcBorders>
            <w:noWrap/>
            <w:vAlign w:val="center"/>
            <w:hideMark/>
          </w:tcPr>
          <w:p w14:paraId="5BE71C49"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22</w:t>
            </w:r>
          </w:p>
        </w:tc>
        <w:tc>
          <w:tcPr>
            <w:tcW w:w="1400" w:type="dxa"/>
            <w:tcBorders>
              <w:top w:val="nil"/>
              <w:left w:val="nil"/>
              <w:bottom w:val="single" w:sz="4" w:space="0" w:color="auto"/>
              <w:right w:val="single" w:sz="4" w:space="0" w:color="auto"/>
            </w:tcBorders>
            <w:vAlign w:val="center"/>
            <w:hideMark/>
          </w:tcPr>
          <w:p w14:paraId="4C350977"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E. Kasih; Ruslaini</w:t>
            </w:r>
          </w:p>
        </w:tc>
        <w:tc>
          <w:tcPr>
            <w:tcW w:w="2240" w:type="dxa"/>
            <w:tcBorders>
              <w:top w:val="nil"/>
              <w:left w:val="nil"/>
              <w:bottom w:val="single" w:sz="4" w:space="0" w:color="auto"/>
              <w:right w:val="single" w:sz="4" w:space="0" w:color="auto"/>
            </w:tcBorders>
            <w:vAlign w:val="center"/>
            <w:hideMark/>
          </w:tcPr>
          <w:p w14:paraId="29B8F81E"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The impact of diversity and inclusion initiatives on organizational performance</w:t>
            </w:r>
          </w:p>
        </w:tc>
        <w:tc>
          <w:tcPr>
            <w:tcW w:w="1680" w:type="dxa"/>
            <w:tcBorders>
              <w:top w:val="nil"/>
              <w:left w:val="nil"/>
              <w:bottom w:val="single" w:sz="4" w:space="0" w:color="auto"/>
              <w:right w:val="single" w:sz="4" w:space="0" w:color="auto"/>
            </w:tcBorders>
            <w:vAlign w:val="center"/>
            <w:hideMark/>
          </w:tcPr>
          <w:p w14:paraId="3813613A"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Diversity and inclusion initiatives; organizational performance</w:t>
            </w:r>
          </w:p>
        </w:tc>
        <w:tc>
          <w:tcPr>
            <w:tcW w:w="990" w:type="dxa"/>
            <w:tcBorders>
              <w:top w:val="nil"/>
              <w:left w:val="nil"/>
              <w:bottom w:val="single" w:sz="4" w:space="0" w:color="auto"/>
              <w:right w:val="single" w:sz="4" w:space="0" w:color="auto"/>
            </w:tcBorders>
            <w:vAlign w:val="center"/>
            <w:hideMark/>
          </w:tcPr>
          <w:p w14:paraId="5A85CF1A"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SSRN</w:t>
            </w:r>
          </w:p>
        </w:tc>
        <w:tc>
          <w:tcPr>
            <w:tcW w:w="2960" w:type="dxa"/>
            <w:tcBorders>
              <w:top w:val="nil"/>
              <w:left w:val="nil"/>
              <w:bottom w:val="single" w:sz="4" w:space="0" w:color="auto"/>
              <w:right w:val="single" w:sz="4" w:space="0" w:color="auto"/>
            </w:tcBorders>
            <w:vAlign w:val="center"/>
            <w:hideMark/>
          </w:tcPr>
          <w:p w14:paraId="5A66FAE6"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Examine the impact of diversity and inclusion initiatives on organizational performance.</w:t>
            </w:r>
            <w:r w:rsidRPr="00897882">
              <w:rPr>
                <w:rFonts w:eastAsia="Times New Roman" w:cs="Times New Roman"/>
                <w:color w:val="000000"/>
                <w:sz w:val="18"/>
                <w:szCs w:val="18"/>
                <w:lang w:eastAsia="en-GB"/>
              </w:rPr>
              <w:br/>
              <w:t>Test relationships between initiatives and performance outcomes.</w:t>
            </w:r>
            <w:r w:rsidRPr="00897882">
              <w:rPr>
                <w:rFonts w:eastAsia="Times New Roman" w:cs="Times New Roman"/>
                <w:color w:val="000000"/>
                <w:sz w:val="18"/>
                <w:szCs w:val="18"/>
                <w:lang w:eastAsia="en-GB"/>
              </w:rPr>
              <w:br/>
              <w:t>Provide empirical evidence supporting diversity programs.</w:t>
            </w:r>
          </w:p>
        </w:tc>
      </w:tr>
      <w:tr w:rsidR="00897882" w:rsidRPr="00897882" w14:paraId="2952F729" w14:textId="77777777" w:rsidTr="00897882">
        <w:trPr>
          <w:trHeight w:val="630"/>
        </w:trPr>
        <w:tc>
          <w:tcPr>
            <w:tcW w:w="400" w:type="dxa"/>
            <w:tcBorders>
              <w:top w:val="nil"/>
              <w:left w:val="single" w:sz="4" w:space="0" w:color="auto"/>
              <w:bottom w:val="single" w:sz="4" w:space="0" w:color="auto"/>
              <w:right w:val="single" w:sz="4" w:space="0" w:color="auto"/>
            </w:tcBorders>
            <w:noWrap/>
            <w:vAlign w:val="center"/>
            <w:hideMark/>
          </w:tcPr>
          <w:p w14:paraId="0CA13E9F"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23</w:t>
            </w:r>
          </w:p>
        </w:tc>
        <w:tc>
          <w:tcPr>
            <w:tcW w:w="1400" w:type="dxa"/>
            <w:tcBorders>
              <w:top w:val="nil"/>
              <w:left w:val="nil"/>
              <w:bottom w:val="single" w:sz="4" w:space="0" w:color="auto"/>
              <w:right w:val="single" w:sz="4" w:space="0" w:color="auto"/>
            </w:tcBorders>
            <w:vAlign w:val="center"/>
            <w:hideMark/>
          </w:tcPr>
          <w:p w14:paraId="20EC0659"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Lurdes Patrício; Mário Franco</w:t>
            </w:r>
          </w:p>
        </w:tc>
        <w:tc>
          <w:tcPr>
            <w:tcW w:w="2240" w:type="dxa"/>
            <w:tcBorders>
              <w:top w:val="nil"/>
              <w:left w:val="nil"/>
              <w:bottom w:val="single" w:sz="4" w:space="0" w:color="auto"/>
              <w:right w:val="single" w:sz="4" w:space="0" w:color="auto"/>
            </w:tcBorders>
            <w:vAlign w:val="center"/>
            <w:hideMark/>
          </w:tcPr>
          <w:p w14:paraId="19BC3ABC"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A systematic literature review about team diversity and team performance: Future lines of investigation</w:t>
            </w:r>
          </w:p>
        </w:tc>
        <w:tc>
          <w:tcPr>
            <w:tcW w:w="1680" w:type="dxa"/>
            <w:tcBorders>
              <w:top w:val="nil"/>
              <w:left w:val="nil"/>
              <w:bottom w:val="single" w:sz="4" w:space="0" w:color="auto"/>
              <w:right w:val="single" w:sz="4" w:space="0" w:color="auto"/>
            </w:tcBorders>
            <w:vAlign w:val="center"/>
            <w:hideMark/>
          </w:tcPr>
          <w:p w14:paraId="6525ECD3"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Systematic review; team diversity; team performance; research gaps</w:t>
            </w:r>
          </w:p>
        </w:tc>
        <w:tc>
          <w:tcPr>
            <w:tcW w:w="990" w:type="dxa"/>
            <w:tcBorders>
              <w:top w:val="nil"/>
              <w:left w:val="nil"/>
              <w:bottom w:val="single" w:sz="4" w:space="0" w:color="auto"/>
              <w:right w:val="single" w:sz="4" w:space="0" w:color="auto"/>
            </w:tcBorders>
            <w:vAlign w:val="center"/>
            <w:hideMark/>
          </w:tcPr>
          <w:p w14:paraId="7AFB5322"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Administrative Sciences</w:t>
            </w:r>
          </w:p>
        </w:tc>
        <w:tc>
          <w:tcPr>
            <w:tcW w:w="2960" w:type="dxa"/>
            <w:tcBorders>
              <w:top w:val="nil"/>
              <w:left w:val="nil"/>
              <w:bottom w:val="single" w:sz="4" w:space="0" w:color="auto"/>
              <w:right w:val="single" w:sz="4" w:space="0" w:color="auto"/>
            </w:tcBorders>
            <w:vAlign w:val="center"/>
            <w:hideMark/>
          </w:tcPr>
          <w:p w14:paraId="16B1428E"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Synthesize existing research on team diversity and performance.</w:t>
            </w:r>
            <w:r w:rsidRPr="00897882">
              <w:rPr>
                <w:rFonts w:eastAsia="Times New Roman" w:cs="Times New Roman"/>
                <w:color w:val="000000"/>
                <w:sz w:val="18"/>
                <w:szCs w:val="18"/>
                <w:lang w:eastAsia="en-GB"/>
              </w:rPr>
              <w:br/>
              <w:t>Identify dominant theoretical frameworks.</w:t>
            </w:r>
            <w:r w:rsidRPr="00897882">
              <w:rPr>
                <w:rFonts w:eastAsia="Times New Roman" w:cs="Times New Roman"/>
                <w:color w:val="000000"/>
                <w:sz w:val="18"/>
                <w:szCs w:val="18"/>
                <w:lang w:eastAsia="en-GB"/>
              </w:rPr>
              <w:br/>
              <w:t>Propose future research directions.</w:t>
            </w:r>
          </w:p>
        </w:tc>
      </w:tr>
      <w:tr w:rsidR="00897882" w:rsidRPr="00897882" w14:paraId="2BB5F8F0" w14:textId="77777777" w:rsidTr="00897882">
        <w:trPr>
          <w:trHeight w:val="630"/>
        </w:trPr>
        <w:tc>
          <w:tcPr>
            <w:tcW w:w="400" w:type="dxa"/>
            <w:tcBorders>
              <w:top w:val="nil"/>
              <w:left w:val="single" w:sz="4" w:space="0" w:color="auto"/>
              <w:bottom w:val="single" w:sz="4" w:space="0" w:color="auto"/>
              <w:right w:val="single" w:sz="4" w:space="0" w:color="auto"/>
            </w:tcBorders>
            <w:noWrap/>
            <w:vAlign w:val="center"/>
            <w:hideMark/>
          </w:tcPr>
          <w:p w14:paraId="6EE0B4DC"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24</w:t>
            </w:r>
          </w:p>
        </w:tc>
        <w:tc>
          <w:tcPr>
            <w:tcW w:w="1400" w:type="dxa"/>
            <w:tcBorders>
              <w:top w:val="nil"/>
              <w:left w:val="nil"/>
              <w:bottom w:val="single" w:sz="4" w:space="0" w:color="auto"/>
              <w:right w:val="single" w:sz="4" w:space="0" w:color="auto"/>
            </w:tcBorders>
            <w:vAlign w:val="center"/>
            <w:hideMark/>
          </w:tcPr>
          <w:p w14:paraId="3D875B60"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J.K. Pinto; P. Patanakul; M.B. Pinto</w:t>
            </w:r>
          </w:p>
        </w:tc>
        <w:tc>
          <w:tcPr>
            <w:tcW w:w="2240" w:type="dxa"/>
            <w:tcBorders>
              <w:top w:val="nil"/>
              <w:left w:val="nil"/>
              <w:bottom w:val="single" w:sz="4" w:space="0" w:color="auto"/>
              <w:right w:val="single" w:sz="4" w:space="0" w:color="auto"/>
            </w:tcBorders>
            <w:vAlign w:val="center"/>
            <w:hideMark/>
          </w:tcPr>
          <w:p w14:paraId="0CC94AAB"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The aura of capability: Gender bias in selection for a project manager job</w:t>
            </w:r>
          </w:p>
        </w:tc>
        <w:tc>
          <w:tcPr>
            <w:tcW w:w="1680" w:type="dxa"/>
            <w:tcBorders>
              <w:top w:val="nil"/>
              <w:left w:val="nil"/>
              <w:bottom w:val="single" w:sz="4" w:space="0" w:color="auto"/>
              <w:right w:val="single" w:sz="4" w:space="0" w:color="auto"/>
            </w:tcBorders>
            <w:vAlign w:val="center"/>
            <w:hideMark/>
          </w:tcPr>
          <w:p w14:paraId="21423EF7"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Gender bias; project management; selection decisions</w:t>
            </w:r>
          </w:p>
        </w:tc>
        <w:tc>
          <w:tcPr>
            <w:tcW w:w="990" w:type="dxa"/>
            <w:tcBorders>
              <w:top w:val="nil"/>
              <w:left w:val="nil"/>
              <w:bottom w:val="single" w:sz="4" w:space="0" w:color="auto"/>
              <w:right w:val="single" w:sz="4" w:space="0" w:color="auto"/>
            </w:tcBorders>
            <w:vAlign w:val="center"/>
            <w:hideMark/>
          </w:tcPr>
          <w:p w14:paraId="05765018"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International Journal of Project Management</w:t>
            </w:r>
          </w:p>
        </w:tc>
        <w:tc>
          <w:tcPr>
            <w:tcW w:w="2960" w:type="dxa"/>
            <w:tcBorders>
              <w:top w:val="nil"/>
              <w:left w:val="nil"/>
              <w:bottom w:val="single" w:sz="4" w:space="0" w:color="auto"/>
              <w:right w:val="single" w:sz="4" w:space="0" w:color="auto"/>
            </w:tcBorders>
            <w:vAlign w:val="center"/>
            <w:hideMark/>
          </w:tcPr>
          <w:p w14:paraId="26EB4B56"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Examine gender bias in project manager selection.</w:t>
            </w:r>
            <w:r w:rsidRPr="00897882">
              <w:rPr>
                <w:rFonts w:eastAsia="Times New Roman" w:cs="Times New Roman"/>
                <w:color w:val="000000"/>
                <w:sz w:val="18"/>
                <w:szCs w:val="18"/>
                <w:lang w:eastAsia="en-GB"/>
              </w:rPr>
              <w:br/>
              <w:t>Test differences in capability attribution.</w:t>
            </w:r>
            <w:r w:rsidRPr="00897882">
              <w:rPr>
                <w:rFonts w:eastAsia="Times New Roman" w:cs="Times New Roman"/>
                <w:color w:val="000000"/>
                <w:sz w:val="18"/>
                <w:szCs w:val="18"/>
                <w:lang w:eastAsia="en-GB"/>
              </w:rPr>
              <w:br/>
              <w:t>Document discrimination in project management contexts.</w:t>
            </w:r>
          </w:p>
        </w:tc>
      </w:tr>
      <w:tr w:rsidR="00897882" w:rsidRPr="00897882" w14:paraId="3639AE99" w14:textId="77777777" w:rsidTr="00897882">
        <w:trPr>
          <w:trHeight w:val="630"/>
        </w:trPr>
        <w:tc>
          <w:tcPr>
            <w:tcW w:w="400" w:type="dxa"/>
            <w:tcBorders>
              <w:top w:val="nil"/>
              <w:left w:val="single" w:sz="4" w:space="0" w:color="auto"/>
              <w:bottom w:val="single" w:sz="4" w:space="0" w:color="auto"/>
              <w:right w:val="single" w:sz="4" w:space="0" w:color="auto"/>
            </w:tcBorders>
            <w:noWrap/>
            <w:vAlign w:val="center"/>
            <w:hideMark/>
          </w:tcPr>
          <w:p w14:paraId="7F1BC8BB"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25</w:t>
            </w:r>
          </w:p>
        </w:tc>
        <w:tc>
          <w:tcPr>
            <w:tcW w:w="1400" w:type="dxa"/>
            <w:tcBorders>
              <w:top w:val="nil"/>
              <w:left w:val="nil"/>
              <w:bottom w:val="single" w:sz="4" w:space="0" w:color="auto"/>
              <w:right w:val="single" w:sz="4" w:space="0" w:color="auto"/>
            </w:tcBorders>
            <w:vAlign w:val="center"/>
            <w:hideMark/>
          </w:tcPr>
          <w:p w14:paraId="67F09AF4"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L.M. Shore; J.N. Cleveland; D. Sanchez</w:t>
            </w:r>
          </w:p>
        </w:tc>
        <w:tc>
          <w:tcPr>
            <w:tcW w:w="2240" w:type="dxa"/>
            <w:tcBorders>
              <w:top w:val="nil"/>
              <w:left w:val="nil"/>
              <w:bottom w:val="single" w:sz="4" w:space="0" w:color="auto"/>
              <w:right w:val="single" w:sz="4" w:space="0" w:color="auto"/>
            </w:tcBorders>
            <w:vAlign w:val="center"/>
            <w:hideMark/>
          </w:tcPr>
          <w:p w14:paraId="14756792"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Inclusive workplaces: A review and model</w:t>
            </w:r>
          </w:p>
        </w:tc>
        <w:tc>
          <w:tcPr>
            <w:tcW w:w="1680" w:type="dxa"/>
            <w:tcBorders>
              <w:top w:val="nil"/>
              <w:left w:val="nil"/>
              <w:bottom w:val="single" w:sz="4" w:space="0" w:color="auto"/>
              <w:right w:val="single" w:sz="4" w:space="0" w:color="auto"/>
            </w:tcBorders>
            <w:vAlign w:val="center"/>
            <w:hideMark/>
          </w:tcPr>
          <w:p w14:paraId="77131936"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Workplace inclusion; inclusion model; theory</w:t>
            </w:r>
          </w:p>
        </w:tc>
        <w:tc>
          <w:tcPr>
            <w:tcW w:w="990" w:type="dxa"/>
            <w:tcBorders>
              <w:top w:val="nil"/>
              <w:left w:val="nil"/>
              <w:bottom w:val="single" w:sz="4" w:space="0" w:color="auto"/>
              <w:right w:val="single" w:sz="4" w:space="0" w:color="auto"/>
            </w:tcBorders>
            <w:vAlign w:val="center"/>
            <w:hideMark/>
          </w:tcPr>
          <w:p w14:paraId="32BB3044"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Human Resource Management Review</w:t>
            </w:r>
          </w:p>
        </w:tc>
        <w:tc>
          <w:tcPr>
            <w:tcW w:w="2960" w:type="dxa"/>
            <w:tcBorders>
              <w:top w:val="nil"/>
              <w:left w:val="nil"/>
              <w:bottom w:val="single" w:sz="4" w:space="0" w:color="auto"/>
              <w:right w:val="single" w:sz="4" w:space="0" w:color="auto"/>
            </w:tcBorders>
            <w:vAlign w:val="center"/>
            <w:hideMark/>
          </w:tcPr>
          <w:p w14:paraId="52378016"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Review existing inclusion research.</w:t>
            </w:r>
            <w:r w:rsidRPr="00897882">
              <w:rPr>
                <w:rFonts w:eastAsia="Times New Roman" w:cs="Times New Roman"/>
                <w:color w:val="000000"/>
                <w:sz w:val="18"/>
                <w:szCs w:val="18"/>
                <w:lang w:eastAsia="en-GB"/>
              </w:rPr>
              <w:br/>
              <w:t>Develop a comprehensive workplace inclusion model.</w:t>
            </w:r>
            <w:r w:rsidRPr="00897882">
              <w:rPr>
                <w:rFonts w:eastAsia="Times New Roman" w:cs="Times New Roman"/>
                <w:color w:val="000000"/>
                <w:sz w:val="18"/>
                <w:szCs w:val="18"/>
                <w:lang w:eastAsia="en-GB"/>
              </w:rPr>
              <w:br/>
              <w:t>Propose a theoretical framework for inclusion practices.</w:t>
            </w:r>
          </w:p>
        </w:tc>
      </w:tr>
      <w:tr w:rsidR="00897882" w:rsidRPr="00897882" w14:paraId="6C818AE1" w14:textId="77777777" w:rsidTr="00897882">
        <w:trPr>
          <w:trHeight w:val="630"/>
        </w:trPr>
        <w:tc>
          <w:tcPr>
            <w:tcW w:w="400" w:type="dxa"/>
            <w:tcBorders>
              <w:top w:val="nil"/>
              <w:left w:val="single" w:sz="4" w:space="0" w:color="auto"/>
              <w:bottom w:val="single" w:sz="4" w:space="0" w:color="auto"/>
              <w:right w:val="single" w:sz="4" w:space="0" w:color="auto"/>
            </w:tcBorders>
            <w:noWrap/>
            <w:vAlign w:val="center"/>
            <w:hideMark/>
          </w:tcPr>
          <w:p w14:paraId="5DEBFEEB"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26</w:t>
            </w:r>
          </w:p>
        </w:tc>
        <w:tc>
          <w:tcPr>
            <w:tcW w:w="1400" w:type="dxa"/>
            <w:tcBorders>
              <w:top w:val="nil"/>
              <w:left w:val="nil"/>
              <w:bottom w:val="single" w:sz="4" w:space="0" w:color="auto"/>
              <w:right w:val="single" w:sz="4" w:space="0" w:color="auto"/>
            </w:tcBorders>
            <w:vAlign w:val="center"/>
            <w:hideMark/>
          </w:tcPr>
          <w:p w14:paraId="419F6752"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G.K. Stahl; M.L. Maznevski</w:t>
            </w:r>
          </w:p>
        </w:tc>
        <w:tc>
          <w:tcPr>
            <w:tcW w:w="2240" w:type="dxa"/>
            <w:tcBorders>
              <w:top w:val="nil"/>
              <w:left w:val="nil"/>
              <w:bottom w:val="single" w:sz="4" w:space="0" w:color="auto"/>
              <w:right w:val="single" w:sz="4" w:space="0" w:color="auto"/>
            </w:tcBorders>
            <w:vAlign w:val="center"/>
            <w:hideMark/>
          </w:tcPr>
          <w:p w14:paraId="1B4B887D"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Unraveling the effects of cultural diversity in teams: A retrospective of research on multicultural work groups</w:t>
            </w:r>
          </w:p>
        </w:tc>
        <w:tc>
          <w:tcPr>
            <w:tcW w:w="1680" w:type="dxa"/>
            <w:tcBorders>
              <w:top w:val="nil"/>
              <w:left w:val="nil"/>
              <w:bottom w:val="single" w:sz="4" w:space="0" w:color="auto"/>
              <w:right w:val="single" w:sz="4" w:space="0" w:color="auto"/>
            </w:tcBorders>
            <w:vAlign w:val="center"/>
            <w:hideMark/>
          </w:tcPr>
          <w:p w14:paraId="3BBFD2C4"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Cultural diversity; multicultural teams; research retrospective</w:t>
            </w:r>
          </w:p>
        </w:tc>
        <w:tc>
          <w:tcPr>
            <w:tcW w:w="990" w:type="dxa"/>
            <w:tcBorders>
              <w:top w:val="nil"/>
              <w:left w:val="nil"/>
              <w:bottom w:val="single" w:sz="4" w:space="0" w:color="auto"/>
              <w:right w:val="single" w:sz="4" w:space="0" w:color="auto"/>
            </w:tcBorders>
            <w:vAlign w:val="center"/>
            <w:hideMark/>
          </w:tcPr>
          <w:p w14:paraId="49057B40"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Journal of International Business Studies</w:t>
            </w:r>
          </w:p>
        </w:tc>
        <w:tc>
          <w:tcPr>
            <w:tcW w:w="2960" w:type="dxa"/>
            <w:tcBorders>
              <w:top w:val="nil"/>
              <w:left w:val="nil"/>
              <w:bottom w:val="single" w:sz="4" w:space="0" w:color="auto"/>
              <w:right w:val="single" w:sz="4" w:space="0" w:color="auto"/>
            </w:tcBorders>
            <w:vAlign w:val="center"/>
            <w:hideMark/>
          </w:tcPr>
          <w:p w14:paraId="72561C1D"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Provide a comprehensive retrospective of cultural diversity research.</w:t>
            </w:r>
            <w:r w:rsidRPr="00897882">
              <w:rPr>
                <w:rFonts w:eastAsia="Times New Roman" w:cs="Times New Roman"/>
                <w:color w:val="000000"/>
                <w:sz w:val="18"/>
                <w:szCs w:val="18"/>
                <w:lang w:eastAsia="en-GB"/>
              </w:rPr>
              <w:br/>
              <w:t>Synthesize decades of findings.</w:t>
            </w:r>
            <w:r w:rsidRPr="00897882">
              <w:rPr>
                <w:rFonts w:eastAsia="Times New Roman" w:cs="Times New Roman"/>
                <w:color w:val="000000"/>
                <w:sz w:val="18"/>
                <w:szCs w:val="18"/>
                <w:lang w:eastAsia="en-GB"/>
              </w:rPr>
              <w:br/>
              <w:t>Identify patterns, contradictions, and future research directions.</w:t>
            </w:r>
          </w:p>
        </w:tc>
      </w:tr>
      <w:tr w:rsidR="00897882" w:rsidRPr="00897882" w14:paraId="2A86CAAB" w14:textId="77777777" w:rsidTr="00897882">
        <w:trPr>
          <w:trHeight w:val="630"/>
        </w:trPr>
        <w:tc>
          <w:tcPr>
            <w:tcW w:w="400" w:type="dxa"/>
            <w:tcBorders>
              <w:top w:val="nil"/>
              <w:left w:val="single" w:sz="4" w:space="0" w:color="auto"/>
              <w:bottom w:val="single" w:sz="4" w:space="0" w:color="auto"/>
              <w:right w:val="single" w:sz="4" w:space="0" w:color="auto"/>
            </w:tcBorders>
            <w:noWrap/>
            <w:vAlign w:val="center"/>
            <w:hideMark/>
          </w:tcPr>
          <w:p w14:paraId="40B9CDCD"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27</w:t>
            </w:r>
          </w:p>
        </w:tc>
        <w:tc>
          <w:tcPr>
            <w:tcW w:w="1400" w:type="dxa"/>
            <w:tcBorders>
              <w:top w:val="nil"/>
              <w:left w:val="nil"/>
              <w:bottom w:val="single" w:sz="4" w:space="0" w:color="auto"/>
              <w:right w:val="single" w:sz="4" w:space="0" w:color="auto"/>
            </w:tcBorders>
            <w:vAlign w:val="center"/>
            <w:hideMark/>
          </w:tcPr>
          <w:p w14:paraId="33191940"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H. Tenzer; M. Pudelko; A.W. Harzing</w:t>
            </w:r>
          </w:p>
        </w:tc>
        <w:tc>
          <w:tcPr>
            <w:tcW w:w="2240" w:type="dxa"/>
            <w:tcBorders>
              <w:top w:val="nil"/>
              <w:left w:val="nil"/>
              <w:bottom w:val="single" w:sz="4" w:space="0" w:color="auto"/>
              <w:right w:val="single" w:sz="4" w:space="0" w:color="auto"/>
            </w:tcBorders>
            <w:vAlign w:val="center"/>
            <w:hideMark/>
          </w:tcPr>
          <w:p w14:paraId="64EA75AE"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The impact of language barriers on trust formation in multinational teams</w:t>
            </w:r>
          </w:p>
        </w:tc>
        <w:tc>
          <w:tcPr>
            <w:tcW w:w="1680" w:type="dxa"/>
            <w:tcBorders>
              <w:top w:val="nil"/>
              <w:left w:val="nil"/>
              <w:bottom w:val="single" w:sz="4" w:space="0" w:color="auto"/>
              <w:right w:val="single" w:sz="4" w:space="0" w:color="auto"/>
            </w:tcBorders>
            <w:vAlign w:val="center"/>
            <w:hideMark/>
          </w:tcPr>
          <w:p w14:paraId="11B16E5A"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Language barriers; trust formation; multinational teams</w:t>
            </w:r>
          </w:p>
        </w:tc>
        <w:tc>
          <w:tcPr>
            <w:tcW w:w="990" w:type="dxa"/>
            <w:tcBorders>
              <w:top w:val="nil"/>
              <w:left w:val="nil"/>
              <w:bottom w:val="single" w:sz="4" w:space="0" w:color="auto"/>
              <w:right w:val="single" w:sz="4" w:space="0" w:color="auto"/>
            </w:tcBorders>
            <w:vAlign w:val="center"/>
            <w:hideMark/>
          </w:tcPr>
          <w:p w14:paraId="5EE339E0"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Journal of International Business Studies</w:t>
            </w:r>
          </w:p>
        </w:tc>
        <w:tc>
          <w:tcPr>
            <w:tcW w:w="2960" w:type="dxa"/>
            <w:tcBorders>
              <w:top w:val="nil"/>
              <w:left w:val="nil"/>
              <w:bottom w:val="single" w:sz="4" w:space="0" w:color="auto"/>
              <w:right w:val="single" w:sz="4" w:space="0" w:color="auto"/>
            </w:tcBorders>
            <w:vAlign w:val="center"/>
            <w:hideMark/>
          </w:tcPr>
          <w:p w14:paraId="4E3035A5"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Examine the effects of language barriers on trust formation.</w:t>
            </w:r>
            <w:r w:rsidRPr="00897882">
              <w:rPr>
                <w:rFonts w:eastAsia="Times New Roman" w:cs="Times New Roman"/>
                <w:color w:val="000000"/>
                <w:sz w:val="18"/>
                <w:szCs w:val="18"/>
                <w:lang w:eastAsia="en-GB"/>
              </w:rPr>
              <w:br/>
              <w:t>Identify mechanisms linking language differences to trust.</w:t>
            </w:r>
            <w:r w:rsidRPr="00897882">
              <w:rPr>
                <w:rFonts w:eastAsia="Times New Roman" w:cs="Times New Roman"/>
                <w:color w:val="000000"/>
                <w:sz w:val="18"/>
                <w:szCs w:val="18"/>
                <w:lang w:eastAsia="en-GB"/>
              </w:rPr>
              <w:br/>
              <w:t>Provide insights for managing multinational teams.</w:t>
            </w:r>
          </w:p>
        </w:tc>
      </w:tr>
      <w:tr w:rsidR="00897882" w:rsidRPr="00897882" w14:paraId="49652958" w14:textId="77777777" w:rsidTr="00897882">
        <w:trPr>
          <w:trHeight w:val="840"/>
        </w:trPr>
        <w:tc>
          <w:tcPr>
            <w:tcW w:w="400" w:type="dxa"/>
            <w:tcBorders>
              <w:top w:val="nil"/>
              <w:left w:val="single" w:sz="4" w:space="0" w:color="auto"/>
              <w:bottom w:val="single" w:sz="4" w:space="0" w:color="auto"/>
              <w:right w:val="single" w:sz="4" w:space="0" w:color="auto"/>
            </w:tcBorders>
            <w:noWrap/>
            <w:vAlign w:val="center"/>
            <w:hideMark/>
          </w:tcPr>
          <w:p w14:paraId="1019BFCA"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28</w:t>
            </w:r>
          </w:p>
        </w:tc>
        <w:tc>
          <w:tcPr>
            <w:tcW w:w="1400" w:type="dxa"/>
            <w:tcBorders>
              <w:top w:val="nil"/>
              <w:left w:val="nil"/>
              <w:bottom w:val="single" w:sz="4" w:space="0" w:color="auto"/>
              <w:right w:val="single" w:sz="4" w:space="0" w:color="auto"/>
            </w:tcBorders>
            <w:vAlign w:val="center"/>
            <w:hideMark/>
          </w:tcPr>
          <w:p w14:paraId="46DF6EAA"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S. Urionabarrenetxea; A. Fernández-Sainz; J.D. García-Merino</w:t>
            </w:r>
          </w:p>
        </w:tc>
        <w:tc>
          <w:tcPr>
            <w:tcW w:w="2240" w:type="dxa"/>
            <w:tcBorders>
              <w:top w:val="nil"/>
              <w:left w:val="nil"/>
              <w:bottom w:val="single" w:sz="4" w:space="0" w:color="auto"/>
              <w:right w:val="single" w:sz="4" w:space="0" w:color="auto"/>
            </w:tcBorders>
            <w:vAlign w:val="center"/>
            <w:hideMark/>
          </w:tcPr>
          <w:p w14:paraId="04A55823"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Team diversity and performance in management students: Towards an integrated model</w:t>
            </w:r>
          </w:p>
        </w:tc>
        <w:tc>
          <w:tcPr>
            <w:tcW w:w="1680" w:type="dxa"/>
            <w:tcBorders>
              <w:top w:val="nil"/>
              <w:left w:val="nil"/>
              <w:bottom w:val="single" w:sz="4" w:space="0" w:color="auto"/>
              <w:right w:val="single" w:sz="4" w:space="0" w:color="auto"/>
            </w:tcBorders>
            <w:vAlign w:val="center"/>
            <w:hideMark/>
          </w:tcPr>
          <w:p w14:paraId="5632EB2A"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Educational diversity; student teams; integrated model</w:t>
            </w:r>
          </w:p>
        </w:tc>
        <w:tc>
          <w:tcPr>
            <w:tcW w:w="990" w:type="dxa"/>
            <w:tcBorders>
              <w:top w:val="nil"/>
              <w:left w:val="nil"/>
              <w:bottom w:val="single" w:sz="4" w:space="0" w:color="auto"/>
              <w:right w:val="single" w:sz="4" w:space="0" w:color="auto"/>
            </w:tcBorders>
            <w:vAlign w:val="center"/>
            <w:hideMark/>
          </w:tcPr>
          <w:p w14:paraId="7A7489CA"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The International Journal of Management Education</w:t>
            </w:r>
          </w:p>
        </w:tc>
        <w:tc>
          <w:tcPr>
            <w:tcW w:w="2960" w:type="dxa"/>
            <w:tcBorders>
              <w:top w:val="nil"/>
              <w:left w:val="nil"/>
              <w:bottom w:val="single" w:sz="4" w:space="0" w:color="auto"/>
              <w:right w:val="single" w:sz="4" w:space="0" w:color="auto"/>
            </w:tcBorders>
            <w:vAlign w:val="center"/>
            <w:hideMark/>
          </w:tcPr>
          <w:p w14:paraId="63D6FAEC"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Develop an integrated model of diversity and performance.</w:t>
            </w:r>
            <w:r w:rsidRPr="00897882">
              <w:rPr>
                <w:rFonts w:eastAsia="Times New Roman" w:cs="Times New Roman"/>
                <w:color w:val="000000"/>
                <w:sz w:val="18"/>
                <w:szCs w:val="18"/>
                <w:lang w:eastAsia="en-GB"/>
              </w:rPr>
              <w:br/>
              <w:t>Test the model in a management education context.</w:t>
            </w:r>
            <w:r w:rsidRPr="00897882">
              <w:rPr>
                <w:rFonts w:eastAsia="Times New Roman" w:cs="Times New Roman"/>
                <w:color w:val="000000"/>
                <w:sz w:val="18"/>
                <w:szCs w:val="18"/>
                <w:lang w:eastAsia="en-GB"/>
              </w:rPr>
              <w:br/>
              <w:t>Examine multiple dimensions of diversity.</w:t>
            </w:r>
          </w:p>
        </w:tc>
      </w:tr>
      <w:tr w:rsidR="00897882" w:rsidRPr="00897882" w14:paraId="21EE04A0" w14:textId="77777777" w:rsidTr="00897882">
        <w:trPr>
          <w:trHeight w:val="630"/>
        </w:trPr>
        <w:tc>
          <w:tcPr>
            <w:tcW w:w="400" w:type="dxa"/>
            <w:tcBorders>
              <w:top w:val="nil"/>
              <w:left w:val="single" w:sz="4" w:space="0" w:color="auto"/>
              <w:bottom w:val="single" w:sz="4" w:space="0" w:color="auto"/>
              <w:right w:val="single" w:sz="4" w:space="0" w:color="auto"/>
            </w:tcBorders>
            <w:noWrap/>
            <w:vAlign w:val="center"/>
            <w:hideMark/>
          </w:tcPr>
          <w:p w14:paraId="48EFE73D"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29</w:t>
            </w:r>
          </w:p>
        </w:tc>
        <w:tc>
          <w:tcPr>
            <w:tcW w:w="1400" w:type="dxa"/>
            <w:tcBorders>
              <w:top w:val="nil"/>
              <w:left w:val="nil"/>
              <w:bottom w:val="single" w:sz="4" w:space="0" w:color="auto"/>
              <w:right w:val="single" w:sz="4" w:space="0" w:color="auto"/>
            </w:tcBorders>
            <w:vAlign w:val="center"/>
            <w:hideMark/>
          </w:tcPr>
          <w:p w14:paraId="3686F9EF"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D. Van Knippenberg; J.N. Mell</w:t>
            </w:r>
          </w:p>
        </w:tc>
        <w:tc>
          <w:tcPr>
            <w:tcW w:w="2240" w:type="dxa"/>
            <w:tcBorders>
              <w:top w:val="nil"/>
              <w:left w:val="nil"/>
              <w:bottom w:val="single" w:sz="4" w:space="0" w:color="auto"/>
              <w:right w:val="single" w:sz="4" w:space="0" w:color="auto"/>
            </w:tcBorders>
            <w:vAlign w:val="center"/>
            <w:hideMark/>
          </w:tcPr>
          <w:p w14:paraId="732F1971"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Past, present, and potential future of team diversity research: From compositional diversity to emergent diversity</w:t>
            </w:r>
          </w:p>
        </w:tc>
        <w:tc>
          <w:tcPr>
            <w:tcW w:w="1680" w:type="dxa"/>
            <w:tcBorders>
              <w:top w:val="nil"/>
              <w:left w:val="nil"/>
              <w:bottom w:val="single" w:sz="4" w:space="0" w:color="auto"/>
              <w:right w:val="single" w:sz="4" w:space="0" w:color="auto"/>
            </w:tcBorders>
            <w:vAlign w:val="center"/>
            <w:hideMark/>
          </w:tcPr>
          <w:p w14:paraId="70EFF929"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Team diversity theory; compositional diversity; emergent diversity</w:t>
            </w:r>
          </w:p>
        </w:tc>
        <w:tc>
          <w:tcPr>
            <w:tcW w:w="990" w:type="dxa"/>
            <w:tcBorders>
              <w:top w:val="nil"/>
              <w:left w:val="nil"/>
              <w:bottom w:val="single" w:sz="4" w:space="0" w:color="auto"/>
              <w:right w:val="single" w:sz="4" w:space="0" w:color="auto"/>
            </w:tcBorders>
            <w:vAlign w:val="center"/>
            <w:hideMark/>
          </w:tcPr>
          <w:p w14:paraId="41369680"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Organizational Behavior and Human Decision Processes</w:t>
            </w:r>
          </w:p>
        </w:tc>
        <w:tc>
          <w:tcPr>
            <w:tcW w:w="2960" w:type="dxa"/>
            <w:tcBorders>
              <w:top w:val="nil"/>
              <w:left w:val="nil"/>
              <w:bottom w:val="single" w:sz="4" w:space="0" w:color="auto"/>
              <w:right w:val="single" w:sz="4" w:space="0" w:color="auto"/>
            </w:tcBorders>
            <w:vAlign w:val="center"/>
            <w:hideMark/>
          </w:tcPr>
          <w:p w14:paraId="66388909"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Trace the evolution of team diversity theory.</w:t>
            </w:r>
            <w:r w:rsidRPr="00897882">
              <w:rPr>
                <w:rFonts w:eastAsia="Times New Roman" w:cs="Times New Roman"/>
                <w:color w:val="000000"/>
                <w:sz w:val="18"/>
                <w:szCs w:val="18"/>
                <w:lang w:eastAsia="en-GB"/>
              </w:rPr>
              <w:br/>
              <w:t>Distinguish compositional and emergent diversity.</w:t>
            </w:r>
            <w:r w:rsidRPr="00897882">
              <w:rPr>
                <w:rFonts w:eastAsia="Times New Roman" w:cs="Times New Roman"/>
                <w:color w:val="000000"/>
                <w:sz w:val="18"/>
                <w:szCs w:val="18"/>
                <w:lang w:eastAsia="en-GB"/>
              </w:rPr>
              <w:br/>
              <w:t>Propose future research directions.</w:t>
            </w:r>
          </w:p>
        </w:tc>
      </w:tr>
      <w:tr w:rsidR="00897882" w:rsidRPr="00897882" w14:paraId="133FF9DE" w14:textId="77777777" w:rsidTr="00897882">
        <w:trPr>
          <w:trHeight w:val="840"/>
        </w:trPr>
        <w:tc>
          <w:tcPr>
            <w:tcW w:w="400" w:type="dxa"/>
            <w:tcBorders>
              <w:top w:val="nil"/>
              <w:left w:val="single" w:sz="4" w:space="0" w:color="auto"/>
              <w:bottom w:val="single" w:sz="4" w:space="0" w:color="auto"/>
              <w:right w:val="single" w:sz="4" w:space="0" w:color="auto"/>
            </w:tcBorders>
            <w:noWrap/>
            <w:vAlign w:val="center"/>
            <w:hideMark/>
          </w:tcPr>
          <w:p w14:paraId="4334263F"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30</w:t>
            </w:r>
          </w:p>
        </w:tc>
        <w:tc>
          <w:tcPr>
            <w:tcW w:w="1400" w:type="dxa"/>
            <w:tcBorders>
              <w:top w:val="nil"/>
              <w:left w:val="nil"/>
              <w:bottom w:val="single" w:sz="4" w:space="0" w:color="auto"/>
              <w:right w:val="single" w:sz="4" w:space="0" w:color="auto"/>
            </w:tcBorders>
            <w:vAlign w:val="center"/>
            <w:hideMark/>
          </w:tcPr>
          <w:p w14:paraId="42AC1A99"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 xml:space="preserve">Lukas Wallrich; Victoria Opara; Miki Wesołowska; </w:t>
            </w:r>
            <w:r w:rsidRPr="00897882">
              <w:rPr>
                <w:rFonts w:eastAsia="Times New Roman" w:cs="Times New Roman"/>
                <w:color w:val="000000"/>
                <w:sz w:val="18"/>
                <w:szCs w:val="18"/>
                <w:lang w:eastAsia="en-GB"/>
              </w:rPr>
              <w:lastRenderedPageBreak/>
              <w:t>Ditte Barnoth; Sayeh Yousefi</w:t>
            </w:r>
          </w:p>
        </w:tc>
        <w:tc>
          <w:tcPr>
            <w:tcW w:w="2240" w:type="dxa"/>
            <w:tcBorders>
              <w:top w:val="nil"/>
              <w:left w:val="nil"/>
              <w:bottom w:val="single" w:sz="4" w:space="0" w:color="auto"/>
              <w:right w:val="single" w:sz="4" w:space="0" w:color="auto"/>
            </w:tcBorders>
            <w:vAlign w:val="center"/>
            <w:hideMark/>
          </w:tcPr>
          <w:p w14:paraId="5F854602"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lastRenderedPageBreak/>
              <w:t xml:space="preserve">The relationship between team diversity and team performance: Reconciling promise and reality through </w:t>
            </w:r>
            <w:r w:rsidRPr="00897882">
              <w:rPr>
                <w:rFonts w:eastAsia="Times New Roman" w:cs="Times New Roman"/>
                <w:color w:val="000000"/>
                <w:sz w:val="18"/>
                <w:szCs w:val="18"/>
                <w:lang w:eastAsia="en-GB"/>
              </w:rPr>
              <w:lastRenderedPageBreak/>
              <w:t>a comprehensive meta-analysis registered report</w:t>
            </w:r>
          </w:p>
        </w:tc>
        <w:tc>
          <w:tcPr>
            <w:tcW w:w="1680" w:type="dxa"/>
            <w:tcBorders>
              <w:top w:val="nil"/>
              <w:left w:val="nil"/>
              <w:bottom w:val="single" w:sz="4" w:space="0" w:color="auto"/>
              <w:right w:val="single" w:sz="4" w:space="0" w:color="auto"/>
            </w:tcBorders>
            <w:vAlign w:val="center"/>
            <w:hideMark/>
          </w:tcPr>
          <w:p w14:paraId="16DBA02F"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lastRenderedPageBreak/>
              <w:t xml:space="preserve">Meta-analysis; diversity–performance </w:t>
            </w:r>
            <w:r w:rsidRPr="00897882">
              <w:rPr>
                <w:rFonts w:eastAsia="Times New Roman" w:cs="Times New Roman"/>
                <w:color w:val="000000"/>
                <w:sz w:val="18"/>
                <w:szCs w:val="18"/>
                <w:lang w:eastAsia="en-GB"/>
              </w:rPr>
              <w:lastRenderedPageBreak/>
              <w:t>relationship; moderators</w:t>
            </w:r>
          </w:p>
        </w:tc>
        <w:tc>
          <w:tcPr>
            <w:tcW w:w="990" w:type="dxa"/>
            <w:tcBorders>
              <w:top w:val="nil"/>
              <w:left w:val="nil"/>
              <w:bottom w:val="single" w:sz="4" w:space="0" w:color="auto"/>
              <w:right w:val="single" w:sz="4" w:space="0" w:color="auto"/>
            </w:tcBorders>
            <w:vAlign w:val="center"/>
            <w:hideMark/>
          </w:tcPr>
          <w:p w14:paraId="029CDC4E"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lastRenderedPageBreak/>
              <w:t>Journal of Business and Psychology</w:t>
            </w:r>
          </w:p>
        </w:tc>
        <w:tc>
          <w:tcPr>
            <w:tcW w:w="2960" w:type="dxa"/>
            <w:tcBorders>
              <w:top w:val="nil"/>
              <w:left w:val="nil"/>
              <w:bottom w:val="single" w:sz="4" w:space="0" w:color="auto"/>
              <w:right w:val="single" w:sz="4" w:space="0" w:color="auto"/>
            </w:tcBorders>
            <w:vAlign w:val="center"/>
            <w:hideMark/>
          </w:tcPr>
          <w:p w14:paraId="56BC5CC6"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Conduct a preregistered meta-analysis.</w:t>
            </w:r>
            <w:r w:rsidRPr="00897882">
              <w:rPr>
                <w:rFonts w:eastAsia="Times New Roman" w:cs="Times New Roman"/>
                <w:color w:val="000000"/>
                <w:sz w:val="18"/>
                <w:szCs w:val="18"/>
                <w:lang w:eastAsia="en-GB"/>
              </w:rPr>
              <w:br/>
              <w:t>Reconcile conflicting findings.</w:t>
            </w:r>
            <w:r w:rsidRPr="00897882">
              <w:rPr>
                <w:rFonts w:eastAsia="Times New Roman" w:cs="Times New Roman"/>
                <w:color w:val="000000"/>
                <w:sz w:val="18"/>
                <w:szCs w:val="18"/>
                <w:lang w:eastAsia="en-GB"/>
              </w:rPr>
              <w:br/>
            </w:r>
            <w:r w:rsidRPr="00897882">
              <w:rPr>
                <w:rFonts w:eastAsia="Times New Roman" w:cs="Times New Roman"/>
                <w:color w:val="000000"/>
                <w:sz w:val="18"/>
                <w:szCs w:val="18"/>
                <w:lang w:eastAsia="en-GB"/>
              </w:rPr>
              <w:lastRenderedPageBreak/>
              <w:t>Determine true effect sizes.</w:t>
            </w:r>
            <w:r w:rsidRPr="00897882">
              <w:rPr>
                <w:rFonts w:eastAsia="Times New Roman" w:cs="Times New Roman"/>
                <w:color w:val="000000"/>
                <w:sz w:val="18"/>
                <w:szCs w:val="18"/>
                <w:lang w:eastAsia="en-GB"/>
              </w:rPr>
              <w:br/>
              <w:t>Identify moderating conditions.</w:t>
            </w:r>
          </w:p>
        </w:tc>
      </w:tr>
      <w:tr w:rsidR="00897882" w:rsidRPr="00897882" w14:paraId="611680F5" w14:textId="77777777" w:rsidTr="00897882">
        <w:trPr>
          <w:trHeight w:val="630"/>
        </w:trPr>
        <w:tc>
          <w:tcPr>
            <w:tcW w:w="400" w:type="dxa"/>
            <w:tcBorders>
              <w:top w:val="nil"/>
              <w:left w:val="single" w:sz="4" w:space="0" w:color="auto"/>
              <w:bottom w:val="single" w:sz="4" w:space="0" w:color="auto"/>
              <w:right w:val="single" w:sz="4" w:space="0" w:color="auto"/>
            </w:tcBorders>
            <w:noWrap/>
            <w:vAlign w:val="center"/>
            <w:hideMark/>
          </w:tcPr>
          <w:p w14:paraId="18616D47"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lastRenderedPageBreak/>
              <w:t>31</w:t>
            </w:r>
          </w:p>
        </w:tc>
        <w:tc>
          <w:tcPr>
            <w:tcW w:w="1400" w:type="dxa"/>
            <w:tcBorders>
              <w:top w:val="nil"/>
              <w:left w:val="nil"/>
              <w:bottom w:val="single" w:sz="4" w:space="0" w:color="auto"/>
              <w:right w:val="single" w:sz="4" w:space="0" w:color="auto"/>
            </w:tcBorders>
            <w:vAlign w:val="center"/>
            <w:hideMark/>
          </w:tcPr>
          <w:p w14:paraId="6CA9F609"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Katul Yousef</w:t>
            </w:r>
          </w:p>
        </w:tc>
        <w:tc>
          <w:tcPr>
            <w:tcW w:w="2240" w:type="dxa"/>
            <w:tcBorders>
              <w:top w:val="nil"/>
              <w:left w:val="nil"/>
              <w:bottom w:val="single" w:sz="4" w:space="0" w:color="auto"/>
              <w:right w:val="single" w:sz="4" w:space="0" w:color="auto"/>
            </w:tcBorders>
            <w:vAlign w:val="center"/>
            <w:hideMark/>
          </w:tcPr>
          <w:p w14:paraId="4F50AEC8"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Exploring the impact of cultural diversity in global projects: A comparative analysis of virtual and face-to-face teamwork</w:t>
            </w:r>
          </w:p>
        </w:tc>
        <w:tc>
          <w:tcPr>
            <w:tcW w:w="1680" w:type="dxa"/>
            <w:tcBorders>
              <w:top w:val="nil"/>
              <w:left w:val="nil"/>
              <w:bottom w:val="single" w:sz="4" w:space="0" w:color="auto"/>
              <w:right w:val="single" w:sz="4" w:space="0" w:color="auto"/>
            </w:tcBorders>
            <w:vAlign w:val="center"/>
            <w:hideMark/>
          </w:tcPr>
          <w:p w14:paraId="654DFDB4"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Cultural diversity; global projects; virtual teams; face-to-face teams</w:t>
            </w:r>
          </w:p>
        </w:tc>
        <w:tc>
          <w:tcPr>
            <w:tcW w:w="990" w:type="dxa"/>
            <w:tcBorders>
              <w:top w:val="nil"/>
              <w:left w:val="nil"/>
              <w:bottom w:val="single" w:sz="4" w:space="0" w:color="auto"/>
              <w:right w:val="single" w:sz="4" w:space="0" w:color="auto"/>
            </w:tcBorders>
            <w:vAlign w:val="center"/>
            <w:hideMark/>
          </w:tcPr>
          <w:p w14:paraId="7C0AD46E"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SAGE Journals</w:t>
            </w:r>
          </w:p>
        </w:tc>
        <w:tc>
          <w:tcPr>
            <w:tcW w:w="2960" w:type="dxa"/>
            <w:tcBorders>
              <w:top w:val="nil"/>
              <w:left w:val="nil"/>
              <w:bottom w:val="single" w:sz="4" w:space="0" w:color="auto"/>
              <w:right w:val="single" w:sz="4" w:space="0" w:color="auto"/>
            </w:tcBorders>
            <w:vAlign w:val="center"/>
            <w:hideMark/>
          </w:tcPr>
          <w:p w14:paraId="46846B55" w14:textId="77777777" w:rsidR="00897882" w:rsidRPr="00897882" w:rsidRDefault="00897882" w:rsidP="00897882">
            <w:pPr>
              <w:spacing w:line="240" w:lineRule="auto"/>
              <w:jc w:val="left"/>
              <w:rPr>
                <w:rFonts w:eastAsia="Times New Roman" w:cs="Times New Roman"/>
                <w:color w:val="000000"/>
                <w:sz w:val="18"/>
                <w:szCs w:val="18"/>
                <w:lang w:eastAsia="en-GB"/>
              </w:rPr>
            </w:pPr>
            <w:r w:rsidRPr="00897882">
              <w:rPr>
                <w:rFonts w:eastAsia="Times New Roman" w:cs="Times New Roman"/>
                <w:color w:val="000000"/>
                <w:sz w:val="18"/>
                <w:szCs w:val="18"/>
                <w:lang w:eastAsia="en-GB"/>
              </w:rPr>
              <w:t>Compare the effects of cultural diversity in virtual and face-to-face teams.</w:t>
            </w:r>
            <w:r w:rsidRPr="00897882">
              <w:rPr>
                <w:rFonts w:eastAsia="Times New Roman" w:cs="Times New Roman"/>
                <w:color w:val="000000"/>
                <w:sz w:val="18"/>
                <w:szCs w:val="18"/>
                <w:lang w:eastAsia="en-GB"/>
              </w:rPr>
              <w:br/>
              <w:t>Identify key differences between team formats.</w:t>
            </w:r>
            <w:r w:rsidRPr="00897882">
              <w:rPr>
                <w:rFonts w:eastAsia="Times New Roman" w:cs="Times New Roman"/>
                <w:color w:val="000000"/>
                <w:sz w:val="18"/>
                <w:szCs w:val="18"/>
                <w:lang w:eastAsia="en-GB"/>
              </w:rPr>
              <w:br/>
              <w:t>Examine cultural diversity challenges in global projects.</w:t>
            </w:r>
          </w:p>
        </w:tc>
      </w:tr>
    </w:tbl>
    <w:p w14:paraId="750E7DC7" w14:textId="27FCBF51" w:rsidR="00897882" w:rsidRDefault="00897882" w:rsidP="001B5232">
      <w:pPr>
        <w:spacing w:before="240" w:after="240"/>
        <w:jc w:val="left"/>
        <w:rPr>
          <w:rFonts w:cs="Times New Roman"/>
        </w:rPr>
      </w:pPr>
    </w:p>
    <w:p w14:paraId="264451BB" w14:textId="6BDDF164" w:rsidR="00897882" w:rsidRDefault="00897882">
      <w:pPr>
        <w:spacing w:after="160" w:line="259" w:lineRule="auto"/>
        <w:jc w:val="left"/>
        <w:rPr>
          <w:rFonts w:cs="Times New Roman"/>
        </w:rPr>
      </w:pPr>
    </w:p>
    <w:p w14:paraId="5333C755" w14:textId="2F79B9E9" w:rsidR="00A66FB4" w:rsidRDefault="00A66FB4">
      <w:pPr>
        <w:spacing w:after="160" w:line="259" w:lineRule="auto"/>
        <w:jc w:val="left"/>
        <w:rPr>
          <w:rFonts w:eastAsiaTheme="majorEastAsia" w:cstheme="majorBidi"/>
          <w:b/>
          <w:sz w:val="32"/>
          <w:szCs w:val="32"/>
        </w:rPr>
      </w:pPr>
      <w:bookmarkStart w:id="48" w:name="_Toc218684560"/>
      <w:bookmarkEnd w:id="48"/>
    </w:p>
    <w:sectPr w:rsidR="00A66FB4">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7D9382" w14:textId="77777777" w:rsidR="00003D90" w:rsidRDefault="00003D90" w:rsidP="00DE66D3">
      <w:pPr>
        <w:spacing w:line="240" w:lineRule="auto"/>
      </w:pPr>
      <w:r>
        <w:separator/>
      </w:r>
    </w:p>
  </w:endnote>
  <w:endnote w:type="continuationSeparator" w:id="0">
    <w:p w14:paraId="7CD1804A" w14:textId="77777777" w:rsidR="00003D90" w:rsidRDefault="00003D90" w:rsidP="00DE66D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61914092"/>
      <w:docPartObj>
        <w:docPartGallery w:val="Page Numbers (Bottom of Page)"/>
        <w:docPartUnique/>
      </w:docPartObj>
    </w:sdtPr>
    <w:sdtContent>
      <w:p w14:paraId="1B886F3F" w14:textId="0532D61C" w:rsidR="00DE66D3" w:rsidRDefault="00DE66D3">
        <w:pPr>
          <w:pStyle w:val="Footer"/>
          <w:jc w:val="center"/>
        </w:pPr>
        <w:r>
          <w:fldChar w:fldCharType="begin"/>
        </w:r>
        <w:r>
          <w:instrText>PAGE   \* MERGEFORMAT</w:instrText>
        </w:r>
        <w:r>
          <w:fldChar w:fldCharType="separate"/>
        </w:r>
        <w:r>
          <w:t>2</w:t>
        </w:r>
        <w:r>
          <w:fldChar w:fldCharType="end"/>
        </w:r>
      </w:p>
    </w:sdtContent>
  </w:sdt>
  <w:p w14:paraId="50328CF6" w14:textId="77777777" w:rsidR="00DE66D3" w:rsidRDefault="00DE66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773242" w14:textId="77777777" w:rsidR="00003D90" w:rsidRDefault="00003D90" w:rsidP="00DE66D3">
      <w:pPr>
        <w:spacing w:line="240" w:lineRule="auto"/>
      </w:pPr>
      <w:r>
        <w:separator/>
      </w:r>
    </w:p>
  </w:footnote>
  <w:footnote w:type="continuationSeparator" w:id="0">
    <w:p w14:paraId="19047DB8" w14:textId="77777777" w:rsidR="00003D90" w:rsidRDefault="00003D90" w:rsidP="00DE66D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D33C94"/>
    <w:multiLevelType w:val="hybridMultilevel"/>
    <w:tmpl w:val="813C4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803B3B"/>
    <w:multiLevelType w:val="hybridMultilevel"/>
    <w:tmpl w:val="FF540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2761FA"/>
    <w:multiLevelType w:val="hybridMultilevel"/>
    <w:tmpl w:val="DD3ABC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1076A6"/>
    <w:multiLevelType w:val="hybridMultilevel"/>
    <w:tmpl w:val="0EC4DE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977386"/>
    <w:multiLevelType w:val="multilevel"/>
    <w:tmpl w:val="5BDED6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53648EB"/>
    <w:multiLevelType w:val="hybridMultilevel"/>
    <w:tmpl w:val="3CA62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6B7F64"/>
    <w:multiLevelType w:val="multilevel"/>
    <w:tmpl w:val="F46C86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A6D4054"/>
    <w:multiLevelType w:val="hybridMultilevel"/>
    <w:tmpl w:val="16CE57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F436ABB"/>
    <w:multiLevelType w:val="hybridMultilevel"/>
    <w:tmpl w:val="C772FA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71860A1"/>
    <w:multiLevelType w:val="hybridMultilevel"/>
    <w:tmpl w:val="8A960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5C0869"/>
    <w:multiLevelType w:val="hybridMultilevel"/>
    <w:tmpl w:val="FCB2F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1841D4"/>
    <w:multiLevelType w:val="hybridMultilevel"/>
    <w:tmpl w:val="3B2C5A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0AB0EFD"/>
    <w:multiLevelType w:val="multilevel"/>
    <w:tmpl w:val="69FECC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6197C21"/>
    <w:multiLevelType w:val="hybridMultilevel"/>
    <w:tmpl w:val="C7AA5C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49C33A5"/>
    <w:multiLevelType w:val="hybridMultilevel"/>
    <w:tmpl w:val="10C0E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5125E4F"/>
    <w:multiLevelType w:val="multilevel"/>
    <w:tmpl w:val="78EC7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8E35415"/>
    <w:multiLevelType w:val="hybridMultilevel"/>
    <w:tmpl w:val="BFAE0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91C5760"/>
    <w:multiLevelType w:val="multilevel"/>
    <w:tmpl w:val="ADAAE5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F25616B"/>
    <w:multiLevelType w:val="multilevel"/>
    <w:tmpl w:val="0B60BF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5942EE9"/>
    <w:multiLevelType w:val="multilevel"/>
    <w:tmpl w:val="A386F6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9D14E10"/>
    <w:multiLevelType w:val="hybridMultilevel"/>
    <w:tmpl w:val="E32A7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A3B394B"/>
    <w:multiLevelType w:val="hybridMultilevel"/>
    <w:tmpl w:val="63E00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B4864D2"/>
    <w:multiLevelType w:val="multilevel"/>
    <w:tmpl w:val="21145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DC144DB"/>
    <w:multiLevelType w:val="multilevel"/>
    <w:tmpl w:val="6C3A8C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FC51FAF"/>
    <w:multiLevelType w:val="hybridMultilevel"/>
    <w:tmpl w:val="885A86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09270E8"/>
    <w:multiLevelType w:val="hybridMultilevel"/>
    <w:tmpl w:val="76A079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47929B9"/>
    <w:multiLevelType w:val="hybridMultilevel"/>
    <w:tmpl w:val="AF76C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4EC40C3"/>
    <w:multiLevelType w:val="hybridMultilevel"/>
    <w:tmpl w:val="7206F1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356033127">
    <w:abstractNumId w:val="0"/>
  </w:num>
  <w:num w:numId="2" w16cid:durableId="1074013550">
    <w:abstractNumId w:val="3"/>
  </w:num>
  <w:num w:numId="3" w16cid:durableId="1992371095">
    <w:abstractNumId w:val="25"/>
  </w:num>
  <w:num w:numId="4" w16cid:durableId="1891576748">
    <w:abstractNumId w:val="7"/>
  </w:num>
  <w:num w:numId="5" w16cid:durableId="1321303621">
    <w:abstractNumId w:val="20"/>
  </w:num>
  <w:num w:numId="6" w16cid:durableId="695153667">
    <w:abstractNumId w:val="1"/>
  </w:num>
  <w:num w:numId="7" w16cid:durableId="2103140859">
    <w:abstractNumId w:val="9"/>
  </w:num>
  <w:num w:numId="8" w16cid:durableId="705524876">
    <w:abstractNumId w:val="21"/>
  </w:num>
  <w:num w:numId="9" w16cid:durableId="1612398318">
    <w:abstractNumId w:val="27"/>
  </w:num>
  <w:num w:numId="10" w16cid:durableId="1044645980">
    <w:abstractNumId w:val="24"/>
  </w:num>
  <w:num w:numId="11" w16cid:durableId="991300847">
    <w:abstractNumId w:val="14"/>
  </w:num>
  <w:num w:numId="12" w16cid:durableId="1491216797">
    <w:abstractNumId w:val="5"/>
  </w:num>
  <w:num w:numId="13" w16cid:durableId="1812942996">
    <w:abstractNumId w:val="26"/>
  </w:num>
  <w:num w:numId="14" w16cid:durableId="18632066">
    <w:abstractNumId w:val="13"/>
  </w:num>
  <w:num w:numId="15" w16cid:durableId="1904019437">
    <w:abstractNumId w:val="11"/>
  </w:num>
  <w:num w:numId="16" w16cid:durableId="1556503950">
    <w:abstractNumId w:val="16"/>
  </w:num>
  <w:num w:numId="17" w16cid:durableId="1699429707">
    <w:abstractNumId w:val="12"/>
  </w:num>
  <w:num w:numId="18" w16cid:durableId="712533347">
    <w:abstractNumId w:val="6"/>
  </w:num>
  <w:num w:numId="19" w16cid:durableId="1764302138">
    <w:abstractNumId w:val="15"/>
  </w:num>
  <w:num w:numId="20" w16cid:durableId="193276083">
    <w:abstractNumId w:val="22"/>
  </w:num>
  <w:num w:numId="21" w16cid:durableId="657030423">
    <w:abstractNumId w:val="10"/>
  </w:num>
  <w:num w:numId="22" w16cid:durableId="1831367703">
    <w:abstractNumId w:val="19"/>
  </w:num>
  <w:num w:numId="23" w16cid:durableId="855732525">
    <w:abstractNumId w:val="23"/>
  </w:num>
  <w:num w:numId="24" w16cid:durableId="853307454">
    <w:abstractNumId w:val="4"/>
  </w:num>
  <w:num w:numId="25" w16cid:durableId="1830556468">
    <w:abstractNumId w:val="17"/>
  </w:num>
  <w:num w:numId="26" w16cid:durableId="48767191">
    <w:abstractNumId w:val="18"/>
  </w:num>
  <w:num w:numId="27" w16cid:durableId="382827732">
    <w:abstractNumId w:val="2"/>
  </w:num>
  <w:num w:numId="28" w16cid:durableId="775516845">
    <w:abstractNumId w:val="8"/>
  </w:num>
  <w:num w:numId="29" w16cid:durableId="1106851225">
    <w:abstractNumId w:val="28"/>
  </w:num>
  <w:num w:numId="30" w16cid:durableId="1602029590">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1"/>
  <w:proofState w:spelling="clean" w:grammar="clean"/>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6B03"/>
    <w:rsid w:val="00003D90"/>
    <w:rsid w:val="000135E4"/>
    <w:rsid w:val="0005326A"/>
    <w:rsid w:val="000553D1"/>
    <w:rsid w:val="00096C68"/>
    <w:rsid w:val="000D7D27"/>
    <w:rsid w:val="000E5A42"/>
    <w:rsid w:val="000E6F37"/>
    <w:rsid w:val="00166B03"/>
    <w:rsid w:val="001B5232"/>
    <w:rsid w:val="00210FF9"/>
    <w:rsid w:val="00215BA6"/>
    <w:rsid w:val="0026595F"/>
    <w:rsid w:val="002A17D9"/>
    <w:rsid w:val="002D3FEF"/>
    <w:rsid w:val="003464E1"/>
    <w:rsid w:val="00365D42"/>
    <w:rsid w:val="00376CC9"/>
    <w:rsid w:val="003C4DF4"/>
    <w:rsid w:val="003E4B3A"/>
    <w:rsid w:val="003F4098"/>
    <w:rsid w:val="00406464"/>
    <w:rsid w:val="004403E1"/>
    <w:rsid w:val="00455FEF"/>
    <w:rsid w:val="004719F0"/>
    <w:rsid w:val="004A31ED"/>
    <w:rsid w:val="00517AA7"/>
    <w:rsid w:val="005305F2"/>
    <w:rsid w:val="00552CBF"/>
    <w:rsid w:val="00557BA7"/>
    <w:rsid w:val="005745F2"/>
    <w:rsid w:val="005F5672"/>
    <w:rsid w:val="006272C3"/>
    <w:rsid w:val="006374EA"/>
    <w:rsid w:val="00653A90"/>
    <w:rsid w:val="006A5A2B"/>
    <w:rsid w:val="006D00E4"/>
    <w:rsid w:val="006D7526"/>
    <w:rsid w:val="006F65B3"/>
    <w:rsid w:val="0070400A"/>
    <w:rsid w:val="00786B8F"/>
    <w:rsid w:val="007B79D6"/>
    <w:rsid w:val="007D0CBC"/>
    <w:rsid w:val="007F76A9"/>
    <w:rsid w:val="008942F1"/>
    <w:rsid w:val="00897882"/>
    <w:rsid w:val="008B36B9"/>
    <w:rsid w:val="008B5C52"/>
    <w:rsid w:val="00916468"/>
    <w:rsid w:val="009175E8"/>
    <w:rsid w:val="00921BB1"/>
    <w:rsid w:val="00924FD1"/>
    <w:rsid w:val="00935267"/>
    <w:rsid w:val="00944704"/>
    <w:rsid w:val="00951ABF"/>
    <w:rsid w:val="009C60B1"/>
    <w:rsid w:val="00A06351"/>
    <w:rsid w:val="00A16EFF"/>
    <w:rsid w:val="00A66FB4"/>
    <w:rsid w:val="00A73CF6"/>
    <w:rsid w:val="00AD0890"/>
    <w:rsid w:val="00AF1B63"/>
    <w:rsid w:val="00B30BDD"/>
    <w:rsid w:val="00BD777C"/>
    <w:rsid w:val="00C137C5"/>
    <w:rsid w:val="00C46986"/>
    <w:rsid w:val="00CC0A3B"/>
    <w:rsid w:val="00D17374"/>
    <w:rsid w:val="00D242C5"/>
    <w:rsid w:val="00D41D57"/>
    <w:rsid w:val="00D531B2"/>
    <w:rsid w:val="00D919F3"/>
    <w:rsid w:val="00DE34DC"/>
    <w:rsid w:val="00DE66D3"/>
    <w:rsid w:val="00E21F1B"/>
    <w:rsid w:val="00E732B0"/>
    <w:rsid w:val="00E75B38"/>
    <w:rsid w:val="00EB0A46"/>
    <w:rsid w:val="00EC7B65"/>
    <w:rsid w:val="00EE54C8"/>
    <w:rsid w:val="00F1059A"/>
    <w:rsid w:val="00FB6163"/>
    <w:rsid w:val="00FC01D2"/>
    <w:rsid w:val="00FE40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F5868"/>
  <w15:chartTrackingRefBased/>
  <w15:docId w15:val="{0B6DB565-D89F-4333-9C2E-BCE5B59D6E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5672"/>
    <w:pPr>
      <w:spacing w:after="0" w:line="360" w:lineRule="auto"/>
      <w:jc w:val="both"/>
    </w:pPr>
    <w:rPr>
      <w:rFonts w:ascii="Times New Roman" w:hAnsi="Times New Roman"/>
      <w:sz w:val="24"/>
      <w:lang w:val="en-GB"/>
    </w:rPr>
  </w:style>
  <w:style w:type="paragraph" w:styleId="Heading1">
    <w:name w:val="heading 1"/>
    <w:basedOn w:val="Normal"/>
    <w:next w:val="Normal"/>
    <w:link w:val="Heading1Char"/>
    <w:uiPriority w:val="99"/>
    <w:qFormat/>
    <w:rsid w:val="005F5672"/>
    <w:pPr>
      <w:keepNext/>
      <w:keepLines/>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BD777C"/>
    <w:pPr>
      <w:keepNext/>
      <w:keepLines/>
      <w:outlineLvl w:val="1"/>
    </w:pPr>
    <w:rPr>
      <w:rFonts w:eastAsiaTheme="majorEastAsia" w:cstheme="majorBidi"/>
      <w:b/>
      <w:sz w:val="28"/>
      <w:szCs w:val="26"/>
    </w:rPr>
  </w:style>
  <w:style w:type="paragraph" w:styleId="Heading3">
    <w:name w:val="heading 3"/>
    <w:basedOn w:val="Normal"/>
    <w:next w:val="Normal"/>
    <w:link w:val="Heading3Char"/>
    <w:autoRedefine/>
    <w:uiPriority w:val="9"/>
    <w:unhideWhenUsed/>
    <w:qFormat/>
    <w:rsid w:val="00215BA6"/>
    <w:pPr>
      <w:keepNext/>
      <w:keepLines/>
      <w:spacing w:before="40"/>
      <w:outlineLvl w:val="2"/>
    </w:pPr>
    <w:rPr>
      <w:rFonts w:eastAsiaTheme="majorEastAsia" w:cstheme="majorBidi"/>
      <w:b/>
      <w:kern w:val="2"/>
      <w:szCs w:val="28"/>
      <w14:ligatures w14:val="standardContextual"/>
    </w:rPr>
  </w:style>
  <w:style w:type="paragraph" w:styleId="Heading4">
    <w:name w:val="heading 4"/>
    <w:basedOn w:val="Normal"/>
    <w:next w:val="Normal"/>
    <w:link w:val="Heading4Char"/>
    <w:uiPriority w:val="99"/>
    <w:semiHidden/>
    <w:unhideWhenUsed/>
    <w:qFormat/>
    <w:rsid w:val="00166B03"/>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66B03"/>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166B03"/>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66B03"/>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66B03"/>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66B03"/>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5F5672"/>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BD777C"/>
    <w:rPr>
      <w:rFonts w:ascii="Times New Roman" w:eastAsiaTheme="majorEastAsia" w:hAnsi="Times New Roman" w:cstheme="majorBidi"/>
      <w:b/>
      <w:sz w:val="28"/>
      <w:szCs w:val="26"/>
      <w:lang w:val="en-GB"/>
    </w:rPr>
  </w:style>
  <w:style w:type="character" w:customStyle="1" w:styleId="Heading3Char">
    <w:name w:val="Heading 3 Char"/>
    <w:basedOn w:val="DefaultParagraphFont"/>
    <w:link w:val="Heading3"/>
    <w:uiPriority w:val="9"/>
    <w:rsid w:val="00215BA6"/>
    <w:rPr>
      <w:rFonts w:ascii="Times New Roman" w:eastAsiaTheme="majorEastAsia" w:hAnsi="Times New Roman" w:cstheme="majorBidi"/>
      <w:b/>
      <w:kern w:val="2"/>
      <w:sz w:val="24"/>
      <w:szCs w:val="28"/>
      <w:lang w:val="en-GB"/>
      <w14:ligatures w14:val="standardContextual"/>
    </w:rPr>
  </w:style>
  <w:style w:type="character" w:customStyle="1" w:styleId="Heading4Char">
    <w:name w:val="Heading 4 Char"/>
    <w:basedOn w:val="DefaultParagraphFont"/>
    <w:link w:val="Heading4"/>
    <w:uiPriority w:val="99"/>
    <w:semiHidden/>
    <w:rsid w:val="00166B03"/>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166B03"/>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166B03"/>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166B03"/>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166B03"/>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166B03"/>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166B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6B03"/>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166B03"/>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6B03"/>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166B0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66B03"/>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166B03"/>
    <w:pPr>
      <w:ind w:left="720"/>
      <w:contextualSpacing/>
    </w:pPr>
  </w:style>
  <w:style w:type="character" w:styleId="IntenseEmphasis">
    <w:name w:val="Intense Emphasis"/>
    <w:basedOn w:val="DefaultParagraphFont"/>
    <w:uiPriority w:val="21"/>
    <w:qFormat/>
    <w:rsid w:val="00166B03"/>
    <w:rPr>
      <w:i/>
      <w:iCs/>
      <w:color w:val="2F5496" w:themeColor="accent1" w:themeShade="BF"/>
    </w:rPr>
  </w:style>
  <w:style w:type="paragraph" w:styleId="IntenseQuote">
    <w:name w:val="Intense Quote"/>
    <w:basedOn w:val="Normal"/>
    <w:next w:val="Normal"/>
    <w:link w:val="IntenseQuoteChar"/>
    <w:uiPriority w:val="30"/>
    <w:qFormat/>
    <w:rsid w:val="00166B0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66B03"/>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166B03"/>
    <w:rPr>
      <w:b/>
      <w:bCs/>
      <w:smallCaps/>
      <w:color w:val="2F5496" w:themeColor="accent1" w:themeShade="BF"/>
      <w:spacing w:val="5"/>
    </w:rPr>
  </w:style>
  <w:style w:type="paragraph" w:styleId="Caption">
    <w:name w:val="caption"/>
    <w:basedOn w:val="Normal"/>
    <w:next w:val="Normal"/>
    <w:uiPriority w:val="35"/>
    <w:unhideWhenUsed/>
    <w:qFormat/>
    <w:rsid w:val="0026595F"/>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6F65B3"/>
    <w:pPr>
      <w:spacing w:before="240"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6F65B3"/>
    <w:pPr>
      <w:spacing w:after="100"/>
    </w:pPr>
  </w:style>
  <w:style w:type="paragraph" w:styleId="TOC2">
    <w:name w:val="toc 2"/>
    <w:basedOn w:val="Normal"/>
    <w:next w:val="Normal"/>
    <w:autoRedefine/>
    <w:uiPriority w:val="39"/>
    <w:unhideWhenUsed/>
    <w:rsid w:val="006F65B3"/>
    <w:pPr>
      <w:spacing w:after="100"/>
      <w:ind w:left="240"/>
    </w:pPr>
  </w:style>
  <w:style w:type="character" w:styleId="Hyperlink">
    <w:name w:val="Hyperlink"/>
    <w:basedOn w:val="DefaultParagraphFont"/>
    <w:uiPriority w:val="99"/>
    <w:unhideWhenUsed/>
    <w:rsid w:val="006F65B3"/>
    <w:rPr>
      <w:color w:val="0563C1" w:themeColor="hyperlink"/>
      <w:u w:val="single"/>
    </w:rPr>
  </w:style>
  <w:style w:type="paragraph" w:styleId="Header">
    <w:name w:val="header"/>
    <w:basedOn w:val="Normal"/>
    <w:link w:val="HeaderChar"/>
    <w:uiPriority w:val="99"/>
    <w:unhideWhenUsed/>
    <w:rsid w:val="00DE66D3"/>
    <w:pPr>
      <w:tabs>
        <w:tab w:val="center" w:pos="4513"/>
        <w:tab w:val="right" w:pos="9026"/>
      </w:tabs>
      <w:spacing w:line="240" w:lineRule="auto"/>
    </w:pPr>
  </w:style>
  <w:style w:type="character" w:customStyle="1" w:styleId="HeaderChar">
    <w:name w:val="Header Char"/>
    <w:basedOn w:val="DefaultParagraphFont"/>
    <w:link w:val="Header"/>
    <w:uiPriority w:val="99"/>
    <w:rsid w:val="00DE66D3"/>
    <w:rPr>
      <w:rFonts w:ascii="Times New Roman" w:hAnsi="Times New Roman"/>
      <w:sz w:val="24"/>
      <w:lang w:val="en-GB"/>
    </w:rPr>
  </w:style>
  <w:style w:type="paragraph" w:styleId="Footer">
    <w:name w:val="footer"/>
    <w:basedOn w:val="Normal"/>
    <w:link w:val="FooterChar"/>
    <w:uiPriority w:val="99"/>
    <w:unhideWhenUsed/>
    <w:rsid w:val="00DE66D3"/>
    <w:pPr>
      <w:tabs>
        <w:tab w:val="center" w:pos="4513"/>
        <w:tab w:val="right" w:pos="9026"/>
      </w:tabs>
      <w:spacing w:line="240" w:lineRule="auto"/>
    </w:pPr>
  </w:style>
  <w:style w:type="character" w:customStyle="1" w:styleId="FooterChar">
    <w:name w:val="Footer Char"/>
    <w:basedOn w:val="DefaultParagraphFont"/>
    <w:link w:val="Footer"/>
    <w:uiPriority w:val="99"/>
    <w:rsid w:val="00DE66D3"/>
    <w:rPr>
      <w:rFonts w:ascii="Times New Roman" w:hAnsi="Times New Roman"/>
      <w:sz w:val="24"/>
      <w:lang w:val="en-GB"/>
    </w:rPr>
  </w:style>
  <w:style w:type="table" w:styleId="PlainTable5">
    <w:name w:val="Plain Table 5"/>
    <w:basedOn w:val="TableNormal"/>
    <w:uiPriority w:val="45"/>
    <w:rsid w:val="006272C3"/>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TableGrid">
    <w:name w:val="Table Grid"/>
    <w:basedOn w:val="TableNormal"/>
    <w:uiPriority w:val="59"/>
    <w:rsid w:val="008978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unhideWhenUsed/>
    <w:rsid w:val="00897882"/>
    <w:rPr>
      <w:color w:val="800080"/>
      <w:u w:val="single"/>
    </w:rPr>
  </w:style>
  <w:style w:type="paragraph" w:customStyle="1" w:styleId="msonormal0">
    <w:name w:val="msonormal"/>
    <w:basedOn w:val="Normal"/>
    <w:uiPriority w:val="99"/>
    <w:rsid w:val="00897882"/>
    <w:pPr>
      <w:spacing w:before="100" w:beforeAutospacing="1" w:after="100" w:afterAutospacing="1" w:line="240" w:lineRule="auto"/>
      <w:jc w:val="left"/>
    </w:pPr>
    <w:rPr>
      <w:rFonts w:eastAsia="Times New Roman" w:cs="Times New Roman"/>
      <w:szCs w:val="24"/>
      <w:lang w:eastAsia="en-GB"/>
    </w:rPr>
  </w:style>
  <w:style w:type="paragraph" w:styleId="NormalWeb">
    <w:name w:val="Normal (Web)"/>
    <w:basedOn w:val="Normal"/>
    <w:uiPriority w:val="99"/>
    <w:semiHidden/>
    <w:unhideWhenUsed/>
    <w:rsid w:val="00897882"/>
    <w:pPr>
      <w:spacing w:before="100" w:beforeAutospacing="1" w:after="100" w:afterAutospacing="1" w:line="240" w:lineRule="auto"/>
      <w:jc w:val="left"/>
    </w:pPr>
    <w:rPr>
      <w:rFonts w:eastAsia="Times New Roman" w:cs="Times New Roman"/>
      <w:szCs w:val="24"/>
      <w:lang w:eastAsia="en-GB"/>
    </w:rPr>
  </w:style>
  <w:style w:type="paragraph" w:styleId="CommentText">
    <w:name w:val="annotation text"/>
    <w:basedOn w:val="Normal"/>
    <w:link w:val="CommentTextChar"/>
    <w:uiPriority w:val="99"/>
    <w:semiHidden/>
    <w:unhideWhenUsed/>
    <w:rsid w:val="00897882"/>
    <w:pPr>
      <w:spacing w:line="240" w:lineRule="auto"/>
      <w:jc w:val="left"/>
    </w:pPr>
    <w:rPr>
      <w:rFonts w:eastAsia="Times New Roman" w:cs="Times New Roman"/>
      <w:sz w:val="20"/>
      <w:szCs w:val="20"/>
    </w:rPr>
  </w:style>
  <w:style w:type="character" w:customStyle="1" w:styleId="CommentTextChar">
    <w:name w:val="Comment Text Char"/>
    <w:basedOn w:val="DefaultParagraphFont"/>
    <w:link w:val="CommentText"/>
    <w:uiPriority w:val="99"/>
    <w:semiHidden/>
    <w:rsid w:val="00897882"/>
    <w:rPr>
      <w:rFonts w:ascii="Times New Roman" w:eastAsia="Times New Roman" w:hAnsi="Times New Roman" w:cs="Times New Roman"/>
      <w:sz w:val="20"/>
      <w:szCs w:val="20"/>
      <w:lang w:val="en-GB"/>
    </w:rPr>
  </w:style>
  <w:style w:type="paragraph" w:styleId="BodyText2">
    <w:name w:val="Body Text 2"/>
    <w:basedOn w:val="Normal"/>
    <w:link w:val="BodyText2Char"/>
    <w:uiPriority w:val="99"/>
    <w:semiHidden/>
    <w:unhideWhenUsed/>
    <w:rsid w:val="00897882"/>
    <w:pPr>
      <w:spacing w:line="240" w:lineRule="auto"/>
      <w:ind w:left="720" w:hanging="720"/>
      <w:jc w:val="left"/>
    </w:pPr>
    <w:rPr>
      <w:rFonts w:eastAsia="Times New Roman" w:cs="Times New Roman"/>
      <w:b/>
      <w:bCs/>
      <w:sz w:val="22"/>
    </w:rPr>
  </w:style>
  <w:style w:type="character" w:customStyle="1" w:styleId="BodyText2Char">
    <w:name w:val="Body Text 2 Char"/>
    <w:basedOn w:val="DefaultParagraphFont"/>
    <w:link w:val="BodyText2"/>
    <w:uiPriority w:val="99"/>
    <w:semiHidden/>
    <w:rsid w:val="00897882"/>
    <w:rPr>
      <w:rFonts w:ascii="Times New Roman" w:eastAsia="Times New Roman" w:hAnsi="Times New Roman" w:cs="Times New Roman"/>
      <w:b/>
      <w:bCs/>
      <w:lang w:val="en-GB"/>
    </w:rPr>
  </w:style>
  <w:style w:type="paragraph" w:styleId="CommentSubject">
    <w:name w:val="annotation subject"/>
    <w:basedOn w:val="CommentText"/>
    <w:next w:val="CommentText"/>
    <w:link w:val="CommentSubjectChar"/>
    <w:uiPriority w:val="99"/>
    <w:semiHidden/>
    <w:unhideWhenUsed/>
    <w:rsid w:val="00897882"/>
    <w:rPr>
      <w:b/>
      <w:bCs/>
    </w:rPr>
  </w:style>
  <w:style w:type="character" w:customStyle="1" w:styleId="CommentSubjectChar">
    <w:name w:val="Comment Subject Char"/>
    <w:basedOn w:val="CommentTextChar"/>
    <w:link w:val="CommentSubject"/>
    <w:uiPriority w:val="99"/>
    <w:semiHidden/>
    <w:rsid w:val="00897882"/>
    <w:rPr>
      <w:rFonts w:ascii="Times New Roman" w:eastAsia="Times New Roman" w:hAnsi="Times New Roman" w:cs="Times New Roman"/>
      <w:b/>
      <w:bCs/>
      <w:sz w:val="20"/>
      <w:szCs w:val="20"/>
      <w:lang w:val="en-GB"/>
    </w:rPr>
  </w:style>
  <w:style w:type="paragraph" w:styleId="BalloonText">
    <w:name w:val="Balloon Text"/>
    <w:basedOn w:val="Normal"/>
    <w:link w:val="BalloonTextChar"/>
    <w:uiPriority w:val="99"/>
    <w:semiHidden/>
    <w:unhideWhenUsed/>
    <w:rsid w:val="00897882"/>
    <w:pPr>
      <w:spacing w:line="240" w:lineRule="auto"/>
      <w:jc w:val="left"/>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897882"/>
    <w:rPr>
      <w:rFonts w:ascii="Tahoma" w:eastAsia="Times New Roman" w:hAnsi="Tahoma" w:cs="Tahoma"/>
      <w:sz w:val="16"/>
      <w:szCs w:val="16"/>
      <w:lang w:val="en-GB"/>
    </w:rPr>
  </w:style>
  <w:style w:type="paragraph" w:customStyle="1" w:styleId="deannah1">
    <w:name w:val="deannah1"/>
    <w:basedOn w:val="Normal"/>
    <w:uiPriority w:val="99"/>
    <w:rsid w:val="00897882"/>
    <w:pPr>
      <w:keepNext/>
      <w:spacing w:after="240" w:line="240" w:lineRule="auto"/>
      <w:jc w:val="left"/>
    </w:pPr>
    <w:rPr>
      <w:rFonts w:eastAsia="Times New Roman" w:cs="Times New Roman"/>
      <w:b/>
      <w:bCs/>
      <w:szCs w:val="24"/>
    </w:rPr>
  </w:style>
  <w:style w:type="paragraph" w:customStyle="1" w:styleId="NormalWeb1">
    <w:name w:val="Normal (Web)1"/>
    <w:basedOn w:val="Normal"/>
    <w:uiPriority w:val="99"/>
    <w:rsid w:val="00897882"/>
    <w:pPr>
      <w:spacing w:before="100" w:beforeAutospacing="1" w:after="300" w:line="240" w:lineRule="auto"/>
      <w:jc w:val="left"/>
    </w:pPr>
    <w:rPr>
      <w:rFonts w:eastAsia="Times New Roman" w:cs="Times New Roman"/>
      <w:szCs w:val="24"/>
      <w:lang w:eastAsia="en-GB"/>
    </w:rPr>
  </w:style>
  <w:style w:type="character" w:styleId="CommentReference">
    <w:name w:val="annotation reference"/>
    <w:uiPriority w:val="99"/>
    <w:semiHidden/>
    <w:unhideWhenUsed/>
    <w:rsid w:val="00897882"/>
    <w:rPr>
      <w:sz w:val="16"/>
      <w:szCs w:val="16"/>
    </w:rPr>
  </w:style>
  <w:style w:type="character" w:customStyle="1" w:styleId="Hyperlink1">
    <w:name w:val="Hyperlink1"/>
    <w:uiPriority w:val="99"/>
    <w:rsid w:val="00897882"/>
    <w:rPr>
      <w:color w:val="535353"/>
      <w:u w:val="single"/>
      <w:effect w:val="none"/>
    </w:rPr>
  </w:style>
  <w:style w:type="character" w:styleId="Strong">
    <w:name w:val="Strong"/>
    <w:basedOn w:val="DefaultParagraphFont"/>
    <w:uiPriority w:val="22"/>
    <w:qFormat/>
    <w:rsid w:val="00897882"/>
    <w:rPr>
      <w:b/>
      <w:bCs/>
    </w:rPr>
  </w:style>
  <w:style w:type="character" w:styleId="UnresolvedMention">
    <w:name w:val="Unresolved Mention"/>
    <w:basedOn w:val="DefaultParagraphFont"/>
    <w:uiPriority w:val="99"/>
    <w:semiHidden/>
    <w:unhideWhenUsed/>
    <w:rsid w:val="00897882"/>
    <w:rPr>
      <w:color w:val="605E5C"/>
      <w:shd w:val="clear" w:color="auto" w:fill="E1DFDD"/>
    </w:rPr>
  </w:style>
  <w:style w:type="paragraph" w:styleId="TOC3">
    <w:name w:val="toc 3"/>
    <w:basedOn w:val="Normal"/>
    <w:next w:val="Normal"/>
    <w:autoRedefine/>
    <w:uiPriority w:val="39"/>
    <w:unhideWhenUsed/>
    <w:rsid w:val="00897882"/>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787785">
      <w:bodyDiv w:val="1"/>
      <w:marLeft w:val="0"/>
      <w:marRight w:val="0"/>
      <w:marTop w:val="0"/>
      <w:marBottom w:val="0"/>
      <w:divBdr>
        <w:top w:val="none" w:sz="0" w:space="0" w:color="auto"/>
        <w:left w:val="none" w:sz="0" w:space="0" w:color="auto"/>
        <w:bottom w:val="none" w:sz="0" w:space="0" w:color="auto"/>
        <w:right w:val="none" w:sz="0" w:space="0" w:color="auto"/>
      </w:divBdr>
    </w:div>
    <w:div w:id="222107056">
      <w:bodyDiv w:val="1"/>
      <w:marLeft w:val="0"/>
      <w:marRight w:val="0"/>
      <w:marTop w:val="0"/>
      <w:marBottom w:val="0"/>
      <w:divBdr>
        <w:top w:val="none" w:sz="0" w:space="0" w:color="auto"/>
        <w:left w:val="none" w:sz="0" w:space="0" w:color="auto"/>
        <w:bottom w:val="none" w:sz="0" w:space="0" w:color="auto"/>
        <w:right w:val="none" w:sz="0" w:space="0" w:color="auto"/>
      </w:divBdr>
    </w:div>
    <w:div w:id="348024383">
      <w:bodyDiv w:val="1"/>
      <w:marLeft w:val="0"/>
      <w:marRight w:val="0"/>
      <w:marTop w:val="0"/>
      <w:marBottom w:val="0"/>
      <w:divBdr>
        <w:top w:val="none" w:sz="0" w:space="0" w:color="auto"/>
        <w:left w:val="none" w:sz="0" w:space="0" w:color="auto"/>
        <w:bottom w:val="none" w:sz="0" w:space="0" w:color="auto"/>
        <w:right w:val="none" w:sz="0" w:space="0" w:color="auto"/>
      </w:divBdr>
    </w:div>
    <w:div w:id="422385972">
      <w:bodyDiv w:val="1"/>
      <w:marLeft w:val="0"/>
      <w:marRight w:val="0"/>
      <w:marTop w:val="0"/>
      <w:marBottom w:val="0"/>
      <w:divBdr>
        <w:top w:val="none" w:sz="0" w:space="0" w:color="auto"/>
        <w:left w:val="none" w:sz="0" w:space="0" w:color="auto"/>
        <w:bottom w:val="none" w:sz="0" w:space="0" w:color="auto"/>
        <w:right w:val="none" w:sz="0" w:space="0" w:color="auto"/>
      </w:divBdr>
    </w:div>
    <w:div w:id="501629234">
      <w:bodyDiv w:val="1"/>
      <w:marLeft w:val="0"/>
      <w:marRight w:val="0"/>
      <w:marTop w:val="0"/>
      <w:marBottom w:val="0"/>
      <w:divBdr>
        <w:top w:val="none" w:sz="0" w:space="0" w:color="auto"/>
        <w:left w:val="none" w:sz="0" w:space="0" w:color="auto"/>
        <w:bottom w:val="none" w:sz="0" w:space="0" w:color="auto"/>
        <w:right w:val="none" w:sz="0" w:space="0" w:color="auto"/>
      </w:divBdr>
    </w:div>
    <w:div w:id="1237738489">
      <w:bodyDiv w:val="1"/>
      <w:marLeft w:val="0"/>
      <w:marRight w:val="0"/>
      <w:marTop w:val="0"/>
      <w:marBottom w:val="0"/>
      <w:divBdr>
        <w:top w:val="none" w:sz="0" w:space="0" w:color="auto"/>
        <w:left w:val="none" w:sz="0" w:space="0" w:color="auto"/>
        <w:bottom w:val="none" w:sz="0" w:space="0" w:color="auto"/>
        <w:right w:val="none" w:sz="0" w:space="0" w:color="auto"/>
      </w:divBdr>
    </w:div>
    <w:div w:id="1378968326">
      <w:bodyDiv w:val="1"/>
      <w:marLeft w:val="0"/>
      <w:marRight w:val="0"/>
      <w:marTop w:val="0"/>
      <w:marBottom w:val="0"/>
      <w:divBdr>
        <w:top w:val="none" w:sz="0" w:space="0" w:color="auto"/>
        <w:left w:val="none" w:sz="0" w:space="0" w:color="auto"/>
        <w:bottom w:val="none" w:sz="0" w:space="0" w:color="auto"/>
        <w:right w:val="none" w:sz="0" w:space="0" w:color="auto"/>
      </w:divBdr>
    </w:div>
    <w:div w:id="1451707744">
      <w:bodyDiv w:val="1"/>
      <w:marLeft w:val="0"/>
      <w:marRight w:val="0"/>
      <w:marTop w:val="0"/>
      <w:marBottom w:val="0"/>
      <w:divBdr>
        <w:top w:val="none" w:sz="0" w:space="0" w:color="auto"/>
        <w:left w:val="none" w:sz="0" w:space="0" w:color="auto"/>
        <w:bottom w:val="none" w:sz="0" w:space="0" w:color="auto"/>
        <w:right w:val="none" w:sz="0" w:space="0" w:color="auto"/>
      </w:divBdr>
    </w:div>
    <w:div w:id="1515802570">
      <w:bodyDiv w:val="1"/>
      <w:marLeft w:val="0"/>
      <w:marRight w:val="0"/>
      <w:marTop w:val="0"/>
      <w:marBottom w:val="0"/>
      <w:divBdr>
        <w:top w:val="none" w:sz="0" w:space="0" w:color="auto"/>
        <w:left w:val="none" w:sz="0" w:space="0" w:color="auto"/>
        <w:bottom w:val="none" w:sz="0" w:space="0" w:color="auto"/>
        <w:right w:val="none" w:sz="0" w:space="0" w:color="auto"/>
      </w:divBdr>
    </w:div>
    <w:div w:id="1569922202">
      <w:bodyDiv w:val="1"/>
      <w:marLeft w:val="0"/>
      <w:marRight w:val="0"/>
      <w:marTop w:val="0"/>
      <w:marBottom w:val="0"/>
      <w:divBdr>
        <w:top w:val="none" w:sz="0" w:space="0" w:color="auto"/>
        <w:left w:val="none" w:sz="0" w:space="0" w:color="auto"/>
        <w:bottom w:val="none" w:sz="0" w:space="0" w:color="auto"/>
        <w:right w:val="none" w:sz="0" w:space="0" w:color="auto"/>
      </w:divBdr>
    </w:div>
    <w:div w:id="1635331917">
      <w:bodyDiv w:val="1"/>
      <w:marLeft w:val="0"/>
      <w:marRight w:val="0"/>
      <w:marTop w:val="0"/>
      <w:marBottom w:val="0"/>
      <w:divBdr>
        <w:top w:val="none" w:sz="0" w:space="0" w:color="auto"/>
        <w:left w:val="none" w:sz="0" w:space="0" w:color="auto"/>
        <w:bottom w:val="none" w:sz="0" w:space="0" w:color="auto"/>
        <w:right w:val="none" w:sz="0" w:space="0" w:color="auto"/>
      </w:divBdr>
    </w:div>
    <w:div w:id="1777797073">
      <w:bodyDiv w:val="1"/>
      <w:marLeft w:val="0"/>
      <w:marRight w:val="0"/>
      <w:marTop w:val="0"/>
      <w:marBottom w:val="0"/>
      <w:divBdr>
        <w:top w:val="none" w:sz="0" w:space="0" w:color="auto"/>
        <w:left w:val="none" w:sz="0" w:space="0" w:color="auto"/>
        <w:bottom w:val="none" w:sz="0" w:space="0" w:color="auto"/>
        <w:right w:val="none" w:sz="0" w:space="0" w:color="auto"/>
      </w:divBdr>
    </w:div>
    <w:div w:id="1887257654">
      <w:bodyDiv w:val="1"/>
      <w:marLeft w:val="0"/>
      <w:marRight w:val="0"/>
      <w:marTop w:val="0"/>
      <w:marBottom w:val="0"/>
      <w:divBdr>
        <w:top w:val="none" w:sz="0" w:space="0" w:color="auto"/>
        <w:left w:val="none" w:sz="0" w:space="0" w:color="auto"/>
        <w:bottom w:val="none" w:sz="0" w:space="0" w:color="auto"/>
        <w:right w:val="none" w:sz="0" w:space="0" w:color="auto"/>
      </w:divBdr>
    </w:div>
    <w:div w:id="2010329652">
      <w:bodyDiv w:val="1"/>
      <w:marLeft w:val="0"/>
      <w:marRight w:val="0"/>
      <w:marTop w:val="0"/>
      <w:marBottom w:val="0"/>
      <w:divBdr>
        <w:top w:val="none" w:sz="0" w:space="0" w:color="auto"/>
        <w:left w:val="none" w:sz="0" w:space="0" w:color="auto"/>
        <w:bottom w:val="none" w:sz="0" w:space="0" w:color="auto"/>
        <w:right w:val="none" w:sz="0" w:space="0" w:color="auto"/>
      </w:divBdr>
    </w:div>
    <w:div w:id="2044819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E41694-63DD-469A-B793-8E0B2AEE01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73</Pages>
  <Words>20176</Words>
  <Characters>115006</Characters>
  <Application>Microsoft Office Word</Application>
  <DocSecurity>0</DocSecurity>
  <Lines>958</Lines>
  <Paragraphs>269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chowdhury</dc:creator>
  <cp:keywords/>
  <dc:description/>
  <cp:lastModifiedBy>mohammed chowdhury</cp:lastModifiedBy>
  <cp:revision>2</cp:revision>
  <dcterms:created xsi:type="dcterms:W3CDTF">2026-01-07T11:00:00Z</dcterms:created>
  <dcterms:modified xsi:type="dcterms:W3CDTF">2026-01-07T11:00:00Z</dcterms:modified>
</cp:coreProperties>
</file>