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966BA5" w:rsidR="008A74B2" w:rsidP="00966BA5" w:rsidRDefault="008A74B2" w14:paraId="0380D691" w14:textId="77777777">
      <w:pPr>
        <w:spacing w:after="80" w:line="360" w:lineRule="auto"/>
        <w:jc w:val="both"/>
        <w:rPr>
          <w:rFonts w:ascii="Arial" w:hAnsi="Arial" w:cs="Arial"/>
        </w:rPr>
      </w:pPr>
    </w:p>
    <w:p w:rsidRPr="00966BA5" w:rsidR="008A74B2" w:rsidP="00DF015B" w:rsidRDefault="008A74B2" w14:paraId="00B41D78" w14:textId="3B350BC9">
      <w:pPr>
        <w:spacing w:after="120" w:line="360" w:lineRule="auto"/>
        <w:jc w:val="center"/>
        <w:rPr>
          <w:rFonts w:ascii="Arial" w:hAnsi="Arial" w:cs="Arial"/>
          <w:b/>
          <w:bCs/>
        </w:rPr>
      </w:pPr>
      <w:r w:rsidRPr="00966BA5">
        <w:rPr>
          <w:rFonts w:ascii="Arial" w:hAnsi="Arial" w:eastAsia="Arial" w:cs="Arial"/>
          <w:b/>
          <w:bCs/>
        </w:rPr>
        <w:t>TYPE 2 DIABETES: UNDERSTANDING THE CONDITION AND MANAGING</w:t>
      </w:r>
    </w:p>
    <w:p w:rsidRPr="00966BA5" w:rsidR="008A74B2" w:rsidP="00DF015B" w:rsidRDefault="008A74B2" w14:paraId="18DB3F31" w14:textId="34AC4C9D">
      <w:pPr>
        <w:spacing w:after="120" w:line="360" w:lineRule="auto"/>
        <w:jc w:val="center"/>
        <w:rPr>
          <w:rFonts w:ascii="Arial" w:hAnsi="Arial" w:cs="Arial"/>
          <w:b/>
          <w:bCs/>
        </w:rPr>
      </w:pPr>
      <w:r w:rsidRPr="00966BA5">
        <w:rPr>
          <w:rFonts w:ascii="Arial" w:hAnsi="Arial" w:eastAsia="Arial" w:cs="Arial"/>
          <w:b/>
          <w:bCs/>
        </w:rPr>
        <w:t>BLOOD SUGAR LEVELS SAFELY AND EFFECTIVELY</w:t>
      </w:r>
    </w:p>
    <w:p w:rsidRPr="00966BA5" w:rsidR="008A74B2" w:rsidP="00DF015B" w:rsidRDefault="008A74B2" w14:paraId="6024635D" w14:textId="3EC83C0E">
      <w:pPr>
        <w:spacing w:after="80" w:line="360" w:lineRule="auto"/>
        <w:jc w:val="center"/>
        <w:rPr>
          <w:rFonts w:ascii="Arial" w:hAnsi="Arial" w:cs="Arial"/>
          <w:b/>
          <w:bCs/>
        </w:rPr>
      </w:pPr>
    </w:p>
    <w:p w:rsidRPr="00966BA5" w:rsidR="008A74B2" w:rsidP="00DF015B" w:rsidRDefault="008A74B2" w14:paraId="22B4AC1F" w14:textId="77777777">
      <w:pPr>
        <w:spacing w:after="80" w:line="360" w:lineRule="auto"/>
        <w:jc w:val="center"/>
        <w:rPr>
          <w:rFonts w:ascii="Arial" w:hAnsi="Arial" w:cs="Arial"/>
          <w:b/>
          <w:bCs/>
        </w:rPr>
      </w:pPr>
    </w:p>
    <w:p w:rsidRPr="00966BA5" w:rsidR="008A74B2" w:rsidP="5DEC3829" w:rsidRDefault="008A74B2" w14:paraId="6F04BDB3" w14:textId="1C09D454">
      <w:pPr>
        <w:spacing w:after="120" w:line="360" w:lineRule="auto"/>
        <w:jc w:val="center"/>
        <w:rPr>
          <w:rFonts w:ascii="Arial" w:hAnsi="Arial" w:eastAsia="Arial" w:cs="Arial"/>
          <w:b w:val="1"/>
          <w:bCs w:val="1"/>
        </w:rPr>
      </w:pPr>
      <w:r w:rsidRPr="5DEC3829" w:rsidR="008A74B2">
        <w:rPr>
          <w:rFonts w:ascii="Arial" w:hAnsi="Arial" w:eastAsia="Arial" w:cs="Arial"/>
          <w:b w:val="1"/>
          <w:bCs w:val="1"/>
        </w:rPr>
        <w:t>STUDENT NAME:</w:t>
      </w:r>
      <w:r w:rsidRPr="5DEC3829" w:rsidR="6DB382D3">
        <w:rPr>
          <w:rFonts w:ascii="Arial" w:hAnsi="Arial" w:eastAsia="Arial" w:cs="Arial"/>
          <w:b w:val="1"/>
          <w:bCs w:val="1"/>
        </w:rPr>
        <w:t xml:space="preserve"> SUFIA SULTAN</w:t>
      </w:r>
    </w:p>
    <w:p w:rsidRPr="00966BA5" w:rsidR="008A74B2" w:rsidP="00DF015B" w:rsidRDefault="008A74B2" w14:paraId="58A0E01F" w14:textId="5B363123">
      <w:pPr>
        <w:spacing w:after="120" w:line="360" w:lineRule="auto"/>
        <w:jc w:val="center"/>
        <w:rPr>
          <w:rFonts w:ascii="Arial" w:hAnsi="Arial" w:eastAsia="Arial" w:cs="Arial"/>
          <w:b w:val="1"/>
          <w:bCs w:val="1"/>
        </w:rPr>
      </w:pPr>
      <w:r w:rsidRPr="5DEC3829" w:rsidR="008A74B2">
        <w:rPr>
          <w:rFonts w:ascii="Arial" w:hAnsi="Arial" w:eastAsia="Arial" w:cs="Arial"/>
          <w:b w:val="1"/>
          <w:bCs w:val="1"/>
        </w:rPr>
        <w:t>STUDENT NUMBER:</w:t>
      </w:r>
      <w:r w:rsidRPr="5DEC3829" w:rsidR="37D1DE20">
        <w:rPr>
          <w:rFonts w:ascii="Arial" w:hAnsi="Arial" w:eastAsia="Arial" w:cs="Arial"/>
          <w:b w:val="1"/>
          <w:bCs w:val="1"/>
        </w:rPr>
        <w:t xml:space="preserve"> 2431993</w:t>
      </w:r>
    </w:p>
    <w:p w:rsidRPr="00966BA5" w:rsidR="008A74B2" w:rsidP="00DF015B" w:rsidRDefault="008A74B2" w14:paraId="7B7C9B65" w14:textId="76627B55">
      <w:pPr>
        <w:spacing w:after="120" w:line="360" w:lineRule="auto"/>
        <w:jc w:val="center"/>
        <w:rPr>
          <w:rFonts w:ascii="Arial" w:hAnsi="Arial" w:eastAsia="Arial" w:cs="Arial"/>
          <w:b/>
          <w:bCs/>
        </w:rPr>
      </w:pPr>
    </w:p>
    <w:p w:rsidRPr="00966BA5" w:rsidR="008A74B2" w:rsidP="00DF015B" w:rsidRDefault="008A74B2" w14:paraId="3B225FA5" w14:textId="77777777">
      <w:pPr>
        <w:spacing w:after="120" w:line="360" w:lineRule="auto"/>
        <w:jc w:val="center"/>
        <w:rPr>
          <w:rFonts w:ascii="Arial" w:hAnsi="Arial" w:eastAsia="Arial" w:cs="Arial"/>
          <w:b/>
          <w:bCs/>
        </w:rPr>
      </w:pPr>
    </w:p>
    <w:p w:rsidRPr="00966BA5" w:rsidR="008A74B2" w:rsidP="00DF015B" w:rsidRDefault="008A74B2" w14:paraId="0D6BC8D7" w14:textId="4BA2DFBA">
      <w:pPr>
        <w:spacing w:after="120" w:line="360" w:lineRule="auto"/>
        <w:jc w:val="center"/>
        <w:rPr>
          <w:rFonts w:ascii="Arial" w:hAnsi="Arial" w:eastAsia="Arial" w:cs="Arial"/>
          <w:b/>
          <w:bCs/>
        </w:rPr>
      </w:pPr>
      <w:r w:rsidRPr="00966BA5">
        <w:rPr>
          <w:rFonts w:ascii="Arial" w:hAnsi="Arial" w:eastAsia="Arial" w:cs="Arial"/>
          <w:b/>
          <w:bCs/>
        </w:rPr>
        <w:t>MODULE TITLE: INTRODUCTION TO PHYSIOLOGY</w:t>
      </w:r>
    </w:p>
    <w:p w:rsidRPr="00966BA5" w:rsidR="008A74B2" w:rsidP="00DF015B" w:rsidRDefault="008A74B2" w14:paraId="3E6F2C15" w14:textId="68D9F2C4">
      <w:pPr>
        <w:spacing w:after="120" w:line="360" w:lineRule="auto"/>
        <w:jc w:val="center"/>
        <w:rPr>
          <w:rFonts w:ascii="Arial" w:hAnsi="Arial" w:eastAsia="Arial" w:cs="Arial"/>
          <w:b w:val="1"/>
          <w:bCs w:val="1"/>
        </w:rPr>
      </w:pPr>
      <w:r w:rsidRPr="5DEC3829" w:rsidR="008A74B2">
        <w:rPr>
          <w:rFonts w:ascii="Arial" w:hAnsi="Arial" w:eastAsia="Arial" w:cs="Arial"/>
          <w:b w:val="1"/>
          <w:bCs w:val="1"/>
        </w:rPr>
        <w:t>MODULE CODE: BMHP5023</w:t>
      </w:r>
    </w:p>
    <w:p w:rsidR="1C9CBCEA" w:rsidP="5DEC3829" w:rsidRDefault="1C9CBCEA" w14:paraId="5F946B2B" w14:textId="14DD9E17">
      <w:pPr>
        <w:spacing w:after="120" w:line="360" w:lineRule="auto"/>
        <w:jc w:val="center"/>
        <w:rPr>
          <w:rFonts w:ascii="Arial" w:hAnsi="Arial" w:eastAsia="Arial" w:cs="Arial"/>
          <w:b w:val="1"/>
          <w:bCs w:val="1"/>
        </w:rPr>
      </w:pPr>
      <w:r w:rsidRPr="5DEC3829" w:rsidR="1C9CBCEA">
        <w:rPr>
          <w:rFonts w:ascii="Arial" w:hAnsi="Arial" w:eastAsia="Arial" w:cs="Arial"/>
          <w:b w:val="1"/>
          <w:bCs w:val="1"/>
        </w:rPr>
        <w:t>LECTURER GILLIAN WEAVER AND ROBERT NARTOWSKI</w:t>
      </w:r>
    </w:p>
    <w:p w:rsidRPr="00966BA5" w:rsidR="008A74B2" w:rsidP="00DF015B" w:rsidRDefault="008A74B2" w14:paraId="7B04A6AF" w14:textId="75AC5845">
      <w:pPr>
        <w:spacing w:after="120" w:line="360" w:lineRule="auto"/>
        <w:jc w:val="center"/>
        <w:rPr>
          <w:rFonts w:ascii="Arial" w:hAnsi="Arial" w:eastAsia="Arial" w:cs="Arial"/>
          <w:b/>
          <w:bCs/>
        </w:rPr>
      </w:pPr>
      <w:r w:rsidRPr="00966BA5">
        <w:rPr>
          <w:rFonts w:ascii="Arial" w:hAnsi="Arial" w:eastAsia="Arial" w:cs="Arial"/>
          <w:b/>
          <w:bCs/>
        </w:rPr>
        <w:t>ASSIGNMENT TITLE: CASE STUDY REPORT – TYPE 2 DIABETES</w:t>
      </w:r>
    </w:p>
    <w:p w:rsidRPr="00966BA5" w:rsidR="008A74B2" w:rsidP="00DF015B" w:rsidRDefault="008A74B2" w14:paraId="2AEAE721" w14:textId="2EF94787">
      <w:pPr>
        <w:spacing w:after="120" w:line="360" w:lineRule="auto"/>
        <w:jc w:val="center"/>
        <w:rPr>
          <w:rFonts w:ascii="Arial" w:hAnsi="Arial" w:cs="Arial"/>
          <w:b/>
          <w:bCs/>
        </w:rPr>
      </w:pPr>
      <w:r w:rsidRPr="00966BA5">
        <w:rPr>
          <w:rFonts w:ascii="Arial" w:hAnsi="Arial" w:eastAsia="Arial" w:cs="Arial"/>
          <w:b/>
          <w:bCs/>
        </w:rPr>
        <w:t>COMPONENT 1: CASE STUDY REPORT</w:t>
      </w:r>
    </w:p>
    <w:p w:rsidRPr="00966BA5" w:rsidR="008A74B2" w:rsidP="5DEC3829" w:rsidRDefault="008A74B2" w14:paraId="7C7B8BD2" w14:textId="4B1CD1A4">
      <w:pPr>
        <w:spacing w:after="120" w:line="360" w:lineRule="auto"/>
        <w:jc w:val="center"/>
        <w:rPr>
          <w:rFonts w:ascii="Arial" w:hAnsi="Arial" w:eastAsia="Arial" w:cs="Arial"/>
          <w:b w:val="1"/>
          <w:bCs w:val="1"/>
        </w:rPr>
      </w:pPr>
      <w:r w:rsidRPr="5DEC3829" w:rsidR="008A74B2">
        <w:rPr>
          <w:rFonts w:ascii="Arial" w:hAnsi="Arial" w:eastAsia="Arial" w:cs="Arial"/>
          <w:b w:val="1"/>
          <w:bCs w:val="1"/>
        </w:rPr>
        <w:t>SUBMISSION DEADLINE:</w:t>
      </w:r>
      <w:r w:rsidRPr="5DEC3829" w:rsidR="57536296">
        <w:rPr>
          <w:rFonts w:ascii="Arial" w:hAnsi="Arial" w:eastAsia="Arial" w:cs="Arial"/>
          <w:b w:val="1"/>
          <w:bCs w:val="1"/>
        </w:rPr>
        <w:t xml:space="preserve"> SUNDAY 28</w:t>
      </w:r>
      <w:r w:rsidRPr="5DEC3829" w:rsidR="57536296">
        <w:rPr>
          <w:rFonts w:ascii="Arial" w:hAnsi="Arial" w:eastAsia="Arial" w:cs="Arial"/>
          <w:b w:val="1"/>
          <w:bCs w:val="1"/>
          <w:vertAlign w:val="superscript"/>
        </w:rPr>
        <w:t>TH</w:t>
      </w:r>
      <w:r w:rsidRPr="5DEC3829" w:rsidR="57536296">
        <w:rPr>
          <w:rFonts w:ascii="Arial" w:hAnsi="Arial" w:eastAsia="Arial" w:cs="Arial"/>
          <w:b w:val="1"/>
          <w:bCs w:val="1"/>
        </w:rPr>
        <w:t xml:space="preserve"> JUNE 2026</w:t>
      </w:r>
    </w:p>
    <w:p w:rsidRPr="00966BA5" w:rsidR="00966BA5" w:rsidP="00DF015B" w:rsidRDefault="00966BA5" w14:paraId="44ECD383" w14:textId="77777777">
      <w:pPr>
        <w:spacing w:line="360" w:lineRule="auto"/>
        <w:jc w:val="center"/>
        <w:rPr>
          <w:rFonts w:ascii="Arial" w:hAnsi="Arial" w:cs="Arial"/>
        </w:rPr>
      </w:pPr>
    </w:p>
    <w:p w:rsidRPr="00966BA5" w:rsidR="00966BA5" w:rsidP="00966BA5" w:rsidRDefault="00966BA5" w14:paraId="29E4D325" w14:textId="79F68405">
      <w:pPr>
        <w:spacing w:line="360" w:lineRule="auto"/>
        <w:jc w:val="both"/>
        <w:rPr>
          <w:rFonts w:ascii="Arial" w:hAnsi="Arial" w:cs="Arial"/>
        </w:rPr>
      </w:pPr>
      <w:r w:rsidRPr="00966BA5">
        <w:rPr>
          <w:rFonts w:ascii="Arial" w:hAnsi="Arial" w:cs="Arial"/>
        </w:rPr>
        <w:br w:type="page"/>
      </w:r>
    </w:p>
    <w:p w:rsidRPr="00966BA5" w:rsidR="00966BA5" w:rsidP="00966BA5" w:rsidRDefault="00966BA5" w14:paraId="0133AE54" w14:textId="77777777">
      <w:pPr>
        <w:spacing w:line="360" w:lineRule="auto"/>
        <w:jc w:val="both"/>
        <w:rPr>
          <w:rFonts w:ascii="Arial" w:hAnsi="Arial" w:cs="Arial"/>
        </w:rPr>
      </w:pPr>
    </w:p>
    <w:sdt>
      <w:sdtPr>
        <w:id w:val="275830819"/>
        <w:docPartObj>
          <w:docPartGallery w:val="Table of Contents"/>
          <w:docPartUnique/>
        </w:docPartObj>
        <w:rPr>
          <w:rFonts w:ascii="Arial" w:hAnsi="Arial" w:eastAsia="游明朝" w:cs="Arial" w:eastAsiaTheme="minorEastAsia"/>
          <w:color w:val="auto"/>
          <w:sz w:val="22"/>
          <w:szCs w:val="22"/>
          <w:lang w:val="en-GB"/>
        </w:rPr>
      </w:sdtPr>
      <w:sdtEndPr>
        <w:rPr>
          <w:rFonts w:ascii="Arial" w:hAnsi="Arial" w:eastAsia="游明朝" w:cs="Arial" w:eastAsiaTheme="minorEastAsia"/>
          <w:b w:val="1"/>
          <w:bCs w:val="1"/>
          <w:color w:val="auto"/>
          <w:sz w:val="22"/>
          <w:szCs w:val="22"/>
          <w:lang w:val="en-GB"/>
        </w:rPr>
      </w:sdtEndPr>
      <w:sdtContent>
        <w:p w:rsidRPr="00966BA5" w:rsidR="00966BA5" w:rsidP="00966BA5" w:rsidRDefault="00966BA5" w14:paraId="35A30BB3" w14:textId="2D3C954B">
          <w:pPr>
            <w:pStyle w:val="TOCHeading"/>
            <w:spacing w:line="360" w:lineRule="auto"/>
            <w:jc w:val="both"/>
            <w:rPr>
              <w:rFonts w:ascii="Arial" w:hAnsi="Arial" w:cs="Arial"/>
              <w:color w:val="auto"/>
              <w:sz w:val="22"/>
              <w:szCs w:val="22"/>
            </w:rPr>
          </w:pPr>
          <w:r w:rsidRPr="00966BA5">
            <w:rPr>
              <w:rFonts w:ascii="Arial" w:hAnsi="Arial" w:cs="Arial"/>
              <w:color w:val="auto"/>
              <w:sz w:val="22"/>
              <w:szCs w:val="22"/>
            </w:rPr>
            <w:t>Table of Contents</w:t>
          </w:r>
        </w:p>
        <w:p w:rsidR="001A0F4A" w:rsidRDefault="00966BA5" w14:paraId="5EEAF9C9" w14:textId="03097981">
          <w:pPr>
            <w:pStyle w:val="TOC1"/>
            <w:tabs>
              <w:tab w:val="right" w:leader="dot" w:pos="9016"/>
            </w:tabs>
            <w:rPr>
              <w:rFonts w:eastAsiaTheme="minorEastAsia"/>
              <w:noProof/>
            </w:rPr>
          </w:pPr>
          <w:r w:rsidRPr="00966BA5">
            <w:rPr>
              <w:rFonts w:ascii="Arial" w:hAnsi="Arial" w:cs="Arial"/>
            </w:rPr>
            <w:fldChar w:fldCharType="begin"/>
          </w:r>
          <w:r w:rsidRPr="00966BA5">
            <w:rPr>
              <w:rFonts w:ascii="Arial" w:hAnsi="Arial" w:cs="Arial"/>
            </w:rPr>
            <w:instrText xml:space="preserve"> TOC \o "1-3" \h \z \u </w:instrText>
          </w:r>
          <w:r w:rsidRPr="00966BA5">
            <w:rPr>
              <w:rFonts w:ascii="Arial" w:hAnsi="Arial" w:cs="Arial"/>
            </w:rPr>
            <w:fldChar w:fldCharType="separate"/>
          </w:r>
          <w:hyperlink w:history="1" w:anchor="_Toc232282405">
            <w:r w:rsidRPr="00024212" w:rsidR="001A0F4A">
              <w:rPr>
                <w:rStyle w:val="Hyperlink"/>
                <w:rFonts w:ascii="Arial" w:hAnsi="Arial" w:cs="Arial"/>
                <w:b/>
                <w:bCs/>
                <w:noProof/>
              </w:rPr>
              <w:t>1.0 Introduction</w:t>
            </w:r>
            <w:r w:rsidR="001A0F4A">
              <w:rPr>
                <w:noProof/>
                <w:webHidden/>
              </w:rPr>
              <w:tab/>
            </w:r>
            <w:r w:rsidR="001A0F4A">
              <w:rPr>
                <w:noProof/>
                <w:webHidden/>
              </w:rPr>
              <w:fldChar w:fldCharType="begin"/>
            </w:r>
            <w:r w:rsidR="001A0F4A">
              <w:rPr>
                <w:noProof/>
                <w:webHidden/>
              </w:rPr>
              <w:instrText xml:space="preserve"> PAGEREF _Toc232282405 \h </w:instrText>
            </w:r>
            <w:r w:rsidR="001A0F4A">
              <w:rPr>
                <w:noProof/>
                <w:webHidden/>
              </w:rPr>
            </w:r>
            <w:r w:rsidR="001A0F4A">
              <w:rPr>
                <w:noProof/>
                <w:webHidden/>
              </w:rPr>
              <w:fldChar w:fldCharType="separate"/>
            </w:r>
            <w:r w:rsidR="001A0F4A">
              <w:rPr>
                <w:noProof/>
                <w:webHidden/>
              </w:rPr>
              <w:t>3</w:t>
            </w:r>
            <w:r w:rsidR="001A0F4A">
              <w:rPr>
                <w:noProof/>
                <w:webHidden/>
              </w:rPr>
              <w:fldChar w:fldCharType="end"/>
            </w:r>
          </w:hyperlink>
        </w:p>
        <w:p w:rsidR="001A0F4A" w:rsidRDefault="001A0F4A" w14:paraId="777D6B75" w14:textId="5F1C4122">
          <w:pPr>
            <w:pStyle w:val="TOC1"/>
            <w:tabs>
              <w:tab w:val="right" w:leader="dot" w:pos="9016"/>
            </w:tabs>
            <w:rPr>
              <w:rFonts w:eastAsiaTheme="minorEastAsia"/>
              <w:noProof/>
            </w:rPr>
          </w:pPr>
          <w:hyperlink w:history="1" w:anchor="_Toc232282406">
            <w:r w:rsidRPr="00024212">
              <w:rPr>
                <w:rStyle w:val="Hyperlink"/>
                <w:rFonts w:ascii="Arial" w:hAnsi="Arial" w:cs="Arial"/>
                <w:b/>
                <w:bCs/>
                <w:noProof/>
              </w:rPr>
              <w:t>2.0 The regulation of blood sugar level</w:t>
            </w:r>
            <w:r>
              <w:rPr>
                <w:noProof/>
                <w:webHidden/>
              </w:rPr>
              <w:tab/>
            </w:r>
            <w:r>
              <w:rPr>
                <w:noProof/>
                <w:webHidden/>
              </w:rPr>
              <w:fldChar w:fldCharType="begin"/>
            </w:r>
            <w:r>
              <w:rPr>
                <w:noProof/>
                <w:webHidden/>
              </w:rPr>
              <w:instrText xml:space="preserve"> PAGEREF _Toc232282406 \h </w:instrText>
            </w:r>
            <w:r>
              <w:rPr>
                <w:noProof/>
                <w:webHidden/>
              </w:rPr>
            </w:r>
            <w:r>
              <w:rPr>
                <w:noProof/>
                <w:webHidden/>
              </w:rPr>
              <w:fldChar w:fldCharType="separate"/>
            </w:r>
            <w:r>
              <w:rPr>
                <w:noProof/>
                <w:webHidden/>
              </w:rPr>
              <w:t>3</w:t>
            </w:r>
            <w:r>
              <w:rPr>
                <w:noProof/>
                <w:webHidden/>
              </w:rPr>
              <w:fldChar w:fldCharType="end"/>
            </w:r>
          </w:hyperlink>
        </w:p>
        <w:p w:rsidR="001A0F4A" w:rsidRDefault="001A0F4A" w14:paraId="219066BC" w14:textId="507F31FF">
          <w:pPr>
            <w:pStyle w:val="TOC1"/>
            <w:tabs>
              <w:tab w:val="right" w:leader="dot" w:pos="9016"/>
            </w:tabs>
            <w:rPr>
              <w:rFonts w:eastAsiaTheme="minorEastAsia"/>
              <w:noProof/>
            </w:rPr>
          </w:pPr>
          <w:hyperlink w:history="1" w:anchor="_Toc232282407">
            <w:r w:rsidRPr="00024212">
              <w:rPr>
                <w:rStyle w:val="Hyperlink"/>
                <w:rFonts w:ascii="Arial" w:hAnsi="Arial" w:cs="Arial"/>
                <w:b/>
                <w:bCs/>
                <w:noProof/>
              </w:rPr>
              <w:t>3.0 Cell Metabolism – consuming oxygen and glucose to generate energy</w:t>
            </w:r>
            <w:r>
              <w:rPr>
                <w:noProof/>
                <w:webHidden/>
              </w:rPr>
              <w:tab/>
            </w:r>
            <w:r>
              <w:rPr>
                <w:noProof/>
                <w:webHidden/>
              </w:rPr>
              <w:fldChar w:fldCharType="begin"/>
            </w:r>
            <w:r>
              <w:rPr>
                <w:noProof/>
                <w:webHidden/>
              </w:rPr>
              <w:instrText xml:space="preserve"> PAGEREF _Toc232282407 \h </w:instrText>
            </w:r>
            <w:r>
              <w:rPr>
                <w:noProof/>
                <w:webHidden/>
              </w:rPr>
            </w:r>
            <w:r>
              <w:rPr>
                <w:noProof/>
                <w:webHidden/>
              </w:rPr>
              <w:fldChar w:fldCharType="separate"/>
            </w:r>
            <w:r>
              <w:rPr>
                <w:noProof/>
                <w:webHidden/>
              </w:rPr>
              <w:t>4</w:t>
            </w:r>
            <w:r>
              <w:rPr>
                <w:noProof/>
                <w:webHidden/>
              </w:rPr>
              <w:fldChar w:fldCharType="end"/>
            </w:r>
          </w:hyperlink>
        </w:p>
        <w:p w:rsidR="001A0F4A" w:rsidRDefault="001A0F4A" w14:paraId="3BC1FE42" w14:textId="240C45E7">
          <w:pPr>
            <w:pStyle w:val="TOC1"/>
            <w:tabs>
              <w:tab w:val="right" w:leader="dot" w:pos="9016"/>
            </w:tabs>
            <w:rPr>
              <w:rFonts w:eastAsiaTheme="minorEastAsia"/>
              <w:noProof/>
            </w:rPr>
          </w:pPr>
          <w:hyperlink w:history="1" w:anchor="_Toc232282408">
            <w:r w:rsidRPr="00024212">
              <w:rPr>
                <w:rStyle w:val="Hyperlink"/>
                <w:rFonts w:ascii="Arial" w:hAnsi="Arial" w:cs="Arial"/>
                <w:b/>
                <w:bCs/>
                <w:noProof/>
              </w:rPr>
              <w:t>4.0 Recording and Tracking Blood Sugar Levels</w:t>
            </w:r>
            <w:r>
              <w:rPr>
                <w:noProof/>
                <w:webHidden/>
              </w:rPr>
              <w:tab/>
            </w:r>
            <w:r>
              <w:rPr>
                <w:noProof/>
                <w:webHidden/>
              </w:rPr>
              <w:fldChar w:fldCharType="begin"/>
            </w:r>
            <w:r>
              <w:rPr>
                <w:noProof/>
                <w:webHidden/>
              </w:rPr>
              <w:instrText xml:space="preserve"> PAGEREF _Toc232282408 \h </w:instrText>
            </w:r>
            <w:r>
              <w:rPr>
                <w:noProof/>
                <w:webHidden/>
              </w:rPr>
            </w:r>
            <w:r>
              <w:rPr>
                <w:noProof/>
                <w:webHidden/>
              </w:rPr>
              <w:fldChar w:fldCharType="separate"/>
            </w:r>
            <w:r>
              <w:rPr>
                <w:noProof/>
                <w:webHidden/>
              </w:rPr>
              <w:t>5</w:t>
            </w:r>
            <w:r>
              <w:rPr>
                <w:noProof/>
                <w:webHidden/>
              </w:rPr>
              <w:fldChar w:fldCharType="end"/>
            </w:r>
          </w:hyperlink>
        </w:p>
        <w:p w:rsidR="001A0F4A" w:rsidRDefault="001A0F4A" w14:paraId="1C43FA27" w14:textId="6BFC5ED4">
          <w:pPr>
            <w:pStyle w:val="TOC1"/>
            <w:tabs>
              <w:tab w:val="right" w:leader="dot" w:pos="9016"/>
            </w:tabs>
            <w:rPr>
              <w:rFonts w:eastAsiaTheme="minorEastAsia"/>
              <w:noProof/>
            </w:rPr>
          </w:pPr>
          <w:hyperlink w:history="1" w:anchor="_Toc232282409">
            <w:r w:rsidRPr="00024212">
              <w:rPr>
                <w:rStyle w:val="Hyperlink"/>
                <w:rFonts w:ascii="Arial" w:hAnsi="Arial" w:cs="Arial"/>
                <w:b/>
                <w:bCs/>
                <w:noProof/>
              </w:rPr>
              <w:t>5.0 Evidence-Based Lifestyle Recommendations</w:t>
            </w:r>
            <w:r>
              <w:rPr>
                <w:noProof/>
                <w:webHidden/>
              </w:rPr>
              <w:tab/>
            </w:r>
            <w:r>
              <w:rPr>
                <w:noProof/>
                <w:webHidden/>
              </w:rPr>
              <w:fldChar w:fldCharType="begin"/>
            </w:r>
            <w:r>
              <w:rPr>
                <w:noProof/>
                <w:webHidden/>
              </w:rPr>
              <w:instrText xml:space="preserve"> PAGEREF _Toc232282409 \h </w:instrText>
            </w:r>
            <w:r>
              <w:rPr>
                <w:noProof/>
                <w:webHidden/>
              </w:rPr>
            </w:r>
            <w:r>
              <w:rPr>
                <w:noProof/>
                <w:webHidden/>
              </w:rPr>
              <w:fldChar w:fldCharType="separate"/>
            </w:r>
            <w:r>
              <w:rPr>
                <w:noProof/>
                <w:webHidden/>
              </w:rPr>
              <w:t>5</w:t>
            </w:r>
            <w:r>
              <w:rPr>
                <w:noProof/>
                <w:webHidden/>
              </w:rPr>
              <w:fldChar w:fldCharType="end"/>
            </w:r>
          </w:hyperlink>
        </w:p>
        <w:p w:rsidR="001A0F4A" w:rsidRDefault="001A0F4A" w14:paraId="76E06B47" w14:textId="7FDC8FD9">
          <w:pPr>
            <w:pStyle w:val="TOC2"/>
            <w:tabs>
              <w:tab w:val="right" w:leader="dot" w:pos="9016"/>
            </w:tabs>
            <w:rPr>
              <w:rFonts w:eastAsiaTheme="minorEastAsia"/>
              <w:noProof/>
            </w:rPr>
          </w:pPr>
          <w:hyperlink w:history="1" w:anchor="_Toc232282410">
            <w:r w:rsidRPr="00024212">
              <w:rPr>
                <w:rStyle w:val="Hyperlink"/>
                <w:rFonts w:ascii="Arial" w:hAnsi="Arial" w:cs="Arial"/>
                <w:b/>
                <w:bCs/>
                <w:noProof/>
              </w:rPr>
              <w:t>5.1 Dietary Modification</w:t>
            </w:r>
            <w:r>
              <w:rPr>
                <w:noProof/>
                <w:webHidden/>
              </w:rPr>
              <w:tab/>
            </w:r>
            <w:r>
              <w:rPr>
                <w:noProof/>
                <w:webHidden/>
              </w:rPr>
              <w:fldChar w:fldCharType="begin"/>
            </w:r>
            <w:r>
              <w:rPr>
                <w:noProof/>
                <w:webHidden/>
              </w:rPr>
              <w:instrText xml:space="preserve"> PAGEREF _Toc232282410 \h </w:instrText>
            </w:r>
            <w:r>
              <w:rPr>
                <w:noProof/>
                <w:webHidden/>
              </w:rPr>
            </w:r>
            <w:r>
              <w:rPr>
                <w:noProof/>
                <w:webHidden/>
              </w:rPr>
              <w:fldChar w:fldCharType="separate"/>
            </w:r>
            <w:r>
              <w:rPr>
                <w:noProof/>
                <w:webHidden/>
              </w:rPr>
              <w:t>5</w:t>
            </w:r>
            <w:r>
              <w:rPr>
                <w:noProof/>
                <w:webHidden/>
              </w:rPr>
              <w:fldChar w:fldCharType="end"/>
            </w:r>
          </w:hyperlink>
        </w:p>
        <w:p w:rsidR="001A0F4A" w:rsidRDefault="001A0F4A" w14:paraId="1A807D14" w14:textId="6D8C1022">
          <w:pPr>
            <w:pStyle w:val="TOC2"/>
            <w:tabs>
              <w:tab w:val="right" w:leader="dot" w:pos="9016"/>
            </w:tabs>
            <w:rPr>
              <w:rFonts w:eastAsiaTheme="minorEastAsia"/>
              <w:noProof/>
            </w:rPr>
          </w:pPr>
          <w:hyperlink w:history="1" w:anchor="_Toc232282411">
            <w:r w:rsidRPr="00024212">
              <w:rPr>
                <w:rStyle w:val="Hyperlink"/>
                <w:rFonts w:ascii="Arial" w:hAnsi="Arial" w:cs="Arial"/>
                <w:b/>
                <w:bCs/>
                <w:noProof/>
              </w:rPr>
              <w:t>5.2 Physical Activity</w:t>
            </w:r>
            <w:r>
              <w:rPr>
                <w:noProof/>
                <w:webHidden/>
              </w:rPr>
              <w:tab/>
            </w:r>
            <w:r>
              <w:rPr>
                <w:noProof/>
                <w:webHidden/>
              </w:rPr>
              <w:fldChar w:fldCharType="begin"/>
            </w:r>
            <w:r>
              <w:rPr>
                <w:noProof/>
                <w:webHidden/>
              </w:rPr>
              <w:instrText xml:space="preserve"> PAGEREF _Toc232282411 \h </w:instrText>
            </w:r>
            <w:r>
              <w:rPr>
                <w:noProof/>
                <w:webHidden/>
              </w:rPr>
            </w:r>
            <w:r>
              <w:rPr>
                <w:noProof/>
                <w:webHidden/>
              </w:rPr>
              <w:fldChar w:fldCharType="separate"/>
            </w:r>
            <w:r>
              <w:rPr>
                <w:noProof/>
                <w:webHidden/>
              </w:rPr>
              <w:t>6</w:t>
            </w:r>
            <w:r>
              <w:rPr>
                <w:noProof/>
                <w:webHidden/>
              </w:rPr>
              <w:fldChar w:fldCharType="end"/>
            </w:r>
          </w:hyperlink>
        </w:p>
        <w:p w:rsidR="001A0F4A" w:rsidRDefault="001A0F4A" w14:paraId="4E4B2C86" w14:textId="7152D4AD">
          <w:pPr>
            <w:pStyle w:val="TOC2"/>
            <w:tabs>
              <w:tab w:val="right" w:leader="dot" w:pos="9016"/>
            </w:tabs>
            <w:rPr>
              <w:rFonts w:eastAsiaTheme="minorEastAsia"/>
              <w:noProof/>
            </w:rPr>
          </w:pPr>
          <w:hyperlink w:history="1" w:anchor="_Toc232282412">
            <w:r w:rsidRPr="00024212">
              <w:rPr>
                <w:rStyle w:val="Hyperlink"/>
                <w:rFonts w:ascii="Arial" w:hAnsi="Arial" w:cs="Arial"/>
                <w:b/>
                <w:bCs/>
                <w:noProof/>
              </w:rPr>
              <w:t>5.3 Smoking Cessation</w:t>
            </w:r>
            <w:r>
              <w:rPr>
                <w:noProof/>
                <w:webHidden/>
              </w:rPr>
              <w:tab/>
            </w:r>
            <w:r>
              <w:rPr>
                <w:noProof/>
                <w:webHidden/>
              </w:rPr>
              <w:fldChar w:fldCharType="begin"/>
            </w:r>
            <w:r>
              <w:rPr>
                <w:noProof/>
                <w:webHidden/>
              </w:rPr>
              <w:instrText xml:space="preserve"> PAGEREF _Toc232282412 \h </w:instrText>
            </w:r>
            <w:r>
              <w:rPr>
                <w:noProof/>
                <w:webHidden/>
              </w:rPr>
            </w:r>
            <w:r>
              <w:rPr>
                <w:noProof/>
                <w:webHidden/>
              </w:rPr>
              <w:fldChar w:fldCharType="separate"/>
            </w:r>
            <w:r>
              <w:rPr>
                <w:noProof/>
                <w:webHidden/>
              </w:rPr>
              <w:t>6</w:t>
            </w:r>
            <w:r>
              <w:rPr>
                <w:noProof/>
                <w:webHidden/>
              </w:rPr>
              <w:fldChar w:fldCharType="end"/>
            </w:r>
          </w:hyperlink>
        </w:p>
        <w:p w:rsidR="001A0F4A" w:rsidRDefault="001A0F4A" w14:paraId="34F7FCBA" w14:textId="760BF18D">
          <w:pPr>
            <w:pStyle w:val="TOC1"/>
            <w:tabs>
              <w:tab w:val="right" w:leader="dot" w:pos="9016"/>
            </w:tabs>
            <w:rPr>
              <w:rFonts w:eastAsiaTheme="minorEastAsia"/>
              <w:noProof/>
            </w:rPr>
          </w:pPr>
          <w:hyperlink w:history="1" w:anchor="_Toc232282413">
            <w:r w:rsidRPr="00024212">
              <w:rPr>
                <w:rStyle w:val="Hyperlink"/>
                <w:rFonts w:ascii="Arial" w:hAnsi="Arial" w:cs="Arial"/>
                <w:b/>
                <w:bCs/>
                <w:noProof/>
              </w:rPr>
              <w:t>6.0 Conclusion</w:t>
            </w:r>
            <w:r>
              <w:rPr>
                <w:noProof/>
                <w:webHidden/>
              </w:rPr>
              <w:tab/>
            </w:r>
            <w:r>
              <w:rPr>
                <w:noProof/>
                <w:webHidden/>
              </w:rPr>
              <w:fldChar w:fldCharType="begin"/>
            </w:r>
            <w:r>
              <w:rPr>
                <w:noProof/>
                <w:webHidden/>
              </w:rPr>
              <w:instrText xml:space="preserve"> PAGEREF _Toc232282413 \h </w:instrText>
            </w:r>
            <w:r>
              <w:rPr>
                <w:noProof/>
                <w:webHidden/>
              </w:rPr>
            </w:r>
            <w:r>
              <w:rPr>
                <w:noProof/>
                <w:webHidden/>
              </w:rPr>
              <w:fldChar w:fldCharType="separate"/>
            </w:r>
            <w:r>
              <w:rPr>
                <w:noProof/>
                <w:webHidden/>
              </w:rPr>
              <w:t>7</w:t>
            </w:r>
            <w:r>
              <w:rPr>
                <w:noProof/>
                <w:webHidden/>
              </w:rPr>
              <w:fldChar w:fldCharType="end"/>
            </w:r>
          </w:hyperlink>
        </w:p>
        <w:p w:rsidR="001A0F4A" w:rsidRDefault="001A0F4A" w14:paraId="28A74290" w14:textId="4330F05A">
          <w:pPr>
            <w:pStyle w:val="TOC1"/>
            <w:tabs>
              <w:tab w:val="right" w:leader="dot" w:pos="9016"/>
            </w:tabs>
            <w:rPr>
              <w:rFonts w:eastAsiaTheme="minorEastAsia"/>
              <w:noProof/>
            </w:rPr>
          </w:pPr>
          <w:hyperlink w:history="1" w:anchor="_Toc232282414">
            <w:r w:rsidRPr="00024212">
              <w:rPr>
                <w:rStyle w:val="Hyperlink"/>
                <w:rFonts w:ascii="Arial" w:hAnsi="Arial" w:eastAsia="Arial" w:cs="Arial"/>
                <w:b/>
                <w:bCs/>
                <w:noProof/>
              </w:rPr>
              <w:t>7.0 Reference List</w:t>
            </w:r>
            <w:r>
              <w:rPr>
                <w:noProof/>
                <w:webHidden/>
              </w:rPr>
              <w:tab/>
            </w:r>
            <w:r>
              <w:rPr>
                <w:noProof/>
                <w:webHidden/>
              </w:rPr>
              <w:fldChar w:fldCharType="begin"/>
            </w:r>
            <w:r>
              <w:rPr>
                <w:noProof/>
                <w:webHidden/>
              </w:rPr>
              <w:instrText xml:space="preserve"> PAGEREF _Toc232282414 \h </w:instrText>
            </w:r>
            <w:r>
              <w:rPr>
                <w:noProof/>
                <w:webHidden/>
              </w:rPr>
            </w:r>
            <w:r>
              <w:rPr>
                <w:noProof/>
                <w:webHidden/>
              </w:rPr>
              <w:fldChar w:fldCharType="separate"/>
            </w:r>
            <w:r>
              <w:rPr>
                <w:noProof/>
                <w:webHidden/>
              </w:rPr>
              <w:t>8</w:t>
            </w:r>
            <w:r>
              <w:rPr>
                <w:noProof/>
                <w:webHidden/>
              </w:rPr>
              <w:fldChar w:fldCharType="end"/>
            </w:r>
          </w:hyperlink>
        </w:p>
        <w:p w:rsidRPr="00966BA5" w:rsidR="00966BA5" w:rsidP="00966BA5" w:rsidRDefault="00966BA5" w14:paraId="4B04A473" w14:textId="33B163BB">
          <w:pPr>
            <w:spacing w:line="360" w:lineRule="auto"/>
            <w:jc w:val="both"/>
            <w:rPr>
              <w:rFonts w:ascii="Arial" w:hAnsi="Arial" w:cs="Arial"/>
            </w:rPr>
          </w:pPr>
          <w:r w:rsidRPr="00966BA5">
            <w:rPr>
              <w:rFonts w:ascii="Arial" w:hAnsi="Arial" w:cs="Arial"/>
              <w:b/>
              <w:bCs/>
              <w:noProof/>
            </w:rPr>
            <w:fldChar w:fldCharType="end"/>
          </w:r>
        </w:p>
      </w:sdtContent>
    </w:sdt>
    <w:p w:rsidRPr="00966BA5" w:rsidR="008A74B2" w:rsidP="00966BA5" w:rsidRDefault="008A74B2" w14:paraId="65067E86" w14:textId="4C7B1BC3">
      <w:pPr>
        <w:spacing w:line="360" w:lineRule="auto"/>
        <w:jc w:val="both"/>
        <w:rPr>
          <w:rFonts w:ascii="Arial" w:hAnsi="Arial" w:cs="Arial"/>
        </w:rPr>
      </w:pPr>
      <w:r w:rsidRPr="00966BA5">
        <w:rPr>
          <w:rFonts w:ascii="Arial" w:hAnsi="Arial" w:cs="Arial"/>
        </w:rPr>
        <w:br w:type="page"/>
      </w:r>
    </w:p>
    <w:p w:rsidRPr="00966BA5" w:rsidR="008A74B2" w:rsidP="00966BA5" w:rsidRDefault="008A74B2" w14:paraId="7C7276FB" w14:textId="77777777">
      <w:pPr>
        <w:spacing w:line="360" w:lineRule="auto"/>
        <w:jc w:val="both"/>
        <w:rPr>
          <w:rFonts w:ascii="Arial" w:hAnsi="Arial" w:cs="Arial"/>
        </w:rPr>
      </w:pPr>
    </w:p>
    <w:p w:rsidRPr="00966BA5" w:rsidR="008A74B2" w:rsidP="00966BA5" w:rsidRDefault="008A74B2" w14:paraId="3CC6510D" w14:textId="4530CE98">
      <w:pPr>
        <w:pStyle w:val="Heading1"/>
        <w:spacing w:line="360" w:lineRule="auto"/>
        <w:jc w:val="both"/>
        <w:rPr>
          <w:rFonts w:ascii="Arial" w:hAnsi="Arial" w:cs="Arial"/>
          <w:b/>
          <w:bCs/>
          <w:color w:val="auto"/>
          <w:sz w:val="22"/>
          <w:szCs w:val="22"/>
        </w:rPr>
      </w:pPr>
      <w:bookmarkStart w:name="_Toc232282405" w:id="0"/>
      <w:r w:rsidRPr="00966BA5">
        <w:rPr>
          <w:rFonts w:ascii="Arial" w:hAnsi="Arial" w:cs="Arial"/>
          <w:b/>
          <w:bCs/>
          <w:color w:val="auto"/>
          <w:sz w:val="22"/>
          <w:szCs w:val="22"/>
        </w:rPr>
        <w:t>1.0 Introduction</w:t>
      </w:r>
      <w:bookmarkEnd w:id="0"/>
    </w:p>
    <w:p w:rsidRPr="00966BA5" w:rsidR="008A74B2" w:rsidP="00966BA5" w:rsidRDefault="008A74B2" w14:paraId="1F2024CF" w14:textId="4D620CCC">
      <w:pPr>
        <w:spacing w:line="360" w:lineRule="auto"/>
        <w:jc w:val="both"/>
        <w:rPr>
          <w:rFonts w:ascii="Arial" w:hAnsi="Arial" w:cs="Arial"/>
        </w:rPr>
      </w:pPr>
      <w:r w:rsidRPr="00966BA5">
        <w:rPr>
          <w:rFonts w:ascii="Arial" w:hAnsi="Arial" w:cs="Arial"/>
        </w:rPr>
        <w:t>Type 2 diabetes mellitus is a chronic metabolic disease with a high blood glucose level (hyperglycaemia) due to insulin resistance in body tissues and progressive beta-cell failure in the pancreas (American Diabetes Association, 2022). Typically the highest prevalence of diabetes worldwide, constituting around 90-95% of all diabetes cases and is a significant and escalating public health issue (World Health Organisation, 2023). According to Diabetes UK (2023), there are currently 4.3 million people living with diagnosed diabetes in the United Kingdom and around 850,000 more who are undiagnosed.</w:t>
      </w:r>
    </w:p>
    <w:p w:rsidRPr="00966BA5" w:rsidR="008A74B2" w:rsidP="00966BA5" w:rsidRDefault="008A74B2" w14:paraId="2F30DECF" w14:textId="0BC178EC">
      <w:pPr>
        <w:spacing w:line="360" w:lineRule="auto"/>
        <w:jc w:val="both"/>
        <w:rPr>
          <w:rFonts w:ascii="Arial" w:hAnsi="Arial" w:cs="Arial"/>
        </w:rPr>
      </w:pPr>
      <w:r w:rsidRPr="00966BA5">
        <w:rPr>
          <w:rFonts w:ascii="Arial" w:hAnsi="Arial" w:cs="Arial"/>
        </w:rPr>
        <w:t>There are non-modifiable and modifiable risk factors for Type 2 diabetes. Multiple risk factors cannot be modified, such as increasing age, family history and genetic predisposition, and ethnicity</w:t>
      </w:r>
      <w:r w:rsidR="003F5F01">
        <w:rPr>
          <w:rFonts w:ascii="Arial" w:hAnsi="Arial" w:cs="Arial"/>
        </w:rPr>
        <w:t xml:space="preserve">, </w:t>
      </w:r>
      <w:r w:rsidRPr="00966BA5">
        <w:rPr>
          <w:rFonts w:ascii="Arial" w:hAnsi="Arial" w:cs="Arial"/>
        </w:rPr>
        <w:t>with South Asian, African and African Caribbean communities having a much higher risk</w:t>
      </w:r>
      <w:r w:rsidR="003F5F01">
        <w:rPr>
          <w:rFonts w:ascii="Arial" w:hAnsi="Arial" w:cs="Arial"/>
        </w:rPr>
        <w:t xml:space="preserve"> </w:t>
      </w:r>
      <w:r w:rsidRPr="00966BA5" w:rsidR="003F5F01">
        <w:rPr>
          <w:rFonts w:ascii="Arial" w:hAnsi="Arial" w:cs="Arial"/>
        </w:rPr>
        <w:t>(NICE, 2022)</w:t>
      </w:r>
      <w:r w:rsidRPr="00966BA5">
        <w:rPr>
          <w:rFonts w:ascii="Arial" w:hAnsi="Arial" w:cs="Arial"/>
        </w:rPr>
        <w:t>. Modifiable risk factors are at the heart of the scenario detailed in this case study, and include physical inactivity, obesity (including central (abdominal) adiposity), an unbalanced diet rich in refined carbohydrates and saturated fats, and smoking (Public Health England, 2020).</w:t>
      </w:r>
    </w:p>
    <w:p w:rsidRPr="00966BA5" w:rsidR="008A74B2" w:rsidP="00966BA5" w:rsidRDefault="008A74B2" w14:paraId="00E07B3A" w14:textId="57B2B9EC">
      <w:pPr>
        <w:spacing w:line="360" w:lineRule="auto"/>
        <w:jc w:val="both"/>
        <w:rPr>
          <w:rFonts w:ascii="Arial" w:hAnsi="Arial" w:cs="Arial"/>
        </w:rPr>
      </w:pPr>
      <w:r w:rsidRPr="00966BA5">
        <w:rPr>
          <w:rFonts w:ascii="Arial" w:hAnsi="Arial" w:cs="Arial"/>
        </w:rPr>
        <w:t>As a practice nurse working with Type 2 diabetes patients, it is important to clearly present patient-specific information based on evidence so patients can understand their disease and participate in their care plan. This report discusses the physiology of blood glucose control, the metabolism of oxygen and glucose in the production of energy at the cellular level, clinical relevance of recording and monitoring blood glucose readings, and evidence-driven recommendations for lifestyle factors that may help patients manage their diabetes safely and effectively.</w:t>
      </w:r>
    </w:p>
    <w:p w:rsidRPr="00966BA5" w:rsidR="008A74B2" w:rsidP="00966BA5" w:rsidRDefault="008A74B2" w14:paraId="3EE4133F" w14:textId="62B3019C">
      <w:pPr>
        <w:pStyle w:val="Heading1"/>
        <w:spacing w:line="360" w:lineRule="auto"/>
        <w:jc w:val="both"/>
        <w:rPr>
          <w:rFonts w:ascii="Arial" w:hAnsi="Arial" w:cs="Arial"/>
          <w:b/>
          <w:bCs/>
          <w:color w:val="auto"/>
          <w:sz w:val="22"/>
          <w:szCs w:val="22"/>
        </w:rPr>
      </w:pPr>
      <w:bookmarkStart w:name="_Toc232282406" w:id="1"/>
      <w:r w:rsidRPr="00966BA5">
        <w:rPr>
          <w:rFonts w:ascii="Arial" w:hAnsi="Arial" w:cs="Arial"/>
          <w:b/>
          <w:bCs/>
          <w:color w:val="auto"/>
          <w:sz w:val="22"/>
          <w:szCs w:val="22"/>
        </w:rPr>
        <w:t>2.0 The regulation of blood sugar level</w:t>
      </w:r>
      <w:bookmarkEnd w:id="1"/>
    </w:p>
    <w:p w:rsidRPr="00966BA5" w:rsidR="008A74B2" w:rsidP="00966BA5" w:rsidRDefault="008A74B2" w14:paraId="4EC3340D" w14:textId="22A642A9">
      <w:pPr>
        <w:spacing w:line="360" w:lineRule="auto"/>
        <w:jc w:val="both"/>
        <w:rPr>
          <w:rFonts w:ascii="Arial" w:hAnsi="Arial" w:cs="Arial"/>
        </w:rPr>
      </w:pPr>
      <w:r w:rsidRPr="00966BA5">
        <w:rPr>
          <w:rFonts w:ascii="Arial" w:hAnsi="Arial" w:cs="Arial"/>
        </w:rPr>
        <w:t>Blood glucose levels are also maintained within a small homeostatic range (3.9-7.8 mmol/L in a healthy, non-diabetic person) by a coordinated hormonal system through the pancreas (Tortora and Derrickson, 2017). After food arrives in the body, if blood glucose levels go up, then the islets of Langerhans (of the pancreas) sense the high level and release insulin into the blood. Insulin is a very important signalling molecule which binds to the insulin receptor (IR) on the surface of specific target cells in the skeletal muscle, adipose tissue and liver, resulting in the movement of glucose transporter 4 (GLUT4) proteins to the cell surface (Wilcox, 2005). Excessive glucose in the blood is taken into these cells by GLUT4 transporter proteins, which use glucose to produce energy or store it as glycogen, thus lowering blood glucose levels back to normal.</w:t>
      </w:r>
    </w:p>
    <w:p w:rsidRPr="00966BA5" w:rsidR="008A74B2" w:rsidP="00966BA5" w:rsidRDefault="008A74B2" w14:paraId="31B0A5B3" w14:textId="3338E023">
      <w:pPr>
        <w:spacing w:line="360" w:lineRule="auto"/>
        <w:jc w:val="both"/>
        <w:rPr>
          <w:rFonts w:ascii="Arial" w:hAnsi="Arial" w:cs="Arial"/>
        </w:rPr>
      </w:pPr>
      <w:r w:rsidRPr="00966BA5">
        <w:rPr>
          <w:rFonts w:ascii="Arial" w:hAnsi="Arial" w:cs="Arial"/>
        </w:rPr>
        <w:t>Insulin also increases glycogenesis (conversion of glucose into glycogen for storage) and decreases gluconeogenesis (synthesis of glucose from sources other than carbohydrates), specifically in the liver, which decreases glucose production in the liver (Hall and Hall, 2021). This multi-tissue response helps to prevent long periods of raised blood glucose levels.</w:t>
      </w:r>
    </w:p>
    <w:p w:rsidRPr="00966BA5" w:rsidR="008A74B2" w:rsidP="00966BA5" w:rsidRDefault="008A74B2" w14:paraId="60D188BC" w14:textId="2C264AF7">
      <w:pPr>
        <w:spacing w:line="360" w:lineRule="auto"/>
        <w:jc w:val="both"/>
        <w:rPr>
          <w:rFonts w:ascii="Arial" w:hAnsi="Arial" w:cs="Arial"/>
        </w:rPr>
      </w:pPr>
      <w:r w:rsidRPr="00966BA5">
        <w:rPr>
          <w:rFonts w:ascii="Arial" w:hAnsi="Arial" w:cs="Arial"/>
        </w:rPr>
        <w:t>The islets of Langerhans also contain alpha cells</w:t>
      </w:r>
      <w:r w:rsidR="005A4778">
        <w:rPr>
          <w:rFonts w:ascii="Arial" w:hAnsi="Arial" w:cs="Arial"/>
        </w:rPr>
        <w:t>,</w:t>
      </w:r>
      <w:r w:rsidRPr="00966BA5">
        <w:rPr>
          <w:rFonts w:ascii="Arial" w:hAnsi="Arial" w:cs="Arial"/>
        </w:rPr>
        <w:t xml:space="preserve"> which release a counter-regulatory hormone called glucagon when blood glucose levels are low, such as in fasting or during exercise. Glucagon induces the breakdown of stored glycogen to glucose (glycogenolysis) and stimulates the production of new glucose (gluconeogenesis) in the liver to prevent blood glucose levels dropping, thereby avoiding hypoglycaemia (Tortora and Derrickson, 2017). This balance of opposing hormones, insulin and glucagon, is a typical negative feedback control mechanism that keeps blood glucose levels in check.</w:t>
      </w:r>
    </w:p>
    <w:p w:rsidRPr="00966BA5" w:rsidR="008A74B2" w:rsidP="00966BA5" w:rsidRDefault="008A74B2" w14:paraId="617783CA" w14:textId="05E300D6">
      <w:pPr>
        <w:spacing w:line="360" w:lineRule="auto"/>
        <w:jc w:val="both"/>
        <w:rPr>
          <w:rFonts w:ascii="Arial" w:hAnsi="Arial" w:cs="Arial"/>
        </w:rPr>
      </w:pPr>
      <w:r w:rsidRPr="00966BA5">
        <w:rPr>
          <w:rFonts w:ascii="Arial" w:hAnsi="Arial" w:cs="Arial"/>
        </w:rPr>
        <w:t>In Type 2 diabetes, insulin resistance occurs in the target tissues - these tissues don't receive the insulin signal effectively, which leads to lower translocation of GLUT4 and lower glucose uptake (Kahn</w:t>
      </w:r>
      <w:r w:rsidR="003F5F01">
        <w:rPr>
          <w:rFonts w:ascii="Arial" w:hAnsi="Arial" w:cs="Arial"/>
        </w:rPr>
        <w:t xml:space="preserve"> et al.,</w:t>
      </w:r>
      <w:r w:rsidRPr="00966BA5">
        <w:rPr>
          <w:rFonts w:ascii="Arial" w:hAnsi="Arial" w:cs="Arial"/>
        </w:rPr>
        <w:t xml:space="preserve"> 2014). The pancreatic beta cells attempt to cope by increasing the secretion of insulin, but, in time, beta-cell exhaustion follows - gradually there will be less insulin secreted, causing persistent hyperglycaemia. Persistent hyperglycaemia (high blood glucose) leads to damage to blood vessels and nerves, which leads to a higher risk of long-term complications such as retinopathy, nephropathy, neuropathy and cardiovascular disease (NICE, 2022).</w:t>
      </w:r>
    </w:p>
    <w:p w:rsidRPr="00966BA5" w:rsidR="008A74B2" w:rsidP="00966BA5" w:rsidRDefault="008A74B2" w14:paraId="4107C103" w14:textId="57D068DD">
      <w:pPr>
        <w:pStyle w:val="Heading1"/>
        <w:spacing w:line="360" w:lineRule="auto"/>
        <w:jc w:val="both"/>
        <w:rPr>
          <w:rFonts w:ascii="Arial" w:hAnsi="Arial" w:cs="Arial"/>
          <w:b/>
          <w:bCs/>
          <w:color w:val="auto"/>
          <w:sz w:val="22"/>
          <w:szCs w:val="22"/>
        </w:rPr>
      </w:pPr>
      <w:bookmarkStart w:name="_Toc232282407" w:id="2"/>
      <w:r w:rsidRPr="00966BA5">
        <w:rPr>
          <w:rFonts w:ascii="Arial" w:hAnsi="Arial" w:cs="Arial"/>
          <w:b/>
          <w:bCs/>
          <w:color w:val="auto"/>
          <w:sz w:val="22"/>
          <w:szCs w:val="22"/>
        </w:rPr>
        <w:t>3.0 Cell Metabolism – consuming oxygen and glucose to generate energy</w:t>
      </w:r>
      <w:bookmarkEnd w:id="2"/>
    </w:p>
    <w:p w:rsidRPr="00966BA5" w:rsidR="008A74B2" w:rsidP="00966BA5" w:rsidRDefault="008A74B2" w14:paraId="618467C1" w14:textId="271C97A2">
      <w:pPr>
        <w:spacing w:line="360" w:lineRule="auto"/>
        <w:jc w:val="both"/>
        <w:rPr>
          <w:rFonts w:ascii="Arial" w:hAnsi="Arial" w:cs="Arial"/>
        </w:rPr>
      </w:pPr>
      <w:r w:rsidRPr="00966BA5">
        <w:rPr>
          <w:rFonts w:ascii="Arial" w:hAnsi="Arial" w:cs="Arial"/>
        </w:rPr>
        <w:t>The substrates that are used to generate adenosine triphosphate (ATP), which supplies energy for almost all cellular processes, are primarily glucose and oxygen. It is called aerobic cellular respiration and occurs mainly in the mitochondria and may be described by the following equation: C</w:t>
      </w:r>
      <w:r w:rsidRPr="00966BA5">
        <w:rPr>
          <w:rFonts w:ascii="Cambria Math" w:hAnsi="Cambria Math" w:cs="Cambria Math"/>
        </w:rPr>
        <w:t>₆</w:t>
      </w:r>
      <w:r w:rsidRPr="00966BA5">
        <w:rPr>
          <w:rFonts w:ascii="Arial" w:hAnsi="Arial" w:cs="Arial"/>
        </w:rPr>
        <w:t>H</w:t>
      </w:r>
      <w:r w:rsidRPr="00966BA5">
        <w:rPr>
          <w:rFonts w:ascii="Cambria Math" w:hAnsi="Cambria Math" w:cs="Cambria Math"/>
        </w:rPr>
        <w:t>₁₂</w:t>
      </w:r>
      <w:r w:rsidRPr="00966BA5">
        <w:rPr>
          <w:rFonts w:ascii="Arial" w:hAnsi="Arial" w:cs="Arial"/>
        </w:rPr>
        <w:t>O</w:t>
      </w:r>
      <w:r w:rsidRPr="00966BA5">
        <w:rPr>
          <w:rFonts w:ascii="Cambria Math" w:hAnsi="Cambria Math" w:cs="Cambria Math"/>
        </w:rPr>
        <w:t>₆</w:t>
      </w:r>
      <w:r w:rsidRPr="00966BA5">
        <w:rPr>
          <w:rFonts w:ascii="Arial" w:hAnsi="Arial" w:cs="Arial"/>
        </w:rPr>
        <w:t xml:space="preserve"> + 6O</w:t>
      </w:r>
      <w:r w:rsidRPr="00966BA5">
        <w:rPr>
          <w:rFonts w:ascii="Cambria Math" w:hAnsi="Cambria Math" w:cs="Cambria Math"/>
        </w:rPr>
        <w:t>₂</w:t>
      </w:r>
      <w:r w:rsidRPr="00966BA5">
        <w:rPr>
          <w:rFonts w:ascii="Arial" w:hAnsi="Arial" w:cs="Arial"/>
        </w:rPr>
        <w:t xml:space="preserve"> → 6CO</w:t>
      </w:r>
      <w:r w:rsidRPr="00966BA5">
        <w:rPr>
          <w:rFonts w:ascii="Cambria Math" w:hAnsi="Cambria Math" w:cs="Cambria Math"/>
        </w:rPr>
        <w:t>₂</w:t>
      </w:r>
      <w:r w:rsidRPr="00966BA5">
        <w:rPr>
          <w:rFonts w:ascii="Arial" w:hAnsi="Arial" w:cs="Arial"/>
        </w:rPr>
        <w:t xml:space="preserve"> + 6H</w:t>
      </w:r>
      <w:r w:rsidRPr="00966BA5">
        <w:rPr>
          <w:rFonts w:ascii="Cambria Math" w:hAnsi="Cambria Math" w:cs="Cambria Math"/>
        </w:rPr>
        <w:t>₂</w:t>
      </w:r>
      <w:r w:rsidRPr="00966BA5">
        <w:rPr>
          <w:rFonts w:ascii="Arial" w:hAnsi="Arial" w:cs="Arial"/>
        </w:rPr>
        <w:t>O + ATP energy (Marieb and Hoehn, 2022).</w:t>
      </w:r>
    </w:p>
    <w:p w:rsidRPr="00966BA5" w:rsidR="008A74B2" w:rsidP="00966BA5" w:rsidRDefault="008A74B2" w14:paraId="2F8D44E2" w14:textId="7B9E312E">
      <w:pPr>
        <w:spacing w:line="360" w:lineRule="auto"/>
        <w:jc w:val="both"/>
        <w:rPr>
          <w:rFonts w:ascii="Arial" w:hAnsi="Arial" w:cs="Arial"/>
        </w:rPr>
      </w:pPr>
      <w:r w:rsidRPr="00966BA5">
        <w:rPr>
          <w:rFonts w:ascii="Arial" w:hAnsi="Arial" w:cs="Arial"/>
        </w:rPr>
        <w:t>In aerobic respiration, three stages of respiration happen one after another. Glycolysis occurs in the cytoplasm, i.e. inside the cell, and starts with a six-carbon sugar, glucose, which is converted into two molecules of pyruvate, a three-carbon sugar, with a small net gain of two ATP molecules, and formation of the two electron carriers, NADH. Second, every pyruvate molecule is taken up by the mitochondria and converted to acetyl-CoA, which proceeds into the mitochondrial matrix to enter the Krebs cycle (citric acid cycle). The Krebs cycle generates two more electron carriers (NADH and FADH</w:t>
      </w:r>
      <w:r w:rsidRPr="00966BA5">
        <w:rPr>
          <w:rFonts w:ascii="Cambria Math" w:hAnsi="Cambria Math" w:cs="Cambria Math"/>
        </w:rPr>
        <w:t>₂</w:t>
      </w:r>
      <w:r w:rsidRPr="00966BA5">
        <w:rPr>
          <w:rFonts w:ascii="Arial" w:hAnsi="Arial" w:cs="Arial"/>
        </w:rPr>
        <w:t>) and carbon dioxide as a metabolic waste product. Third, these electron carriers pass on their electrons to the electron transport chain in the inner mitochondrial membrane, resulting in a process called oxidative phosphorylation and the production of most of the cell's ATP (30 to 32 ATP molecules per molecule of glucose), with water as its final by-product (Tortora and Derrickson, 2017).</w:t>
      </w:r>
    </w:p>
    <w:p w:rsidRPr="00966BA5" w:rsidR="008A74B2" w:rsidP="00966BA5" w:rsidRDefault="008A74B2" w14:paraId="59986FE9" w14:textId="10A1DAEF">
      <w:pPr>
        <w:spacing w:line="360" w:lineRule="auto"/>
        <w:jc w:val="both"/>
        <w:rPr>
          <w:rFonts w:ascii="Arial" w:hAnsi="Arial" w:cs="Arial"/>
        </w:rPr>
      </w:pPr>
      <w:r w:rsidRPr="00966BA5">
        <w:rPr>
          <w:rFonts w:ascii="Arial" w:hAnsi="Arial" w:cs="Arial"/>
        </w:rPr>
        <w:t>Insulin resistance in Type 2 diabetes limits the amount of glucose that can enter the cells, and thus, in patients with Type 2, the cells are not getting their energy source: glucose. Consequently, the body becomes fatigued, wound healing is affected, and the energy source is switched to fatty acids (Kahn</w:t>
      </w:r>
      <w:r w:rsidR="003F5F01">
        <w:rPr>
          <w:rFonts w:ascii="Arial" w:hAnsi="Arial" w:cs="Arial"/>
        </w:rPr>
        <w:t xml:space="preserve"> et al.,</w:t>
      </w:r>
      <w:r w:rsidRPr="00966BA5">
        <w:rPr>
          <w:rFonts w:ascii="Arial" w:hAnsi="Arial" w:cs="Arial"/>
        </w:rPr>
        <w:t xml:space="preserve"> 2014). This represents an important role that normal blood glucose control plays in maintaining normal cell function and energy metabolism.</w:t>
      </w:r>
    </w:p>
    <w:p w:rsidRPr="00966BA5" w:rsidR="008A74B2" w:rsidP="00966BA5" w:rsidRDefault="008A74B2" w14:paraId="480A275E" w14:textId="57CF9B99">
      <w:pPr>
        <w:pStyle w:val="Heading1"/>
        <w:spacing w:line="360" w:lineRule="auto"/>
        <w:jc w:val="both"/>
        <w:rPr>
          <w:rFonts w:ascii="Arial" w:hAnsi="Arial" w:cs="Arial"/>
          <w:b/>
          <w:bCs/>
          <w:color w:val="auto"/>
          <w:sz w:val="22"/>
          <w:szCs w:val="22"/>
        </w:rPr>
      </w:pPr>
      <w:bookmarkStart w:name="_Toc232282408" w:id="3"/>
      <w:r w:rsidRPr="00966BA5">
        <w:rPr>
          <w:rFonts w:ascii="Arial" w:hAnsi="Arial" w:cs="Arial"/>
          <w:b/>
          <w:bCs/>
          <w:color w:val="auto"/>
          <w:sz w:val="22"/>
          <w:szCs w:val="22"/>
        </w:rPr>
        <w:t>4.0 Recording and Tracking Blood Sugar Levels</w:t>
      </w:r>
      <w:bookmarkEnd w:id="3"/>
    </w:p>
    <w:p w:rsidRPr="00966BA5" w:rsidR="008A74B2" w:rsidP="00966BA5" w:rsidRDefault="008A74B2" w14:paraId="4895264D" w14:textId="18564D35">
      <w:pPr>
        <w:spacing w:line="360" w:lineRule="auto"/>
        <w:jc w:val="both"/>
        <w:rPr>
          <w:rFonts w:ascii="Arial" w:hAnsi="Arial" w:cs="Arial"/>
        </w:rPr>
      </w:pPr>
      <w:r w:rsidRPr="00966BA5">
        <w:rPr>
          <w:rFonts w:ascii="Arial" w:hAnsi="Arial" w:cs="Arial"/>
        </w:rPr>
        <w:t>Self-monitoring of blood glucose (SMBG) is an essential and key part of the overall care of diabetes. Patients use self-monitoring of blood glucose (SMBG) with a blood glucose meter to monitor in real time how their food intake, physical activity, illness, stress levels or use of medicine affects their blood glucose level, so they can make informed decisions about their daily activities and know when their blood glucose level is out of the safe range (NICE, 2022).</w:t>
      </w:r>
    </w:p>
    <w:p w:rsidRPr="00966BA5" w:rsidR="008A74B2" w:rsidP="00966BA5" w:rsidRDefault="008A74B2" w14:paraId="1CEB3A0E" w14:textId="3551955A">
      <w:pPr>
        <w:spacing w:line="360" w:lineRule="auto"/>
        <w:jc w:val="both"/>
        <w:rPr>
          <w:rFonts w:ascii="Arial" w:hAnsi="Arial" w:cs="Arial"/>
        </w:rPr>
      </w:pPr>
      <w:r w:rsidRPr="00966BA5">
        <w:rPr>
          <w:rFonts w:ascii="Arial" w:hAnsi="Arial" w:cs="Arial"/>
        </w:rPr>
        <w:t>The glycated haemoglobin (HbA1c) test is a complementary long-term measure of glycaemic control that can be used in clinical practice. HbA1c is a measure of blood glucose found attached to the haemoglobin protein, and as the life span of a red blood cell is about 120 days, HbA1c is a good indicator of average blood glucose levels over the previous 2 to 3 months (Marieb and Hoehn, 2022). NICE (2022) advises that for most people with Type 2 diabetes taking glucose-lowering treatments, the aim of treatment should be to maintain an HbA1c level between 48 – 53 mmol/mol; the HbA1c should be checked every three to six months until it is stable and then detected every six months thereafter. There is a clear link between chronic hyperglycaemia and the presence of microvascular and macrovascular complications, and routinely monitoring HbA1c is important in recognising the need for modifying treatment regimens (Kahn</w:t>
      </w:r>
      <w:r w:rsidR="003F5F01">
        <w:rPr>
          <w:rFonts w:ascii="Arial" w:hAnsi="Arial" w:cs="Arial"/>
        </w:rPr>
        <w:t xml:space="preserve"> et al.,</w:t>
      </w:r>
      <w:r w:rsidRPr="00966BA5">
        <w:rPr>
          <w:rFonts w:ascii="Arial" w:hAnsi="Arial" w:cs="Arial"/>
        </w:rPr>
        <w:t xml:space="preserve"> 2014).</w:t>
      </w:r>
    </w:p>
    <w:p w:rsidRPr="00966BA5" w:rsidR="008A74B2" w:rsidP="00966BA5" w:rsidRDefault="008A74B2" w14:paraId="071EFC03" w14:textId="77777777">
      <w:pPr>
        <w:spacing w:line="360" w:lineRule="auto"/>
        <w:jc w:val="both"/>
        <w:rPr>
          <w:rFonts w:ascii="Arial" w:hAnsi="Arial" w:cs="Arial"/>
        </w:rPr>
      </w:pPr>
      <w:r w:rsidRPr="00966BA5">
        <w:rPr>
          <w:rFonts w:ascii="Arial" w:hAnsi="Arial" w:cs="Arial"/>
        </w:rPr>
        <w:t>As time goes on, these blood glucose readings can also show trends, such as high fasting glucose levels, which may mean there are issues with medication or diet; or blood glucose levels from pre-meal readings and post-meal readings can show the glycaemic effect of various foods. Patients who monitor and record glucose data are better able to identify when their blood sugar is low, know what to do, and have active interactions with their health care provider at clinic reviews (American Diabetes Association, 2022). The collaboration between patients and the professionals is a key component in averting the potentially severe long-term consequences of poorly managed Type 2 diabetes.</w:t>
      </w:r>
    </w:p>
    <w:p w:rsidRPr="00966BA5" w:rsidR="008A74B2" w:rsidP="00966BA5" w:rsidRDefault="008A74B2" w14:paraId="4AB6B929" w14:textId="7C72B5D8">
      <w:pPr>
        <w:pStyle w:val="Heading1"/>
        <w:spacing w:line="360" w:lineRule="auto"/>
        <w:jc w:val="both"/>
        <w:rPr>
          <w:rFonts w:ascii="Arial" w:hAnsi="Arial" w:cs="Arial"/>
          <w:b/>
          <w:bCs/>
          <w:color w:val="auto"/>
          <w:sz w:val="22"/>
          <w:szCs w:val="22"/>
        </w:rPr>
      </w:pPr>
      <w:bookmarkStart w:name="_Toc232282409" w:id="4"/>
      <w:r w:rsidRPr="00966BA5">
        <w:rPr>
          <w:rFonts w:ascii="Arial" w:hAnsi="Arial" w:cs="Arial"/>
          <w:b/>
          <w:bCs/>
          <w:color w:val="auto"/>
          <w:sz w:val="22"/>
          <w:szCs w:val="22"/>
        </w:rPr>
        <w:t>5.0 Evidence-Based Lifestyle Recommendations</w:t>
      </w:r>
      <w:bookmarkEnd w:id="4"/>
    </w:p>
    <w:p w:rsidRPr="00966BA5" w:rsidR="008A74B2" w:rsidP="00966BA5" w:rsidRDefault="008A74B2" w14:paraId="5EEA2AF7" w14:textId="7F18884F">
      <w:pPr>
        <w:pStyle w:val="Heading2"/>
        <w:spacing w:line="360" w:lineRule="auto"/>
        <w:jc w:val="both"/>
        <w:rPr>
          <w:rFonts w:ascii="Arial" w:hAnsi="Arial" w:cs="Arial"/>
          <w:b/>
          <w:bCs/>
          <w:color w:val="auto"/>
          <w:sz w:val="22"/>
          <w:szCs w:val="22"/>
        </w:rPr>
      </w:pPr>
      <w:bookmarkStart w:name="_Toc232282410" w:id="5"/>
      <w:r w:rsidRPr="00966BA5">
        <w:rPr>
          <w:rFonts w:ascii="Arial" w:hAnsi="Arial" w:cs="Arial"/>
          <w:b/>
          <w:bCs/>
          <w:color w:val="auto"/>
          <w:sz w:val="22"/>
          <w:szCs w:val="22"/>
        </w:rPr>
        <w:t>5.1 Dietary Modification</w:t>
      </w:r>
      <w:bookmarkEnd w:id="5"/>
    </w:p>
    <w:p w:rsidRPr="00966BA5" w:rsidR="008A74B2" w:rsidP="00966BA5" w:rsidRDefault="008A74B2" w14:paraId="587F3419" w14:textId="3D0E3E1F">
      <w:pPr>
        <w:spacing w:line="360" w:lineRule="auto"/>
        <w:jc w:val="both"/>
        <w:rPr>
          <w:rFonts w:ascii="Arial" w:hAnsi="Arial" w:cs="Arial"/>
        </w:rPr>
      </w:pPr>
      <w:r w:rsidRPr="00966BA5">
        <w:rPr>
          <w:rFonts w:ascii="Arial" w:hAnsi="Arial" w:cs="Arial"/>
        </w:rPr>
        <w:t xml:space="preserve">Diets are the most effective extraneous change that can manage blood glucose. Individuals with Type 2 diabetes are recommended to receive individual dietary advice, in particular to limit consumption of refined carbohydrate and added sugar, and to increase dietary fibre intake, from a registered dietitian, and to follow an eating pattern based on a Mediterranean-style diet or a low-calorie diet, as recommended by NICE (2022). Remission of Type 2 diabetes was achieved in 46% at twelve months in the Diabetes Remission Clinical Trial (DiRECT), which was a landmark randomised controlled trial that involved a structured low-calorie dietary intervention (low calorie 850kcal/day for 3-5 months followed by systematic food reintroduction and ongoing support). There was excellent correlation between weight loss and remission, with the greatest and </w:t>
      </w:r>
      <w:r w:rsidR="005A4778">
        <w:rPr>
          <w:rFonts w:ascii="Arial" w:hAnsi="Arial" w:cs="Arial"/>
        </w:rPr>
        <w:t xml:space="preserve">most </w:t>
      </w:r>
      <w:r w:rsidRPr="00966BA5">
        <w:rPr>
          <w:rFonts w:ascii="Arial" w:hAnsi="Arial" w:cs="Arial"/>
        </w:rPr>
        <w:t>sustained remission with 15 kg or more weight loss. The results of these studies illustrate the potent effect that diet changes can have on the physiological effects, in this case on how changes in body composition (reduction in liver and visceral fat) can improve insulin sensitivity (Lean et al., 2018).</w:t>
      </w:r>
    </w:p>
    <w:p w:rsidRPr="00966BA5" w:rsidR="008A74B2" w:rsidP="00966BA5" w:rsidRDefault="008A74B2" w14:paraId="22FE9247" w14:textId="3BB92AB5">
      <w:pPr>
        <w:pStyle w:val="Heading2"/>
        <w:spacing w:line="360" w:lineRule="auto"/>
        <w:jc w:val="both"/>
        <w:rPr>
          <w:rFonts w:ascii="Arial" w:hAnsi="Arial" w:cs="Arial"/>
          <w:b/>
          <w:bCs/>
          <w:color w:val="auto"/>
          <w:sz w:val="22"/>
          <w:szCs w:val="22"/>
        </w:rPr>
      </w:pPr>
      <w:bookmarkStart w:name="_Toc232282411" w:id="6"/>
      <w:r w:rsidRPr="00966BA5">
        <w:rPr>
          <w:rFonts w:ascii="Arial" w:hAnsi="Arial" w:cs="Arial"/>
          <w:b/>
          <w:bCs/>
          <w:color w:val="auto"/>
          <w:sz w:val="22"/>
          <w:szCs w:val="22"/>
        </w:rPr>
        <w:t>5.2 Physical Activity</w:t>
      </w:r>
      <w:bookmarkEnd w:id="6"/>
    </w:p>
    <w:p w:rsidRPr="00966BA5" w:rsidR="008A74B2" w:rsidP="00966BA5" w:rsidRDefault="008A74B2" w14:paraId="1B3E768D" w14:textId="7211331C">
      <w:pPr>
        <w:spacing w:line="360" w:lineRule="auto"/>
        <w:jc w:val="both"/>
        <w:rPr>
          <w:rFonts w:ascii="Arial" w:hAnsi="Arial" w:cs="Arial"/>
        </w:rPr>
      </w:pPr>
      <w:r w:rsidRPr="00966BA5">
        <w:rPr>
          <w:rFonts w:ascii="Arial" w:hAnsi="Arial" w:cs="Arial"/>
        </w:rPr>
        <w:t>Exercise increases insulin sensitivity by enhancing the expression and translocation of GLUT4 in skeletal muscle to allow glucose to be moved across the cell membrane without the need for insulin signalling (Colberg et al., 2016). According to the UK Chief Medical Officers' Physical Activity Guidelines, adults should do at least 150 minutes of moderate intensity aerobic activity (but not necessarily the same type) each week, and additional muscle strengthening 2 or 3 days of the week (UK Chief Medical Officers, 2019). Umpierre et al. (2011) carried out a systematic review and meta-analysis of 47 randomised controlled trials, which showed that structured exercise training was linked to a clinically significant reduction in HbA1c of about 0.67% and the enhanced benefit of exercise was seen when the duration of training was more than 150 mins/wk. In relation to behaviour change, providing guidance on the physical activities patients can realistically do – such as brisk walking, swimming or cycling – and slowly increasing the pace is a crucial part of supporting behaviour change for practice nurses.</w:t>
      </w:r>
    </w:p>
    <w:p w:rsidRPr="00966BA5" w:rsidR="008A74B2" w:rsidP="00966BA5" w:rsidRDefault="008A74B2" w14:paraId="4656C102" w14:textId="4757DBC8">
      <w:pPr>
        <w:pStyle w:val="Heading2"/>
        <w:spacing w:line="360" w:lineRule="auto"/>
        <w:jc w:val="both"/>
        <w:rPr>
          <w:rFonts w:ascii="Arial" w:hAnsi="Arial" w:cs="Arial"/>
          <w:b/>
          <w:bCs/>
          <w:color w:val="auto"/>
          <w:sz w:val="22"/>
          <w:szCs w:val="22"/>
        </w:rPr>
      </w:pPr>
      <w:bookmarkStart w:name="_Toc232282412" w:id="7"/>
      <w:r w:rsidRPr="00966BA5">
        <w:rPr>
          <w:rFonts w:ascii="Arial" w:hAnsi="Arial" w:cs="Arial"/>
          <w:b/>
          <w:bCs/>
          <w:color w:val="auto"/>
          <w:sz w:val="22"/>
          <w:szCs w:val="22"/>
        </w:rPr>
        <w:t>5.3 Smoking Cessation</w:t>
      </w:r>
      <w:bookmarkEnd w:id="7"/>
    </w:p>
    <w:p w:rsidRPr="00966BA5" w:rsidR="008A74B2" w:rsidP="00966BA5" w:rsidRDefault="008A74B2" w14:paraId="09375600" w14:textId="2F793539">
      <w:pPr>
        <w:spacing w:line="360" w:lineRule="auto"/>
        <w:jc w:val="both"/>
        <w:rPr>
          <w:rFonts w:ascii="Arial" w:hAnsi="Arial" w:cs="Arial"/>
        </w:rPr>
      </w:pPr>
      <w:r w:rsidRPr="00966BA5">
        <w:rPr>
          <w:rFonts w:ascii="Arial" w:hAnsi="Arial" w:cs="Arial"/>
        </w:rPr>
        <w:t>Smoking is known to hurt glycaemic control and the risk of diabetes related complications. Nicotine and other constituents of tobacco affect insulin action, encourage insulin resistance, increase the levels of cortisol (which stimulates gluconeogenesis to increase blood glucose) and also cause endothelial dysfunction, which hastens the development of cardiovascular complications, already the top cause of mortality in people with Type 2 diabetes (Public Health England, 2020). NICE (2021) advises healthcare professionals to offer brief advice to all smokers in addition to offering smoking cessation medicines (varenicline or nicotine replacement therapy [NRT]) and referral to NHS Stop Smoking Services. A prospective clinical trial conducted by Voulgari</w:t>
      </w:r>
      <w:r w:rsidR="003F5F01">
        <w:rPr>
          <w:rFonts w:ascii="Arial" w:hAnsi="Arial" w:cs="Arial"/>
        </w:rPr>
        <w:t xml:space="preserve"> et al. </w:t>
      </w:r>
      <w:r w:rsidRPr="00966BA5">
        <w:rPr>
          <w:rFonts w:ascii="Arial" w:hAnsi="Arial" w:cs="Arial"/>
        </w:rPr>
        <w:t>(2011) has shown that when patients with newly diagnosed Type 2 diabetes stop smoking, glycaemic control, blood pressure, dyslipidaemia and insulin resistance are all significantly improved, and they see a significant decrease in microalbuminuria (an early indicator of kidney damage) compared to those who continued to smoke. These results highlight the need to prioritise smoking cessation intervention as a high-priority intervention in the care of patients with Type 2 diabetes.</w:t>
      </w:r>
    </w:p>
    <w:p w:rsidRPr="00966BA5" w:rsidR="008A74B2" w:rsidP="00966BA5" w:rsidRDefault="008A74B2" w14:paraId="2AEB0389" w14:textId="62AD75CA">
      <w:pPr>
        <w:pStyle w:val="Heading1"/>
        <w:spacing w:line="360" w:lineRule="auto"/>
        <w:jc w:val="both"/>
        <w:rPr>
          <w:rFonts w:ascii="Arial" w:hAnsi="Arial" w:cs="Arial"/>
          <w:b/>
          <w:bCs/>
          <w:color w:val="auto"/>
          <w:sz w:val="22"/>
          <w:szCs w:val="22"/>
        </w:rPr>
      </w:pPr>
      <w:bookmarkStart w:name="_Toc232282413" w:id="8"/>
      <w:r w:rsidRPr="00966BA5">
        <w:rPr>
          <w:rFonts w:ascii="Arial" w:hAnsi="Arial" w:cs="Arial"/>
          <w:b/>
          <w:bCs/>
          <w:color w:val="auto"/>
          <w:sz w:val="22"/>
          <w:szCs w:val="22"/>
        </w:rPr>
        <w:t>6.0 Conclusion</w:t>
      </w:r>
      <w:bookmarkEnd w:id="8"/>
    </w:p>
    <w:p w:rsidRPr="00966BA5" w:rsidR="008A74B2" w:rsidP="00966BA5" w:rsidRDefault="008A74B2" w14:paraId="14F367D4" w14:textId="77777777">
      <w:pPr>
        <w:spacing w:line="360" w:lineRule="auto"/>
        <w:jc w:val="both"/>
        <w:rPr>
          <w:rFonts w:ascii="Arial" w:hAnsi="Arial" w:cs="Arial"/>
        </w:rPr>
      </w:pPr>
      <w:r w:rsidRPr="00966BA5">
        <w:rPr>
          <w:rFonts w:ascii="Arial" w:hAnsi="Arial" w:cs="Arial"/>
        </w:rPr>
        <w:t>Type 2 diabetes is a severe and progressive chronic disease caused by a failure of one's natural blood sugar (glucose) control. Patients and health providers should have an accurate understanding of the way insulin and glucagon regulate blood glucose levels; how cells convert glucose and oxygen to energy by aerobic respiration; and how the regulation of these processes is affected in the case of Type 2 diabetes. The regular documentation and monitoring of blood sugar levels (self-monitoring and regular HbA1C testing) ensure that sufficient evidence is available for timely medical decisions and patients are actively involved in their health management, ensuring safe treatment.</w:t>
      </w:r>
    </w:p>
    <w:p w:rsidRPr="00966BA5" w:rsidR="00666549" w:rsidP="00966BA5" w:rsidRDefault="008A74B2" w14:paraId="21B5296B" w14:textId="05956D10">
      <w:pPr>
        <w:spacing w:line="360" w:lineRule="auto"/>
        <w:jc w:val="both"/>
        <w:rPr>
          <w:rFonts w:ascii="Arial" w:hAnsi="Arial" w:cs="Arial"/>
        </w:rPr>
      </w:pPr>
      <w:r w:rsidRPr="00966BA5">
        <w:rPr>
          <w:rFonts w:ascii="Arial" w:hAnsi="Arial" w:cs="Arial"/>
        </w:rPr>
        <w:t>The evidence shows that structured lifestyle interventions: individualised dietary modification, regular physical activity and smoking cessation, can result in clinically significant improvements in glycaemic control, a reduction in the risk of long-term complications and, in some cases, remission of the condition. In the role of a practice nurse, providing patients with clear, evidence-based patient information and education about incorporating the physiology of the condition into the patients' everyday life is at the heart of supporting patients in their ability to engage with their care plans and optimise their long-term health and well-being.</w:t>
      </w:r>
    </w:p>
    <w:p w:rsidRPr="00966BA5" w:rsidR="008A74B2" w:rsidP="00966BA5" w:rsidRDefault="008A74B2" w14:paraId="2ADFBF2F" w14:textId="64B64A16">
      <w:pPr>
        <w:spacing w:line="360" w:lineRule="auto"/>
        <w:jc w:val="both"/>
        <w:rPr>
          <w:rFonts w:ascii="Arial" w:hAnsi="Arial" w:cs="Arial"/>
        </w:rPr>
      </w:pPr>
    </w:p>
    <w:p w:rsidRPr="00966BA5" w:rsidR="008A74B2" w:rsidP="00966BA5" w:rsidRDefault="008A74B2" w14:paraId="0D7BEFC3" w14:textId="77777777">
      <w:pPr>
        <w:spacing w:line="360" w:lineRule="auto"/>
        <w:jc w:val="both"/>
        <w:rPr>
          <w:rFonts w:ascii="Arial" w:hAnsi="Arial" w:eastAsia="Arial" w:cs="Arial"/>
          <w:b/>
          <w:bCs/>
        </w:rPr>
      </w:pPr>
      <w:r w:rsidRPr="00966BA5">
        <w:rPr>
          <w:rFonts w:ascii="Arial" w:hAnsi="Arial" w:eastAsia="Arial" w:cs="Arial"/>
          <w:b/>
          <w:bCs/>
        </w:rPr>
        <w:br w:type="page"/>
      </w:r>
    </w:p>
    <w:p w:rsidRPr="00966BA5" w:rsidR="008A74B2" w:rsidP="00966BA5" w:rsidRDefault="008A74B2" w14:paraId="339AC46E" w14:textId="7D0BA7CA">
      <w:pPr>
        <w:pStyle w:val="Heading1"/>
        <w:spacing w:line="360" w:lineRule="auto"/>
        <w:jc w:val="both"/>
        <w:rPr>
          <w:rFonts w:ascii="Arial" w:hAnsi="Arial" w:cs="Arial"/>
          <w:b/>
          <w:bCs/>
          <w:color w:val="auto"/>
          <w:sz w:val="22"/>
          <w:szCs w:val="22"/>
        </w:rPr>
      </w:pPr>
      <w:bookmarkStart w:name="_Toc232282414" w:id="9"/>
      <w:r w:rsidRPr="00966BA5">
        <w:rPr>
          <w:rFonts w:ascii="Arial" w:hAnsi="Arial" w:eastAsia="Arial" w:cs="Arial"/>
          <w:b/>
          <w:bCs/>
          <w:color w:val="auto"/>
          <w:sz w:val="22"/>
          <w:szCs w:val="22"/>
        </w:rPr>
        <w:t>7.0 Reference List</w:t>
      </w:r>
      <w:bookmarkEnd w:id="9"/>
    </w:p>
    <w:p w:rsidR="003F5F01" w:rsidP="003F5F01" w:rsidRDefault="008A74B2" w14:paraId="79853EA0" w14:textId="77777777">
      <w:pPr>
        <w:spacing w:after="140" w:line="360" w:lineRule="auto"/>
        <w:ind w:left="720" w:hanging="720"/>
        <w:jc w:val="both"/>
        <w:rPr>
          <w:rFonts w:ascii="Arial" w:hAnsi="Arial" w:cs="Arial"/>
        </w:rPr>
      </w:pPr>
      <w:r w:rsidRPr="00966BA5">
        <w:rPr>
          <w:rFonts w:ascii="Arial" w:hAnsi="Arial" w:eastAsia="Arial" w:cs="Arial"/>
        </w:rPr>
        <w:t xml:space="preserve">American Diabetes Association (2022) Standards of Medical Care in Diabetes—2022. Diabetes Care, 45(Supplement 1), pp. S1–S264. </w:t>
      </w:r>
      <w:hyperlink w:history="1" r:id="rId7">
        <w:r w:rsidRPr="00966BA5">
          <w:rPr>
            <w:rStyle w:val="Hyperlink"/>
            <w:rFonts w:ascii="Arial" w:hAnsi="Arial" w:cs="Arial"/>
            <w:color w:val="auto"/>
          </w:rPr>
          <w:t>https://diabetesjournals.org/care/article/45/Supplement_1/S1/138921</w:t>
        </w:r>
      </w:hyperlink>
    </w:p>
    <w:p w:rsidRPr="00966BA5" w:rsidR="008A74B2" w:rsidP="003F5F01" w:rsidRDefault="008A74B2" w14:paraId="528C9070" w14:textId="68E02200">
      <w:pPr>
        <w:spacing w:after="140" w:line="360" w:lineRule="auto"/>
        <w:ind w:left="720" w:hanging="720"/>
        <w:jc w:val="both"/>
        <w:rPr>
          <w:rFonts w:ascii="Arial" w:hAnsi="Arial" w:cs="Arial"/>
        </w:rPr>
      </w:pPr>
      <w:r w:rsidRPr="00966BA5">
        <w:rPr>
          <w:rFonts w:ascii="Arial" w:hAnsi="Arial" w:eastAsia="Arial" w:cs="Arial"/>
        </w:rPr>
        <w:t xml:space="preserve">Colberg, S.R., Sigal, R.J., Yardley, J.E., Riddell, M.C., Dunstan, D.W., Dempsey, P.C., Horton, E.S., Castorino, K. and Tate, D.F. (2016) Physical activity/exercise and diabetes: a position statement of the American Diabetes Association. Diabetes Care, 39(11), pp. 2065–2079. : </w:t>
      </w:r>
      <w:hyperlink w:history="1" r:id="rId8">
        <w:r w:rsidRPr="00966BA5">
          <w:rPr>
            <w:rStyle w:val="Hyperlink"/>
            <w:rFonts w:ascii="Arial" w:hAnsi="Arial" w:cs="Arial"/>
            <w:color w:val="auto"/>
          </w:rPr>
          <w:t>https://diabetesjournals.org/care/article/39/11/2065/37249</w:t>
        </w:r>
      </w:hyperlink>
    </w:p>
    <w:p w:rsidRPr="00966BA5" w:rsidR="008A74B2" w:rsidP="00966BA5" w:rsidRDefault="008A74B2" w14:paraId="758DF4EC" w14:textId="77777777">
      <w:pPr>
        <w:spacing w:after="140" w:line="360" w:lineRule="auto"/>
        <w:ind w:left="720" w:hanging="720"/>
        <w:jc w:val="both"/>
        <w:rPr>
          <w:rFonts w:ascii="Arial" w:hAnsi="Arial" w:cs="Arial"/>
        </w:rPr>
      </w:pPr>
      <w:r w:rsidRPr="00966BA5">
        <w:rPr>
          <w:rFonts w:ascii="Arial" w:hAnsi="Arial" w:eastAsia="Arial" w:cs="Arial"/>
        </w:rPr>
        <w:t xml:space="preserve">Diabetes UK (2023) Number of people living with diabetes in the UK tops 5 million for the first time. </w:t>
      </w:r>
      <w:hyperlink w:history="1" r:id="rId9">
        <w:r w:rsidRPr="00966BA5">
          <w:rPr>
            <w:rStyle w:val="Hyperlink"/>
            <w:rFonts w:ascii="Arial" w:hAnsi="Arial" w:cs="Arial"/>
            <w:color w:val="auto"/>
          </w:rPr>
          <w:t>https://www.diabetes.org.uk/about-us/news-and-views/number-people-living-diabetes-uk-tops-5-million-first-time</w:t>
        </w:r>
      </w:hyperlink>
    </w:p>
    <w:p w:rsidRPr="00966BA5" w:rsidR="008A74B2" w:rsidP="00966BA5" w:rsidRDefault="008A74B2" w14:paraId="61F9F293" w14:textId="77777777">
      <w:pPr>
        <w:spacing w:after="140" w:line="360" w:lineRule="auto"/>
        <w:ind w:left="720" w:hanging="720"/>
        <w:jc w:val="both"/>
        <w:rPr>
          <w:rFonts w:ascii="Arial" w:hAnsi="Arial" w:cs="Arial"/>
        </w:rPr>
      </w:pPr>
      <w:r w:rsidRPr="00966BA5">
        <w:rPr>
          <w:rFonts w:ascii="Arial" w:hAnsi="Arial" w:eastAsia="Arial" w:cs="Arial"/>
        </w:rPr>
        <w:t>Hall, J.E. and Hall, M.E. (2021) Guyton and Hall textbook of medical physiology. 14th edn. Philadelphia: Elsevier.</w:t>
      </w:r>
    </w:p>
    <w:p w:rsidRPr="00966BA5" w:rsidR="008A74B2" w:rsidP="00966BA5" w:rsidRDefault="008A74B2" w14:paraId="739D0391" w14:textId="77777777">
      <w:pPr>
        <w:spacing w:after="140" w:line="360" w:lineRule="auto"/>
        <w:ind w:left="720" w:hanging="720"/>
        <w:jc w:val="both"/>
        <w:rPr>
          <w:rFonts w:ascii="Arial" w:hAnsi="Arial" w:cs="Arial"/>
        </w:rPr>
      </w:pPr>
      <w:r w:rsidRPr="00966BA5">
        <w:rPr>
          <w:rFonts w:ascii="Arial" w:hAnsi="Arial" w:eastAsia="Arial" w:cs="Arial"/>
        </w:rPr>
        <w:t xml:space="preserve">Kahn, S.E., Cooper, M.E. and Del Prato, S. (2014) Pathophysiology and treatment of type 2 diabetes: perspectives on the past, present, and future. The Lancet, 383(9922), pp. 1068–1083. </w:t>
      </w:r>
      <w:hyperlink w:history="1" r:id="rId10">
        <w:r w:rsidRPr="00966BA5">
          <w:rPr>
            <w:rStyle w:val="Hyperlink"/>
            <w:rFonts w:ascii="Arial" w:hAnsi="Arial" w:cs="Arial"/>
            <w:color w:val="auto"/>
          </w:rPr>
          <w:t>https://pubmed.ncbi.nlm.nih.gov/24315620/</w:t>
        </w:r>
      </w:hyperlink>
    </w:p>
    <w:p w:rsidRPr="00966BA5" w:rsidR="008A74B2" w:rsidP="00966BA5" w:rsidRDefault="008A74B2" w14:paraId="2A413678" w14:textId="21B9E543">
      <w:pPr>
        <w:spacing w:after="140" w:line="360" w:lineRule="auto"/>
        <w:ind w:left="720" w:hanging="720"/>
        <w:jc w:val="both"/>
        <w:rPr>
          <w:rFonts w:ascii="Arial" w:hAnsi="Arial" w:cs="Arial"/>
        </w:rPr>
      </w:pPr>
      <w:r w:rsidRPr="00966BA5">
        <w:rPr>
          <w:rFonts w:ascii="Arial" w:hAnsi="Arial" w:eastAsia="Arial" w:cs="Arial"/>
        </w:rPr>
        <w:t xml:space="preserve">Lean, M.E.J., Leslie, W.S., Barnes, A.C., Brosnahan, N., Thom, G., McCombie, L., Peters, C., Zhyzhneuskaya, S., Al-Mrabeh, A., Hollingsworth, K.G., Rodrigues, A.M., Rehackova, L., Adamson, A.J., Sniehotta, F.F., Mathers, J.C., Ross, H.M., McIlvenna, Y., Stefanetti, R., Trenell, M., Welsh, P., Kean, S., Ford, I., McConnachie, A., Sattar, N. and Taylor, R. (2018) Primary care-led weight management for remission of type 2 diabetes (DiRECT): an open-label, cluster-randomised trial. The Lancet, 391(10120), pp. 541–551. : </w:t>
      </w:r>
      <w:hyperlink w:history="1" r:id="rId11">
        <w:r w:rsidRPr="00966BA5">
          <w:rPr>
            <w:rStyle w:val="Hyperlink"/>
            <w:rFonts w:ascii="Arial" w:hAnsi="Arial" w:cs="Arial"/>
            <w:color w:val="auto"/>
          </w:rPr>
          <w:t>https://www.thelancet.com/article/S0140-6736(17)33102-1/fulltext</w:t>
        </w:r>
      </w:hyperlink>
    </w:p>
    <w:p w:rsidRPr="00966BA5" w:rsidR="008A74B2" w:rsidP="00966BA5" w:rsidRDefault="008A74B2" w14:paraId="22D35F81" w14:textId="77777777">
      <w:pPr>
        <w:spacing w:after="140" w:line="360" w:lineRule="auto"/>
        <w:ind w:left="720" w:hanging="720"/>
        <w:jc w:val="both"/>
        <w:rPr>
          <w:rFonts w:ascii="Arial" w:hAnsi="Arial" w:cs="Arial"/>
        </w:rPr>
      </w:pPr>
      <w:r w:rsidRPr="00966BA5">
        <w:rPr>
          <w:rFonts w:ascii="Arial" w:hAnsi="Arial" w:eastAsia="Arial" w:cs="Arial"/>
        </w:rPr>
        <w:t>Marieb, E.N. and Hoehn, K. (2022) Human anatomy and physiology. 11th edn. Harlow: Pearson Education.</w:t>
      </w:r>
    </w:p>
    <w:p w:rsidRPr="00966BA5" w:rsidR="008A74B2" w:rsidP="00966BA5" w:rsidRDefault="008A74B2" w14:paraId="22039D66" w14:textId="77777777">
      <w:pPr>
        <w:spacing w:after="140" w:line="360" w:lineRule="auto"/>
        <w:ind w:left="720" w:hanging="720"/>
        <w:jc w:val="both"/>
        <w:rPr>
          <w:rFonts w:ascii="Arial" w:hAnsi="Arial" w:cs="Arial"/>
        </w:rPr>
      </w:pPr>
      <w:r w:rsidRPr="00966BA5">
        <w:rPr>
          <w:rFonts w:ascii="Arial" w:hAnsi="Arial" w:eastAsia="Arial" w:cs="Arial"/>
        </w:rPr>
        <w:t xml:space="preserve">National Institute for Health and Care Excellence (2021) Tobacco: preventing uptake, promoting quitting and treating dependence. NICE guideline [NG209]. </w:t>
      </w:r>
      <w:hyperlink w:history="1" r:id="rId12">
        <w:r w:rsidRPr="00966BA5">
          <w:rPr>
            <w:rStyle w:val="Hyperlink"/>
            <w:rFonts w:ascii="Arial" w:hAnsi="Arial" w:cs="Arial"/>
            <w:color w:val="auto"/>
          </w:rPr>
          <w:t>https://www.nice.org.uk/guidance/ng209</w:t>
        </w:r>
      </w:hyperlink>
    </w:p>
    <w:p w:rsidRPr="00966BA5" w:rsidR="008A74B2" w:rsidP="00966BA5" w:rsidRDefault="008A74B2" w14:paraId="7FBA1B1B" w14:textId="77777777">
      <w:pPr>
        <w:spacing w:after="140" w:line="360" w:lineRule="auto"/>
        <w:ind w:left="720" w:hanging="720"/>
        <w:jc w:val="both"/>
        <w:rPr>
          <w:rFonts w:ascii="Arial" w:hAnsi="Arial" w:cs="Arial"/>
        </w:rPr>
      </w:pPr>
      <w:r w:rsidRPr="00966BA5">
        <w:rPr>
          <w:rFonts w:ascii="Arial" w:hAnsi="Arial" w:eastAsia="Arial" w:cs="Arial"/>
        </w:rPr>
        <w:t xml:space="preserve">National Institute for Health and Care Excellence (2022) Type 2 diabetes in adults: management. NICE guideline [NG28]. </w:t>
      </w:r>
      <w:hyperlink w:history="1" r:id="rId13">
        <w:r w:rsidRPr="00966BA5">
          <w:rPr>
            <w:rStyle w:val="Hyperlink"/>
            <w:rFonts w:ascii="Arial" w:hAnsi="Arial" w:cs="Arial"/>
            <w:color w:val="auto"/>
          </w:rPr>
          <w:t>https://www.nice.org.uk/guidance/ng28</w:t>
        </w:r>
      </w:hyperlink>
    </w:p>
    <w:p w:rsidRPr="00966BA5" w:rsidR="008A74B2" w:rsidP="00966BA5" w:rsidRDefault="008A74B2" w14:paraId="21AEDED6" w14:textId="77777777">
      <w:pPr>
        <w:spacing w:after="140" w:line="360" w:lineRule="auto"/>
        <w:ind w:left="720" w:hanging="720"/>
        <w:jc w:val="both"/>
        <w:rPr>
          <w:rFonts w:ascii="Arial" w:hAnsi="Arial" w:cs="Arial"/>
        </w:rPr>
      </w:pPr>
      <w:r w:rsidRPr="00966BA5">
        <w:rPr>
          <w:rFonts w:ascii="Arial" w:hAnsi="Arial" w:eastAsia="Arial" w:cs="Arial"/>
        </w:rPr>
        <w:t xml:space="preserve">Public Health England (2020) Guidance: Diabetes prevention programme. </w:t>
      </w:r>
      <w:hyperlink w:history="1" r:id="rId14">
        <w:r w:rsidRPr="00966BA5">
          <w:rPr>
            <w:rStyle w:val="Hyperlink"/>
            <w:rFonts w:ascii="Arial" w:hAnsi="Arial" w:cs="Arial"/>
            <w:color w:val="auto"/>
          </w:rPr>
          <w:t>https://www.gov.uk/government/collections/nhs-diabetes-prevention-programme</w:t>
        </w:r>
      </w:hyperlink>
    </w:p>
    <w:p w:rsidRPr="00966BA5" w:rsidR="008A74B2" w:rsidP="00966BA5" w:rsidRDefault="008A74B2" w14:paraId="4CA76D51" w14:textId="77777777">
      <w:pPr>
        <w:spacing w:after="140" w:line="360" w:lineRule="auto"/>
        <w:ind w:left="720" w:hanging="720"/>
        <w:jc w:val="both"/>
        <w:rPr>
          <w:rFonts w:ascii="Arial" w:hAnsi="Arial" w:cs="Arial"/>
        </w:rPr>
      </w:pPr>
      <w:r w:rsidRPr="00966BA5">
        <w:rPr>
          <w:rFonts w:ascii="Arial" w:hAnsi="Arial" w:eastAsia="Arial" w:cs="Arial"/>
        </w:rPr>
        <w:t>Tortora, G.J. and Derrickson, B.H. (2017) Principles of anatomy and physiology. 15th edn. Hoboken: Wiley.</w:t>
      </w:r>
    </w:p>
    <w:p w:rsidRPr="00966BA5" w:rsidR="008A74B2" w:rsidP="00966BA5" w:rsidRDefault="008A74B2" w14:paraId="4E199165" w14:textId="77777777">
      <w:pPr>
        <w:spacing w:after="140" w:line="360" w:lineRule="auto"/>
        <w:ind w:left="720" w:hanging="720"/>
        <w:jc w:val="both"/>
        <w:rPr>
          <w:rFonts w:ascii="Arial" w:hAnsi="Arial" w:cs="Arial"/>
        </w:rPr>
      </w:pPr>
      <w:r w:rsidRPr="00966BA5">
        <w:rPr>
          <w:rFonts w:ascii="Arial" w:hAnsi="Arial" w:eastAsia="Arial" w:cs="Arial"/>
        </w:rPr>
        <w:t>UK Chief Medical Officers (2019) UK Chief Medical Officers’ physical activity guidelines. London: Department of Health and Social Care.</w:t>
      </w:r>
      <w:r w:rsidRPr="00966BA5">
        <w:rPr>
          <w:rFonts w:ascii="Arial" w:hAnsi="Arial" w:cs="Arial"/>
          <w:lang w:val="en-US"/>
        </w:rPr>
        <w:t xml:space="preserve"> </w:t>
      </w:r>
      <w:hyperlink w:history="1" r:id="rId15">
        <w:r w:rsidRPr="00966BA5">
          <w:rPr>
            <w:rStyle w:val="Hyperlink"/>
            <w:rFonts w:ascii="Arial" w:hAnsi="Arial" w:cs="Arial"/>
            <w:color w:val="auto"/>
          </w:rPr>
          <w:t>https://www.gov.uk/government/publications/physical-activity-guidelines-uk-chief-medical-officers-report</w:t>
        </w:r>
      </w:hyperlink>
    </w:p>
    <w:p w:rsidRPr="00966BA5" w:rsidR="008A74B2" w:rsidP="00966BA5" w:rsidRDefault="008A74B2" w14:paraId="45EBA8C8" w14:textId="24B8E9DF">
      <w:pPr>
        <w:spacing w:after="140" w:line="360" w:lineRule="auto"/>
        <w:ind w:left="720" w:hanging="720"/>
        <w:jc w:val="both"/>
        <w:rPr>
          <w:rFonts w:ascii="Arial" w:hAnsi="Arial" w:cs="Arial"/>
        </w:rPr>
      </w:pPr>
      <w:r w:rsidRPr="00966BA5">
        <w:rPr>
          <w:rFonts w:ascii="Arial" w:hAnsi="Arial" w:eastAsia="Arial" w:cs="Arial"/>
        </w:rPr>
        <w:t xml:space="preserve">Umpierre, D., Ribeiro, P.A.B., Kramer, C.K., Leitão, C.B., Zucatti, A.T.N., Azevedo, M.J., Gross, J.L., Ribeiro, J.P. e Schaan, B.D. (2011) Physical activity advice only or structured exercise training and association with HbA1c levels in type 2 diabetes: a systematic review and meta-analysis. JAMA, 305(17), pp. 1790–1799. </w:t>
      </w:r>
      <w:hyperlink w:history="1" r:id="rId16">
        <w:r w:rsidRPr="00966BA5">
          <w:rPr>
            <w:rStyle w:val="Hyperlink"/>
            <w:rFonts w:ascii="Arial" w:hAnsi="Arial" w:cs="Arial"/>
            <w:color w:val="auto"/>
          </w:rPr>
          <w:t>https://pubmed.ncbi.nlm.nih.gov/21540423/</w:t>
        </w:r>
      </w:hyperlink>
    </w:p>
    <w:p w:rsidRPr="00966BA5" w:rsidR="008A74B2" w:rsidP="00966BA5" w:rsidRDefault="008A74B2" w14:paraId="7CB6D95E" w14:textId="77777777">
      <w:pPr>
        <w:spacing w:after="140" w:line="360" w:lineRule="auto"/>
        <w:ind w:left="720" w:hanging="720"/>
        <w:jc w:val="both"/>
        <w:rPr>
          <w:rFonts w:ascii="Arial" w:hAnsi="Arial" w:cs="Arial"/>
        </w:rPr>
      </w:pPr>
      <w:r w:rsidRPr="00966BA5">
        <w:rPr>
          <w:rFonts w:ascii="Arial" w:hAnsi="Arial" w:eastAsia="Arial" w:cs="Arial"/>
        </w:rPr>
        <w:t xml:space="preserve">Voulgari, C., Katsilambros, N. and Tentolouris, N. (2011) Smoking cessation predicts amelioration of microalbuminuria in newly diagnosed type 2 diabetes mellitus: a 1-year prospective study. Metabolism, 60(10), pp. 1456–1464. </w:t>
      </w:r>
      <w:hyperlink w:history="1" r:id="rId17">
        <w:r w:rsidRPr="00966BA5">
          <w:rPr>
            <w:rStyle w:val="Hyperlink"/>
            <w:rFonts w:ascii="Arial" w:hAnsi="Arial" w:cs="Arial"/>
            <w:color w:val="auto"/>
          </w:rPr>
          <w:t>https://pubmed.ncbi.nlm.nih.gov/21489578/</w:t>
        </w:r>
      </w:hyperlink>
    </w:p>
    <w:p w:rsidRPr="00966BA5" w:rsidR="008A74B2" w:rsidP="00966BA5" w:rsidRDefault="008A74B2" w14:paraId="0DBDEDC0" w14:textId="77777777">
      <w:pPr>
        <w:spacing w:after="140" w:line="360" w:lineRule="auto"/>
        <w:jc w:val="both"/>
        <w:rPr>
          <w:rFonts w:ascii="Arial" w:hAnsi="Arial" w:cs="Arial"/>
        </w:rPr>
      </w:pPr>
      <w:r w:rsidRPr="00966BA5">
        <w:rPr>
          <w:rFonts w:ascii="Arial" w:hAnsi="Arial" w:eastAsia="Arial" w:cs="Arial"/>
        </w:rPr>
        <w:t>Wilcox, G. (2005) Insulin and insulin resistance. Clinical Biochemist Reviews, 26(2), pp. 19–39.</w:t>
      </w:r>
    </w:p>
    <w:p w:rsidRPr="00966BA5" w:rsidR="008A74B2" w:rsidP="00966BA5" w:rsidRDefault="008A74B2" w14:paraId="4A56A94E" w14:textId="68CBC392">
      <w:pPr>
        <w:spacing w:after="140" w:line="360" w:lineRule="auto"/>
        <w:ind w:left="720" w:hanging="720"/>
        <w:jc w:val="both"/>
        <w:rPr>
          <w:rFonts w:ascii="Arial" w:hAnsi="Arial" w:cs="Arial"/>
        </w:rPr>
      </w:pPr>
      <w:r w:rsidRPr="00966BA5">
        <w:rPr>
          <w:rFonts w:ascii="Arial" w:hAnsi="Arial" w:eastAsia="Arial" w:cs="Arial"/>
        </w:rPr>
        <w:t xml:space="preserve">World Health Organisation (2023) Diabetes. </w:t>
      </w:r>
      <w:hyperlink w:history="1" r:id="rId18">
        <w:r w:rsidRPr="00966BA5">
          <w:rPr>
            <w:rStyle w:val="Hyperlink"/>
            <w:rFonts w:ascii="Arial" w:hAnsi="Arial" w:cs="Arial"/>
            <w:color w:val="auto"/>
          </w:rPr>
          <w:t>https://www.who.int/news-room/fact-sheets/detail/diabetes</w:t>
        </w:r>
      </w:hyperlink>
    </w:p>
    <w:p w:rsidRPr="00966BA5" w:rsidR="008A74B2" w:rsidP="00966BA5" w:rsidRDefault="008A74B2" w14:paraId="79A9E4E8" w14:textId="77777777">
      <w:pPr>
        <w:spacing w:after="140" w:line="360" w:lineRule="auto"/>
        <w:ind w:left="720" w:hanging="720"/>
        <w:jc w:val="both"/>
        <w:rPr>
          <w:rFonts w:ascii="Arial" w:hAnsi="Arial" w:cs="Arial"/>
        </w:rPr>
      </w:pPr>
    </w:p>
    <w:p w:rsidRPr="00966BA5" w:rsidR="008A74B2" w:rsidP="00966BA5" w:rsidRDefault="008A74B2" w14:paraId="404509EE" w14:textId="77777777">
      <w:pPr>
        <w:spacing w:line="360" w:lineRule="auto"/>
        <w:jc w:val="both"/>
        <w:rPr>
          <w:rFonts w:ascii="Arial" w:hAnsi="Arial" w:cs="Arial"/>
        </w:rPr>
      </w:pPr>
    </w:p>
    <w:sectPr w:rsidRPr="00966BA5" w:rsidR="008A74B2">
      <w:footerReference w:type="default" r:id="rId19"/>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D426CD" w:rsidP="008A74B2" w:rsidRDefault="00D426CD" w14:paraId="5FDBF3CF" w14:textId="77777777">
      <w:pPr>
        <w:spacing w:after="0" w:line="240" w:lineRule="auto"/>
      </w:pPr>
      <w:r>
        <w:separator/>
      </w:r>
    </w:p>
  </w:endnote>
  <w:endnote w:type="continuationSeparator" w:id="0">
    <w:p w:rsidR="00D426CD" w:rsidP="008A74B2" w:rsidRDefault="00D426CD" w14:paraId="73E8947F"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Yu Mincho">
    <w:altName w:val="游明朝"/>
    <w:panose1 w:val="00000000000000000000"/>
    <w:charset w:val="80"/>
    <w:family w:val="roman"/>
    <w:notTrueType/>
    <w:pitch w:val="default"/>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12287164"/>
      <w:docPartObj>
        <w:docPartGallery w:val="Page Numbers (Bottom of Page)"/>
        <w:docPartUnique/>
      </w:docPartObj>
    </w:sdtPr>
    <w:sdtContent>
      <w:sdt>
        <w:sdtPr>
          <w:id w:val="-1705238520"/>
          <w:docPartObj>
            <w:docPartGallery w:val="Page Numbers (Top of Page)"/>
            <w:docPartUnique/>
          </w:docPartObj>
        </w:sdtPr>
        <w:sdtContent>
          <w:p w:rsidR="008A74B2" w:rsidRDefault="008A74B2" w14:paraId="2D6B73C6" w14:textId="11EFC6A4">
            <w:pPr>
              <w:pStyle w:val="Foo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rsidR="008A74B2" w:rsidRDefault="008A74B2" w14:paraId="7E7BC315"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D426CD" w:rsidP="008A74B2" w:rsidRDefault="00D426CD" w14:paraId="528DCE2F" w14:textId="77777777">
      <w:pPr>
        <w:spacing w:after="0" w:line="240" w:lineRule="auto"/>
      </w:pPr>
      <w:r>
        <w:separator/>
      </w:r>
    </w:p>
  </w:footnote>
  <w:footnote w:type="continuationSeparator" w:id="0">
    <w:p w:rsidR="00D426CD" w:rsidP="008A74B2" w:rsidRDefault="00D426CD" w14:paraId="1AA8896E" w14:textId="7777777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74B2"/>
    <w:rsid w:val="000B5575"/>
    <w:rsid w:val="001A0F4A"/>
    <w:rsid w:val="00310852"/>
    <w:rsid w:val="003F5F01"/>
    <w:rsid w:val="00496E7B"/>
    <w:rsid w:val="00583447"/>
    <w:rsid w:val="005A4778"/>
    <w:rsid w:val="00666549"/>
    <w:rsid w:val="007375DC"/>
    <w:rsid w:val="00896B10"/>
    <w:rsid w:val="008A259B"/>
    <w:rsid w:val="008A74B2"/>
    <w:rsid w:val="008D7644"/>
    <w:rsid w:val="00966BA5"/>
    <w:rsid w:val="009F61B6"/>
    <w:rsid w:val="00A03A5A"/>
    <w:rsid w:val="00B571F8"/>
    <w:rsid w:val="00D426CD"/>
    <w:rsid w:val="00DF015B"/>
    <w:rsid w:val="00FA11DF"/>
    <w:rsid w:val="1093AB05"/>
    <w:rsid w:val="19F0BBF4"/>
    <w:rsid w:val="1C9CBCEA"/>
    <w:rsid w:val="210048B5"/>
    <w:rsid w:val="27E8623D"/>
    <w:rsid w:val="37D1DE20"/>
    <w:rsid w:val="57536296"/>
    <w:rsid w:val="5C9B485F"/>
    <w:rsid w:val="5DEC3829"/>
    <w:rsid w:val="6DB382D3"/>
    <w:rsid w:val="760A91B4"/>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D2268F"/>
  <w15:chartTrackingRefBased/>
  <w15:docId w15:val="{329EF3A9-6379-4603-9F32-DBF2CCC976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8A74B2"/>
    <w:rPr>
      <w:lang w:val="en-GB"/>
    </w:rPr>
  </w:style>
  <w:style w:type="paragraph" w:styleId="Heading1">
    <w:name w:val="heading 1"/>
    <w:basedOn w:val="Normal"/>
    <w:next w:val="Normal"/>
    <w:link w:val="Heading1Char"/>
    <w:uiPriority w:val="9"/>
    <w:qFormat/>
    <w:rsid w:val="008A74B2"/>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A74B2"/>
    <w:pPr>
      <w:keepNext/>
      <w:keepLines/>
      <w:spacing w:before="40" w:after="0"/>
      <w:outlineLvl w:val="1"/>
    </w:pPr>
    <w:rPr>
      <w:rFonts w:asciiTheme="majorHAnsi" w:hAnsiTheme="majorHAnsi" w:eastAsiaTheme="majorEastAsia" w:cstheme="majorBidi"/>
      <w:color w:val="2F5496"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8A74B2"/>
    <w:rPr>
      <w:rFonts w:asciiTheme="majorHAnsi" w:hAnsiTheme="majorHAnsi" w:eastAsiaTheme="majorEastAsia" w:cstheme="majorBidi"/>
      <w:color w:val="2F5496" w:themeColor="accent1" w:themeShade="BF"/>
      <w:sz w:val="32"/>
      <w:szCs w:val="32"/>
      <w:lang w:val="en-GB"/>
    </w:rPr>
  </w:style>
  <w:style w:type="paragraph" w:styleId="NoSpacing">
    <w:name w:val="No Spacing"/>
    <w:uiPriority w:val="1"/>
    <w:qFormat/>
    <w:rsid w:val="008A74B2"/>
    <w:pPr>
      <w:spacing w:after="0" w:line="240" w:lineRule="auto"/>
    </w:pPr>
    <w:rPr>
      <w:lang w:val="en-GB"/>
    </w:rPr>
  </w:style>
  <w:style w:type="paragraph" w:styleId="Title">
    <w:name w:val="Title"/>
    <w:basedOn w:val="Normal"/>
    <w:next w:val="Normal"/>
    <w:link w:val="TitleChar"/>
    <w:uiPriority w:val="10"/>
    <w:qFormat/>
    <w:rsid w:val="008A74B2"/>
    <w:pPr>
      <w:spacing w:after="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8A74B2"/>
    <w:rPr>
      <w:rFonts w:asciiTheme="majorHAnsi" w:hAnsiTheme="majorHAnsi" w:eastAsiaTheme="majorEastAsia" w:cstheme="majorBidi"/>
      <w:spacing w:val="-10"/>
      <w:kern w:val="28"/>
      <w:sz w:val="56"/>
      <w:szCs w:val="56"/>
      <w:lang w:val="en-GB"/>
    </w:rPr>
  </w:style>
  <w:style w:type="character" w:styleId="Heading2Char" w:customStyle="1">
    <w:name w:val="Heading 2 Char"/>
    <w:basedOn w:val="DefaultParagraphFont"/>
    <w:link w:val="Heading2"/>
    <w:uiPriority w:val="9"/>
    <w:rsid w:val="008A74B2"/>
    <w:rPr>
      <w:rFonts w:asciiTheme="majorHAnsi" w:hAnsiTheme="majorHAnsi" w:eastAsiaTheme="majorEastAsia" w:cstheme="majorBidi"/>
      <w:color w:val="2F5496" w:themeColor="accent1" w:themeShade="BF"/>
      <w:sz w:val="26"/>
      <w:szCs w:val="26"/>
      <w:lang w:val="en-GB"/>
    </w:rPr>
  </w:style>
  <w:style w:type="character" w:styleId="Hyperlink">
    <w:name w:val="Hyperlink"/>
    <w:uiPriority w:val="99"/>
    <w:unhideWhenUsed/>
    <w:rsid w:val="008A74B2"/>
    <w:rPr>
      <w:color w:val="0563C1"/>
      <w:u w:val="single"/>
    </w:rPr>
  </w:style>
  <w:style w:type="paragraph" w:styleId="Header">
    <w:name w:val="header"/>
    <w:basedOn w:val="Normal"/>
    <w:link w:val="HeaderChar"/>
    <w:uiPriority w:val="99"/>
    <w:unhideWhenUsed/>
    <w:rsid w:val="008A74B2"/>
    <w:pPr>
      <w:tabs>
        <w:tab w:val="center" w:pos="4513"/>
        <w:tab w:val="right" w:pos="9026"/>
      </w:tabs>
      <w:spacing w:after="0" w:line="240" w:lineRule="auto"/>
    </w:pPr>
  </w:style>
  <w:style w:type="character" w:styleId="HeaderChar" w:customStyle="1">
    <w:name w:val="Header Char"/>
    <w:basedOn w:val="DefaultParagraphFont"/>
    <w:link w:val="Header"/>
    <w:uiPriority w:val="99"/>
    <w:rsid w:val="008A74B2"/>
    <w:rPr>
      <w:lang w:val="en-GB"/>
    </w:rPr>
  </w:style>
  <w:style w:type="paragraph" w:styleId="Footer">
    <w:name w:val="footer"/>
    <w:basedOn w:val="Normal"/>
    <w:link w:val="FooterChar"/>
    <w:uiPriority w:val="99"/>
    <w:unhideWhenUsed/>
    <w:rsid w:val="008A74B2"/>
    <w:pPr>
      <w:tabs>
        <w:tab w:val="center" w:pos="4513"/>
        <w:tab w:val="right" w:pos="9026"/>
      </w:tabs>
      <w:spacing w:after="0" w:line="240" w:lineRule="auto"/>
    </w:pPr>
  </w:style>
  <w:style w:type="character" w:styleId="FooterChar" w:customStyle="1">
    <w:name w:val="Footer Char"/>
    <w:basedOn w:val="DefaultParagraphFont"/>
    <w:link w:val="Footer"/>
    <w:uiPriority w:val="99"/>
    <w:rsid w:val="008A74B2"/>
    <w:rPr>
      <w:lang w:val="en-GB"/>
    </w:rPr>
  </w:style>
  <w:style w:type="paragraph" w:styleId="TOCHeading">
    <w:name w:val="TOC Heading"/>
    <w:basedOn w:val="Heading1"/>
    <w:next w:val="Normal"/>
    <w:uiPriority w:val="39"/>
    <w:unhideWhenUsed/>
    <w:qFormat/>
    <w:rsid w:val="00966BA5"/>
    <w:pPr>
      <w:outlineLvl w:val="9"/>
    </w:pPr>
    <w:rPr>
      <w:lang w:val="en-US"/>
    </w:rPr>
  </w:style>
  <w:style w:type="paragraph" w:styleId="TOC1">
    <w:name w:val="toc 1"/>
    <w:basedOn w:val="Normal"/>
    <w:next w:val="Normal"/>
    <w:autoRedefine/>
    <w:uiPriority w:val="39"/>
    <w:unhideWhenUsed/>
    <w:rsid w:val="00966BA5"/>
    <w:pPr>
      <w:spacing w:after="100"/>
    </w:pPr>
  </w:style>
  <w:style w:type="paragraph" w:styleId="TOC2">
    <w:name w:val="toc 2"/>
    <w:basedOn w:val="Normal"/>
    <w:next w:val="Normal"/>
    <w:autoRedefine/>
    <w:uiPriority w:val="39"/>
    <w:unhideWhenUsed/>
    <w:rsid w:val="00966BA5"/>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diabetesjournals.org/care/article/39/11/2065/37249" TargetMode="External" Id="rId8" /><Relationship Type="http://schemas.openxmlformats.org/officeDocument/2006/relationships/hyperlink" Target="https://www.nice.org.uk/guidance/ng28" TargetMode="External" Id="rId13" /><Relationship Type="http://schemas.openxmlformats.org/officeDocument/2006/relationships/hyperlink" Target="https://www.who.int/news-room/fact-sheets/detail/diabetes" TargetMode="External" Id="rId18" /><Relationship Type="http://schemas.openxmlformats.org/officeDocument/2006/relationships/settings" Target="settings.xml" Id="rId3" /><Relationship Type="http://schemas.openxmlformats.org/officeDocument/2006/relationships/theme" Target="theme/theme1.xml" Id="rId21" /><Relationship Type="http://schemas.openxmlformats.org/officeDocument/2006/relationships/hyperlink" Target="https://diabetesjournals.org/care/article/45/Supplement_1/S1/138921" TargetMode="External" Id="rId7" /><Relationship Type="http://schemas.openxmlformats.org/officeDocument/2006/relationships/hyperlink" Target="https://www.nice.org.uk/guidance/ng209" TargetMode="External" Id="rId12" /><Relationship Type="http://schemas.openxmlformats.org/officeDocument/2006/relationships/hyperlink" Target="https://pubmed.ncbi.nlm.nih.gov/21489578/" TargetMode="External" Id="rId17" /><Relationship Type="http://schemas.openxmlformats.org/officeDocument/2006/relationships/styles" Target="styles.xml" Id="rId2" /><Relationship Type="http://schemas.openxmlformats.org/officeDocument/2006/relationships/hyperlink" Target="https://pubmed.ncbi.nlm.nih.gov/21540423/" TargetMode="External" Id="rId16" /><Relationship Type="http://schemas.openxmlformats.org/officeDocument/2006/relationships/fontTable" Target="fontTable.xml" Id="rId20"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hyperlink" Target="https://www.thelancet.com/article/S0140-6736(17)33102-1/fulltext" TargetMode="External" Id="rId11" /><Relationship Type="http://schemas.openxmlformats.org/officeDocument/2006/relationships/footnotes" Target="footnotes.xml" Id="rId5" /><Relationship Type="http://schemas.openxmlformats.org/officeDocument/2006/relationships/hyperlink" Target="https://www.gov.uk/government/publications/physical-activity-guidelines-uk-chief-medical-officers-report" TargetMode="External" Id="rId15" /><Relationship Type="http://schemas.openxmlformats.org/officeDocument/2006/relationships/hyperlink" Target="https://pubmed.ncbi.nlm.nih.gov/24315620/" TargetMode="External" Id="rId10" /><Relationship Type="http://schemas.openxmlformats.org/officeDocument/2006/relationships/footer" Target="footer1.xml" Id="rId19" /><Relationship Type="http://schemas.openxmlformats.org/officeDocument/2006/relationships/webSettings" Target="webSettings.xml" Id="rId4" /><Relationship Type="http://schemas.openxmlformats.org/officeDocument/2006/relationships/hyperlink" Target="https://www.diabetes.org.uk/about-us/news-and-views/number-people-living-diabetes-uk-tops-5-million-first-time" TargetMode="External" Id="rId9" /><Relationship Type="http://schemas.openxmlformats.org/officeDocument/2006/relationships/hyperlink" Target="https://www.gov.uk/government/collections/nhs-diabetes-prevention-programme" TargetMode="External" Id="rId1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69F91D-5F5A-4882-9FA2-2D29761D14A5}">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USER</dc:creator>
  <keywords/>
  <dc:description/>
  <lastModifiedBy>Sufia Sultan (2431993)</lastModifiedBy>
  <revision>6</revision>
  <dcterms:created xsi:type="dcterms:W3CDTF">2026-06-14T21:03:00.0000000Z</dcterms:created>
  <dcterms:modified xsi:type="dcterms:W3CDTF">2026-06-24T20:11:12.3047447Z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b639d729-36db-41a9-82fa-1847bb6780cf</vt:lpwstr>
  </property>
</Properties>
</file>