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4C586" w14:textId="16D1FB2D" w:rsidR="001839A3" w:rsidRPr="00FE584D" w:rsidRDefault="007B4361" w:rsidP="007B4361">
      <w:pPr>
        <w:rPr>
          <w:rFonts w:ascii="Arial" w:eastAsia="Arial" w:hAnsi="Arial" w:cs="Arial"/>
          <w:b/>
          <w:bCs/>
          <w:color w:val="000000"/>
          <w:sz w:val="22"/>
          <w:szCs w:val="22"/>
        </w:rPr>
      </w:pPr>
      <w:bookmarkStart w:id="0" w:name="_gmbdab1bo8jp" w:colFirst="0" w:colLast="0"/>
      <w:bookmarkEnd w:id="0"/>
      <w:r w:rsidRPr="00FE584D">
        <w:rPr>
          <w:rFonts w:ascii="Arial" w:hAnsi="Arial" w:cs="Arial"/>
          <w:noProof/>
          <w:sz w:val="22"/>
          <w:szCs w:val="22"/>
        </w:rPr>
        <w:drawing>
          <wp:inline distT="114300" distB="114300" distL="114300" distR="114300" wp14:anchorId="109DAACB" wp14:editId="79165A6C">
            <wp:extent cx="1885950" cy="809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90996" cy="811791"/>
                    </a:xfrm>
                    <a:prstGeom prst="rect">
                      <a:avLst/>
                    </a:prstGeom>
                    <a:ln/>
                  </pic:spPr>
                </pic:pic>
              </a:graphicData>
            </a:graphic>
          </wp:inline>
        </w:drawing>
      </w:r>
    </w:p>
    <w:p w14:paraId="7774E2B0" w14:textId="77777777" w:rsidR="007B4361" w:rsidRDefault="007B4361" w:rsidP="007B4361">
      <w:pPr>
        <w:rPr>
          <w:rFonts w:ascii="Arial" w:eastAsia="Arial" w:hAnsi="Arial" w:cs="Arial"/>
          <w:b/>
          <w:bCs/>
          <w:color w:val="000000"/>
          <w:sz w:val="22"/>
          <w:szCs w:val="22"/>
        </w:rPr>
      </w:pPr>
    </w:p>
    <w:p w14:paraId="2947D48E" w14:textId="77777777" w:rsidR="00FE584D" w:rsidRPr="00FE584D" w:rsidRDefault="00FE584D" w:rsidP="007B4361">
      <w:pPr>
        <w:rPr>
          <w:rFonts w:ascii="Arial" w:eastAsia="Arial" w:hAnsi="Arial" w:cs="Arial"/>
          <w:b/>
          <w:bCs/>
          <w:color w:val="000000"/>
          <w:sz w:val="22"/>
          <w:szCs w:val="22"/>
        </w:rPr>
      </w:pPr>
    </w:p>
    <w:p w14:paraId="00EF8EE8" w14:textId="77777777" w:rsidR="007B4361" w:rsidRDefault="007B4361" w:rsidP="007B4361">
      <w:pPr>
        <w:rPr>
          <w:rFonts w:ascii="Arial" w:eastAsia="Arial" w:hAnsi="Arial" w:cs="Arial"/>
          <w:b/>
          <w:bCs/>
          <w:color w:val="000000"/>
          <w:sz w:val="22"/>
          <w:szCs w:val="22"/>
        </w:rPr>
      </w:pPr>
    </w:p>
    <w:p w14:paraId="7FC53413" w14:textId="77777777" w:rsidR="002128A9" w:rsidRPr="00FE584D" w:rsidRDefault="002128A9" w:rsidP="007B4361">
      <w:pPr>
        <w:rPr>
          <w:rFonts w:ascii="Arial" w:eastAsia="Arial" w:hAnsi="Arial" w:cs="Arial"/>
          <w:b/>
          <w:bCs/>
          <w:color w:val="000000"/>
          <w:sz w:val="22"/>
          <w:szCs w:val="22"/>
        </w:rPr>
      </w:pPr>
    </w:p>
    <w:p w14:paraId="56198EF6" w14:textId="52C582F4" w:rsidR="001839A3" w:rsidRPr="00FE584D" w:rsidRDefault="001839A3" w:rsidP="007B4361">
      <w:pPr>
        <w:rPr>
          <w:rFonts w:ascii="Arial" w:hAnsi="Arial" w:cs="Arial"/>
          <w:sz w:val="22"/>
          <w:szCs w:val="22"/>
        </w:rPr>
      </w:pPr>
      <w:bookmarkStart w:id="1" w:name="_1xntmrrn0lf3" w:colFirst="0" w:colLast="0"/>
      <w:bookmarkEnd w:id="1"/>
    </w:p>
    <w:p w14:paraId="2D8E517B" w14:textId="77777777" w:rsidR="001839A3" w:rsidRPr="00FE584D" w:rsidRDefault="00000000" w:rsidP="00A43C03">
      <w:pPr>
        <w:spacing w:before="480" w:after="120" w:line="360" w:lineRule="auto"/>
        <w:jc w:val="center"/>
        <w:rPr>
          <w:rFonts w:ascii="Arial" w:eastAsia="Arial" w:hAnsi="Arial" w:cs="Arial"/>
          <w:b/>
          <w:bCs/>
          <w:i/>
          <w:iCs/>
          <w:sz w:val="32"/>
          <w:szCs w:val="32"/>
        </w:rPr>
      </w:pPr>
      <w:r w:rsidRPr="00FE584D">
        <w:rPr>
          <w:rFonts w:ascii="Arial" w:eastAsia="Arial" w:hAnsi="Arial" w:cs="Arial"/>
          <w:b/>
          <w:bCs/>
          <w:i/>
          <w:iCs/>
          <w:sz w:val="32"/>
          <w:szCs w:val="32"/>
        </w:rPr>
        <w:t>Leadership, Governance and Systems Thinking in Healthcare: A Case Report on the NHS England Infant Morphine Overdose (North East and Yorkshire, 2023)</w:t>
      </w:r>
    </w:p>
    <w:p w14:paraId="47D8948E" w14:textId="77777777" w:rsidR="001839A3" w:rsidRPr="00FE584D" w:rsidRDefault="001839A3" w:rsidP="00A43C03">
      <w:pPr>
        <w:spacing w:before="480" w:after="120" w:line="360" w:lineRule="auto"/>
        <w:jc w:val="center"/>
        <w:rPr>
          <w:rFonts w:ascii="Arial" w:eastAsia="Arial" w:hAnsi="Arial" w:cs="Arial"/>
          <w:b/>
          <w:bCs/>
          <w:sz w:val="22"/>
          <w:szCs w:val="22"/>
        </w:rPr>
      </w:pPr>
    </w:p>
    <w:p w14:paraId="5AC7E041" w14:textId="77777777" w:rsidR="001839A3" w:rsidRPr="00FE584D" w:rsidRDefault="00000000" w:rsidP="00A43C03">
      <w:pPr>
        <w:spacing w:before="480" w:after="120" w:line="360" w:lineRule="auto"/>
        <w:jc w:val="center"/>
        <w:rPr>
          <w:rFonts w:ascii="Arial" w:eastAsia="Arial" w:hAnsi="Arial" w:cs="Arial"/>
          <w:b/>
          <w:bCs/>
          <w:sz w:val="22"/>
          <w:szCs w:val="22"/>
        </w:rPr>
      </w:pPr>
      <w:r w:rsidRPr="00FE584D">
        <w:rPr>
          <w:rFonts w:ascii="Arial" w:eastAsia="Arial" w:hAnsi="Arial" w:cs="Arial"/>
          <w:b/>
          <w:bCs/>
          <w:sz w:val="22"/>
          <w:szCs w:val="22"/>
        </w:rPr>
        <w:t>Programme: MSc Public Health and Social Care in Practice</w:t>
      </w:r>
    </w:p>
    <w:p w14:paraId="40F30131" w14:textId="77777777" w:rsidR="001839A3" w:rsidRPr="00FE584D" w:rsidRDefault="00000000" w:rsidP="00A43C03">
      <w:pPr>
        <w:spacing w:before="480" w:after="120" w:line="360" w:lineRule="auto"/>
        <w:jc w:val="center"/>
        <w:rPr>
          <w:rFonts w:ascii="Arial" w:eastAsia="Arial" w:hAnsi="Arial" w:cs="Arial"/>
          <w:b/>
          <w:bCs/>
          <w:sz w:val="22"/>
          <w:szCs w:val="22"/>
        </w:rPr>
      </w:pPr>
      <w:r w:rsidRPr="00FE584D">
        <w:rPr>
          <w:rFonts w:ascii="Arial" w:eastAsia="Arial" w:hAnsi="Arial" w:cs="Arial"/>
          <w:b/>
          <w:bCs/>
          <w:sz w:val="22"/>
          <w:szCs w:val="22"/>
        </w:rPr>
        <w:t>Module: Health Care System Organisation and Leadership</w:t>
      </w:r>
    </w:p>
    <w:p w14:paraId="45819E00" w14:textId="77777777" w:rsidR="001839A3" w:rsidRDefault="00000000" w:rsidP="00A43C03">
      <w:pPr>
        <w:spacing w:before="480" w:after="120" w:line="360" w:lineRule="auto"/>
        <w:jc w:val="center"/>
        <w:rPr>
          <w:rFonts w:ascii="Arial" w:eastAsia="Arial" w:hAnsi="Arial" w:cs="Arial"/>
          <w:b/>
          <w:bCs/>
          <w:sz w:val="22"/>
          <w:szCs w:val="22"/>
        </w:rPr>
      </w:pPr>
      <w:r w:rsidRPr="00FE584D">
        <w:rPr>
          <w:rFonts w:ascii="Arial" w:eastAsia="Arial" w:hAnsi="Arial" w:cs="Arial"/>
          <w:b/>
          <w:bCs/>
          <w:sz w:val="22"/>
          <w:szCs w:val="22"/>
        </w:rPr>
        <w:t>Module code: LCHS7002</w:t>
      </w:r>
    </w:p>
    <w:p w14:paraId="08846293" w14:textId="77777777" w:rsidR="00AD1B4B" w:rsidRDefault="00AD1B4B" w:rsidP="00A43C03">
      <w:pPr>
        <w:spacing w:before="480" w:after="120" w:line="360" w:lineRule="auto"/>
        <w:jc w:val="center"/>
        <w:rPr>
          <w:rFonts w:ascii="Arial" w:eastAsia="Arial" w:hAnsi="Arial" w:cs="Arial"/>
          <w:b/>
          <w:bCs/>
          <w:sz w:val="22"/>
          <w:szCs w:val="22"/>
        </w:rPr>
      </w:pPr>
    </w:p>
    <w:p w14:paraId="74D41930" w14:textId="1AC74112" w:rsidR="00AD1B4B" w:rsidRPr="00AD1B4B" w:rsidRDefault="00E05E44" w:rsidP="00AD1B4B">
      <w:pPr>
        <w:spacing w:before="480" w:after="120" w:line="360" w:lineRule="auto"/>
        <w:jc w:val="center"/>
        <w:rPr>
          <w:rFonts w:ascii="Arial" w:eastAsia="Arial" w:hAnsi="Arial" w:cs="Arial"/>
          <w:b/>
          <w:bCs/>
          <w:sz w:val="22"/>
          <w:szCs w:val="22"/>
          <w:lang w:val="en-IN"/>
        </w:rPr>
      </w:pPr>
      <w:r>
        <w:rPr>
          <w:rFonts w:ascii="Arial" w:eastAsia="Arial" w:hAnsi="Arial" w:cs="Arial"/>
          <w:b/>
          <w:bCs/>
          <w:sz w:val="22"/>
          <w:szCs w:val="22"/>
          <w:lang w:val="en-IN"/>
        </w:rPr>
        <w:t xml:space="preserve">Name: </w:t>
      </w:r>
      <w:r w:rsidR="00AD1B4B">
        <w:rPr>
          <w:rFonts w:ascii="Arial" w:eastAsia="Arial" w:hAnsi="Arial" w:cs="Arial"/>
          <w:b/>
          <w:bCs/>
          <w:sz w:val="22"/>
          <w:szCs w:val="22"/>
          <w:lang w:val="en-IN"/>
        </w:rPr>
        <w:t>S</w:t>
      </w:r>
      <w:r w:rsidR="00AD1B4B" w:rsidRPr="00AD1B4B">
        <w:rPr>
          <w:rFonts w:ascii="Arial" w:eastAsia="Arial" w:hAnsi="Arial" w:cs="Arial"/>
          <w:b/>
          <w:bCs/>
          <w:sz w:val="22"/>
          <w:szCs w:val="22"/>
          <w:lang w:val="en-IN"/>
        </w:rPr>
        <w:t xml:space="preserve">anjay </w:t>
      </w:r>
      <w:proofErr w:type="spellStart"/>
      <w:r w:rsidR="00AD1B4B">
        <w:rPr>
          <w:rFonts w:ascii="Arial" w:eastAsia="Arial" w:hAnsi="Arial" w:cs="Arial"/>
          <w:b/>
          <w:bCs/>
          <w:sz w:val="22"/>
          <w:szCs w:val="22"/>
          <w:lang w:val="en-IN"/>
        </w:rPr>
        <w:t>O</w:t>
      </w:r>
      <w:r w:rsidR="00AD1B4B" w:rsidRPr="00AD1B4B">
        <w:rPr>
          <w:rFonts w:ascii="Arial" w:eastAsia="Arial" w:hAnsi="Arial" w:cs="Arial"/>
          <w:b/>
          <w:bCs/>
          <w:sz w:val="22"/>
          <w:szCs w:val="22"/>
          <w:lang w:val="en-IN"/>
        </w:rPr>
        <w:t>dedara</w:t>
      </w:r>
      <w:proofErr w:type="spellEnd"/>
    </w:p>
    <w:p w14:paraId="07D73D21" w14:textId="631969ED" w:rsidR="00AD1B4B" w:rsidRPr="00AD1B4B" w:rsidRDefault="00E05E44" w:rsidP="00AD1B4B">
      <w:pPr>
        <w:spacing w:before="480" w:after="120" w:line="360" w:lineRule="auto"/>
        <w:jc w:val="center"/>
        <w:rPr>
          <w:rFonts w:ascii="Arial" w:eastAsia="Arial" w:hAnsi="Arial" w:cs="Arial"/>
          <w:b/>
          <w:bCs/>
          <w:sz w:val="22"/>
          <w:szCs w:val="22"/>
          <w:lang w:val="en-IN"/>
        </w:rPr>
      </w:pPr>
      <w:r>
        <w:rPr>
          <w:rFonts w:ascii="Arial" w:eastAsia="Arial" w:hAnsi="Arial" w:cs="Arial"/>
          <w:b/>
          <w:bCs/>
          <w:sz w:val="22"/>
          <w:szCs w:val="22"/>
          <w:lang w:val="en-IN"/>
        </w:rPr>
        <w:t xml:space="preserve">SID: </w:t>
      </w:r>
      <w:r w:rsidR="00AD1B4B" w:rsidRPr="00AD1B4B">
        <w:rPr>
          <w:rFonts w:ascii="Arial" w:eastAsia="Arial" w:hAnsi="Arial" w:cs="Arial"/>
          <w:b/>
          <w:bCs/>
          <w:sz w:val="22"/>
          <w:szCs w:val="22"/>
          <w:lang w:val="en-IN"/>
        </w:rPr>
        <w:t>2519105</w:t>
      </w:r>
    </w:p>
    <w:p w14:paraId="28AA6DCD" w14:textId="77777777" w:rsidR="00AD1B4B" w:rsidRPr="00FE584D" w:rsidRDefault="00AD1B4B" w:rsidP="00A43C03">
      <w:pPr>
        <w:spacing w:before="480" w:after="120" w:line="360" w:lineRule="auto"/>
        <w:jc w:val="center"/>
        <w:rPr>
          <w:rFonts w:ascii="Arial" w:eastAsia="Arial" w:hAnsi="Arial" w:cs="Arial"/>
          <w:b/>
          <w:bCs/>
          <w:sz w:val="22"/>
          <w:szCs w:val="22"/>
        </w:rPr>
      </w:pPr>
    </w:p>
    <w:p w14:paraId="189740BE" w14:textId="77777777" w:rsidR="001839A3" w:rsidRPr="00FE584D" w:rsidRDefault="001839A3" w:rsidP="00D324FE">
      <w:bookmarkStart w:id="2" w:name="_k6wxh66q1kq4" w:colFirst="0" w:colLast="0"/>
      <w:bookmarkEnd w:id="2"/>
    </w:p>
    <w:p w14:paraId="7D9B6B39" w14:textId="77777777" w:rsidR="001839A3" w:rsidRPr="00FE584D" w:rsidRDefault="00000000" w:rsidP="00D324FE">
      <w:pPr>
        <w:rPr>
          <w:b/>
          <w:bCs/>
        </w:rPr>
      </w:pPr>
      <w:bookmarkStart w:id="3" w:name="_2md5i9bilvkx" w:colFirst="0" w:colLast="0"/>
      <w:bookmarkEnd w:id="3"/>
      <w:r w:rsidRPr="00FE584D">
        <w:br w:type="page"/>
      </w:r>
    </w:p>
    <w:bookmarkStart w:id="4" w:name="_jibn8i2hx8hv" w:colFirst="0" w:colLast="0" w:displacedByCustomXml="next"/>
    <w:bookmarkEnd w:id="4" w:displacedByCustomXml="next"/>
    <w:sdt>
      <w:sdtPr>
        <w:rPr>
          <w:rFonts w:ascii="Arial" w:eastAsia="Aptos" w:hAnsi="Arial" w:cs="Arial"/>
          <w:b w:val="0"/>
          <w:color w:val="000000" w:themeColor="text1"/>
          <w:sz w:val="22"/>
          <w:szCs w:val="22"/>
          <w:lang w:val="en-GB"/>
        </w:rPr>
        <w:id w:val="2011944696"/>
        <w:docPartObj>
          <w:docPartGallery w:val="Table of Contents"/>
          <w:docPartUnique/>
        </w:docPartObj>
      </w:sdtPr>
      <w:sdtEndPr>
        <w:rPr>
          <w:bCs/>
          <w:color w:val="auto"/>
        </w:rPr>
      </w:sdtEndPr>
      <w:sdtContent>
        <w:p w14:paraId="24D85966" w14:textId="65E8A0F4" w:rsidR="00A46FB0" w:rsidRPr="00FE584D" w:rsidRDefault="00A46FB0" w:rsidP="00A43C03">
          <w:pPr>
            <w:pStyle w:val="TOCHeading"/>
            <w:spacing w:line="360" w:lineRule="auto"/>
            <w:jc w:val="center"/>
            <w:rPr>
              <w:rFonts w:ascii="Arial" w:hAnsi="Arial" w:cs="Arial"/>
              <w:color w:val="000000" w:themeColor="text1"/>
              <w:sz w:val="22"/>
              <w:szCs w:val="22"/>
              <w:lang w:val="en-GB"/>
            </w:rPr>
          </w:pPr>
          <w:r w:rsidRPr="00FE584D">
            <w:rPr>
              <w:rFonts w:ascii="Arial" w:hAnsi="Arial" w:cs="Arial"/>
              <w:color w:val="000000" w:themeColor="text1"/>
              <w:sz w:val="22"/>
              <w:szCs w:val="22"/>
              <w:lang w:val="en-GB"/>
            </w:rPr>
            <w:t>Table of Contents</w:t>
          </w:r>
        </w:p>
        <w:p w14:paraId="284E615A" w14:textId="4F9E18EF" w:rsidR="00BE0028" w:rsidRDefault="00A46FB0">
          <w:pPr>
            <w:pStyle w:val="TOC1"/>
            <w:tabs>
              <w:tab w:val="right" w:leader="dot" w:pos="9016"/>
            </w:tabs>
            <w:rPr>
              <w:rFonts w:asciiTheme="minorHAnsi" w:eastAsiaTheme="minorEastAsia" w:hAnsiTheme="minorHAnsi" w:cstheme="minorBidi"/>
              <w:noProof/>
              <w:kern w:val="2"/>
              <w:lang w:val="en-IN" w:eastAsia="zh-CN"/>
              <w14:ligatures w14:val="standardContextual"/>
            </w:rPr>
          </w:pPr>
          <w:r w:rsidRPr="00FE584D">
            <w:rPr>
              <w:rFonts w:ascii="Arial" w:hAnsi="Arial" w:cs="Arial"/>
              <w:sz w:val="22"/>
              <w:szCs w:val="22"/>
            </w:rPr>
            <w:fldChar w:fldCharType="begin"/>
          </w:r>
          <w:r w:rsidRPr="00FE584D">
            <w:rPr>
              <w:rFonts w:ascii="Arial" w:hAnsi="Arial" w:cs="Arial"/>
              <w:sz w:val="22"/>
              <w:szCs w:val="22"/>
            </w:rPr>
            <w:instrText xml:space="preserve"> TOC \o "1-3" \h \z \u </w:instrText>
          </w:r>
          <w:r w:rsidRPr="00FE584D">
            <w:rPr>
              <w:rFonts w:ascii="Arial" w:hAnsi="Arial" w:cs="Arial"/>
              <w:sz w:val="22"/>
              <w:szCs w:val="22"/>
            </w:rPr>
            <w:fldChar w:fldCharType="separate"/>
          </w:r>
          <w:hyperlink w:anchor="_Toc235788931" w:history="1">
            <w:r w:rsidR="00BE0028" w:rsidRPr="000B6B90">
              <w:rPr>
                <w:rStyle w:val="Hyperlink"/>
                <w:rFonts w:cs="Arial"/>
                <w:noProof/>
              </w:rPr>
              <w:t>1. Introduction</w:t>
            </w:r>
            <w:r w:rsidR="00BE0028">
              <w:rPr>
                <w:noProof/>
                <w:webHidden/>
              </w:rPr>
              <w:tab/>
            </w:r>
            <w:r w:rsidR="00BE0028">
              <w:rPr>
                <w:noProof/>
                <w:webHidden/>
              </w:rPr>
              <w:fldChar w:fldCharType="begin"/>
            </w:r>
            <w:r w:rsidR="00BE0028">
              <w:rPr>
                <w:noProof/>
                <w:webHidden/>
              </w:rPr>
              <w:instrText xml:space="preserve"> PAGEREF _Toc235788931 \h </w:instrText>
            </w:r>
            <w:r w:rsidR="00BE0028">
              <w:rPr>
                <w:noProof/>
                <w:webHidden/>
              </w:rPr>
            </w:r>
            <w:r w:rsidR="00BE0028">
              <w:rPr>
                <w:noProof/>
                <w:webHidden/>
              </w:rPr>
              <w:fldChar w:fldCharType="separate"/>
            </w:r>
            <w:r w:rsidR="00BE0028">
              <w:rPr>
                <w:noProof/>
                <w:webHidden/>
              </w:rPr>
              <w:t>4</w:t>
            </w:r>
            <w:r w:rsidR="00BE0028">
              <w:rPr>
                <w:noProof/>
                <w:webHidden/>
              </w:rPr>
              <w:fldChar w:fldCharType="end"/>
            </w:r>
          </w:hyperlink>
        </w:p>
        <w:p w14:paraId="61F98D2A" w14:textId="55FD5B8B" w:rsidR="00BE0028" w:rsidRDefault="00BE0028">
          <w:pPr>
            <w:pStyle w:val="TOC1"/>
            <w:tabs>
              <w:tab w:val="right" w:leader="dot" w:pos="9016"/>
            </w:tabs>
            <w:rPr>
              <w:rFonts w:asciiTheme="minorHAnsi" w:eastAsiaTheme="minorEastAsia" w:hAnsiTheme="minorHAnsi" w:cstheme="minorBidi"/>
              <w:noProof/>
              <w:kern w:val="2"/>
              <w:lang w:val="en-IN" w:eastAsia="zh-CN"/>
              <w14:ligatures w14:val="standardContextual"/>
            </w:rPr>
          </w:pPr>
          <w:hyperlink w:anchor="_Toc235788932" w:history="1">
            <w:r w:rsidRPr="000B6B90">
              <w:rPr>
                <w:rStyle w:val="Hyperlink"/>
                <w:rFonts w:cs="Arial"/>
                <w:noProof/>
              </w:rPr>
              <w:t>2. Main Body and Analysis</w:t>
            </w:r>
            <w:r>
              <w:rPr>
                <w:noProof/>
                <w:webHidden/>
              </w:rPr>
              <w:tab/>
            </w:r>
            <w:r>
              <w:rPr>
                <w:noProof/>
                <w:webHidden/>
              </w:rPr>
              <w:fldChar w:fldCharType="begin"/>
            </w:r>
            <w:r>
              <w:rPr>
                <w:noProof/>
                <w:webHidden/>
              </w:rPr>
              <w:instrText xml:space="preserve"> PAGEREF _Toc235788932 \h </w:instrText>
            </w:r>
            <w:r>
              <w:rPr>
                <w:noProof/>
                <w:webHidden/>
              </w:rPr>
            </w:r>
            <w:r>
              <w:rPr>
                <w:noProof/>
                <w:webHidden/>
              </w:rPr>
              <w:fldChar w:fldCharType="separate"/>
            </w:r>
            <w:r>
              <w:rPr>
                <w:noProof/>
                <w:webHidden/>
              </w:rPr>
              <w:t>5</w:t>
            </w:r>
            <w:r>
              <w:rPr>
                <w:noProof/>
                <w:webHidden/>
              </w:rPr>
              <w:fldChar w:fldCharType="end"/>
            </w:r>
          </w:hyperlink>
        </w:p>
        <w:p w14:paraId="3DA96B6F" w14:textId="6D56461E"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33" w:history="1">
            <w:r w:rsidRPr="000B6B90">
              <w:rPr>
                <w:rStyle w:val="Hyperlink"/>
                <w:rFonts w:cs="Arial"/>
                <w:noProof/>
              </w:rPr>
              <w:t>2.1 Identifying the Problem and Setting the System Context</w:t>
            </w:r>
            <w:r>
              <w:rPr>
                <w:noProof/>
                <w:webHidden/>
              </w:rPr>
              <w:tab/>
            </w:r>
            <w:r>
              <w:rPr>
                <w:noProof/>
                <w:webHidden/>
              </w:rPr>
              <w:fldChar w:fldCharType="begin"/>
            </w:r>
            <w:r>
              <w:rPr>
                <w:noProof/>
                <w:webHidden/>
              </w:rPr>
              <w:instrText xml:space="preserve"> PAGEREF _Toc235788933 \h </w:instrText>
            </w:r>
            <w:r>
              <w:rPr>
                <w:noProof/>
                <w:webHidden/>
              </w:rPr>
            </w:r>
            <w:r>
              <w:rPr>
                <w:noProof/>
                <w:webHidden/>
              </w:rPr>
              <w:fldChar w:fldCharType="separate"/>
            </w:r>
            <w:r>
              <w:rPr>
                <w:noProof/>
                <w:webHidden/>
              </w:rPr>
              <w:t>5</w:t>
            </w:r>
            <w:r>
              <w:rPr>
                <w:noProof/>
                <w:webHidden/>
              </w:rPr>
              <w:fldChar w:fldCharType="end"/>
            </w:r>
          </w:hyperlink>
        </w:p>
        <w:p w14:paraId="278B5FBC" w14:textId="493E8368"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4" w:history="1">
            <w:r w:rsidRPr="000B6B90">
              <w:rPr>
                <w:rStyle w:val="Hyperlink"/>
                <w:rFonts w:eastAsia="Arial" w:cs="Arial"/>
                <w:bCs/>
                <w:noProof/>
              </w:rPr>
              <w:t>2.1.1 Description of the Incident</w:t>
            </w:r>
            <w:r>
              <w:rPr>
                <w:noProof/>
                <w:webHidden/>
              </w:rPr>
              <w:tab/>
            </w:r>
            <w:r>
              <w:rPr>
                <w:noProof/>
                <w:webHidden/>
              </w:rPr>
              <w:fldChar w:fldCharType="begin"/>
            </w:r>
            <w:r>
              <w:rPr>
                <w:noProof/>
                <w:webHidden/>
              </w:rPr>
              <w:instrText xml:space="preserve"> PAGEREF _Toc235788934 \h </w:instrText>
            </w:r>
            <w:r>
              <w:rPr>
                <w:noProof/>
                <w:webHidden/>
              </w:rPr>
            </w:r>
            <w:r>
              <w:rPr>
                <w:noProof/>
                <w:webHidden/>
              </w:rPr>
              <w:fldChar w:fldCharType="separate"/>
            </w:r>
            <w:r>
              <w:rPr>
                <w:noProof/>
                <w:webHidden/>
              </w:rPr>
              <w:t>5</w:t>
            </w:r>
            <w:r>
              <w:rPr>
                <w:noProof/>
                <w:webHidden/>
              </w:rPr>
              <w:fldChar w:fldCharType="end"/>
            </w:r>
          </w:hyperlink>
        </w:p>
        <w:p w14:paraId="28E4840B" w14:textId="111286B5"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5" w:history="1">
            <w:r w:rsidRPr="000B6B90">
              <w:rPr>
                <w:rStyle w:val="Hyperlink"/>
                <w:rFonts w:eastAsia="Arial" w:cs="Arial"/>
                <w:bCs/>
                <w:noProof/>
              </w:rPr>
              <w:t>2.1.2 Global Statistics</w:t>
            </w:r>
            <w:r>
              <w:rPr>
                <w:noProof/>
                <w:webHidden/>
              </w:rPr>
              <w:tab/>
            </w:r>
            <w:r>
              <w:rPr>
                <w:noProof/>
                <w:webHidden/>
              </w:rPr>
              <w:fldChar w:fldCharType="begin"/>
            </w:r>
            <w:r>
              <w:rPr>
                <w:noProof/>
                <w:webHidden/>
              </w:rPr>
              <w:instrText xml:space="preserve"> PAGEREF _Toc235788935 \h </w:instrText>
            </w:r>
            <w:r>
              <w:rPr>
                <w:noProof/>
                <w:webHidden/>
              </w:rPr>
            </w:r>
            <w:r>
              <w:rPr>
                <w:noProof/>
                <w:webHidden/>
              </w:rPr>
              <w:fldChar w:fldCharType="separate"/>
            </w:r>
            <w:r>
              <w:rPr>
                <w:noProof/>
                <w:webHidden/>
              </w:rPr>
              <w:t>5</w:t>
            </w:r>
            <w:r>
              <w:rPr>
                <w:noProof/>
                <w:webHidden/>
              </w:rPr>
              <w:fldChar w:fldCharType="end"/>
            </w:r>
          </w:hyperlink>
        </w:p>
        <w:p w14:paraId="61AA5E2E" w14:textId="7052C65D"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6" w:history="1">
            <w:r w:rsidRPr="000B6B90">
              <w:rPr>
                <w:rStyle w:val="Hyperlink"/>
                <w:rFonts w:eastAsia="Arial" w:cs="Arial"/>
                <w:bCs/>
                <w:noProof/>
              </w:rPr>
              <w:t>2.1.3 National Statistics</w:t>
            </w:r>
            <w:r>
              <w:rPr>
                <w:noProof/>
                <w:webHidden/>
              </w:rPr>
              <w:tab/>
            </w:r>
            <w:r>
              <w:rPr>
                <w:noProof/>
                <w:webHidden/>
              </w:rPr>
              <w:fldChar w:fldCharType="begin"/>
            </w:r>
            <w:r>
              <w:rPr>
                <w:noProof/>
                <w:webHidden/>
              </w:rPr>
              <w:instrText xml:space="preserve"> PAGEREF _Toc235788936 \h </w:instrText>
            </w:r>
            <w:r>
              <w:rPr>
                <w:noProof/>
                <w:webHidden/>
              </w:rPr>
            </w:r>
            <w:r>
              <w:rPr>
                <w:noProof/>
                <w:webHidden/>
              </w:rPr>
              <w:fldChar w:fldCharType="separate"/>
            </w:r>
            <w:r>
              <w:rPr>
                <w:noProof/>
                <w:webHidden/>
              </w:rPr>
              <w:t>5</w:t>
            </w:r>
            <w:r>
              <w:rPr>
                <w:noProof/>
                <w:webHidden/>
              </w:rPr>
              <w:fldChar w:fldCharType="end"/>
            </w:r>
          </w:hyperlink>
        </w:p>
        <w:p w14:paraId="5FEBEFCA" w14:textId="760C396B"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7" w:history="1">
            <w:r w:rsidRPr="000B6B90">
              <w:rPr>
                <w:rStyle w:val="Hyperlink"/>
                <w:rFonts w:eastAsia="Arial" w:cs="Arial"/>
                <w:bCs/>
                <w:noProof/>
              </w:rPr>
              <w:t>2.1.4 System Weaknesses</w:t>
            </w:r>
            <w:r>
              <w:rPr>
                <w:noProof/>
                <w:webHidden/>
              </w:rPr>
              <w:tab/>
            </w:r>
            <w:r>
              <w:rPr>
                <w:noProof/>
                <w:webHidden/>
              </w:rPr>
              <w:fldChar w:fldCharType="begin"/>
            </w:r>
            <w:r>
              <w:rPr>
                <w:noProof/>
                <w:webHidden/>
              </w:rPr>
              <w:instrText xml:space="preserve"> PAGEREF _Toc235788937 \h </w:instrText>
            </w:r>
            <w:r>
              <w:rPr>
                <w:noProof/>
                <w:webHidden/>
              </w:rPr>
            </w:r>
            <w:r>
              <w:rPr>
                <w:noProof/>
                <w:webHidden/>
              </w:rPr>
              <w:fldChar w:fldCharType="separate"/>
            </w:r>
            <w:r>
              <w:rPr>
                <w:noProof/>
                <w:webHidden/>
              </w:rPr>
              <w:t>5</w:t>
            </w:r>
            <w:r>
              <w:rPr>
                <w:noProof/>
                <w:webHidden/>
              </w:rPr>
              <w:fldChar w:fldCharType="end"/>
            </w:r>
          </w:hyperlink>
        </w:p>
        <w:p w14:paraId="795AF37E" w14:textId="009CD0DC"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8" w:history="1">
            <w:r w:rsidRPr="000B6B90">
              <w:rPr>
                <w:rStyle w:val="Hyperlink"/>
                <w:rFonts w:cs="Arial"/>
                <w:noProof/>
              </w:rPr>
              <w:t>2.1.5 Governance Context</w:t>
            </w:r>
            <w:r>
              <w:rPr>
                <w:noProof/>
                <w:webHidden/>
              </w:rPr>
              <w:tab/>
            </w:r>
            <w:r>
              <w:rPr>
                <w:noProof/>
                <w:webHidden/>
              </w:rPr>
              <w:fldChar w:fldCharType="begin"/>
            </w:r>
            <w:r>
              <w:rPr>
                <w:noProof/>
                <w:webHidden/>
              </w:rPr>
              <w:instrText xml:space="preserve"> PAGEREF _Toc235788938 \h </w:instrText>
            </w:r>
            <w:r>
              <w:rPr>
                <w:noProof/>
                <w:webHidden/>
              </w:rPr>
            </w:r>
            <w:r>
              <w:rPr>
                <w:noProof/>
                <w:webHidden/>
              </w:rPr>
              <w:fldChar w:fldCharType="separate"/>
            </w:r>
            <w:r>
              <w:rPr>
                <w:noProof/>
                <w:webHidden/>
              </w:rPr>
              <w:t>6</w:t>
            </w:r>
            <w:r>
              <w:rPr>
                <w:noProof/>
                <w:webHidden/>
              </w:rPr>
              <w:fldChar w:fldCharType="end"/>
            </w:r>
          </w:hyperlink>
        </w:p>
        <w:p w14:paraId="313C242E" w14:textId="2FA84D8D"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39" w:history="1">
            <w:r w:rsidRPr="000B6B90">
              <w:rPr>
                <w:rStyle w:val="Hyperlink"/>
                <w:rFonts w:cs="Arial"/>
                <w:noProof/>
              </w:rPr>
              <w:t>2.1.6 Rich Picture</w:t>
            </w:r>
            <w:r>
              <w:rPr>
                <w:noProof/>
                <w:webHidden/>
              </w:rPr>
              <w:tab/>
            </w:r>
            <w:r>
              <w:rPr>
                <w:noProof/>
                <w:webHidden/>
              </w:rPr>
              <w:fldChar w:fldCharType="begin"/>
            </w:r>
            <w:r>
              <w:rPr>
                <w:noProof/>
                <w:webHidden/>
              </w:rPr>
              <w:instrText xml:space="preserve"> PAGEREF _Toc235788939 \h </w:instrText>
            </w:r>
            <w:r>
              <w:rPr>
                <w:noProof/>
                <w:webHidden/>
              </w:rPr>
            </w:r>
            <w:r>
              <w:rPr>
                <w:noProof/>
                <w:webHidden/>
              </w:rPr>
              <w:fldChar w:fldCharType="separate"/>
            </w:r>
            <w:r>
              <w:rPr>
                <w:noProof/>
                <w:webHidden/>
              </w:rPr>
              <w:t>7</w:t>
            </w:r>
            <w:r>
              <w:rPr>
                <w:noProof/>
                <w:webHidden/>
              </w:rPr>
              <w:fldChar w:fldCharType="end"/>
            </w:r>
          </w:hyperlink>
        </w:p>
        <w:p w14:paraId="6B44D8D7" w14:textId="20E78894"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40" w:history="1">
            <w:r w:rsidRPr="000B6B90">
              <w:rPr>
                <w:rStyle w:val="Hyperlink"/>
                <w:rFonts w:cs="Arial"/>
                <w:noProof/>
              </w:rPr>
              <w:t>2.2 Centralisation and Decentralisation within the Infant Morphine Overdose Case</w:t>
            </w:r>
            <w:r>
              <w:rPr>
                <w:noProof/>
                <w:webHidden/>
              </w:rPr>
              <w:tab/>
            </w:r>
            <w:r>
              <w:rPr>
                <w:noProof/>
                <w:webHidden/>
              </w:rPr>
              <w:fldChar w:fldCharType="begin"/>
            </w:r>
            <w:r>
              <w:rPr>
                <w:noProof/>
                <w:webHidden/>
              </w:rPr>
              <w:instrText xml:space="preserve"> PAGEREF _Toc235788940 \h </w:instrText>
            </w:r>
            <w:r>
              <w:rPr>
                <w:noProof/>
                <w:webHidden/>
              </w:rPr>
            </w:r>
            <w:r>
              <w:rPr>
                <w:noProof/>
                <w:webHidden/>
              </w:rPr>
              <w:fldChar w:fldCharType="separate"/>
            </w:r>
            <w:r>
              <w:rPr>
                <w:noProof/>
                <w:webHidden/>
              </w:rPr>
              <w:t>8</w:t>
            </w:r>
            <w:r>
              <w:rPr>
                <w:noProof/>
                <w:webHidden/>
              </w:rPr>
              <w:fldChar w:fldCharType="end"/>
            </w:r>
          </w:hyperlink>
        </w:p>
        <w:p w14:paraId="4B3FB208" w14:textId="61C3FC69"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1" w:history="1">
            <w:r w:rsidRPr="000B6B90">
              <w:rPr>
                <w:rStyle w:val="Hyperlink"/>
                <w:rFonts w:cs="Arial"/>
                <w:noProof/>
              </w:rPr>
              <w:t>2.2.1 Introduction to Centralisation and Decentralisation</w:t>
            </w:r>
            <w:r>
              <w:rPr>
                <w:noProof/>
                <w:webHidden/>
              </w:rPr>
              <w:tab/>
            </w:r>
            <w:r>
              <w:rPr>
                <w:noProof/>
                <w:webHidden/>
              </w:rPr>
              <w:fldChar w:fldCharType="begin"/>
            </w:r>
            <w:r>
              <w:rPr>
                <w:noProof/>
                <w:webHidden/>
              </w:rPr>
              <w:instrText xml:space="preserve"> PAGEREF _Toc235788941 \h </w:instrText>
            </w:r>
            <w:r>
              <w:rPr>
                <w:noProof/>
                <w:webHidden/>
              </w:rPr>
            </w:r>
            <w:r>
              <w:rPr>
                <w:noProof/>
                <w:webHidden/>
              </w:rPr>
              <w:fldChar w:fldCharType="separate"/>
            </w:r>
            <w:r>
              <w:rPr>
                <w:noProof/>
                <w:webHidden/>
              </w:rPr>
              <w:t>8</w:t>
            </w:r>
            <w:r>
              <w:rPr>
                <w:noProof/>
                <w:webHidden/>
              </w:rPr>
              <w:fldChar w:fldCharType="end"/>
            </w:r>
          </w:hyperlink>
        </w:p>
        <w:p w14:paraId="659DB58B" w14:textId="2AB69130"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2" w:history="1">
            <w:r w:rsidRPr="000B6B90">
              <w:rPr>
                <w:rStyle w:val="Hyperlink"/>
                <w:rFonts w:cs="Arial"/>
                <w:noProof/>
              </w:rPr>
              <w:t>2.2.2 Centralisation in the Infant Morphine Overdose Case</w:t>
            </w:r>
            <w:r>
              <w:rPr>
                <w:noProof/>
                <w:webHidden/>
              </w:rPr>
              <w:tab/>
            </w:r>
            <w:r>
              <w:rPr>
                <w:noProof/>
                <w:webHidden/>
              </w:rPr>
              <w:fldChar w:fldCharType="begin"/>
            </w:r>
            <w:r>
              <w:rPr>
                <w:noProof/>
                <w:webHidden/>
              </w:rPr>
              <w:instrText xml:space="preserve"> PAGEREF _Toc235788942 \h </w:instrText>
            </w:r>
            <w:r>
              <w:rPr>
                <w:noProof/>
                <w:webHidden/>
              </w:rPr>
            </w:r>
            <w:r>
              <w:rPr>
                <w:noProof/>
                <w:webHidden/>
              </w:rPr>
              <w:fldChar w:fldCharType="separate"/>
            </w:r>
            <w:r>
              <w:rPr>
                <w:noProof/>
                <w:webHidden/>
              </w:rPr>
              <w:t>8</w:t>
            </w:r>
            <w:r>
              <w:rPr>
                <w:noProof/>
                <w:webHidden/>
              </w:rPr>
              <w:fldChar w:fldCharType="end"/>
            </w:r>
          </w:hyperlink>
        </w:p>
        <w:p w14:paraId="6E4A9120" w14:textId="67644724"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3" w:history="1">
            <w:r w:rsidRPr="000B6B90">
              <w:rPr>
                <w:rStyle w:val="Hyperlink"/>
                <w:rFonts w:cs="Arial"/>
                <w:noProof/>
              </w:rPr>
              <w:t>2.2.3 Decentralisation in the Infant Morphine Overdose Case</w:t>
            </w:r>
            <w:r>
              <w:rPr>
                <w:noProof/>
                <w:webHidden/>
              </w:rPr>
              <w:tab/>
            </w:r>
            <w:r>
              <w:rPr>
                <w:noProof/>
                <w:webHidden/>
              </w:rPr>
              <w:fldChar w:fldCharType="begin"/>
            </w:r>
            <w:r>
              <w:rPr>
                <w:noProof/>
                <w:webHidden/>
              </w:rPr>
              <w:instrText xml:space="preserve"> PAGEREF _Toc235788943 \h </w:instrText>
            </w:r>
            <w:r>
              <w:rPr>
                <w:noProof/>
                <w:webHidden/>
              </w:rPr>
            </w:r>
            <w:r>
              <w:rPr>
                <w:noProof/>
                <w:webHidden/>
              </w:rPr>
              <w:fldChar w:fldCharType="separate"/>
            </w:r>
            <w:r>
              <w:rPr>
                <w:noProof/>
                <w:webHidden/>
              </w:rPr>
              <w:t>9</w:t>
            </w:r>
            <w:r>
              <w:rPr>
                <w:noProof/>
                <w:webHidden/>
              </w:rPr>
              <w:fldChar w:fldCharType="end"/>
            </w:r>
          </w:hyperlink>
        </w:p>
        <w:p w14:paraId="3DAE6D97" w14:textId="5A55928D"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4" w:history="1">
            <w:r w:rsidRPr="000B6B90">
              <w:rPr>
                <w:rStyle w:val="Hyperlink"/>
                <w:rFonts w:cs="Arial"/>
                <w:noProof/>
              </w:rPr>
              <w:t>2.2.4 Critical Comparison and Evaluation</w:t>
            </w:r>
            <w:r>
              <w:rPr>
                <w:noProof/>
                <w:webHidden/>
              </w:rPr>
              <w:tab/>
            </w:r>
            <w:r>
              <w:rPr>
                <w:noProof/>
                <w:webHidden/>
              </w:rPr>
              <w:fldChar w:fldCharType="begin"/>
            </w:r>
            <w:r>
              <w:rPr>
                <w:noProof/>
                <w:webHidden/>
              </w:rPr>
              <w:instrText xml:space="preserve"> PAGEREF _Toc235788944 \h </w:instrText>
            </w:r>
            <w:r>
              <w:rPr>
                <w:noProof/>
                <w:webHidden/>
              </w:rPr>
            </w:r>
            <w:r>
              <w:rPr>
                <w:noProof/>
                <w:webHidden/>
              </w:rPr>
              <w:fldChar w:fldCharType="separate"/>
            </w:r>
            <w:r>
              <w:rPr>
                <w:noProof/>
                <w:webHidden/>
              </w:rPr>
              <w:t>9</w:t>
            </w:r>
            <w:r>
              <w:rPr>
                <w:noProof/>
                <w:webHidden/>
              </w:rPr>
              <w:fldChar w:fldCharType="end"/>
            </w:r>
          </w:hyperlink>
        </w:p>
        <w:p w14:paraId="67AF0229" w14:textId="0CF02277"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45" w:history="1">
            <w:r w:rsidRPr="000B6B90">
              <w:rPr>
                <w:rStyle w:val="Hyperlink"/>
                <w:rFonts w:cs="Arial"/>
                <w:noProof/>
              </w:rPr>
              <w:t>2.3 Leadership Theory Application</w:t>
            </w:r>
            <w:r>
              <w:rPr>
                <w:noProof/>
                <w:webHidden/>
              </w:rPr>
              <w:tab/>
            </w:r>
            <w:r>
              <w:rPr>
                <w:noProof/>
                <w:webHidden/>
              </w:rPr>
              <w:fldChar w:fldCharType="begin"/>
            </w:r>
            <w:r>
              <w:rPr>
                <w:noProof/>
                <w:webHidden/>
              </w:rPr>
              <w:instrText xml:space="preserve"> PAGEREF _Toc235788945 \h </w:instrText>
            </w:r>
            <w:r>
              <w:rPr>
                <w:noProof/>
                <w:webHidden/>
              </w:rPr>
            </w:r>
            <w:r>
              <w:rPr>
                <w:noProof/>
                <w:webHidden/>
              </w:rPr>
              <w:fldChar w:fldCharType="separate"/>
            </w:r>
            <w:r>
              <w:rPr>
                <w:noProof/>
                <w:webHidden/>
              </w:rPr>
              <w:t>11</w:t>
            </w:r>
            <w:r>
              <w:rPr>
                <w:noProof/>
                <w:webHidden/>
              </w:rPr>
              <w:fldChar w:fldCharType="end"/>
            </w:r>
          </w:hyperlink>
        </w:p>
        <w:p w14:paraId="3FF2C399" w14:textId="4F69F086"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6" w:history="1">
            <w:r w:rsidRPr="000B6B90">
              <w:rPr>
                <w:rStyle w:val="Hyperlink"/>
                <w:rFonts w:cs="Arial"/>
                <w:noProof/>
              </w:rPr>
              <w:t>2.3.1 Transformational Leadership</w:t>
            </w:r>
            <w:r>
              <w:rPr>
                <w:noProof/>
                <w:webHidden/>
              </w:rPr>
              <w:tab/>
            </w:r>
            <w:r>
              <w:rPr>
                <w:noProof/>
                <w:webHidden/>
              </w:rPr>
              <w:fldChar w:fldCharType="begin"/>
            </w:r>
            <w:r>
              <w:rPr>
                <w:noProof/>
                <w:webHidden/>
              </w:rPr>
              <w:instrText xml:space="preserve"> PAGEREF _Toc235788946 \h </w:instrText>
            </w:r>
            <w:r>
              <w:rPr>
                <w:noProof/>
                <w:webHidden/>
              </w:rPr>
            </w:r>
            <w:r>
              <w:rPr>
                <w:noProof/>
                <w:webHidden/>
              </w:rPr>
              <w:fldChar w:fldCharType="separate"/>
            </w:r>
            <w:r>
              <w:rPr>
                <w:noProof/>
                <w:webHidden/>
              </w:rPr>
              <w:t>11</w:t>
            </w:r>
            <w:r>
              <w:rPr>
                <w:noProof/>
                <w:webHidden/>
              </w:rPr>
              <w:fldChar w:fldCharType="end"/>
            </w:r>
          </w:hyperlink>
        </w:p>
        <w:p w14:paraId="5F46A337" w14:textId="7D82FB0C"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7" w:history="1">
            <w:r w:rsidRPr="000B6B90">
              <w:rPr>
                <w:rStyle w:val="Hyperlink"/>
                <w:rFonts w:cs="Arial"/>
                <w:noProof/>
              </w:rPr>
              <w:t>2.3.2 Transactional Leadership</w:t>
            </w:r>
            <w:r>
              <w:rPr>
                <w:noProof/>
                <w:webHidden/>
              </w:rPr>
              <w:tab/>
            </w:r>
            <w:r>
              <w:rPr>
                <w:noProof/>
                <w:webHidden/>
              </w:rPr>
              <w:fldChar w:fldCharType="begin"/>
            </w:r>
            <w:r>
              <w:rPr>
                <w:noProof/>
                <w:webHidden/>
              </w:rPr>
              <w:instrText xml:space="preserve"> PAGEREF _Toc235788947 \h </w:instrText>
            </w:r>
            <w:r>
              <w:rPr>
                <w:noProof/>
                <w:webHidden/>
              </w:rPr>
            </w:r>
            <w:r>
              <w:rPr>
                <w:noProof/>
                <w:webHidden/>
              </w:rPr>
              <w:fldChar w:fldCharType="separate"/>
            </w:r>
            <w:r>
              <w:rPr>
                <w:noProof/>
                <w:webHidden/>
              </w:rPr>
              <w:t>12</w:t>
            </w:r>
            <w:r>
              <w:rPr>
                <w:noProof/>
                <w:webHidden/>
              </w:rPr>
              <w:fldChar w:fldCharType="end"/>
            </w:r>
          </w:hyperlink>
        </w:p>
        <w:p w14:paraId="33F05EA1" w14:textId="27CDBF98"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8" w:history="1">
            <w:r w:rsidRPr="000B6B90">
              <w:rPr>
                <w:rStyle w:val="Hyperlink"/>
                <w:rFonts w:cs="Arial"/>
                <w:noProof/>
              </w:rPr>
              <w:t>2.3.3 Situational Leadership</w:t>
            </w:r>
            <w:r>
              <w:rPr>
                <w:noProof/>
                <w:webHidden/>
              </w:rPr>
              <w:tab/>
            </w:r>
            <w:r>
              <w:rPr>
                <w:noProof/>
                <w:webHidden/>
              </w:rPr>
              <w:fldChar w:fldCharType="begin"/>
            </w:r>
            <w:r>
              <w:rPr>
                <w:noProof/>
                <w:webHidden/>
              </w:rPr>
              <w:instrText xml:space="preserve"> PAGEREF _Toc235788948 \h </w:instrText>
            </w:r>
            <w:r>
              <w:rPr>
                <w:noProof/>
                <w:webHidden/>
              </w:rPr>
            </w:r>
            <w:r>
              <w:rPr>
                <w:noProof/>
                <w:webHidden/>
              </w:rPr>
              <w:fldChar w:fldCharType="separate"/>
            </w:r>
            <w:r>
              <w:rPr>
                <w:noProof/>
                <w:webHidden/>
              </w:rPr>
              <w:t>13</w:t>
            </w:r>
            <w:r>
              <w:rPr>
                <w:noProof/>
                <w:webHidden/>
              </w:rPr>
              <w:fldChar w:fldCharType="end"/>
            </w:r>
          </w:hyperlink>
        </w:p>
        <w:p w14:paraId="276B24AD" w14:textId="64A610F6"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49" w:history="1">
            <w:r w:rsidRPr="000B6B90">
              <w:rPr>
                <w:rStyle w:val="Hyperlink"/>
                <w:rFonts w:cs="Arial"/>
                <w:noProof/>
              </w:rPr>
              <w:t>2.3.4 Distributed Leadership</w:t>
            </w:r>
            <w:r>
              <w:rPr>
                <w:noProof/>
                <w:webHidden/>
              </w:rPr>
              <w:tab/>
            </w:r>
            <w:r>
              <w:rPr>
                <w:noProof/>
                <w:webHidden/>
              </w:rPr>
              <w:fldChar w:fldCharType="begin"/>
            </w:r>
            <w:r>
              <w:rPr>
                <w:noProof/>
                <w:webHidden/>
              </w:rPr>
              <w:instrText xml:space="preserve"> PAGEREF _Toc235788949 \h </w:instrText>
            </w:r>
            <w:r>
              <w:rPr>
                <w:noProof/>
                <w:webHidden/>
              </w:rPr>
            </w:r>
            <w:r>
              <w:rPr>
                <w:noProof/>
                <w:webHidden/>
              </w:rPr>
              <w:fldChar w:fldCharType="separate"/>
            </w:r>
            <w:r>
              <w:rPr>
                <w:noProof/>
                <w:webHidden/>
              </w:rPr>
              <w:t>13</w:t>
            </w:r>
            <w:r>
              <w:rPr>
                <w:noProof/>
                <w:webHidden/>
              </w:rPr>
              <w:fldChar w:fldCharType="end"/>
            </w:r>
          </w:hyperlink>
        </w:p>
        <w:p w14:paraId="546AC0B0" w14:textId="6FD3D327"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50" w:history="1">
            <w:r w:rsidRPr="000B6B90">
              <w:rPr>
                <w:rStyle w:val="Hyperlink"/>
                <w:rFonts w:cs="Arial"/>
                <w:noProof/>
              </w:rPr>
              <w:t>2.4 Critique, Improvements and Lessons Learned</w:t>
            </w:r>
            <w:r>
              <w:rPr>
                <w:noProof/>
                <w:webHidden/>
              </w:rPr>
              <w:tab/>
            </w:r>
            <w:r>
              <w:rPr>
                <w:noProof/>
                <w:webHidden/>
              </w:rPr>
              <w:fldChar w:fldCharType="begin"/>
            </w:r>
            <w:r>
              <w:rPr>
                <w:noProof/>
                <w:webHidden/>
              </w:rPr>
              <w:instrText xml:space="preserve"> PAGEREF _Toc235788950 \h </w:instrText>
            </w:r>
            <w:r>
              <w:rPr>
                <w:noProof/>
                <w:webHidden/>
              </w:rPr>
            </w:r>
            <w:r>
              <w:rPr>
                <w:noProof/>
                <w:webHidden/>
              </w:rPr>
              <w:fldChar w:fldCharType="separate"/>
            </w:r>
            <w:r>
              <w:rPr>
                <w:noProof/>
                <w:webHidden/>
              </w:rPr>
              <w:t>15</w:t>
            </w:r>
            <w:r>
              <w:rPr>
                <w:noProof/>
                <w:webHidden/>
              </w:rPr>
              <w:fldChar w:fldCharType="end"/>
            </w:r>
          </w:hyperlink>
        </w:p>
        <w:p w14:paraId="1E6EF07D" w14:textId="58AE219B"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51" w:history="1">
            <w:r w:rsidRPr="000B6B90">
              <w:rPr>
                <w:rStyle w:val="Hyperlink"/>
                <w:rFonts w:cs="Arial"/>
                <w:noProof/>
              </w:rPr>
              <w:t>2.4.1 Poor Communication</w:t>
            </w:r>
            <w:r>
              <w:rPr>
                <w:noProof/>
                <w:webHidden/>
              </w:rPr>
              <w:tab/>
            </w:r>
            <w:r>
              <w:rPr>
                <w:noProof/>
                <w:webHidden/>
              </w:rPr>
              <w:fldChar w:fldCharType="begin"/>
            </w:r>
            <w:r>
              <w:rPr>
                <w:noProof/>
                <w:webHidden/>
              </w:rPr>
              <w:instrText xml:space="preserve"> PAGEREF _Toc235788951 \h </w:instrText>
            </w:r>
            <w:r>
              <w:rPr>
                <w:noProof/>
                <w:webHidden/>
              </w:rPr>
            </w:r>
            <w:r>
              <w:rPr>
                <w:noProof/>
                <w:webHidden/>
              </w:rPr>
              <w:fldChar w:fldCharType="separate"/>
            </w:r>
            <w:r>
              <w:rPr>
                <w:noProof/>
                <w:webHidden/>
              </w:rPr>
              <w:t>15</w:t>
            </w:r>
            <w:r>
              <w:rPr>
                <w:noProof/>
                <w:webHidden/>
              </w:rPr>
              <w:fldChar w:fldCharType="end"/>
            </w:r>
          </w:hyperlink>
        </w:p>
        <w:p w14:paraId="210CA901" w14:textId="23DB26B5"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52" w:history="1">
            <w:r w:rsidRPr="000B6B90">
              <w:rPr>
                <w:rStyle w:val="Hyperlink"/>
                <w:rFonts w:cs="Arial"/>
                <w:noProof/>
              </w:rPr>
              <w:t>2.4.2 Weak Governance</w:t>
            </w:r>
            <w:r>
              <w:rPr>
                <w:noProof/>
                <w:webHidden/>
              </w:rPr>
              <w:tab/>
            </w:r>
            <w:r>
              <w:rPr>
                <w:noProof/>
                <w:webHidden/>
              </w:rPr>
              <w:fldChar w:fldCharType="begin"/>
            </w:r>
            <w:r>
              <w:rPr>
                <w:noProof/>
                <w:webHidden/>
              </w:rPr>
              <w:instrText xml:space="preserve"> PAGEREF _Toc235788952 \h </w:instrText>
            </w:r>
            <w:r>
              <w:rPr>
                <w:noProof/>
                <w:webHidden/>
              </w:rPr>
            </w:r>
            <w:r>
              <w:rPr>
                <w:noProof/>
                <w:webHidden/>
              </w:rPr>
              <w:fldChar w:fldCharType="separate"/>
            </w:r>
            <w:r>
              <w:rPr>
                <w:noProof/>
                <w:webHidden/>
              </w:rPr>
              <w:t>15</w:t>
            </w:r>
            <w:r>
              <w:rPr>
                <w:noProof/>
                <w:webHidden/>
              </w:rPr>
              <w:fldChar w:fldCharType="end"/>
            </w:r>
          </w:hyperlink>
        </w:p>
        <w:p w14:paraId="7DBC4AAD" w14:textId="2FAA72D6"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53" w:history="1">
            <w:r w:rsidRPr="000B6B90">
              <w:rPr>
                <w:rStyle w:val="Hyperlink"/>
                <w:rFonts w:cs="Arial"/>
                <w:noProof/>
              </w:rPr>
              <w:t>2.4.3 Inadequate Parent Education</w:t>
            </w:r>
            <w:r>
              <w:rPr>
                <w:noProof/>
                <w:webHidden/>
              </w:rPr>
              <w:tab/>
            </w:r>
            <w:r>
              <w:rPr>
                <w:noProof/>
                <w:webHidden/>
              </w:rPr>
              <w:fldChar w:fldCharType="begin"/>
            </w:r>
            <w:r>
              <w:rPr>
                <w:noProof/>
                <w:webHidden/>
              </w:rPr>
              <w:instrText xml:space="preserve"> PAGEREF _Toc235788953 \h </w:instrText>
            </w:r>
            <w:r>
              <w:rPr>
                <w:noProof/>
                <w:webHidden/>
              </w:rPr>
            </w:r>
            <w:r>
              <w:rPr>
                <w:noProof/>
                <w:webHidden/>
              </w:rPr>
              <w:fldChar w:fldCharType="separate"/>
            </w:r>
            <w:r>
              <w:rPr>
                <w:noProof/>
                <w:webHidden/>
              </w:rPr>
              <w:t>16</w:t>
            </w:r>
            <w:r>
              <w:rPr>
                <w:noProof/>
                <w:webHidden/>
              </w:rPr>
              <w:fldChar w:fldCharType="end"/>
            </w:r>
          </w:hyperlink>
        </w:p>
        <w:p w14:paraId="3B89BB58" w14:textId="763A27F6" w:rsidR="00BE0028" w:rsidRDefault="00BE0028">
          <w:pPr>
            <w:pStyle w:val="TOC3"/>
            <w:tabs>
              <w:tab w:val="right" w:leader="dot" w:pos="9016"/>
            </w:tabs>
            <w:rPr>
              <w:rFonts w:asciiTheme="minorHAnsi" w:eastAsiaTheme="minorEastAsia" w:hAnsiTheme="minorHAnsi" w:cstheme="minorBidi"/>
              <w:noProof/>
              <w:kern w:val="2"/>
              <w:lang w:val="en-IN" w:eastAsia="zh-CN"/>
              <w14:ligatures w14:val="standardContextual"/>
            </w:rPr>
          </w:pPr>
          <w:hyperlink w:anchor="_Toc235788954" w:history="1">
            <w:r w:rsidRPr="000B6B90">
              <w:rPr>
                <w:rStyle w:val="Hyperlink"/>
                <w:rFonts w:cs="Arial"/>
                <w:noProof/>
              </w:rPr>
              <w:t>2.4.4 Knowledge Gaps and Organisational Learning</w:t>
            </w:r>
            <w:r>
              <w:rPr>
                <w:noProof/>
                <w:webHidden/>
              </w:rPr>
              <w:tab/>
            </w:r>
            <w:r>
              <w:rPr>
                <w:noProof/>
                <w:webHidden/>
              </w:rPr>
              <w:fldChar w:fldCharType="begin"/>
            </w:r>
            <w:r>
              <w:rPr>
                <w:noProof/>
                <w:webHidden/>
              </w:rPr>
              <w:instrText xml:space="preserve"> PAGEREF _Toc235788954 \h </w:instrText>
            </w:r>
            <w:r>
              <w:rPr>
                <w:noProof/>
                <w:webHidden/>
              </w:rPr>
            </w:r>
            <w:r>
              <w:rPr>
                <w:noProof/>
                <w:webHidden/>
              </w:rPr>
              <w:fldChar w:fldCharType="separate"/>
            </w:r>
            <w:r>
              <w:rPr>
                <w:noProof/>
                <w:webHidden/>
              </w:rPr>
              <w:t>16</w:t>
            </w:r>
            <w:r>
              <w:rPr>
                <w:noProof/>
                <w:webHidden/>
              </w:rPr>
              <w:fldChar w:fldCharType="end"/>
            </w:r>
          </w:hyperlink>
        </w:p>
        <w:p w14:paraId="2DE4F969" w14:textId="3E3F7DB0" w:rsidR="00BE0028" w:rsidRDefault="00BE0028">
          <w:pPr>
            <w:pStyle w:val="TOC1"/>
            <w:tabs>
              <w:tab w:val="right" w:leader="dot" w:pos="9016"/>
            </w:tabs>
            <w:rPr>
              <w:rFonts w:asciiTheme="minorHAnsi" w:eastAsiaTheme="minorEastAsia" w:hAnsiTheme="minorHAnsi" w:cstheme="minorBidi"/>
              <w:noProof/>
              <w:kern w:val="2"/>
              <w:lang w:val="en-IN" w:eastAsia="zh-CN"/>
              <w14:ligatures w14:val="standardContextual"/>
            </w:rPr>
          </w:pPr>
          <w:hyperlink w:anchor="_Toc235788955" w:history="1">
            <w:r w:rsidRPr="000B6B90">
              <w:rPr>
                <w:rStyle w:val="Hyperlink"/>
                <w:rFonts w:cs="Arial"/>
                <w:noProof/>
              </w:rPr>
              <w:t>3. Recommendations</w:t>
            </w:r>
            <w:r>
              <w:rPr>
                <w:noProof/>
                <w:webHidden/>
              </w:rPr>
              <w:tab/>
            </w:r>
            <w:r>
              <w:rPr>
                <w:noProof/>
                <w:webHidden/>
              </w:rPr>
              <w:fldChar w:fldCharType="begin"/>
            </w:r>
            <w:r>
              <w:rPr>
                <w:noProof/>
                <w:webHidden/>
              </w:rPr>
              <w:instrText xml:space="preserve"> PAGEREF _Toc235788955 \h </w:instrText>
            </w:r>
            <w:r>
              <w:rPr>
                <w:noProof/>
                <w:webHidden/>
              </w:rPr>
            </w:r>
            <w:r>
              <w:rPr>
                <w:noProof/>
                <w:webHidden/>
              </w:rPr>
              <w:fldChar w:fldCharType="separate"/>
            </w:r>
            <w:r>
              <w:rPr>
                <w:noProof/>
                <w:webHidden/>
              </w:rPr>
              <w:t>17</w:t>
            </w:r>
            <w:r>
              <w:rPr>
                <w:noProof/>
                <w:webHidden/>
              </w:rPr>
              <w:fldChar w:fldCharType="end"/>
            </w:r>
          </w:hyperlink>
        </w:p>
        <w:p w14:paraId="4440EDD6" w14:textId="49E641CA"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56" w:history="1">
            <w:r w:rsidRPr="000B6B90">
              <w:rPr>
                <w:rStyle w:val="Hyperlink"/>
                <w:rFonts w:cs="Arial"/>
                <w:noProof/>
              </w:rPr>
              <w:t>3.1 Leadership</w:t>
            </w:r>
            <w:r>
              <w:rPr>
                <w:noProof/>
                <w:webHidden/>
              </w:rPr>
              <w:tab/>
            </w:r>
            <w:r>
              <w:rPr>
                <w:noProof/>
                <w:webHidden/>
              </w:rPr>
              <w:fldChar w:fldCharType="begin"/>
            </w:r>
            <w:r>
              <w:rPr>
                <w:noProof/>
                <w:webHidden/>
              </w:rPr>
              <w:instrText xml:space="preserve"> PAGEREF _Toc235788956 \h </w:instrText>
            </w:r>
            <w:r>
              <w:rPr>
                <w:noProof/>
                <w:webHidden/>
              </w:rPr>
            </w:r>
            <w:r>
              <w:rPr>
                <w:noProof/>
                <w:webHidden/>
              </w:rPr>
              <w:fldChar w:fldCharType="separate"/>
            </w:r>
            <w:r>
              <w:rPr>
                <w:noProof/>
                <w:webHidden/>
              </w:rPr>
              <w:t>17</w:t>
            </w:r>
            <w:r>
              <w:rPr>
                <w:noProof/>
                <w:webHidden/>
              </w:rPr>
              <w:fldChar w:fldCharType="end"/>
            </w:r>
          </w:hyperlink>
        </w:p>
        <w:p w14:paraId="09F10988" w14:textId="61A71952"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57" w:history="1">
            <w:r w:rsidRPr="000B6B90">
              <w:rPr>
                <w:rStyle w:val="Hyperlink"/>
                <w:rFonts w:cs="Arial"/>
                <w:noProof/>
              </w:rPr>
              <w:t>3.2 Governance</w:t>
            </w:r>
            <w:r>
              <w:rPr>
                <w:noProof/>
                <w:webHidden/>
              </w:rPr>
              <w:tab/>
            </w:r>
            <w:r>
              <w:rPr>
                <w:noProof/>
                <w:webHidden/>
              </w:rPr>
              <w:fldChar w:fldCharType="begin"/>
            </w:r>
            <w:r>
              <w:rPr>
                <w:noProof/>
                <w:webHidden/>
              </w:rPr>
              <w:instrText xml:space="preserve"> PAGEREF _Toc235788957 \h </w:instrText>
            </w:r>
            <w:r>
              <w:rPr>
                <w:noProof/>
                <w:webHidden/>
              </w:rPr>
            </w:r>
            <w:r>
              <w:rPr>
                <w:noProof/>
                <w:webHidden/>
              </w:rPr>
              <w:fldChar w:fldCharType="separate"/>
            </w:r>
            <w:r>
              <w:rPr>
                <w:noProof/>
                <w:webHidden/>
              </w:rPr>
              <w:t>17</w:t>
            </w:r>
            <w:r>
              <w:rPr>
                <w:noProof/>
                <w:webHidden/>
              </w:rPr>
              <w:fldChar w:fldCharType="end"/>
            </w:r>
          </w:hyperlink>
        </w:p>
        <w:p w14:paraId="7F075143" w14:textId="5F796626"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58" w:history="1">
            <w:r w:rsidRPr="000B6B90">
              <w:rPr>
                <w:rStyle w:val="Hyperlink"/>
                <w:rFonts w:cs="Arial"/>
                <w:noProof/>
              </w:rPr>
              <w:t>3.3 Communication</w:t>
            </w:r>
            <w:r>
              <w:rPr>
                <w:noProof/>
                <w:webHidden/>
              </w:rPr>
              <w:tab/>
            </w:r>
            <w:r>
              <w:rPr>
                <w:noProof/>
                <w:webHidden/>
              </w:rPr>
              <w:fldChar w:fldCharType="begin"/>
            </w:r>
            <w:r>
              <w:rPr>
                <w:noProof/>
                <w:webHidden/>
              </w:rPr>
              <w:instrText xml:space="preserve"> PAGEREF _Toc235788958 \h </w:instrText>
            </w:r>
            <w:r>
              <w:rPr>
                <w:noProof/>
                <w:webHidden/>
              </w:rPr>
            </w:r>
            <w:r>
              <w:rPr>
                <w:noProof/>
                <w:webHidden/>
              </w:rPr>
              <w:fldChar w:fldCharType="separate"/>
            </w:r>
            <w:r>
              <w:rPr>
                <w:noProof/>
                <w:webHidden/>
              </w:rPr>
              <w:t>18</w:t>
            </w:r>
            <w:r>
              <w:rPr>
                <w:noProof/>
                <w:webHidden/>
              </w:rPr>
              <w:fldChar w:fldCharType="end"/>
            </w:r>
          </w:hyperlink>
        </w:p>
        <w:p w14:paraId="56C573A5" w14:textId="65EBD507"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59" w:history="1">
            <w:r w:rsidRPr="000B6B90">
              <w:rPr>
                <w:rStyle w:val="Hyperlink"/>
                <w:rFonts w:cs="Arial"/>
                <w:noProof/>
              </w:rPr>
              <w:t>3.4 Technical and Allocative Efficiency</w:t>
            </w:r>
            <w:r>
              <w:rPr>
                <w:noProof/>
                <w:webHidden/>
              </w:rPr>
              <w:tab/>
            </w:r>
            <w:r>
              <w:rPr>
                <w:noProof/>
                <w:webHidden/>
              </w:rPr>
              <w:fldChar w:fldCharType="begin"/>
            </w:r>
            <w:r>
              <w:rPr>
                <w:noProof/>
                <w:webHidden/>
              </w:rPr>
              <w:instrText xml:space="preserve"> PAGEREF _Toc235788959 \h </w:instrText>
            </w:r>
            <w:r>
              <w:rPr>
                <w:noProof/>
                <w:webHidden/>
              </w:rPr>
            </w:r>
            <w:r>
              <w:rPr>
                <w:noProof/>
                <w:webHidden/>
              </w:rPr>
              <w:fldChar w:fldCharType="separate"/>
            </w:r>
            <w:r>
              <w:rPr>
                <w:noProof/>
                <w:webHidden/>
              </w:rPr>
              <w:t>18</w:t>
            </w:r>
            <w:r>
              <w:rPr>
                <w:noProof/>
                <w:webHidden/>
              </w:rPr>
              <w:fldChar w:fldCharType="end"/>
            </w:r>
          </w:hyperlink>
        </w:p>
        <w:p w14:paraId="6FF267F7" w14:textId="113DB829"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60" w:history="1">
            <w:r w:rsidRPr="000B6B90">
              <w:rPr>
                <w:rStyle w:val="Hyperlink"/>
                <w:rFonts w:cs="Arial"/>
                <w:noProof/>
              </w:rPr>
              <w:t>3.5 Continuous Learning and Stakeholder Engagement</w:t>
            </w:r>
            <w:r>
              <w:rPr>
                <w:noProof/>
                <w:webHidden/>
              </w:rPr>
              <w:tab/>
            </w:r>
            <w:r>
              <w:rPr>
                <w:noProof/>
                <w:webHidden/>
              </w:rPr>
              <w:fldChar w:fldCharType="begin"/>
            </w:r>
            <w:r>
              <w:rPr>
                <w:noProof/>
                <w:webHidden/>
              </w:rPr>
              <w:instrText xml:space="preserve"> PAGEREF _Toc235788960 \h </w:instrText>
            </w:r>
            <w:r>
              <w:rPr>
                <w:noProof/>
                <w:webHidden/>
              </w:rPr>
            </w:r>
            <w:r>
              <w:rPr>
                <w:noProof/>
                <w:webHidden/>
              </w:rPr>
              <w:fldChar w:fldCharType="separate"/>
            </w:r>
            <w:r>
              <w:rPr>
                <w:noProof/>
                <w:webHidden/>
              </w:rPr>
              <w:t>18</w:t>
            </w:r>
            <w:r>
              <w:rPr>
                <w:noProof/>
                <w:webHidden/>
              </w:rPr>
              <w:fldChar w:fldCharType="end"/>
            </w:r>
          </w:hyperlink>
        </w:p>
        <w:p w14:paraId="418B6591" w14:textId="1D93723B" w:rsidR="00BE0028" w:rsidRDefault="00BE0028">
          <w:pPr>
            <w:pStyle w:val="TOC1"/>
            <w:tabs>
              <w:tab w:val="right" w:leader="dot" w:pos="9016"/>
            </w:tabs>
            <w:rPr>
              <w:rFonts w:asciiTheme="minorHAnsi" w:eastAsiaTheme="minorEastAsia" w:hAnsiTheme="minorHAnsi" w:cstheme="minorBidi"/>
              <w:noProof/>
              <w:kern w:val="2"/>
              <w:lang w:val="en-IN" w:eastAsia="zh-CN"/>
              <w14:ligatures w14:val="standardContextual"/>
            </w:rPr>
          </w:pPr>
          <w:hyperlink w:anchor="_Toc235788961" w:history="1">
            <w:r w:rsidRPr="000B6B90">
              <w:rPr>
                <w:rStyle w:val="Hyperlink"/>
                <w:rFonts w:cs="Arial"/>
                <w:noProof/>
              </w:rPr>
              <w:t>4. Conclusion</w:t>
            </w:r>
            <w:r>
              <w:rPr>
                <w:noProof/>
                <w:webHidden/>
              </w:rPr>
              <w:tab/>
            </w:r>
            <w:r>
              <w:rPr>
                <w:noProof/>
                <w:webHidden/>
              </w:rPr>
              <w:fldChar w:fldCharType="begin"/>
            </w:r>
            <w:r>
              <w:rPr>
                <w:noProof/>
                <w:webHidden/>
              </w:rPr>
              <w:instrText xml:space="preserve"> PAGEREF _Toc235788961 \h </w:instrText>
            </w:r>
            <w:r>
              <w:rPr>
                <w:noProof/>
                <w:webHidden/>
              </w:rPr>
            </w:r>
            <w:r>
              <w:rPr>
                <w:noProof/>
                <w:webHidden/>
              </w:rPr>
              <w:fldChar w:fldCharType="separate"/>
            </w:r>
            <w:r>
              <w:rPr>
                <w:noProof/>
                <w:webHidden/>
              </w:rPr>
              <w:t>19</w:t>
            </w:r>
            <w:r>
              <w:rPr>
                <w:noProof/>
                <w:webHidden/>
              </w:rPr>
              <w:fldChar w:fldCharType="end"/>
            </w:r>
          </w:hyperlink>
        </w:p>
        <w:p w14:paraId="1BC448D0" w14:textId="4A195607" w:rsidR="00BE0028" w:rsidRDefault="00BE0028">
          <w:pPr>
            <w:pStyle w:val="TOC1"/>
            <w:tabs>
              <w:tab w:val="right" w:leader="dot" w:pos="9016"/>
            </w:tabs>
            <w:rPr>
              <w:rFonts w:asciiTheme="minorHAnsi" w:eastAsiaTheme="minorEastAsia" w:hAnsiTheme="minorHAnsi" w:cstheme="minorBidi"/>
              <w:noProof/>
              <w:kern w:val="2"/>
              <w:lang w:val="en-IN" w:eastAsia="zh-CN"/>
              <w14:ligatures w14:val="standardContextual"/>
            </w:rPr>
          </w:pPr>
          <w:hyperlink w:anchor="_Toc235788962" w:history="1">
            <w:r w:rsidRPr="000B6B90">
              <w:rPr>
                <w:rStyle w:val="Hyperlink"/>
                <w:noProof/>
              </w:rPr>
              <w:t>5. Appendices</w:t>
            </w:r>
            <w:r>
              <w:rPr>
                <w:noProof/>
                <w:webHidden/>
              </w:rPr>
              <w:tab/>
            </w:r>
            <w:r>
              <w:rPr>
                <w:noProof/>
                <w:webHidden/>
              </w:rPr>
              <w:fldChar w:fldCharType="begin"/>
            </w:r>
            <w:r>
              <w:rPr>
                <w:noProof/>
                <w:webHidden/>
              </w:rPr>
              <w:instrText xml:space="preserve"> PAGEREF _Toc235788962 \h </w:instrText>
            </w:r>
            <w:r>
              <w:rPr>
                <w:noProof/>
                <w:webHidden/>
              </w:rPr>
            </w:r>
            <w:r>
              <w:rPr>
                <w:noProof/>
                <w:webHidden/>
              </w:rPr>
              <w:fldChar w:fldCharType="separate"/>
            </w:r>
            <w:r>
              <w:rPr>
                <w:noProof/>
                <w:webHidden/>
              </w:rPr>
              <w:t>21</w:t>
            </w:r>
            <w:r>
              <w:rPr>
                <w:noProof/>
                <w:webHidden/>
              </w:rPr>
              <w:fldChar w:fldCharType="end"/>
            </w:r>
          </w:hyperlink>
        </w:p>
        <w:p w14:paraId="542A24EF" w14:textId="0AE27E76"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63" w:history="1">
            <w:r w:rsidRPr="000B6B90">
              <w:rPr>
                <w:rStyle w:val="Hyperlink"/>
                <w:rFonts w:cs="Arial"/>
                <w:noProof/>
              </w:rPr>
              <w:t>Appendix A: Rich Picture of the infant morphine overdose system</w:t>
            </w:r>
            <w:r>
              <w:rPr>
                <w:noProof/>
                <w:webHidden/>
              </w:rPr>
              <w:tab/>
            </w:r>
            <w:r>
              <w:rPr>
                <w:noProof/>
                <w:webHidden/>
              </w:rPr>
              <w:fldChar w:fldCharType="begin"/>
            </w:r>
            <w:r>
              <w:rPr>
                <w:noProof/>
                <w:webHidden/>
              </w:rPr>
              <w:instrText xml:space="preserve"> PAGEREF _Toc235788963 \h </w:instrText>
            </w:r>
            <w:r>
              <w:rPr>
                <w:noProof/>
                <w:webHidden/>
              </w:rPr>
            </w:r>
            <w:r>
              <w:rPr>
                <w:noProof/>
                <w:webHidden/>
              </w:rPr>
              <w:fldChar w:fldCharType="separate"/>
            </w:r>
            <w:r>
              <w:rPr>
                <w:noProof/>
                <w:webHidden/>
              </w:rPr>
              <w:t>21</w:t>
            </w:r>
            <w:r>
              <w:rPr>
                <w:noProof/>
                <w:webHidden/>
              </w:rPr>
              <w:fldChar w:fldCharType="end"/>
            </w:r>
          </w:hyperlink>
        </w:p>
        <w:p w14:paraId="6FD7C8B3" w14:textId="3A54431E" w:rsidR="00BE0028" w:rsidRDefault="00BE0028">
          <w:pPr>
            <w:pStyle w:val="TOC2"/>
            <w:tabs>
              <w:tab w:val="right" w:leader="dot" w:pos="9016"/>
            </w:tabs>
            <w:rPr>
              <w:rFonts w:asciiTheme="minorHAnsi" w:eastAsiaTheme="minorEastAsia" w:hAnsiTheme="minorHAnsi" w:cstheme="minorBidi"/>
              <w:noProof/>
              <w:kern w:val="2"/>
              <w:lang w:val="en-IN" w:eastAsia="zh-CN"/>
              <w14:ligatures w14:val="standardContextual"/>
            </w:rPr>
          </w:pPr>
          <w:hyperlink w:anchor="_Toc235788964" w:history="1">
            <w:r w:rsidRPr="000B6B90">
              <w:rPr>
                <w:rStyle w:val="Hyperlink"/>
                <w:rFonts w:cs="Arial"/>
                <w:noProof/>
              </w:rPr>
              <w:t>Appendix B: Timeline of the Infant Morphine Overdose Incident</w:t>
            </w:r>
            <w:r>
              <w:rPr>
                <w:noProof/>
                <w:webHidden/>
              </w:rPr>
              <w:tab/>
            </w:r>
            <w:r>
              <w:rPr>
                <w:noProof/>
                <w:webHidden/>
              </w:rPr>
              <w:fldChar w:fldCharType="begin"/>
            </w:r>
            <w:r>
              <w:rPr>
                <w:noProof/>
                <w:webHidden/>
              </w:rPr>
              <w:instrText xml:space="preserve"> PAGEREF _Toc235788964 \h </w:instrText>
            </w:r>
            <w:r>
              <w:rPr>
                <w:noProof/>
                <w:webHidden/>
              </w:rPr>
            </w:r>
            <w:r>
              <w:rPr>
                <w:noProof/>
                <w:webHidden/>
              </w:rPr>
              <w:fldChar w:fldCharType="separate"/>
            </w:r>
            <w:r>
              <w:rPr>
                <w:noProof/>
                <w:webHidden/>
              </w:rPr>
              <w:t>21</w:t>
            </w:r>
            <w:r>
              <w:rPr>
                <w:noProof/>
                <w:webHidden/>
              </w:rPr>
              <w:fldChar w:fldCharType="end"/>
            </w:r>
          </w:hyperlink>
        </w:p>
        <w:p w14:paraId="443B801A" w14:textId="03030D61" w:rsidR="00BE0028" w:rsidRDefault="00BE0028">
          <w:pPr>
            <w:pStyle w:val="TOC1"/>
            <w:tabs>
              <w:tab w:val="right" w:leader="dot" w:pos="9016"/>
            </w:tabs>
            <w:rPr>
              <w:rFonts w:asciiTheme="minorHAnsi" w:eastAsiaTheme="minorEastAsia" w:hAnsiTheme="minorHAnsi" w:cstheme="minorBidi"/>
              <w:noProof/>
              <w:kern w:val="2"/>
              <w:lang w:val="en-IN" w:eastAsia="zh-CN"/>
              <w14:ligatures w14:val="standardContextual"/>
            </w:rPr>
          </w:pPr>
          <w:hyperlink w:anchor="_Toc235788965" w:history="1">
            <w:r w:rsidRPr="000B6B90">
              <w:rPr>
                <w:rStyle w:val="Hyperlink"/>
                <w:noProof/>
              </w:rPr>
              <w:t>6. References</w:t>
            </w:r>
            <w:r>
              <w:rPr>
                <w:noProof/>
                <w:webHidden/>
              </w:rPr>
              <w:tab/>
            </w:r>
            <w:r>
              <w:rPr>
                <w:noProof/>
                <w:webHidden/>
              </w:rPr>
              <w:fldChar w:fldCharType="begin"/>
            </w:r>
            <w:r>
              <w:rPr>
                <w:noProof/>
                <w:webHidden/>
              </w:rPr>
              <w:instrText xml:space="preserve"> PAGEREF _Toc235788965 \h </w:instrText>
            </w:r>
            <w:r>
              <w:rPr>
                <w:noProof/>
                <w:webHidden/>
              </w:rPr>
            </w:r>
            <w:r>
              <w:rPr>
                <w:noProof/>
                <w:webHidden/>
              </w:rPr>
              <w:fldChar w:fldCharType="separate"/>
            </w:r>
            <w:r>
              <w:rPr>
                <w:noProof/>
                <w:webHidden/>
              </w:rPr>
              <w:t>23</w:t>
            </w:r>
            <w:r>
              <w:rPr>
                <w:noProof/>
                <w:webHidden/>
              </w:rPr>
              <w:fldChar w:fldCharType="end"/>
            </w:r>
          </w:hyperlink>
        </w:p>
        <w:p w14:paraId="1AEA76D9" w14:textId="39AE2FB3" w:rsidR="00A46FB0" w:rsidRPr="00FE584D" w:rsidRDefault="00A46FB0" w:rsidP="00A43C03">
          <w:pPr>
            <w:spacing w:line="360" w:lineRule="auto"/>
            <w:rPr>
              <w:rFonts w:ascii="Arial" w:hAnsi="Arial" w:cs="Arial"/>
              <w:sz w:val="22"/>
              <w:szCs w:val="22"/>
            </w:rPr>
          </w:pPr>
          <w:r w:rsidRPr="00FE584D">
            <w:rPr>
              <w:rFonts w:ascii="Arial" w:hAnsi="Arial" w:cs="Arial"/>
              <w:b/>
              <w:bCs/>
              <w:sz w:val="22"/>
              <w:szCs w:val="22"/>
            </w:rPr>
            <w:fldChar w:fldCharType="end"/>
          </w:r>
        </w:p>
      </w:sdtContent>
    </w:sdt>
    <w:p w14:paraId="40652CB0" w14:textId="77777777" w:rsidR="00A43C03" w:rsidRPr="00FE584D" w:rsidRDefault="00A43C03">
      <w:pPr>
        <w:rPr>
          <w:rFonts w:ascii="Arial" w:eastAsia="Play" w:hAnsi="Arial" w:cs="Arial"/>
          <w:b/>
          <w:color w:val="000000" w:themeColor="text1"/>
          <w:sz w:val="22"/>
          <w:szCs w:val="22"/>
        </w:rPr>
      </w:pPr>
      <w:r w:rsidRPr="00FE584D">
        <w:rPr>
          <w:rFonts w:ascii="Arial" w:hAnsi="Arial" w:cs="Arial"/>
          <w:sz w:val="22"/>
          <w:szCs w:val="22"/>
        </w:rPr>
        <w:br w:type="page"/>
      </w:r>
    </w:p>
    <w:p w14:paraId="4E6D5E5F" w14:textId="624306B5" w:rsidR="001839A3" w:rsidRPr="00FE584D" w:rsidRDefault="00000000" w:rsidP="00A43C03">
      <w:pPr>
        <w:pStyle w:val="Heading1"/>
        <w:spacing w:line="360" w:lineRule="auto"/>
        <w:rPr>
          <w:rFonts w:cs="Arial"/>
          <w:b w:val="0"/>
          <w:szCs w:val="22"/>
        </w:rPr>
      </w:pPr>
      <w:bookmarkStart w:id="5" w:name="_Toc235788931"/>
      <w:r w:rsidRPr="00FE584D">
        <w:rPr>
          <w:rFonts w:cs="Arial"/>
          <w:szCs w:val="22"/>
        </w:rPr>
        <w:lastRenderedPageBreak/>
        <w:t>1. Introduction</w:t>
      </w:r>
      <w:bookmarkEnd w:id="5"/>
    </w:p>
    <w:p w14:paraId="4E24B80A" w14:textId="77777777" w:rsidR="009D7065"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Patient safety is a key part of healthcare systems, and medication errors are still a major source of preventable harm (</w:t>
      </w:r>
      <w:proofErr w:type="spellStart"/>
      <w:r w:rsidRPr="00FE584D">
        <w:rPr>
          <w:rFonts w:ascii="Arial" w:eastAsia="Arial" w:hAnsi="Arial" w:cs="Arial"/>
          <w:sz w:val="22"/>
          <w:szCs w:val="22"/>
        </w:rPr>
        <w:t>Guntschnig</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2025). The case study selected is </w:t>
      </w:r>
      <w:r w:rsidRPr="00FE584D">
        <w:rPr>
          <w:rFonts w:ascii="Arial" w:eastAsia="Arial" w:hAnsi="Arial" w:cs="Arial"/>
          <w:b/>
          <w:bCs/>
          <w:sz w:val="22"/>
          <w:szCs w:val="22"/>
        </w:rPr>
        <w:t xml:space="preserve">NHS England (North East and Yorkshire, 2023) Infant Morphine Overdose </w:t>
      </w:r>
      <w:r w:rsidRPr="00FE584D">
        <w:rPr>
          <w:rFonts w:ascii="Arial" w:eastAsia="Arial" w:hAnsi="Arial" w:cs="Arial"/>
          <w:sz w:val="22"/>
          <w:szCs w:val="22"/>
        </w:rPr>
        <w:t xml:space="preserve">where an infant received an oral solution of Morphine Sulphate at a dose of twenty times the prescribed amount due to the failure to ensure that the right formulation was prescribed and dispensed and the communication and governance of the transfer of care (NHS.uk, 2023). </w:t>
      </w:r>
    </w:p>
    <w:p w14:paraId="54CA354E" w14:textId="10DECB2A"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Emergency treatment with naloxone saw the infant survive, but the Investigation highlighted that this was the fifth case of this nature reported across the country since 2018, including one infant death (‌Cqc.org.uk, 2023). The case provides an example of the way a failure in one healthcare organisation can contribute to patient harm at the individual level, occurring through a combination of further failures across the whole of the healthcare system, encompassing the hospital, general practice, community pharmacy and the family carer.</w:t>
      </w:r>
    </w:p>
    <w:p w14:paraId="6C6BE685"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Leadership in health and social care is not just about managing people or enforcing policies; it is about influencing people and multidisciplinary teams to deliver safe, effective and patient-centred care (‌Porter and Rees, 2025). Effective leaders build a vision, foster teamwork, hold staff to account and develop a culture where staff feel able to raise concerns and learn from incidents. Leadership practice is also influenced by organisational structures. A centralised system involves decision-making and authority at a higher level within the organisation, leading to a focus on standardisation and regulatory control, while a decentralised system involves distributing authority to the frontline professionals, fostering greater responsiveness and local decision-making (Wings and Harkonen, 2023). </w:t>
      </w:r>
    </w:p>
    <w:p w14:paraId="02777FD2"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This report utilises four theories of leadership, transformational, transactional, situational and distributed, to critically analyse the way leadership impacted the management of the incident and the response it led to from the organisation. It also explores the way governance, systems thinking, communication processes and centralisation and decentralisation can help contribute to the event. Finally, the report contains evidence-based recommendations that focus on enhancing patient safety, health and social care systems' learning and continuous quality improvement.</w:t>
      </w:r>
    </w:p>
    <w:p w14:paraId="015DB9C1" w14:textId="77777777" w:rsidR="001C73D7" w:rsidRPr="00FE584D" w:rsidRDefault="001C73D7">
      <w:pPr>
        <w:rPr>
          <w:rFonts w:ascii="Arial" w:eastAsia="Play" w:hAnsi="Arial" w:cs="Arial"/>
          <w:b/>
          <w:color w:val="000000" w:themeColor="text1"/>
          <w:sz w:val="22"/>
          <w:szCs w:val="22"/>
        </w:rPr>
      </w:pPr>
      <w:bookmarkStart w:id="6" w:name="_ph2l3twtv6c3" w:colFirst="0" w:colLast="0"/>
      <w:bookmarkEnd w:id="6"/>
      <w:r w:rsidRPr="00FE584D">
        <w:rPr>
          <w:rFonts w:ascii="Arial" w:hAnsi="Arial" w:cs="Arial"/>
          <w:sz w:val="22"/>
          <w:szCs w:val="22"/>
        </w:rPr>
        <w:br w:type="page"/>
      </w:r>
    </w:p>
    <w:p w14:paraId="3D6F4660" w14:textId="59FE06F5" w:rsidR="001839A3" w:rsidRPr="00FE584D" w:rsidRDefault="00000000" w:rsidP="00A43C03">
      <w:pPr>
        <w:pStyle w:val="Heading1"/>
        <w:spacing w:line="360" w:lineRule="auto"/>
        <w:rPr>
          <w:rFonts w:cs="Arial"/>
          <w:b w:val="0"/>
          <w:szCs w:val="22"/>
        </w:rPr>
      </w:pPr>
      <w:bookmarkStart w:id="7" w:name="_Toc235788932"/>
      <w:r w:rsidRPr="00FE584D">
        <w:rPr>
          <w:rFonts w:cs="Arial"/>
          <w:szCs w:val="22"/>
        </w:rPr>
        <w:lastRenderedPageBreak/>
        <w:t>2. Main Body and Analysis</w:t>
      </w:r>
      <w:bookmarkEnd w:id="7"/>
    </w:p>
    <w:p w14:paraId="70EB955C" w14:textId="77777777" w:rsidR="001839A3" w:rsidRPr="00FE584D" w:rsidRDefault="00000000" w:rsidP="00A43C03">
      <w:pPr>
        <w:pStyle w:val="Heading2"/>
        <w:spacing w:line="360" w:lineRule="auto"/>
        <w:rPr>
          <w:rFonts w:cs="Arial"/>
          <w:b w:val="0"/>
          <w:szCs w:val="22"/>
        </w:rPr>
      </w:pPr>
      <w:bookmarkStart w:id="8" w:name="_8bh5uiak4g6a" w:colFirst="0" w:colLast="0"/>
      <w:bookmarkStart w:id="9" w:name="_Toc235788933"/>
      <w:bookmarkEnd w:id="8"/>
      <w:r w:rsidRPr="00FE584D">
        <w:rPr>
          <w:rFonts w:cs="Arial"/>
          <w:szCs w:val="22"/>
        </w:rPr>
        <w:t>2.1 Identifying the Problem and Setting the System Context</w:t>
      </w:r>
      <w:bookmarkEnd w:id="9"/>
    </w:p>
    <w:p w14:paraId="18CDDC04" w14:textId="77777777" w:rsidR="001839A3" w:rsidRPr="00FE584D" w:rsidRDefault="00000000" w:rsidP="00A43C03">
      <w:pPr>
        <w:pStyle w:val="Heading3"/>
        <w:keepNext w:val="0"/>
        <w:keepLines w:val="0"/>
        <w:spacing w:before="280" w:after="80" w:line="360" w:lineRule="auto"/>
        <w:jc w:val="both"/>
        <w:rPr>
          <w:rFonts w:eastAsia="Arial" w:cs="Arial"/>
          <w:b w:val="0"/>
          <w:bCs/>
          <w:color w:val="000000"/>
          <w:szCs w:val="22"/>
        </w:rPr>
      </w:pPr>
      <w:bookmarkStart w:id="10" w:name="_ir2xrrgryq6" w:colFirst="0" w:colLast="0"/>
      <w:bookmarkStart w:id="11" w:name="_Toc235788934"/>
      <w:bookmarkEnd w:id="10"/>
      <w:r w:rsidRPr="00FE584D">
        <w:rPr>
          <w:rFonts w:eastAsia="Arial" w:cs="Arial"/>
          <w:bCs/>
          <w:color w:val="000000"/>
          <w:szCs w:val="22"/>
        </w:rPr>
        <w:t>2.1.1 Description of the Incident</w:t>
      </w:r>
      <w:bookmarkEnd w:id="11"/>
    </w:p>
    <w:p w14:paraId="2C7E4704"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incident involved a four-week-old infant who was discharged from a neonatal unit on a handwritten discharge letter, requesting the administration of oral morphine sulphate 100 micrograms/ml (‌Cqc.org.uk, 2023). The summary did not specify the dose volume or the formulation, and used abbreviations such as "mcg" and the brand name Oramorph. The GP consequently prescribed the usual and readily available 10mg/5ml morphine solution, which was dispensed by the community pharmacy. The parents were to give the same 1.9 ml of volume, which equated to a 20-fold overdose. The baby needed emergency naloxone treatment. The investigation found that the incident was caused by several system failures, rather than through individual fault.</w:t>
      </w:r>
    </w:p>
    <w:p w14:paraId="03773BD3" w14:textId="77777777" w:rsidR="001839A3" w:rsidRPr="00FE584D" w:rsidRDefault="00000000" w:rsidP="00A43C03">
      <w:pPr>
        <w:pStyle w:val="Heading3"/>
        <w:keepNext w:val="0"/>
        <w:keepLines w:val="0"/>
        <w:spacing w:before="280" w:after="80" w:line="360" w:lineRule="auto"/>
        <w:jc w:val="both"/>
        <w:rPr>
          <w:rFonts w:eastAsia="Arial" w:cs="Arial"/>
          <w:b w:val="0"/>
          <w:bCs/>
          <w:color w:val="000000"/>
          <w:szCs w:val="22"/>
        </w:rPr>
      </w:pPr>
      <w:bookmarkStart w:id="12" w:name="_rhivy937gyl7" w:colFirst="0" w:colLast="0"/>
      <w:bookmarkStart w:id="13" w:name="_Toc235788935"/>
      <w:bookmarkEnd w:id="12"/>
      <w:r w:rsidRPr="00FE584D">
        <w:rPr>
          <w:rFonts w:eastAsia="Arial" w:cs="Arial"/>
          <w:bCs/>
          <w:color w:val="000000"/>
          <w:szCs w:val="22"/>
        </w:rPr>
        <w:t>2.1.2 Global Statistics</w:t>
      </w:r>
      <w:bookmarkEnd w:id="13"/>
    </w:p>
    <w:p w14:paraId="103EB930" w14:textId="050EDD2B"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case of infant overdose with morphine is an example of a larger worldwide problem with patient safety involving medication errors and care transitions. The World Health Organisation (WHO) estimates that one in ten people suffers harm when receiving health care, of which more than half is preventable (WHO, 2023). In addition, 50% of patient harm is avoidable and related to medication, making medication safety a critical worldwide issue. The global burden of medication errors is substantial – estimated to cost the health care system $42 billion each year (Who.int, 2024). Transitions of care such as patient discharge or communication among health care providers are also one of the highest-risk areas for medication errors especially when high-alert medicines like morphine are involved.</w:t>
      </w:r>
    </w:p>
    <w:p w14:paraId="51532E5E" w14:textId="77777777" w:rsidR="001839A3" w:rsidRPr="00FE584D" w:rsidRDefault="00000000" w:rsidP="00A43C03">
      <w:pPr>
        <w:pStyle w:val="Heading3"/>
        <w:keepNext w:val="0"/>
        <w:keepLines w:val="0"/>
        <w:spacing w:before="280" w:after="80" w:line="360" w:lineRule="auto"/>
        <w:jc w:val="both"/>
        <w:rPr>
          <w:rFonts w:eastAsia="Arial" w:cs="Arial"/>
          <w:b w:val="0"/>
          <w:bCs/>
          <w:color w:val="000000"/>
          <w:szCs w:val="22"/>
        </w:rPr>
      </w:pPr>
      <w:bookmarkStart w:id="14" w:name="_3qa3o6x2g7hm" w:colFirst="0" w:colLast="0"/>
      <w:bookmarkStart w:id="15" w:name="_Toc235788936"/>
      <w:bookmarkEnd w:id="14"/>
      <w:r w:rsidRPr="00FE584D">
        <w:rPr>
          <w:rFonts w:eastAsia="Arial" w:cs="Arial"/>
          <w:bCs/>
          <w:color w:val="000000"/>
          <w:szCs w:val="22"/>
        </w:rPr>
        <w:t>2.1.3 National Statistics</w:t>
      </w:r>
      <w:bookmarkEnd w:id="15"/>
      <w:r w:rsidRPr="00FE584D">
        <w:rPr>
          <w:rFonts w:eastAsia="Arial" w:cs="Arial"/>
          <w:bCs/>
          <w:color w:val="000000"/>
          <w:szCs w:val="22"/>
        </w:rPr>
        <w:t xml:space="preserve"> </w:t>
      </w:r>
    </w:p>
    <w:p w14:paraId="7F26B45F" w14:textId="29326940"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Medication errors are still a major patient safety problem in the NHS, and the infant morphine overdosing case comes into focus. It is estimated that there are approximately 237 million medication errors made in England every year as a result of prescribing, dispensing, administration, monitoring and transition to care (‌Elliott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2020), with an estimated 1,708 deaths and a cost to the NHS of £98 million (‌Elliott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2020) per year. In addition, NHS England estimates that 20,000 to 30,000 avoidable significant harms happen in GP settings every year, with 26% of these incidents being related to medicines (England.nhs.uk, 2024). </w:t>
      </w:r>
    </w:p>
    <w:p w14:paraId="0AE293C1" w14:textId="77777777" w:rsidR="001839A3" w:rsidRPr="00FE584D" w:rsidRDefault="00000000" w:rsidP="00A43C03">
      <w:pPr>
        <w:pStyle w:val="Heading3"/>
        <w:keepNext w:val="0"/>
        <w:keepLines w:val="0"/>
        <w:spacing w:before="280" w:after="80" w:line="360" w:lineRule="auto"/>
        <w:jc w:val="both"/>
        <w:rPr>
          <w:rFonts w:eastAsia="Arial" w:cs="Arial"/>
          <w:b w:val="0"/>
          <w:bCs/>
          <w:color w:val="000000"/>
          <w:szCs w:val="22"/>
        </w:rPr>
      </w:pPr>
      <w:bookmarkStart w:id="16" w:name="_uccl59bvq764" w:colFirst="0" w:colLast="0"/>
      <w:bookmarkStart w:id="17" w:name="_Toc235788937"/>
      <w:bookmarkEnd w:id="16"/>
      <w:r w:rsidRPr="00FE584D">
        <w:rPr>
          <w:rFonts w:eastAsia="Arial" w:cs="Arial"/>
          <w:bCs/>
          <w:color w:val="000000"/>
          <w:szCs w:val="22"/>
        </w:rPr>
        <w:t>2.1.4 System Weaknesses</w:t>
      </w:r>
      <w:bookmarkEnd w:id="17"/>
    </w:p>
    <w:p w14:paraId="314B14AD" w14:textId="4282A399"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lastRenderedPageBreak/>
        <w:t>The investigation revealed not only that the infant's overdose of morphine was a result of a series of system failures, but it was also a result of several people working together making an error. Some basic communication issues: handwritten discharge summary, the abbreviation “mcg”, and the mention of the product name “Oramorph” causing prescribing confusion. The failure of governance was also due to not implementing the RED Drug policy during discharge (</w:t>
      </w:r>
      <w:proofErr w:type="spellStart"/>
      <w:r w:rsidRPr="00FE584D">
        <w:rPr>
          <w:rFonts w:ascii="Arial" w:eastAsia="Arial" w:hAnsi="Arial" w:cs="Arial"/>
          <w:sz w:val="22"/>
          <w:szCs w:val="22"/>
        </w:rPr>
        <w:t>Alharbii</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2025). Bastin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(2020) found that the GP and community pharmacists had not heard of the 100 micrograms/ml formulation, which is only available in hospital settings. The required dose volume was not </w:t>
      </w:r>
      <w:proofErr w:type="spellStart"/>
      <w:r w:rsidRPr="00FE584D">
        <w:rPr>
          <w:rFonts w:ascii="Arial" w:eastAsia="Arial" w:hAnsi="Arial" w:cs="Arial"/>
          <w:sz w:val="22"/>
          <w:szCs w:val="22"/>
        </w:rPr>
        <w:t>documented,d</w:t>
      </w:r>
      <w:proofErr w:type="spellEnd"/>
      <w:r w:rsidRPr="00FE584D">
        <w:rPr>
          <w:rFonts w:ascii="Arial" w:eastAsia="Arial" w:hAnsi="Arial" w:cs="Arial"/>
          <w:sz w:val="22"/>
          <w:szCs w:val="22"/>
        </w:rPr>
        <w:t xml:space="preserve"> and poor handover meant there were fewer opportunities to note the error. </w:t>
      </w:r>
    </w:p>
    <w:p w14:paraId="28650837" w14:textId="77777777" w:rsidR="001839A3" w:rsidRPr="00FE584D" w:rsidRDefault="00000000" w:rsidP="00A43C03">
      <w:pPr>
        <w:pStyle w:val="Heading3"/>
        <w:spacing w:line="360" w:lineRule="auto"/>
        <w:rPr>
          <w:rFonts w:cs="Arial"/>
          <w:b w:val="0"/>
          <w:szCs w:val="22"/>
        </w:rPr>
      </w:pPr>
      <w:bookmarkStart w:id="18" w:name="_Toc235788938"/>
      <w:r w:rsidRPr="00FE584D">
        <w:rPr>
          <w:rFonts w:cs="Arial"/>
          <w:szCs w:val="22"/>
        </w:rPr>
        <w:t>2.1.5 Governance Context</w:t>
      </w:r>
      <w:bookmarkEnd w:id="18"/>
    </w:p>
    <w:p w14:paraId="47849322" w14:textId="77777777" w:rsidR="00B63D00"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NHS Trust had the primary responsibility for these procedures at a local level, which were found to be weak, contributing to errors in discharge, accurate prescribing information and adherence to the NHS's RED Drug policy (NHS.uk, 2023). The Integrated Care Board (ICB) is responsible for prescribing policies and the interface between primary and secondary care at the regional level; however, there was a lack of communication when the patient changed from primary to secondary care. </w:t>
      </w:r>
    </w:p>
    <w:p w14:paraId="46F8F7E1" w14:textId="5E7EF4DC"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At a national level, NHS England and the Controlled Drug Accountable Officer (CDAO) regulate, ensure patient safety and provide governance around controlled drugs NHSs.uk, 2026). This investigation led to a national alert to NHS England and recommendations for improving prescribing, communication and governance, which showed a direct connection between governance and decision-making, accountability and patient safety throughout the health system.</w:t>
      </w:r>
    </w:p>
    <w:p w14:paraId="584A3AAB" w14:textId="77777777" w:rsidR="001839A3" w:rsidRPr="00FE584D" w:rsidRDefault="00000000" w:rsidP="00A43C03">
      <w:pPr>
        <w:pStyle w:val="Heading3"/>
        <w:spacing w:line="360" w:lineRule="auto"/>
        <w:rPr>
          <w:rFonts w:cs="Arial"/>
          <w:szCs w:val="22"/>
        </w:rPr>
      </w:pPr>
      <w:bookmarkStart w:id="19" w:name="_gbbrgp4vrx0c" w:colFirst="0" w:colLast="0"/>
      <w:bookmarkStart w:id="20" w:name="_Toc235788939"/>
      <w:bookmarkEnd w:id="19"/>
      <w:r w:rsidRPr="00FE584D">
        <w:rPr>
          <w:rFonts w:cs="Arial"/>
          <w:szCs w:val="22"/>
        </w:rPr>
        <w:lastRenderedPageBreak/>
        <w:t>2.1.6 Rich Picture</w:t>
      </w:r>
      <w:bookmarkEnd w:id="20"/>
    </w:p>
    <w:p w14:paraId="32B99A59"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noProof/>
          <w:sz w:val="22"/>
          <w:szCs w:val="22"/>
        </w:rPr>
        <w:drawing>
          <wp:inline distT="114300" distB="114300" distL="114300" distR="114300" wp14:anchorId="6BA5DB55" wp14:editId="54DC335B">
            <wp:extent cx="5731200" cy="38227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3822700"/>
                    </a:xfrm>
                    <a:prstGeom prst="rect">
                      <a:avLst/>
                    </a:prstGeom>
                    <a:ln/>
                  </pic:spPr>
                </pic:pic>
              </a:graphicData>
            </a:graphic>
          </wp:inline>
        </w:drawing>
      </w:r>
    </w:p>
    <w:p w14:paraId="15631536" w14:textId="4447CBEE" w:rsidR="001839A3" w:rsidRPr="00FE584D" w:rsidRDefault="00000000" w:rsidP="00A43C03">
      <w:pPr>
        <w:spacing w:before="240" w:after="240" w:line="360" w:lineRule="auto"/>
        <w:jc w:val="center"/>
        <w:rPr>
          <w:rFonts w:ascii="Arial" w:eastAsia="Arial" w:hAnsi="Arial" w:cs="Arial"/>
          <w:b/>
          <w:bCs/>
          <w:sz w:val="22"/>
          <w:szCs w:val="22"/>
        </w:rPr>
      </w:pPr>
      <w:r w:rsidRPr="00FE584D">
        <w:rPr>
          <w:rFonts w:ascii="Arial" w:eastAsia="Arial" w:hAnsi="Arial" w:cs="Arial"/>
          <w:b/>
          <w:bCs/>
          <w:sz w:val="22"/>
          <w:szCs w:val="22"/>
        </w:rPr>
        <w:t>Figure</w:t>
      </w:r>
      <w:r w:rsidR="00A46FB0" w:rsidRPr="00FE584D">
        <w:rPr>
          <w:rFonts w:ascii="Arial" w:eastAsia="Arial" w:hAnsi="Arial" w:cs="Arial"/>
          <w:b/>
          <w:bCs/>
          <w:sz w:val="22"/>
          <w:szCs w:val="22"/>
        </w:rPr>
        <w:t xml:space="preserve"> 1</w:t>
      </w:r>
      <w:r w:rsidRPr="00FE584D">
        <w:rPr>
          <w:rFonts w:ascii="Arial" w:eastAsia="Arial" w:hAnsi="Arial" w:cs="Arial"/>
          <w:b/>
          <w:bCs/>
          <w:sz w:val="22"/>
          <w:szCs w:val="22"/>
        </w:rPr>
        <w:t>: Rich Picture Diagram</w:t>
      </w:r>
    </w:p>
    <w:p w14:paraId="15317A08" w14:textId="421C7F81"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 xml:space="preserve">(Source: </w:t>
      </w:r>
      <w:r w:rsidR="001C73D7" w:rsidRPr="00FE584D">
        <w:rPr>
          <w:rFonts w:ascii="Arial" w:eastAsia="Arial" w:hAnsi="Arial" w:cs="Arial"/>
          <w:sz w:val="22"/>
          <w:szCs w:val="22"/>
        </w:rPr>
        <w:t>Online-generated</w:t>
      </w:r>
      <w:r w:rsidRPr="00FE584D">
        <w:rPr>
          <w:rFonts w:ascii="Arial" w:eastAsia="Arial" w:hAnsi="Arial" w:cs="Arial"/>
          <w:sz w:val="22"/>
          <w:szCs w:val="22"/>
        </w:rPr>
        <w:t>)</w:t>
      </w:r>
    </w:p>
    <w:p w14:paraId="26234E56"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 the Rich Picture, multiple actors, processes, structures, and feedback mechanisms are shown interacting to cause the infant overdose with morphine. The cast consisted of neonatal doctors, neonatal nurses, hospital pharmacists, GPs, community pharmacists, pharmacy technicians, and parents and the infant. This was not a single person's fault, but rather a result of the interactions between these stakeholders (Nhs.uk, 2026). Documentation of discharge, prescribing, dispensing of medication, counselling and medicine administration were interrelated. This prescribing error was able to work its way through these systems because of failures, especially in recording and communicating information accurately at the transfer of care point.</w:t>
      </w:r>
    </w:p>
    <w:p w14:paraId="33811362" w14:textId="5D9D89FA"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Rich Picture also identifies weak feedback loops such as a lack of timely reporting of incidents, ongoing monitoring and limited auditing to ensure compliance with the RED Drug policy (Masterton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2022). These vulnerabilities limited the ability to detect and correct the error to prevent harm. The emotional aspect reflects staff's doubts about the appropriate version of the drug, parents' anxiety from the lack of clarity about drug instructions, and the </w:t>
      </w:r>
      <w:r w:rsidRPr="00FE584D">
        <w:rPr>
          <w:rFonts w:ascii="Arial" w:eastAsia="Arial" w:hAnsi="Arial" w:cs="Arial"/>
          <w:sz w:val="22"/>
          <w:szCs w:val="22"/>
        </w:rPr>
        <w:lastRenderedPageBreak/>
        <w:t xml:space="preserve">infant's susceptibility as a high-risk patient (Hamed </w:t>
      </w:r>
      <w:r w:rsidR="00C6298B" w:rsidRPr="00FE584D">
        <w:rPr>
          <w:rFonts w:ascii="Arial" w:eastAsia="Arial" w:hAnsi="Arial" w:cs="Arial"/>
          <w:i/>
          <w:iCs/>
          <w:sz w:val="22"/>
          <w:szCs w:val="22"/>
        </w:rPr>
        <w:t>et al.</w:t>
      </w:r>
      <w:r w:rsidRPr="00FE584D">
        <w:rPr>
          <w:rFonts w:ascii="Arial" w:eastAsia="Arial" w:hAnsi="Arial" w:cs="Arial"/>
          <w:sz w:val="22"/>
          <w:szCs w:val="22"/>
        </w:rPr>
        <w:t>, 2026). Lastly, the elements in the Rich Picture, such as hierarchical governance, the constraints of RED drug policy, regional formularies, and fragmented electronic-prescribing systems, illustrate the way communication failures were caused by organisational and technological limitations.</w:t>
      </w:r>
    </w:p>
    <w:p w14:paraId="79D15DC8" w14:textId="77777777" w:rsidR="001839A3" w:rsidRPr="00FE584D" w:rsidRDefault="00000000" w:rsidP="00A43C03">
      <w:pPr>
        <w:pStyle w:val="Heading2"/>
        <w:spacing w:line="360" w:lineRule="auto"/>
        <w:rPr>
          <w:rFonts w:cs="Arial"/>
          <w:szCs w:val="22"/>
        </w:rPr>
      </w:pPr>
      <w:bookmarkStart w:id="21" w:name="_c2n0jv22mlja" w:colFirst="0" w:colLast="0"/>
      <w:bookmarkStart w:id="22" w:name="_Toc235788940"/>
      <w:bookmarkEnd w:id="21"/>
      <w:r w:rsidRPr="00FE584D">
        <w:rPr>
          <w:rFonts w:cs="Arial"/>
          <w:szCs w:val="22"/>
        </w:rPr>
        <w:t>2.2 Centralisation and Decentralisation within the Infant Morphine Overdose Case</w:t>
      </w:r>
      <w:bookmarkEnd w:id="22"/>
      <w:r w:rsidRPr="00FE584D">
        <w:rPr>
          <w:rFonts w:cs="Arial"/>
          <w:szCs w:val="22"/>
        </w:rPr>
        <w:t xml:space="preserve"> </w:t>
      </w:r>
    </w:p>
    <w:p w14:paraId="7007B0EC" w14:textId="77777777" w:rsidR="001839A3" w:rsidRPr="00FE584D" w:rsidRDefault="00000000" w:rsidP="00A43C03">
      <w:pPr>
        <w:pStyle w:val="Heading3"/>
        <w:spacing w:line="360" w:lineRule="auto"/>
        <w:rPr>
          <w:rFonts w:cs="Arial"/>
          <w:szCs w:val="22"/>
        </w:rPr>
      </w:pPr>
      <w:bookmarkStart w:id="23" w:name="_9txzpo6mo6v5" w:colFirst="0" w:colLast="0"/>
      <w:bookmarkStart w:id="24" w:name="_Toc235788941"/>
      <w:bookmarkEnd w:id="23"/>
      <w:r w:rsidRPr="00FE584D">
        <w:rPr>
          <w:rFonts w:cs="Arial"/>
          <w:szCs w:val="22"/>
        </w:rPr>
        <w:t>2.2.1 Introduction to Centralisation and Decentralisation</w:t>
      </w:r>
      <w:bookmarkEnd w:id="24"/>
    </w:p>
    <w:p w14:paraId="4F7D03E2" w14:textId="77777777" w:rsidR="001C73D7"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organisation has a significant impact on leadership, governance and decision-making in the NHS, and two important approaches to organisation are centralisation and decentralisation. Centralisation is about organisations placing decisions in the hands of the national or senior organisation, for example, NHS England, NICE, Integrated Care Boards (ICBs) and RED Drug prescribing policies (NHS.uk, 2023). </w:t>
      </w:r>
    </w:p>
    <w:p w14:paraId="721B43E5" w14:textId="635503BB"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Decentralisation, on the other hand, involves delegating authority to those basic service providers working with people in the community, such as NHS Trusts, GP practices and community pharmacies, to allow local clinical judgment and patient-focused care. This case of infant overdose of morphine illustrates the interplay between both approaches during the patient's care journey and the way failures occurred in both national governance and local clinical practice (Harris and Holmes, 2022).</w:t>
      </w:r>
    </w:p>
    <w:p w14:paraId="1B089344" w14:textId="77777777" w:rsidR="001839A3" w:rsidRPr="00FE584D" w:rsidRDefault="00000000" w:rsidP="00A43C03">
      <w:pPr>
        <w:pStyle w:val="Heading3"/>
        <w:spacing w:line="360" w:lineRule="auto"/>
        <w:rPr>
          <w:rFonts w:cs="Arial"/>
          <w:b w:val="0"/>
          <w:szCs w:val="22"/>
        </w:rPr>
      </w:pPr>
      <w:bookmarkStart w:id="25" w:name="_m95oskipgt7e" w:colFirst="0" w:colLast="0"/>
      <w:bookmarkStart w:id="26" w:name="_Toc235788942"/>
      <w:bookmarkEnd w:id="25"/>
      <w:r w:rsidRPr="00FE584D">
        <w:rPr>
          <w:rFonts w:cs="Arial"/>
          <w:szCs w:val="22"/>
        </w:rPr>
        <w:t>2.2.2 Centralisation in the Infant Morphine Overdose Case</w:t>
      </w:r>
      <w:bookmarkEnd w:id="26"/>
    </w:p>
    <w:p w14:paraId="330660E9" w14:textId="7A5C437A"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infant overdose of morphine happened in a centralised NHS governance framework, in which there are national organisations that set standards to be followed for prescribing, controlled drugs and patient safety policies (Harris </w:t>
      </w:r>
      <w:r w:rsidR="00C6298B" w:rsidRPr="00FE584D">
        <w:rPr>
          <w:rFonts w:ascii="Arial" w:eastAsia="Arial" w:hAnsi="Arial" w:cs="Arial"/>
          <w:i/>
          <w:iCs/>
          <w:sz w:val="22"/>
          <w:szCs w:val="22"/>
        </w:rPr>
        <w:t>et al.</w:t>
      </w:r>
      <w:r w:rsidRPr="00FE584D">
        <w:rPr>
          <w:rFonts w:ascii="Arial" w:eastAsia="Arial" w:hAnsi="Arial" w:cs="Arial"/>
          <w:sz w:val="22"/>
          <w:szCs w:val="22"/>
        </w:rPr>
        <w:t>, 2022). The management of high-risk medicines is determined by NHS England, Integrated Care Boards (ICBs), regional formularies and Controlled Drug Accountable Officers (CDAOs) and the RED Drug policy ensures that the prescription and dispensing of morphine sulphate 100 micrograms/ml oral solution only takes place within secondary care (NHS.uk, 2023). The policies are created centrally to ensure consistency of practice, improve accountability and minimise variation between healthcare organisations.</w:t>
      </w:r>
    </w:p>
    <w:p w14:paraId="16C08FE2"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However, in this instance, the advantages of centralisation were not fully realised. Although this medicine was considered a 'RED' drug, the GP had been asked to keep prescribing it because it had been discharged via handwritten prescription and the appropriate safeguards had not been followed. The GP did not have the hospital-only form of the medication in their possession and prescribed the more widely available one, at 10 mg/5 ml (Nhs.uk, 2023)‌. There were also challenges with the electronic prescribing system, with the error failing to be clearly </w:t>
      </w:r>
      <w:r w:rsidRPr="00FE584D">
        <w:rPr>
          <w:rFonts w:ascii="Arial" w:eastAsia="Arial" w:hAnsi="Arial" w:cs="Arial"/>
          <w:sz w:val="22"/>
          <w:szCs w:val="22"/>
        </w:rPr>
        <w:lastRenderedPageBreak/>
        <w:t>identified as a RED Drug and moving between organisational boundaries. This was the fifth such incident in the country reported since 2018, leading to the death of an infant, showing that national controls were not preventing these incidents from happening (GOV.UK, 2018).</w:t>
      </w:r>
    </w:p>
    <w:p w14:paraId="745C7E48" w14:textId="77777777" w:rsidR="001839A3" w:rsidRPr="00FE584D" w:rsidRDefault="00000000" w:rsidP="00A43C03">
      <w:pPr>
        <w:pStyle w:val="Heading3"/>
        <w:spacing w:line="360" w:lineRule="auto"/>
        <w:rPr>
          <w:rFonts w:cs="Arial"/>
          <w:b w:val="0"/>
          <w:szCs w:val="22"/>
        </w:rPr>
      </w:pPr>
      <w:bookmarkStart w:id="27" w:name="_9n1lfth4ltqc" w:colFirst="0" w:colLast="0"/>
      <w:bookmarkStart w:id="28" w:name="_Toc235788943"/>
      <w:bookmarkEnd w:id="27"/>
      <w:r w:rsidRPr="00FE584D">
        <w:rPr>
          <w:rFonts w:cs="Arial"/>
          <w:szCs w:val="22"/>
        </w:rPr>
        <w:t>2.2.3 Decentralisation in the Infant Morphine Overdose Case</w:t>
      </w:r>
      <w:bookmarkEnd w:id="28"/>
    </w:p>
    <w:p w14:paraId="1B657E4E"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case of the infant overdose of morphine is also a good example of decentralised decision-making, in which front-line healthcare workers make clinical decisions within their own organisations. Each person involved in the prescription and dispensing, counselling and medicine administration decision (GP, hospital pharmacist, community pharmacists, pharmacy technician, the infant's parents) made independent choices when making these decisions (Doyle, 2022). This local autonomy will facilitate quicker decision-making, personalised care, multidisciplinary working and flexibility in meeting individual patient needs.</w:t>
      </w:r>
    </w:p>
    <w:p w14:paraId="1FAB2A6A"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 this context, decentralisation has been a factor of fragmentation in care. The GP misunderstood the handwritten discharge summary and chose the wrong 10 mg/5 ml formulation of morphine and calculated the dose without realising that the hospital-only preparation of 100 micrograms/ml was not available in primary care (Nhs.uk, 2023)‌. The prescription was administered by two community pharmacists over two days, but neither knew of the special formulation. Indirect clinician-to-clinician communication was through the intervention of the pharmacy technician and reception staff, and clinician-to-clinician communication was not taking place directly, and handover notes by the pharmacist were not sufficiently detailed. Parents then proceeded to give 1.9 ml, which meant the infant received 3.8 mg, which was a 20-fold overdose (Nhs.uk, 2023)‌.</w:t>
      </w:r>
    </w:p>
    <w:p w14:paraId="0486E134" w14:textId="77777777" w:rsidR="001839A3" w:rsidRPr="00FE584D" w:rsidRDefault="00000000" w:rsidP="00A43C03">
      <w:pPr>
        <w:pStyle w:val="Heading3"/>
        <w:spacing w:line="360" w:lineRule="auto"/>
        <w:rPr>
          <w:rFonts w:cs="Arial"/>
          <w:b w:val="0"/>
          <w:szCs w:val="22"/>
        </w:rPr>
      </w:pPr>
      <w:bookmarkStart w:id="29" w:name="_5yi835n0oov6" w:colFirst="0" w:colLast="0"/>
      <w:bookmarkStart w:id="30" w:name="_Toc235788944"/>
      <w:bookmarkEnd w:id="29"/>
      <w:r w:rsidRPr="00FE584D">
        <w:rPr>
          <w:rFonts w:cs="Arial"/>
          <w:szCs w:val="22"/>
        </w:rPr>
        <w:t>2.2.4 Critical Comparison and Evaluation</w:t>
      </w:r>
      <w:bookmarkEnd w:id="30"/>
    </w:p>
    <w:p w14:paraId="457A4050"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infant morphine overdose highlights that neither a centralised nor a decentralised approach was solely to blame, as weaknesses in both contributed to the incident compromising patient safety (Doyle, 2022). Centralisation ensured a clear governance framework of RED Drug policies, controlled drugs regulation and the national prescribing standard, which helped to standardise, make accountable and offer specialist oversight. However, local measures to implement these safeguards were not well enforced. This is the fifth reported case of this type since 2018, though one infant death was reported, highlighting the fact that there will be significant gaps in implementation (GOV.UK, 2018).</w:t>
      </w:r>
    </w:p>
    <w:p w14:paraId="7E020E48" w14:textId="462FB3C6"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On the other hand, decentralisation allowed frontline clinical staff to use their professional expertise to make decisions and be responsive to patient needs (Gamble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2025). Independent decision-making led to variable practice and poor communication between </w:t>
      </w:r>
      <w:r w:rsidRPr="00FE584D">
        <w:rPr>
          <w:rFonts w:ascii="Arial" w:eastAsia="Arial" w:hAnsi="Arial" w:cs="Arial"/>
          <w:sz w:val="22"/>
          <w:szCs w:val="22"/>
        </w:rPr>
        <w:lastRenderedPageBreak/>
        <w:t>organisations, however. The GP gave 10mg/5ml of the prescribed 100 micrograms/ml of morphine, and the parents gave 3.8mg of the prescribed 190 micrograms, resulting in a 20-fold overdose (Nhs.uk, 2023)‌. Communication failure during discharge, insufficient pharmacist handovers and inadequate counselling were responsible for the error not being detected prior to administration.</w:t>
      </w:r>
    </w:p>
    <w:p w14:paraId="2FEADC77"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organisational structure had a negative effect on the systems approach, with a lack of accountability during discharge and transfer of care. NHS evidence suggests that improvements to patient safety governance and systems of learning could result in about 1,000 lives saved and save around £100 million per year (England.nhs.uk, 2026). </w:t>
      </w:r>
    </w:p>
    <w:p w14:paraId="601881E4" w14:textId="14166C41" w:rsidR="001839A3" w:rsidRPr="00FE584D" w:rsidRDefault="00000000" w:rsidP="00A43C03">
      <w:pPr>
        <w:spacing w:line="360" w:lineRule="auto"/>
        <w:jc w:val="center"/>
        <w:rPr>
          <w:rFonts w:ascii="Arial" w:hAnsi="Arial" w:cs="Arial"/>
          <w:b/>
          <w:bCs/>
          <w:sz w:val="22"/>
          <w:szCs w:val="22"/>
        </w:rPr>
      </w:pPr>
      <w:bookmarkStart w:id="31" w:name="_drfwuibud3zg" w:colFirst="0" w:colLast="0"/>
      <w:bookmarkEnd w:id="31"/>
      <w:r w:rsidRPr="00FE584D">
        <w:rPr>
          <w:rFonts w:ascii="Arial" w:hAnsi="Arial" w:cs="Arial"/>
          <w:b/>
          <w:bCs/>
          <w:sz w:val="22"/>
          <w:szCs w:val="22"/>
        </w:rPr>
        <w:t>Table</w:t>
      </w:r>
      <w:r w:rsidR="00A46FB0" w:rsidRPr="00FE584D">
        <w:rPr>
          <w:rFonts w:ascii="Arial" w:hAnsi="Arial" w:cs="Arial"/>
          <w:b/>
          <w:bCs/>
          <w:sz w:val="22"/>
          <w:szCs w:val="22"/>
        </w:rPr>
        <w:t xml:space="preserve"> 1</w:t>
      </w:r>
      <w:r w:rsidRPr="00FE584D">
        <w:rPr>
          <w:rFonts w:ascii="Arial" w:hAnsi="Arial" w:cs="Arial"/>
          <w:b/>
          <w:bCs/>
          <w:sz w:val="22"/>
          <w:szCs w:val="22"/>
        </w:rPr>
        <w:t>: Comparison of Centralisation and Decentralisation</w:t>
      </w:r>
    </w:p>
    <w:tbl>
      <w:tblPr>
        <w:tblStyle w:val="TableGrid"/>
        <w:tblW w:w="9025" w:type="dxa"/>
        <w:tblLayout w:type="fixed"/>
        <w:tblLook w:val="0600" w:firstRow="0" w:lastRow="0" w:firstColumn="0" w:lastColumn="0" w:noHBand="1" w:noVBand="1"/>
      </w:tblPr>
      <w:tblGrid>
        <w:gridCol w:w="1808"/>
        <w:gridCol w:w="2274"/>
        <w:gridCol w:w="2401"/>
        <w:gridCol w:w="2542"/>
      </w:tblGrid>
      <w:tr w:rsidR="001839A3" w:rsidRPr="00FE584D" w14:paraId="5808EC1A" w14:textId="77777777" w:rsidTr="00A46FB0">
        <w:trPr>
          <w:trHeight w:val="515"/>
        </w:trPr>
        <w:tc>
          <w:tcPr>
            <w:tcW w:w="1808" w:type="dxa"/>
          </w:tcPr>
          <w:p w14:paraId="273BFEAB"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Approach</w:t>
            </w:r>
          </w:p>
        </w:tc>
        <w:tc>
          <w:tcPr>
            <w:tcW w:w="2273" w:type="dxa"/>
          </w:tcPr>
          <w:p w14:paraId="43A59CBE"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Strengths</w:t>
            </w:r>
          </w:p>
        </w:tc>
        <w:tc>
          <w:tcPr>
            <w:tcW w:w="2400" w:type="dxa"/>
          </w:tcPr>
          <w:p w14:paraId="437B0ED3"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Weaknesses in Case</w:t>
            </w:r>
          </w:p>
        </w:tc>
        <w:tc>
          <w:tcPr>
            <w:tcW w:w="2541" w:type="dxa"/>
          </w:tcPr>
          <w:p w14:paraId="62F47A69"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Evidence</w:t>
            </w:r>
          </w:p>
        </w:tc>
      </w:tr>
      <w:tr w:rsidR="001839A3" w:rsidRPr="00FE584D" w14:paraId="1F382928" w14:textId="77777777" w:rsidTr="00A46FB0">
        <w:trPr>
          <w:trHeight w:val="1655"/>
        </w:trPr>
        <w:tc>
          <w:tcPr>
            <w:tcW w:w="1808" w:type="dxa"/>
          </w:tcPr>
          <w:p w14:paraId="6956991B"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Centralisation</w:t>
            </w:r>
          </w:p>
        </w:tc>
        <w:tc>
          <w:tcPr>
            <w:tcW w:w="2273" w:type="dxa"/>
          </w:tcPr>
          <w:p w14:paraId="3A3C7DB8"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Provided RED Drug policies, controlled drug governance, and standardised safety rules.</w:t>
            </w:r>
          </w:p>
        </w:tc>
        <w:tc>
          <w:tcPr>
            <w:tcW w:w="2400" w:type="dxa"/>
          </w:tcPr>
          <w:p w14:paraId="3DAFDEAD"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Policies were not effectively implemented; electronic and discharge safeguards failed.</w:t>
            </w:r>
          </w:p>
        </w:tc>
        <w:tc>
          <w:tcPr>
            <w:tcW w:w="2541" w:type="dxa"/>
          </w:tcPr>
          <w:p w14:paraId="1EFE5CBB"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Fifth similar incident since 2018; one infant death reported (NHS England, 2023).</w:t>
            </w:r>
          </w:p>
        </w:tc>
      </w:tr>
      <w:tr w:rsidR="001839A3" w:rsidRPr="00FE584D" w14:paraId="3A26C489" w14:textId="77777777" w:rsidTr="00A46FB0">
        <w:trPr>
          <w:trHeight w:val="1655"/>
        </w:trPr>
        <w:tc>
          <w:tcPr>
            <w:tcW w:w="1808" w:type="dxa"/>
          </w:tcPr>
          <w:p w14:paraId="488FB85A"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Decentralisation</w:t>
            </w:r>
          </w:p>
        </w:tc>
        <w:tc>
          <w:tcPr>
            <w:tcW w:w="2273" w:type="dxa"/>
          </w:tcPr>
          <w:p w14:paraId="4CA01FD9"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Allowed local clinical judgement by GPs, pharmacists, and healthcare professionals.</w:t>
            </w:r>
          </w:p>
        </w:tc>
        <w:tc>
          <w:tcPr>
            <w:tcW w:w="2400" w:type="dxa"/>
          </w:tcPr>
          <w:p w14:paraId="35F2A8CA"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Created inconsistent decisions, poor communication, and accountability gaps.</w:t>
            </w:r>
          </w:p>
        </w:tc>
        <w:tc>
          <w:tcPr>
            <w:tcW w:w="2541" w:type="dxa"/>
          </w:tcPr>
          <w:p w14:paraId="394228DF"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 xml:space="preserve">Incorrect 10 mg/5 ml product supplied; infant received </w:t>
            </w:r>
            <w:r w:rsidRPr="00FE584D">
              <w:rPr>
                <w:rFonts w:ascii="Arial" w:eastAsia="Arial" w:hAnsi="Arial" w:cs="Arial"/>
                <w:b/>
                <w:bCs/>
                <w:sz w:val="22"/>
                <w:szCs w:val="22"/>
              </w:rPr>
              <w:t>20 times</w:t>
            </w:r>
            <w:r w:rsidRPr="00FE584D">
              <w:rPr>
                <w:rFonts w:ascii="Arial" w:eastAsia="Arial" w:hAnsi="Arial" w:cs="Arial"/>
                <w:sz w:val="22"/>
                <w:szCs w:val="22"/>
              </w:rPr>
              <w:t xml:space="preserve"> the intended dose.</w:t>
            </w:r>
          </w:p>
        </w:tc>
      </w:tr>
      <w:tr w:rsidR="001839A3" w:rsidRPr="00FE584D" w14:paraId="401C63DD" w14:textId="77777777" w:rsidTr="00A46FB0">
        <w:trPr>
          <w:trHeight w:val="1655"/>
        </w:trPr>
        <w:tc>
          <w:tcPr>
            <w:tcW w:w="1808" w:type="dxa"/>
          </w:tcPr>
          <w:p w14:paraId="7C4E8738"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Hybrid Approach</w:t>
            </w:r>
          </w:p>
        </w:tc>
        <w:tc>
          <w:tcPr>
            <w:tcW w:w="2273" w:type="dxa"/>
          </w:tcPr>
          <w:p w14:paraId="6BA66C2C"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Combines national standards with local empowerment and teamwork.</w:t>
            </w:r>
          </w:p>
        </w:tc>
        <w:tc>
          <w:tcPr>
            <w:tcW w:w="2400" w:type="dxa"/>
          </w:tcPr>
          <w:p w14:paraId="6A90C580"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Requires strong communication systems and shared accountability.</w:t>
            </w:r>
          </w:p>
        </w:tc>
        <w:tc>
          <w:tcPr>
            <w:tcW w:w="2541" w:type="dxa"/>
          </w:tcPr>
          <w:p w14:paraId="4EF5A088" w14:textId="77777777" w:rsidR="001839A3" w:rsidRPr="00FE584D" w:rsidRDefault="00000000" w:rsidP="00CD358F">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Electronic discharge, multidisciplinary working, and governance monitoring recommended.</w:t>
            </w:r>
          </w:p>
        </w:tc>
      </w:tr>
    </w:tbl>
    <w:p w14:paraId="1C2FE2B0" w14:textId="77777777" w:rsidR="001839A3" w:rsidRPr="00FE584D" w:rsidRDefault="00000000" w:rsidP="00A43C03">
      <w:pPr>
        <w:pStyle w:val="Heading2"/>
        <w:spacing w:line="360" w:lineRule="auto"/>
        <w:rPr>
          <w:rFonts w:cs="Arial"/>
          <w:szCs w:val="22"/>
        </w:rPr>
      </w:pPr>
      <w:bookmarkStart w:id="32" w:name="_ef3zvdm4fln0" w:colFirst="0" w:colLast="0"/>
      <w:bookmarkStart w:id="33" w:name="_Toc235788945"/>
      <w:bookmarkEnd w:id="32"/>
      <w:r w:rsidRPr="00FE584D">
        <w:rPr>
          <w:rFonts w:cs="Arial"/>
          <w:szCs w:val="22"/>
        </w:rPr>
        <w:lastRenderedPageBreak/>
        <w:t>2.3 Leadership Theory Application</w:t>
      </w:r>
      <w:bookmarkEnd w:id="33"/>
    </w:p>
    <w:p w14:paraId="741845C3" w14:textId="77777777" w:rsidR="001839A3" w:rsidRPr="00FE584D" w:rsidRDefault="00000000" w:rsidP="00A43C03">
      <w:pPr>
        <w:pStyle w:val="Heading3"/>
        <w:spacing w:line="360" w:lineRule="auto"/>
        <w:rPr>
          <w:rFonts w:cs="Arial"/>
          <w:szCs w:val="22"/>
        </w:rPr>
      </w:pPr>
      <w:bookmarkStart w:id="34" w:name="_ee4b47fyhz3y" w:colFirst="0" w:colLast="0"/>
      <w:bookmarkStart w:id="35" w:name="_Toc235788946"/>
      <w:bookmarkEnd w:id="34"/>
      <w:r w:rsidRPr="00FE584D">
        <w:rPr>
          <w:rFonts w:cs="Arial"/>
          <w:szCs w:val="22"/>
        </w:rPr>
        <w:t>2.3.1 Transformational Leadership</w:t>
      </w:r>
      <w:bookmarkEnd w:id="35"/>
    </w:p>
    <w:p w14:paraId="62394326"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Introduce the concept of Transformational Leadership first, which emphasises getting employees to buy into a vision, innovate, empower and learn from the organisation continuously, rather than being just guided by rules and authority (‌Mohammed and AL-</w:t>
      </w:r>
      <w:proofErr w:type="spellStart"/>
      <w:r w:rsidRPr="00FE584D">
        <w:rPr>
          <w:rFonts w:ascii="Arial" w:eastAsia="Arial" w:hAnsi="Arial" w:cs="Arial"/>
          <w:sz w:val="22"/>
          <w:szCs w:val="22"/>
        </w:rPr>
        <w:t>Abrrow</w:t>
      </w:r>
      <w:proofErr w:type="spellEnd"/>
      <w:r w:rsidRPr="00FE584D">
        <w:rPr>
          <w:rFonts w:ascii="Arial" w:eastAsia="Arial" w:hAnsi="Arial" w:cs="Arial"/>
          <w:sz w:val="22"/>
          <w:szCs w:val="22"/>
        </w:rPr>
        <w:t>, 2023). Healthcare leaders that are transformational foster a culture of psychological safety, where employees feel free to voice concerns about unsafe behaviours and report mistakes.</w:t>
      </w:r>
    </w:p>
    <w:p w14:paraId="49D1E5A4"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noProof/>
          <w:sz w:val="22"/>
          <w:szCs w:val="22"/>
        </w:rPr>
        <w:drawing>
          <wp:inline distT="114300" distB="114300" distL="114300" distR="114300" wp14:anchorId="1EAAFE0E" wp14:editId="20E12A51">
            <wp:extent cx="2849400" cy="286105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849400" cy="2861054"/>
                    </a:xfrm>
                    <a:prstGeom prst="rect">
                      <a:avLst/>
                    </a:prstGeom>
                    <a:ln/>
                  </pic:spPr>
                </pic:pic>
              </a:graphicData>
            </a:graphic>
          </wp:inline>
        </w:drawing>
      </w:r>
    </w:p>
    <w:p w14:paraId="1463A071" w14:textId="0BA375A3" w:rsidR="001839A3" w:rsidRPr="00FE584D" w:rsidRDefault="00000000" w:rsidP="00A43C03">
      <w:pPr>
        <w:spacing w:before="240" w:after="240" w:line="360" w:lineRule="auto"/>
        <w:jc w:val="center"/>
        <w:rPr>
          <w:rFonts w:ascii="Arial" w:eastAsia="Arial" w:hAnsi="Arial" w:cs="Arial"/>
          <w:b/>
          <w:bCs/>
          <w:sz w:val="22"/>
          <w:szCs w:val="22"/>
        </w:rPr>
      </w:pPr>
      <w:r w:rsidRPr="00FE584D">
        <w:rPr>
          <w:rFonts w:ascii="Arial" w:eastAsia="Arial" w:hAnsi="Arial" w:cs="Arial"/>
          <w:b/>
          <w:bCs/>
          <w:sz w:val="22"/>
          <w:szCs w:val="22"/>
        </w:rPr>
        <w:t>Figure</w:t>
      </w:r>
      <w:r w:rsidR="00A46FB0" w:rsidRPr="00FE584D">
        <w:rPr>
          <w:rFonts w:ascii="Arial" w:eastAsia="Arial" w:hAnsi="Arial" w:cs="Arial"/>
          <w:b/>
          <w:bCs/>
          <w:sz w:val="22"/>
          <w:szCs w:val="22"/>
        </w:rPr>
        <w:t xml:space="preserve"> 2</w:t>
      </w:r>
      <w:r w:rsidRPr="00FE584D">
        <w:rPr>
          <w:rFonts w:ascii="Arial" w:eastAsia="Arial" w:hAnsi="Arial" w:cs="Arial"/>
          <w:b/>
          <w:bCs/>
          <w:sz w:val="22"/>
          <w:szCs w:val="22"/>
        </w:rPr>
        <w:t>: Transformational Leadership</w:t>
      </w:r>
    </w:p>
    <w:p w14:paraId="4D0EDD0D"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(Source: Susilo, 2024)</w:t>
      </w:r>
    </w:p>
    <w:p w14:paraId="4E4318EF"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Use this theory to discuss the infant morphine overdose situation, making the point that there was little transformational leadership in place up to the event. Despite the presence of a RED Drug policy, there was no cultural atmosphere within the organisation that drove staff to question unclear discharge documentation, question the use of the brand name Oramorph or question the unusual prescription (Drugs.com, 2025). Since the incident, however, NHS England has shown transformational leadership by implementing electronic discharge summaries, enhancing the RED Drug governance, providing staff education and training, recommending digital prescribing alerts and learning nationally across organisations. Critically analyse this response in light of the evidence. This was the fifth such incident since 2018, and one of the infant deaths, showing that learning from previous incidents was not sufficiently embedded (GOV.UK, 2018). </w:t>
      </w:r>
    </w:p>
    <w:p w14:paraId="7F206129" w14:textId="77777777" w:rsidR="001839A3" w:rsidRPr="00FE584D" w:rsidRDefault="00000000" w:rsidP="00A43C03">
      <w:pPr>
        <w:pStyle w:val="Heading3"/>
        <w:spacing w:line="360" w:lineRule="auto"/>
        <w:rPr>
          <w:rFonts w:cs="Arial"/>
          <w:szCs w:val="22"/>
        </w:rPr>
      </w:pPr>
      <w:bookmarkStart w:id="36" w:name="_Toc235788947"/>
      <w:r w:rsidRPr="00FE584D">
        <w:rPr>
          <w:rFonts w:cs="Arial"/>
          <w:szCs w:val="22"/>
        </w:rPr>
        <w:lastRenderedPageBreak/>
        <w:t>2.3.2 Transactional Leadership</w:t>
      </w:r>
      <w:bookmarkEnd w:id="36"/>
    </w:p>
    <w:p w14:paraId="183C6805"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Transactional leadership is connected to compliance, clear responsibilities, established procedures, and a reward and corrective feedback system (</w:t>
      </w:r>
      <w:proofErr w:type="spellStart"/>
      <w:r w:rsidRPr="00FE584D">
        <w:rPr>
          <w:rFonts w:ascii="Arial" w:eastAsia="Arial" w:hAnsi="Arial" w:cs="Arial"/>
          <w:sz w:val="22"/>
          <w:szCs w:val="22"/>
        </w:rPr>
        <w:t>Nurlina</w:t>
      </w:r>
      <w:proofErr w:type="spellEnd"/>
      <w:r w:rsidRPr="00FE584D">
        <w:rPr>
          <w:rFonts w:ascii="Arial" w:eastAsia="Arial" w:hAnsi="Arial" w:cs="Arial"/>
          <w:sz w:val="22"/>
          <w:szCs w:val="22"/>
        </w:rPr>
        <w:t>, 2022). This is a common method used in healthcare organisations as it is important to ensure patient safety is maintained by following clinical guidelines and governance frameworks.</w:t>
      </w:r>
    </w:p>
    <w:p w14:paraId="606F40AF"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noProof/>
          <w:sz w:val="22"/>
          <w:szCs w:val="22"/>
        </w:rPr>
        <w:drawing>
          <wp:inline distT="114300" distB="114300" distL="114300" distR="114300" wp14:anchorId="792126FC" wp14:editId="630D792F">
            <wp:extent cx="3343275" cy="314801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347383" cy="3151880"/>
                    </a:xfrm>
                    <a:prstGeom prst="rect">
                      <a:avLst/>
                    </a:prstGeom>
                    <a:ln/>
                  </pic:spPr>
                </pic:pic>
              </a:graphicData>
            </a:graphic>
          </wp:inline>
        </w:drawing>
      </w:r>
    </w:p>
    <w:p w14:paraId="2711749C" w14:textId="3031478F" w:rsidR="001839A3" w:rsidRPr="00FE584D" w:rsidRDefault="00000000" w:rsidP="00A43C03">
      <w:pPr>
        <w:spacing w:before="240" w:after="240" w:line="360" w:lineRule="auto"/>
        <w:jc w:val="center"/>
        <w:rPr>
          <w:rFonts w:ascii="Arial" w:eastAsia="Arial" w:hAnsi="Arial" w:cs="Arial"/>
          <w:b/>
          <w:bCs/>
          <w:sz w:val="22"/>
          <w:szCs w:val="22"/>
        </w:rPr>
      </w:pPr>
      <w:r w:rsidRPr="00FE584D">
        <w:rPr>
          <w:rFonts w:ascii="Arial" w:eastAsia="Arial" w:hAnsi="Arial" w:cs="Arial"/>
          <w:b/>
          <w:bCs/>
          <w:sz w:val="22"/>
          <w:szCs w:val="22"/>
        </w:rPr>
        <w:t>Figure</w:t>
      </w:r>
      <w:r w:rsidR="00A46FB0" w:rsidRPr="00FE584D">
        <w:rPr>
          <w:rFonts w:ascii="Arial" w:eastAsia="Arial" w:hAnsi="Arial" w:cs="Arial"/>
          <w:b/>
          <w:bCs/>
          <w:sz w:val="22"/>
          <w:szCs w:val="22"/>
        </w:rPr>
        <w:t xml:space="preserve"> 3</w:t>
      </w:r>
      <w:r w:rsidRPr="00FE584D">
        <w:rPr>
          <w:rFonts w:ascii="Arial" w:eastAsia="Arial" w:hAnsi="Arial" w:cs="Arial"/>
          <w:b/>
          <w:bCs/>
          <w:sz w:val="22"/>
          <w:szCs w:val="22"/>
        </w:rPr>
        <w:t>: Transactional Leadership</w:t>
      </w:r>
    </w:p>
    <w:p w14:paraId="63B341E3"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(Source: Self-created)</w:t>
      </w:r>
    </w:p>
    <w:p w14:paraId="6EF38AA9"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infant overdose of morphine shows that transactional leadership was present in RED Drug policies, Controlled Drug regulations, prescribing guidance from Integrated Care Board specialists and specialist-only prescribing. These governance arrangements made it clear that the 100 micrograms/ml morphine formulation should be kept in secondary care (Nhs.uk, 2023)‌. But compliance was not enough since the discharge summary was written by hand and thus did not go through these protections. The usual dosage was 10 mg/5 </w:t>
      </w:r>
      <w:proofErr w:type="spellStart"/>
      <w:r w:rsidRPr="00FE584D">
        <w:rPr>
          <w:rFonts w:ascii="Arial" w:eastAsia="Arial" w:hAnsi="Arial" w:cs="Arial"/>
          <w:sz w:val="22"/>
          <w:szCs w:val="22"/>
        </w:rPr>
        <w:t>mls</w:t>
      </w:r>
      <w:proofErr w:type="spellEnd"/>
      <w:r w:rsidRPr="00FE584D">
        <w:rPr>
          <w:rFonts w:ascii="Arial" w:eastAsia="Arial" w:hAnsi="Arial" w:cs="Arial"/>
          <w:sz w:val="22"/>
          <w:szCs w:val="22"/>
        </w:rPr>
        <w:t xml:space="preserve"> which was readily available in the community; the hospital-only preparation was not known by community pharmacists, and poor communication meant the error was not challenged.</w:t>
      </w:r>
    </w:p>
    <w:p w14:paraId="101B7680"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incident was regarded as a failure of governance controls, as highlighted in the evidence from the investigation by NHS England, suggesting that transactional leadership was failing to relay information to individuals, as they may rely on procedures without questioning them (Odero, 2023). This case hence illustrates that the only way that a policy can be implemented </w:t>
      </w:r>
      <w:r w:rsidRPr="00FE584D">
        <w:rPr>
          <w:rFonts w:ascii="Arial" w:eastAsia="Arial" w:hAnsi="Arial" w:cs="Arial"/>
          <w:sz w:val="22"/>
          <w:szCs w:val="22"/>
        </w:rPr>
        <w:lastRenderedPageBreak/>
        <w:t>to secure patient safety is through effective communication, leadership oversight and ongoing learning.</w:t>
      </w:r>
    </w:p>
    <w:p w14:paraId="089DBEC8" w14:textId="77777777" w:rsidR="001839A3" w:rsidRPr="00FE584D" w:rsidRDefault="00000000" w:rsidP="00A43C03">
      <w:pPr>
        <w:pStyle w:val="Heading3"/>
        <w:spacing w:line="360" w:lineRule="auto"/>
        <w:rPr>
          <w:rFonts w:cs="Arial"/>
          <w:szCs w:val="22"/>
        </w:rPr>
      </w:pPr>
      <w:bookmarkStart w:id="37" w:name="_7c2p93j1g101" w:colFirst="0" w:colLast="0"/>
      <w:bookmarkStart w:id="38" w:name="_Toc235788948"/>
      <w:bookmarkEnd w:id="37"/>
      <w:r w:rsidRPr="00FE584D">
        <w:rPr>
          <w:rFonts w:cs="Arial"/>
          <w:szCs w:val="22"/>
        </w:rPr>
        <w:t>2.3.3 Situational Leadership</w:t>
      </w:r>
      <w:bookmarkEnd w:id="38"/>
    </w:p>
    <w:p w14:paraId="26ACAD90"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Situational Leadership theory suggests that leadership style should vary based on the situation, the competence of staff and the organisational needs (Cortes, 2023). More supervision, collaboration and flexibility in decision making are needed in high-risk clinical situations than in routine care.</w:t>
      </w:r>
    </w:p>
    <w:p w14:paraId="498B3BE9" w14:textId="279962E3"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This was because situational leadership was not present in the discharge and prescribing process, but became apparent after the incident. Healthcare professionals did not initially consider the prescription a discharge, but rather, as a routine prescription; that is more, it was not considered a neonatal Red Drug (Del Pino-</w:t>
      </w:r>
      <w:proofErr w:type="spellStart"/>
      <w:r w:rsidRPr="00FE584D">
        <w:rPr>
          <w:rFonts w:ascii="Arial" w:eastAsia="Arial" w:hAnsi="Arial" w:cs="Arial"/>
          <w:sz w:val="22"/>
          <w:szCs w:val="22"/>
        </w:rPr>
        <w:t>Marchito</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2025). The investigation found that there were some adaptive improvements after the incident, such as the introduction of electronic discharge summaries, improvements to RED Drug identification in prescribing systems, multidisciplinary education, implementation of the Discharge Medicines Service (DMS) and governance reviews in Trusts and Integrated Care Boards.</w:t>
      </w:r>
    </w:p>
    <w:p w14:paraId="7D86483C"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This adaptive strategy is supported by evidence. Organisations implementing adaptive leadership are 15-20% quicker in recovery from clinical safety incidents than organisations with rigid hierarchical approaches (OECD, 2022)‌. The NHS investigation also found that better communication between the different medical teams and timely specialist input would have minimised the risk of the medication error occurring.</w:t>
      </w:r>
    </w:p>
    <w:p w14:paraId="238E29E6" w14:textId="77777777" w:rsidR="001839A3" w:rsidRPr="00FE584D" w:rsidRDefault="00000000" w:rsidP="00A43C03">
      <w:pPr>
        <w:pStyle w:val="Heading3"/>
        <w:spacing w:line="360" w:lineRule="auto"/>
        <w:rPr>
          <w:rFonts w:cs="Arial"/>
          <w:szCs w:val="22"/>
        </w:rPr>
      </w:pPr>
      <w:bookmarkStart w:id="39" w:name="_xigwckkzzucb" w:colFirst="0" w:colLast="0"/>
      <w:bookmarkStart w:id="40" w:name="_Toc235788949"/>
      <w:bookmarkEnd w:id="39"/>
      <w:r w:rsidRPr="00FE584D">
        <w:rPr>
          <w:rFonts w:cs="Arial"/>
          <w:szCs w:val="22"/>
        </w:rPr>
        <w:t>2.3.4 Distributed Leadership</w:t>
      </w:r>
      <w:bookmarkEnd w:id="40"/>
    </w:p>
    <w:p w14:paraId="1FEA1906" w14:textId="62C6FAE9"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Distributed leadership recognise that there is a shared responsibility for patient safety within multidisciplinary teams, not just one person (Carstensen </w:t>
      </w:r>
      <w:r w:rsidR="00C6298B" w:rsidRPr="00FE584D">
        <w:rPr>
          <w:rFonts w:ascii="Arial" w:eastAsia="Arial" w:hAnsi="Arial" w:cs="Arial"/>
          <w:i/>
          <w:iCs/>
          <w:sz w:val="22"/>
          <w:szCs w:val="22"/>
        </w:rPr>
        <w:t>et al.</w:t>
      </w:r>
      <w:r w:rsidRPr="00FE584D">
        <w:rPr>
          <w:rFonts w:ascii="Arial" w:eastAsia="Arial" w:hAnsi="Arial" w:cs="Arial"/>
          <w:sz w:val="22"/>
          <w:szCs w:val="22"/>
        </w:rPr>
        <w:t>, 2023). Today's health care systems demand collaboration among the clinician, the pharmacist, the manager, the patient and the health care organisation.</w:t>
      </w:r>
    </w:p>
    <w:p w14:paraId="72CEC50E"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noProof/>
          <w:sz w:val="22"/>
          <w:szCs w:val="22"/>
        </w:rPr>
        <w:lastRenderedPageBreak/>
        <w:drawing>
          <wp:inline distT="114300" distB="114300" distL="114300" distR="114300" wp14:anchorId="734268D6" wp14:editId="55BCD5F9">
            <wp:extent cx="3228975" cy="33432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228975" cy="3343275"/>
                    </a:xfrm>
                    <a:prstGeom prst="rect">
                      <a:avLst/>
                    </a:prstGeom>
                    <a:ln/>
                  </pic:spPr>
                </pic:pic>
              </a:graphicData>
            </a:graphic>
          </wp:inline>
        </w:drawing>
      </w:r>
    </w:p>
    <w:p w14:paraId="016AAE0A" w14:textId="3F2A96B5" w:rsidR="001839A3" w:rsidRPr="00FE584D" w:rsidRDefault="00000000" w:rsidP="00A43C03">
      <w:pPr>
        <w:spacing w:before="240" w:after="240" w:line="360" w:lineRule="auto"/>
        <w:jc w:val="center"/>
        <w:rPr>
          <w:rFonts w:ascii="Arial" w:eastAsia="Arial" w:hAnsi="Arial" w:cs="Arial"/>
          <w:b/>
          <w:bCs/>
          <w:sz w:val="22"/>
          <w:szCs w:val="22"/>
        </w:rPr>
      </w:pPr>
      <w:r w:rsidRPr="00FE584D">
        <w:rPr>
          <w:rFonts w:ascii="Arial" w:eastAsia="Arial" w:hAnsi="Arial" w:cs="Arial"/>
          <w:b/>
          <w:bCs/>
          <w:sz w:val="22"/>
          <w:szCs w:val="22"/>
        </w:rPr>
        <w:t>Figure</w:t>
      </w:r>
      <w:r w:rsidR="00A46FB0" w:rsidRPr="00FE584D">
        <w:rPr>
          <w:rFonts w:ascii="Arial" w:eastAsia="Arial" w:hAnsi="Arial" w:cs="Arial"/>
          <w:b/>
          <w:bCs/>
          <w:sz w:val="22"/>
          <w:szCs w:val="22"/>
        </w:rPr>
        <w:t xml:space="preserve"> 4</w:t>
      </w:r>
      <w:r w:rsidRPr="00FE584D">
        <w:rPr>
          <w:rFonts w:ascii="Arial" w:eastAsia="Arial" w:hAnsi="Arial" w:cs="Arial"/>
          <w:b/>
          <w:bCs/>
          <w:sz w:val="22"/>
          <w:szCs w:val="22"/>
        </w:rPr>
        <w:t>: Distributed Leadership</w:t>
      </w:r>
    </w:p>
    <w:p w14:paraId="74A36429" w14:textId="77777777" w:rsidR="001839A3" w:rsidRPr="00FE584D" w:rsidRDefault="00000000" w:rsidP="00A43C03">
      <w:pPr>
        <w:spacing w:before="240" w:after="240" w:line="360" w:lineRule="auto"/>
        <w:jc w:val="center"/>
        <w:rPr>
          <w:rFonts w:ascii="Arial" w:eastAsia="Arial" w:hAnsi="Arial" w:cs="Arial"/>
          <w:sz w:val="22"/>
          <w:szCs w:val="22"/>
        </w:rPr>
      </w:pPr>
      <w:r w:rsidRPr="00FE584D">
        <w:rPr>
          <w:rFonts w:ascii="Arial" w:eastAsia="Arial" w:hAnsi="Arial" w:cs="Arial"/>
          <w:sz w:val="22"/>
          <w:szCs w:val="22"/>
        </w:rPr>
        <w:t>(Source: Liu and Werblow, 2019)</w:t>
      </w:r>
    </w:p>
    <w:p w14:paraId="3B467162" w14:textId="119F53B5"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infant overdose with morphine is a failure of the distributed leadership along the care pathway. Hospital clinicians provided an unclear handwritten discharge summary, hospital pharmacists did not communicate with the GP that the RED Drug should not have been transferred to primary care, GP selected the wrong formulation of red drug, community pharmacists did not contact the GP directly, despite concerns, pharmacy staff did not calculate and document the administration volume, and parents received inadequate counselling and no 1 ml oral syringe (de Wit </w:t>
      </w:r>
      <w:r w:rsidR="00C6298B" w:rsidRPr="00FE584D">
        <w:rPr>
          <w:rFonts w:ascii="Arial" w:eastAsia="Arial" w:hAnsi="Arial" w:cs="Arial"/>
          <w:i/>
          <w:iCs/>
          <w:sz w:val="22"/>
          <w:szCs w:val="22"/>
        </w:rPr>
        <w:t>et al.</w:t>
      </w:r>
      <w:r w:rsidRPr="00FE584D">
        <w:rPr>
          <w:rFonts w:ascii="Arial" w:eastAsia="Arial" w:hAnsi="Arial" w:cs="Arial"/>
          <w:sz w:val="22"/>
          <w:szCs w:val="22"/>
        </w:rPr>
        <w:t>, 2022). Even though each professional took part in the process, no one took over the responsibility of ensuring the safety of medicines as a whole.</w:t>
      </w:r>
    </w:p>
    <w:p w14:paraId="18787E9E" w14:textId="46D3C8DF"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NHS England therefore advised more collaborative working between the multidisciplinary team, direct clinician-to-clinician communication, better pharmacist counselling, better governance reviews and better learning and sharing between Trusts and Integrated Care Boards (ICBs) (Carstensen </w:t>
      </w:r>
      <w:r w:rsidR="00C6298B" w:rsidRPr="00FE584D">
        <w:rPr>
          <w:rFonts w:ascii="Arial" w:eastAsia="Arial" w:hAnsi="Arial" w:cs="Arial"/>
          <w:i/>
          <w:iCs/>
          <w:sz w:val="22"/>
          <w:szCs w:val="22"/>
        </w:rPr>
        <w:t>et al.</w:t>
      </w:r>
      <w:r w:rsidRPr="00FE584D">
        <w:rPr>
          <w:rFonts w:ascii="Arial" w:eastAsia="Arial" w:hAnsi="Arial" w:cs="Arial"/>
          <w:sz w:val="22"/>
          <w:szCs w:val="22"/>
        </w:rPr>
        <w:t>, 2023). The recommendations are based on the principles of distributed leadership that support shared responsibility instead of individual professional decision-making.</w:t>
      </w:r>
    </w:p>
    <w:p w14:paraId="619E27D9" w14:textId="77777777" w:rsidR="001839A3" w:rsidRPr="00FE584D" w:rsidRDefault="00000000" w:rsidP="00A43C03">
      <w:pPr>
        <w:pStyle w:val="Heading2"/>
        <w:spacing w:line="360" w:lineRule="auto"/>
        <w:rPr>
          <w:rFonts w:cs="Arial"/>
          <w:szCs w:val="22"/>
        </w:rPr>
      </w:pPr>
      <w:bookmarkStart w:id="41" w:name="_6w6zj7grmn92" w:colFirst="0" w:colLast="0"/>
      <w:bookmarkStart w:id="42" w:name="_Toc235788950"/>
      <w:bookmarkEnd w:id="41"/>
      <w:r w:rsidRPr="00FE584D">
        <w:rPr>
          <w:rFonts w:cs="Arial"/>
          <w:szCs w:val="22"/>
        </w:rPr>
        <w:lastRenderedPageBreak/>
        <w:t>2.4 Critique, Improvements and Lessons Learned</w:t>
      </w:r>
      <w:bookmarkEnd w:id="42"/>
      <w:r w:rsidRPr="00FE584D">
        <w:rPr>
          <w:rFonts w:cs="Arial"/>
          <w:szCs w:val="22"/>
        </w:rPr>
        <w:t xml:space="preserve"> </w:t>
      </w:r>
    </w:p>
    <w:p w14:paraId="0B6B8F5E" w14:textId="77777777" w:rsidR="001839A3" w:rsidRPr="00FE584D" w:rsidRDefault="00000000" w:rsidP="00A43C03">
      <w:pPr>
        <w:pStyle w:val="Heading3"/>
        <w:spacing w:line="360" w:lineRule="auto"/>
        <w:rPr>
          <w:rFonts w:cs="Arial"/>
          <w:szCs w:val="22"/>
        </w:rPr>
      </w:pPr>
      <w:bookmarkStart w:id="43" w:name="_qrmx4uo4xzoo" w:colFirst="0" w:colLast="0"/>
      <w:bookmarkStart w:id="44" w:name="_Toc235788951"/>
      <w:bookmarkEnd w:id="43"/>
      <w:r w:rsidRPr="00FE584D">
        <w:rPr>
          <w:rFonts w:cs="Arial"/>
          <w:szCs w:val="22"/>
        </w:rPr>
        <w:t>2.4.1 Poor Communication</w:t>
      </w:r>
      <w:bookmarkEnd w:id="44"/>
      <w:r w:rsidRPr="00FE584D">
        <w:rPr>
          <w:rFonts w:cs="Arial"/>
          <w:szCs w:val="22"/>
        </w:rPr>
        <w:t xml:space="preserve"> </w:t>
      </w:r>
    </w:p>
    <w:p w14:paraId="3867D354" w14:textId="071B6359"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Communication failures were identified as one of the underlying causes of the infant overdose with morphine, which reflects the inadequacies in the dissemination of information within and between organisations (Nwokedi and Akanbi, 2025). The discharge summary was written by hand and abbreviated to say "mcg" and referred to the medicine by its trade name "Oramorph", but did not clearly state the formulation, concentration or volume of medicine. In addition, clinician-to-clinician discussion was not the direct mode of communication between the GP practice and community pharmacy, but rather via a community pharmacy technician and reception staff (Carroll </w:t>
      </w:r>
      <w:r w:rsidR="00C6298B" w:rsidRPr="00FE584D">
        <w:rPr>
          <w:rFonts w:ascii="Arial" w:eastAsia="Arial" w:hAnsi="Arial" w:cs="Arial"/>
          <w:i/>
          <w:iCs/>
          <w:sz w:val="22"/>
          <w:szCs w:val="22"/>
        </w:rPr>
        <w:t>et al.</w:t>
      </w:r>
      <w:r w:rsidRPr="00FE584D">
        <w:rPr>
          <w:rFonts w:ascii="Arial" w:eastAsia="Arial" w:hAnsi="Arial" w:cs="Arial"/>
          <w:sz w:val="22"/>
          <w:szCs w:val="22"/>
        </w:rPr>
        <w:t>, 2024).</w:t>
      </w:r>
    </w:p>
    <w:p w14:paraId="0223109D"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investigation revealed that the baby was given 3.8mg, as opposed to the intended 190 micrograms, making the infant 20 times overdosed. NHS England also said this was the fifth occasion on a national level of this sort since 2018, one of which led to the death of an infant (Nhs.uk, 2023)‌. These recurring incidents indicate that a system problem is occurring. This is not an isolated incident; it is recurring.</w:t>
      </w:r>
    </w:p>
    <w:p w14:paraId="16411B5F" w14:textId="78C5CB6E"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provision of electronic discharge summaries with required information on the medicine name, formulation, strength, dose and volume would lessen ambiguity and continuity of care. There should be a standardisation of documentation, with the elimination of unsafe abbreviations like 'mcg' and the use of generic drug names (Carroll </w:t>
      </w:r>
      <w:r w:rsidR="00C6298B" w:rsidRPr="00FE584D">
        <w:rPr>
          <w:rFonts w:ascii="Arial" w:eastAsia="Arial" w:hAnsi="Arial" w:cs="Arial"/>
          <w:i/>
          <w:iCs/>
          <w:sz w:val="22"/>
          <w:szCs w:val="22"/>
        </w:rPr>
        <w:t>et al.</w:t>
      </w:r>
      <w:r w:rsidRPr="00FE584D">
        <w:rPr>
          <w:rFonts w:ascii="Arial" w:eastAsia="Arial" w:hAnsi="Arial" w:cs="Arial"/>
          <w:sz w:val="22"/>
          <w:szCs w:val="22"/>
        </w:rPr>
        <w:t>, 2024). Where medicines are considered to be at high risk, regular clinician-to-clinician communication between hospital specialists, GPs and pharmacists should be made compulsory to ensure the correct interpretation of prescribing information.</w:t>
      </w:r>
    </w:p>
    <w:p w14:paraId="5AC3D82A" w14:textId="77777777" w:rsidR="001839A3" w:rsidRPr="00FE584D" w:rsidRDefault="00000000" w:rsidP="00A43C03">
      <w:pPr>
        <w:pStyle w:val="Heading3"/>
        <w:spacing w:line="360" w:lineRule="auto"/>
        <w:rPr>
          <w:rFonts w:cs="Arial"/>
          <w:szCs w:val="22"/>
        </w:rPr>
      </w:pPr>
      <w:bookmarkStart w:id="45" w:name="_vli2yyd7gmpq" w:colFirst="0" w:colLast="0"/>
      <w:bookmarkStart w:id="46" w:name="_Toc235788952"/>
      <w:bookmarkEnd w:id="45"/>
      <w:r w:rsidRPr="00FE584D">
        <w:rPr>
          <w:rFonts w:cs="Arial"/>
          <w:szCs w:val="22"/>
        </w:rPr>
        <w:t>2.4.2 Weak Governance</w:t>
      </w:r>
      <w:bookmarkEnd w:id="46"/>
      <w:r w:rsidRPr="00FE584D">
        <w:rPr>
          <w:rFonts w:cs="Arial"/>
          <w:szCs w:val="22"/>
        </w:rPr>
        <w:t xml:space="preserve"> </w:t>
      </w:r>
    </w:p>
    <w:p w14:paraId="2648AD22"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Governance mechanisms were put in place, but were not effective. Morphine sulphate 100 micrograms/ml was identified as a RED Drug, which is defined as a medicine that must only be prescribed and dispensed within secondary care, under specialist guidance (Nhs.uk, 2023)‌. The discharge system, however, failed to respect the intended governance system and placed the responsibility for the discharge onto primary care. This is a mismatch between policy design and operational practice, as compliance was based on the interpretation of the individual and did not rely on good organisational systems in place.</w:t>
      </w:r>
    </w:p>
    <w:p w14:paraId="4D26BE14" w14:textId="24C1278E"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Although there are RED Drug policies, the GP prescribes the medicine in a primary care setting, and the community pharmacy dispenses an inappropriate formulation (</w:t>
      </w:r>
      <w:proofErr w:type="spellStart"/>
      <w:r w:rsidRPr="00FE584D">
        <w:rPr>
          <w:rFonts w:ascii="Arial" w:eastAsia="Arial" w:hAnsi="Arial" w:cs="Arial"/>
          <w:sz w:val="22"/>
          <w:szCs w:val="22"/>
        </w:rPr>
        <w:t>Intahphuak</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2022). NHS England then recommended that discharge governance be reviewed, that </w:t>
      </w:r>
      <w:r w:rsidRPr="00FE584D">
        <w:rPr>
          <w:rFonts w:ascii="Arial" w:eastAsia="Arial" w:hAnsi="Arial" w:cs="Arial"/>
          <w:sz w:val="22"/>
          <w:szCs w:val="22"/>
        </w:rPr>
        <w:lastRenderedPageBreak/>
        <w:t>there be further work on electronic RED Drug alerts and that the process of organisational assurance be strengthened. Since 2018, there have been five national incidents, including one fatality, that highlight the need for system-wide action as a result of failures in governance, not just one Trust (Nhs.uk, 2023)‌.</w:t>
      </w:r>
    </w:p>
    <w:p w14:paraId="6256DF1A" w14:textId="1382FE4D"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Governance should be more than simply having policies written down; it should also involve active monitoring and accountability. Electronic prescribing should identify RED Drugs and block inappropriate prescribing in the out-of-secondary-care setting (Sheikh </w:t>
      </w:r>
      <w:r w:rsidR="00C6298B" w:rsidRPr="00FE584D">
        <w:rPr>
          <w:rFonts w:ascii="Arial" w:eastAsia="Arial" w:hAnsi="Arial" w:cs="Arial"/>
          <w:i/>
          <w:iCs/>
          <w:sz w:val="22"/>
          <w:szCs w:val="22"/>
        </w:rPr>
        <w:t>et al.</w:t>
      </w:r>
      <w:r w:rsidRPr="00FE584D">
        <w:rPr>
          <w:rFonts w:ascii="Arial" w:eastAsia="Arial" w:hAnsi="Arial" w:cs="Arial"/>
          <w:sz w:val="22"/>
          <w:szCs w:val="22"/>
        </w:rPr>
        <w:t>, 2022). Compliance would be enhanced through regular governance audits, multidisciplinary medication safety reviews and through the work of the Integrated Care Board.</w:t>
      </w:r>
    </w:p>
    <w:p w14:paraId="39B9E07B" w14:textId="77777777" w:rsidR="001839A3" w:rsidRPr="00FE584D" w:rsidRDefault="00000000" w:rsidP="00A43C03">
      <w:pPr>
        <w:pStyle w:val="Heading3"/>
        <w:spacing w:line="360" w:lineRule="auto"/>
        <w:rPr>
          <w:rFonts w:cs="Arial"/>
          <w:szCs w:val="22"/>
        </w:rPr>
      </w:pPr>
      <w:bookmarkStart w:id="47" w:name="_8vmi2hy519ud" w:colFirst="0" w:colLast="0"/>
      <w:bookmarkStart w:id="48" w:name="_Toc235788953"/>
      <w:bookmarkEnd w:id="47"/>
      <w:r w:rsidRPr="00FE584D">
        <w:rPr>
          <w:rFonts w:cs="Arial"/>
          <w:szCs w:val="22"/>
        </w:rPr>
        <w:t>2.4.3 Inadequate Parent Education</w:t>
      </w:r>
      <w:bookmarkEnd w:id="48"/>
    </w:p>
    <w:p w14:paraId="2AE5A813" w14:textId="17E0675B"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Parents were found to be the final obstacle in the medication pathway but lacked the knowledge to recognise the dispensing error (Giva </w:t>
      </w:r>
      <w:r w:rsidR="00C6298B" w:rsidRPr="00FE584D">
        <w:rPr>
          <w:rFonts w:ascii="Arial" w:eastAsia="Arial" w:hAnsi="Arial" w:cs="Arial"/>
          <w:i/>
          <w:iCs/>
          <w:sz w:val="22"/>
          <w:szCs w:val="22"/>
        </w:rPr>
        <w:t>et al.</w:t>
      </w:r>
      <w:r w:rsidRPr="00FE584D">
        <w:rPr>
          <w:rFonts w:ascii="Arial" w:eastAsia="Arial" w:hAnsi="Arial" w:cs="Arial"/>
          <w:sz w:val="22"/>
          <w:szCs w:val="22"/>
        </w:rPr>
        <w:t>, 2026). The medication was not systematically given to them; they were not given any information on the strength of the medicine; they were not given information on the correct dose volume, and they were not given a 1 ml oral syringe for accurate small dose administration. They therefore proceeded to give the same 1.9 ml dose which they had previously given in hospital without realising that they were giving a toxic dose (Nhs.uk, 2023)‌.</w:t>
      </w:r>
    </w:p>
    <w:p w14:paraId="476DAF21"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investigation found that the parents administered 3.8mg, whereas 190mcg was required, which led to emergency treatment with naloxone (Nhs.uk, 2023). Failure to show dose measurement and lack of adequate counselling were identified by NHS England as significant factors, and counselling at all points in the medication journey was recommended.</w:t>
      </w:r>
    </w:p>
    <w:p w14:paraId="55E450BD"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Medication safety should not be a stand-alone patient education activity. The teach-back approach should be implemented in healthcare, where parents are asked to restate information so that they understand (Kent and Hollywood, 2026). Pharmacists should use a 1 ml oral syringe to demonstrate dose measurement, give written instructions on medicine administration and ensure parents check the strength of the medicine before they leave the pharmacy. Improving patient involvement provides another layer of security that can prevent harm from occurring and detect errors.</w:t>
      </w:r>
    </w:p>
    <w:p w14:paraId="32FA5500" w14:textId="77777777" w:rsidR="001839A3" w:rsidRPr="00FE584D" w:rsidRDefault="00000000" w:rsidP="00A43C03">
      <w:pPr>
        <w:pStyle w:val="Heading3"/>
        <w:spacing w:line="360" w:lineRule="auto"/>
        <w:rPr>
          <w:rFonts w:cs="Arial"/>
          <w:szCs w:val="22"/>
        </w:rPr>
      </w:pPr>
      <w:bookmarkStart w:id="49" w:name="_yta2xix5onw" w:colFirst="0" w:colLast="0"/>
      <w:bookmarkStart w:id="50" w:name="_Toc235788954"/>
      <w:bookmarkEnd w:id="49"/>
      <w:r w:rsidRPr="00FE584D">
        <w:rPr>
          <w:rFonts w:cs="Arial"/>
          <w:szCs w:val="22"/>
        </w:rPr>
        <w:t>2.4.4 Knowledge Gaps and Organisational Learning</w:t>
      </w:r>
      <w:bookmarkEnd w:id="50"/>
    </w:p>
    <w:p w14:paraId="489BC1E2"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Professional knowledge gaps were also identified at a high level in various health care environments. However, the GP did not know that 100 micrograms/ml morphine oral solution was a hospital only specials product and so chose the more commonly available 10 mg/5 ml </w:t>
      </w:r>
      <w:r w:rsidRPr="00FE584D">
        <w:rPr>
          <w:rFonts w:ascii="Arial" w:eastAsia="Arial" w:hAnsi="Arial" w:cs="Arial"/>
          <w:sz w:val="22"/>
          <w:szCs w:val="22"/>
        </w:rPr>
        <w:lastRenderedPageBreak/>
        <w:t>formulation (Nhs.uk, 2023)‌. Likewise, neither community pharmacists were knowledgeable of the specialist preparation, and both made assumptions without seeking clarification. The lack of these abilities highlights flaws in multidisciplinary working, CPD and organisational learning.</w:t>
      </w:r>
    </w:p>
    <w:p w14:paraId="1A69CFA0"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Two pharmacists dispensed were not aware of the hospital-only </w:t>
      </w:r>
      <w:proofErr w:type="spellStart"/>
      <w:r w:rsidRPr="00FE584D">
        <w:rPr>
          <w:rFonts w:ascii="Arial" w:eastAsia="Arial" w:hAnsi="Arial" w:cs="Arial"/>
          <w:sz w:val="22"/>
          <w:szCs w:val="22"/>
        </w:rPr>
        <w:t>formulation,n</w:t>
      </w:r>
      <w:proofErr w:type="spellEnd"/>
      <w:r w:rsidRPr="00FE584D">
        <w:rPr>
          <w:rFonts w:ascii="Arial" w:eastAsia="Arial" w:hAnsi="Arial" w:cs="Arial"/>
          <w:sz w:val="22"/>
          <w:szCs w:val="22"/>
        </w:rPr>
        <w:t xml:space="preserve"> and the GP used the discharge summary in accordance with their prescribing practice. The recommended actions as a result of this were: targeted education programmes; increase awareness of RED Drugs; electronic prescribing alerts and spread of learning from the incident (Nhs.uk, 2022).</w:t>
      </w:r>
    </w:p>
    <w:p w14:paraId="684EDC67" w14:textId="1FA72279"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Education on RED Drugs and high-risk medicines should be compulsory for all health care organisations, including hospitals, primary care and community pharmacy. Electronic prescribing systems should alert the prescriber to uncommon formulations to aid in clinical decision-making (Nhs.uk, 2022). Multidisciplinary simulation exercises, ongoing CPD programmes and incident learning forums would enhance the sharing of knowledge and minimise individual reliance on learning by memory (Fernandes </w:t>
      </w:r>
      <w:r w:rsidR="00C6298B" w:rsidRPr="00FE584D">
        <w:rPr>
          <w:rFonts w:ascii="Arial" w:eastAsia="Arial" w:hAnsi="Arial" w:cs="Arial"/>
          <w:i/>
          <w:iCs/>
          <w:sz w:val="22"/>
          <w:szCs w:val="22"/>
        </w:rPr>
        <w:t>et al.</w:t>
      </w:r>
      <w:r w:rsidRPr="00FE584D">
        <w:rPr>
          <w:rFonts w:ascii="Arial" w:eastAsia="Arial" w:hAnsi="Arial" w:cs="Arial"/>
          <w:sz w:val="22"/>
          <w:szCs w:val="22"/>
        </w:rPr>
        <w:t>, 2023).</w:t>
      </w:r>
    </w:p>
    <w:p w14:paraId="346A4CDC" w14:textId="77777777" w:rsidR="001839A3" w:rsidRPr="00FE584D" w:rsidRDefault="00000000" w:rsidP="00A43C03">
      <w:pPr>
        <w:pStyle w:val="Heading1"/>
        <w:rPr>
          <w:rFonts w:cs="Arial"/>
          <w:szCs w:val="22"/>
        </w:rPr>
      </w:pPr>
      <w:bookmarkStart w:id="51" w:name="_wq4vk9olw0xx" w:colFirst="0" w:colLast="0"/>
      <w:bookmarkStart w:id="52" w:name="_Toc235788955"/>
      <w:bookmarkEnd w:id="51"/>
      <w:r w:rsidRPr="00FE584D">
        <w:rPr>
          <w:rFonts w:cs="Arial"/>
          <w:szCs w:val="22"/>
        </w:rPr>
        <w:t>3. Recommendations</w:t>
      </w:r>
      <w:bookmarkEnd w:id="52"/>
    </w:p>
    <w:p w14:paraId="6D136DE9" w14:textId="77777777" w:rsidR="001839A3" w:rsidRPr="00FE584D" w:rsidRDefault="00000000" w:rsidP="00A43C03">
      <w:pPr>
        <w:pStyle w:val="Heading2"/>
        <w:spacing w:line="360" w:lineRule="auto"/>
        <w:rPr>
          <w:rFonts w:cs="Arial"/>
          <w:b w:val="0"/>
          <w:szCs w:val="22"/>
        </w:rPr>
      </w:pPr>
      <w:bookmarkStart w:id="53" w:name="_4k9tq27tw3hz" w:colFirst="0" w:colLast="0"/>
      <w:bookmarkStart w:id="54" w:name="_Toc235788956"/>
      <w:bookmarkEnd w:id="53"/>
      <w:r w:rsidRPr="00FE584D">
        <w:rPr>
          <w:rFonts w:cs="Arial"/>
          <w:szCs w:val="22"/>
        </w:rPr>
        <w:t>3.1 Leadership</w:t>
      </w:r>
      <w:bookmarkEnd w:id="54"/>
    </w:p>
    <w:p w14:paraId="1D6C6341" w14:textId="44DC6E8A"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Healthcare organisations should adopt a transformational leadership approach to create a culture that prioritises patient safety, continuous learning, and open communication (Fernandes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2023). Leaders need to ensure that there is a clear vision and message for medication safety, that staff feel free to report concerns without fear of blame, and that innovative practice in clinical care is encouraged. Distributed leadership is to be championed as well as transformational leadership, by delegating responsibility across the hospital workforce, the pharmacy workforce, GPs, community pharmacy workforce and Integrated Care Boards, to enhance co-ordination between different organisations. Additionally, emotionally intelligent leadership should be ingrained in the organisation through leadership development initiatives focused on enhanced empathy, team collaboration, and psychological safety, empowering employees to challenge ambiguous instructions, voice their opinions without hesitation, and engage in shared decision-making (Attah </w:t>
      </w:r>
      <w:r w:rsidR="00C6298B" w:rsidRPr="00FE584D">
        <w:rPr>
          <w:rFonts w:ascii="Arial" w:eastAsia="Arial" w:hAnsi="Arial" w:cs="Arial"/>
          <w:i/>
          <w:iCs/>
          <w:sz w:val="22"/>
          <w:szCs w:val="22"/>
        </w:rPr>
        <w:t>et al.</w:t>
      </w:r>
      <w:r w:rsidRPr="00FE584D">
        <w:rPr>
          <w:rFonts w:ascii="Arial" w:eastAsia="Arial" w:hAnsi="Arial" w:cs="Arial"/>
          <w:sz w:val="22"/>
          <w:szCs w:val="22"/>
        </w:rPr>
        <w:t>, 2024).</w:t>
      </w:r>
    </w:p>
    <w:p w14:paraId="622885C2" w14:textId="77777777" w:rsidR="001839A3" w:rsidRPr="00FE584D" w:rsidRDefault="00000000" w:rsidP="00A43C03">
      <w:pPr>
        <w:pStyle w:val="Heading2"/>
        <w:spacing w:line="360" w:lineRule="auto"/>
        <w:rPr>
          <w:rFonts w:cs="Arial"/>
          <w:szCs w:val="22"/>
        </w:rPr>
      </w:pPr>
      <w:bookmarkStart w:id="55" w:name="_Toc235788957"/>
      <w:r w:rsidRPr="00FE584D">
        <w:rPr>
          <w:rFonts w:cs="Arial"/>
          <w:szCs w:val="22"/>
        </w:rPr>
        <w:t>3.2 Governance</w:t>
      </w:r>
      <w:bookmarkEnd w:id="55"/>
    </w:p>
    <w:p w14:paraId="47A058D0" w14:textId="1AF4E45C"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Governance arrangements need to be enhanced by regular audits of the prescribing, dispensing and discharge of drugs for RED, ensuring that good practice is in line with guidance issued by NHS England. Electronic prescribing systems should automatically alert to the prescription of RED Drugs and block users from prescribing outside of approved care pathways without specialist sign-off (Gallier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2022). To detect emerging risks, Trust </w:t>
      </w:r>
      <w:r w:rsidRPr="00FE584D">
        <w:rPr>
          <w:rFonts w:ascii="Arial" w:eastAsia="Arial" w:hAnsi="Arial" w:cs="Arial"/>
          <w:sz w:val="22"/>
          <w:szCs w:val="22"/>
        </w:rPr>
        <w:lastRenderedPageBreak/>
        <w:t>governance committees and Integrated Care Boards should keep an eye on medication safety indicators through real-time medication safety dashboards, medication incident reports and compliance information. There needs to be clear accountability throughout hospital, primary care, and community pharmacy services; regular multidisciplinary governance meetings for medication incidents, corrective actions, and continuous performance monitoring for improvement (</w:t>
      </w:r>
      <w:proofErr w:type="spellStart"/>
      <w:r w:rsidRPr="00FE584D">
        <w:rPr>
          <w:rFonts w:ascii="Arial" w:eastAsia="Arial" w:hAnsi="Arial" w:cs="Arial"/>
          <w:sz w:val="22"/>
          <w:szCs w:val="22"/>
        </w:rPr>
        <w:t>Balikubiri</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2025).</w:t>
      </w:r>
    </w:p>
    <w:p w14:paraId="6D7C0EA2" w14:textId="77777777" w:rsidR="001839A3" w:rsidRPr="00FE584D" w:rsidRDefault="00000000" w:rsidP="00A43C03">
      <w:pPr>
        <w:pStyle w:val="Heading2"/>
        <w:spacing w:line="360" w:lineRule="auto"/>
        <w:rPr>
          <w:rFonts w:cs="Arial"/>
          <w:szCs w:val="22"/>
        </w:rPr>
      </w:pPr>
      <w:bookmarkStart w:id="56" w:name="_Toc235788958"/>
      <w:r w:rsidRPr="00FE584D">
        <w:rPr>
          <w:rFonts w:cs="Arial"/>
          <w:szCs w:val="22"/>
        </w:rPr>
        <w:t>3.3 Communication</w:t>
      </w:r>
      <w:bookmarkEnd w:id="56"/>
    </w:p>
    <w:p w14:paraId="4B4A4C58" w14:textId="774C9CA4"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The communication processes need to be standardised throughout the patient pathway to reduce the risk of medication errors (Alhur </w:t>
      </w:r>
      <w:r w:rsidR="00C6298B" w:rsidRPr="00FE584D">
        <w:rPr>
          <w:rFonts w:ascii="Arial" w:eastAsia="Arial" w:hAnsi="Arial" w:cs="Arial"/>
          <w:i/>
          <w:iCs/>
          <w:sz w:val="22"/>
          <w:szCs w:val="22"/>
        </w:rPr>
        <w:t>et al.</w:t>
      </w:r>
      <w:r w:rsidRPr="00FE584D">
        <w:rPr>
          <w:rFonts w:ascii="Arial" w:eastAsia="Arial" w:hAnsi="Arial" w:cs="Arial"/>
          <w:sz w:val="22"/>
          <w:szCs w:val="22"/>
        </w:rPr>
        <w:t>, 2024). Every organisation should adopt electronic discharge summaries that include required details about medicine name, medicine formulation, strength, dose, and volume of the medicine administered, and remove any unsafe abbreviations like "mcg. Hospital specialists, GPs, and community pharmacists should communicate directly with each other about high-risk medicines, not via administrative staff. To enhance the quality of information transfer, facilitate coordination among the disciplines, and minimise communication failures between different health care settings, structured communication tools should be used during patient handoffs, including Situation, Background, Assessment, Recommendation (Putri and Afandi, 2023).</w:t>
      </w:r>
    </w:p>
    <w:p w14:paraId="7C5FB098" w14:textId="77777777" w:rsidR="001839A3" w:rsidRPr="00FE584D" w:rsidRDefault="00000000" w:rsidP="00A43C03">
      <w:pPr>
        <w:pStyle w:val="Heading2"/>
        <w:spacing w:line="360" w:lineRule="auto"/>
        <w:rPr>
          <w:rFonts w:cs="Arial"/>
          <w:b w:val="0"/>
          <w:szCs w:val="22"/>
        </w:rPr>
      </w:pPr>
      <w:bookmarkStart w:id="57" w:name="_w9o2movjn8b1" w:colFirst="0" w:colLast="0"/>
      <w:bookmarkStart w:id="58" w:name="_Toc235788959"/>
      <w:bookmarkEnd w:id="57"/>
      <w:r w:rsidRPr="00FE584D">
        <w:rPr>
          <w:rFonts w:cs="Arial"/>
          <w:szCs w:val="22"/>
        </w:rPr>
        <w:t>3.4 Technical and Allocative Efficiency</w:t>
      </w:r>
      <w:bookmarkEnd w:id="58"/>
    </w:p>
    <w:p w14:paraId="7E06B53F" w14:textId="1EED580B"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Digital technologies investments should enhance the technical and allocative efficiency of medication management. For medicines that are high risk, have an unusual formulation, or have inconsistencies in doses, electronic prescribing software should automatically alert the clinician (Armando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2023). Medication verification with a barcode should be implemented in both hospital and community pharmacies to minimise dispensing errors and enhance the traceability of medicines. Electronic health records would provide a unified view of a patient's health journey, allowing for real-time access to prescribing details, minimising duplication, aiding medicines reconciliation, and better use of health resources, while also enhancing patient safety (Hareem </w:t>
      </w:r>
      <w:r w:rsidR="00C6298B" w:rsidRPr="00FE584D">
        <w:rPr>
          <w:rFonts w:ascii="Arial" w:eastAsia="Arial" w:hAnsi="Arial" w:cs="Arial"/>
          <w:i/>
          <w:iCs/>
          <w:sz w:val="22"/>
          <w:szCs w:val="22"/>
        </w:rPr>
        <w:t>et al.</w:t>
      </w:r>
      <w:r w:rsidRPr="00FE584D">
        <w:rPr>
          <w:rFonts w:ascii="Arial" w:eastAsia="Arial" w:hAnsi="Arial" w:cs="Arial"/>
          <w:sz w:val="22"/>
          <w:szCs w:val="22"/>
        </w:rPr>
        <w:t>, 2025).</w:t>
      </w:r>
    </w:p>
    <w:p w14:paraId="62641FCE" w14:textId="77777777" w:rsidR="001839A3" w:rsidRPr="00FE584D" w:rsidRDefault="00000000" w:rsidP="00A43C03">
      <w:pPr>
        <w:pStyle w:val="Heading2"/>
        <w:spacing w:line="360" w:lineRule="auto"/>
        <w:rPr>
          <w:rFonts w:cs="Arial"/>
          <w:szCs w:val="22"/>
        </w:rPr>
      </w:pPr>
      <w:bookmarkStart w:id="59" w:name="_Toc235788960"/>
      <w:r w:rsidRPr="00FE584D">
        <w:rPr>
          <w:rFonts w:cs="Arial"/>
          <w:szCs w:val="22"/>
        </w:rPr>
        <w:t>3.5 Continuous Learning and Stakeholder Engagement</w:t>
      </w:r>
      <w:bookmarkEnd w:id="59"/>
    </w:p>
    <w:p w14:paraId="36250DA9" w14:textId="325E6A5B"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Healthcare institutions must foster a culture of continuous learning by promoting timely reporting of incidents, reflecting on them through multidisciplinary teams, and conducting frequent medication incident reviews (Falade </w:t>
      </w:r>
      <w:r w:rsidR="00C6298B" w:rsidRPr="00FE584D">
        <w:rPr>
          <w:rFonts w:ascii="Arial" w:eastAsia="Arial" w:hAnsi="Arial" w:cs="Arial"/>
          <w:i/>
          <w:iCs/>
          <w:sz w:val="22"/>
          <w:szCs w:val="22"/>
        </w:rPr>
        <w:t>et al.</w:t>
      </w:r>
      <w:r w:rsidRPr="00FE584D">
        <w:rPr>
          <w:rFonts w:ascii="Arial" w:eastAsia="Arial" w:hAnsi="Arial" w:cs="Arial"/>
          <w:sz w:val="22"/>
          <w:szCs w:val="22"/>
        </w:rPr>
        <w:t xml:space="preserve">, 2024). Simulations should be offered for clinicians and pharmacists to enhance the management of high-risk medicines and communication between transitions of care. Interventions should be evaluated and </w:t>
      </w:r>
      <w:r w:rsidRPr="00FE584D">
        <w:rPr>
          <w:rFonts w:ascii="Arial" w:eastAsia="Arial" w:hAnsi="Arial" w:cs="Arial"/>
          <w:sz w:val="22"/>
          <w:szCs w:val="22"/>
        </w:rPr>
        <w:lastRenderedPageBreak/>
        <w:t>improvements maintained over time using continuous quality improvement methods like Plan–Do–Study–Act (PDSA) cycles (</w:t>
      </w:r>
      <w:proofErr w:type="spellStart"/>
      <w:r w:rsidRPr="00FE584D">
        <w:rPr>
          <w:rFonts w:ascii="Arial" w:eastAsia="Arial" w:hAnsi="Arial" w:cs="Arial"/>
          <w:sz w:val="22"/>
          <w:szCs w:val="22"/>
        </w:rPr>
        <w:t>Manandi</w:t>
      </w:r>
      <w:proofErr w:type="spellEnd"/>
      <w:r w:rsidRPr="00FE584D">
        <w:rPr>
          <w:rFonts w:ascii="Arial" w:eastAsia="Arial" w:hAnsi="Arial" w:cs="Arial"/>
          <w:sz w:val="22"/>
          <w:szCs w:val="22"/>
        </w:rPr>
        <w:t xml:space="preserve"> </w:t>
      </w:r>
      <w:r w:rsidR="00C6298B" w:rsidRPr="00FE584D">
        <w:rPr>
          <w:rFonts w:ascii="Arial" w:eastAsia="Arial" w:hAnsi="Arial" w:cs="Arial"/>
          <w:i/>
          <w:iCs/>
          <w:sz w:val="22"/>
          <w:szCs w:val="22"/>
        </w:rPr>
        <w:t>et al.</w:t>
      </w:r>
      <w:r w:rsidRPr="00FE584D">
        <w:rPr>
          <w:rFonts w:ascii="Arial" w:eastAsia="Arial" w:hAnsi="Arial" w:cs="Arial"/>
          <w:sz w:val="22"/>
          <w:szCs w:val="22"/>
        </w:rPr>
        <w:t>, 2023). Patients and families must also be involved, co-produced, receive counselling through the teach-back approach, and participate in stakeholder engagement initiatives to ensure that medication information is understood and that service improvements are in response to their experiences of receiving care. The collaborative approach will enhance the learning within the organisation, patient outcomes and safer health systems.</w:t>
      </w:r>
    </w:p>
    <w:p w14:paraId="4689CE7B" w14:textId="77777777" w:rsidR="001839A3" w:rsidRPr="00FE584D" w:rsidRDefault="00000000" w:rsidP="00A43C03">
      <w:pPr>
        <w:pStyle w:val="Heading1"/>
        <w:spacing w:line="360" w:lineRule="auto"/>
        <w:rPr>
          <w:rFonts w:cs="Arial"/>
          <w:szCs w:val="22"/>
        </w:rPr>
      </w:pPr>
      <w:bookmarkStart w:id="60" w:name="_h8qrld1fp587" w:colFirst="0" w:colLast="0"/>
      <w:bookmarkStart w:id="61" w:name="_Toc235788961"/>
      <w:bookmarkEnd w:id="60"/>
      <w:r w:rsidRPr="00FE584D">
        <w:rPr>
          <w:rFonts w:cs="Arial"/>
          <w:szCs w:val="22"/>
        </w:rPr>
        <w:t>4. Conclusion</w:t>
      </w:r>
      <w:bookmarkEnd w:id="61"/>
      <w:r w:rsidRPr="00FE584D">
        <w:rPr>
          <w:rFonts w:cs="Arial"/>
          <w:szCs w:val="22"/>
        </w:rPr>
        <w:t xml:space="preserve"> </w:t>
      </w:r>
    </w:p>
    <w:p w14:paraId="2FC32677"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infant overdose case of morphine exemplifies the fact that most serious patient safety episodes are the outcome of many failures that are closely connected within the health care system. In this case, failures in communication, weak governance, prescribing error, dispensing error, insufficient documentation and poor parent education all played a part in the overdose of morphine, resulting in a 20-fold overdose, even though there was a national safety policy in place. Therefore, the incident is a reminder that an approach of systems thinking is needed to understand the way failures occur across multiple organisations to result in negative outcomes instead of placing blame on individual organisations.</w:t>
      </w:r>
    </w:p>
    <w:p w14:paraId="6CA77EA4" w14:textId="77777777"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The analysis revealed that there were significant centralised and decentralised aspects of the NHS that had an impact on the incident. Centralised governance was able to deliver RED Drug policies, controlled drug regulations and prescribing guidance; however, this was undermined by weaknesses in the implementation of these, which reduced their effectiveness. Meanwhile, clinical decision making was also decentralised and fragmented among the hospital, GP, community pharmacist and parents due to poor communication, coordination and shared accountability. Nationally, safeguards did not translate to appropriate frontline practice.</w:t>
      </w:r>
    </w:p>
    <w:p w14:paraId="70B24A7E" w14:textId="5D173982" w:rsidR="001839A3" w:rsidRPr="00FE584D" w:rsidRDefault="0000000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Use of leadership theories also showed that simply implementing a policy was not enough to ensure compliance and increase patient safety. Transformational leadership can foster a learning culture and a culture of continuous </w:t>
      </w:r>
      <w:r w:rsidR="00A46FB0" w:rsidRPr="00FE584D">
        <w:rPr>
          <w:rFonts w:ascii="Arial" w:eastAsia="Arial" w:hAnsi="Arial" w:cs="Arial"/>
          <w:sz w:val="22"/>
          <w:szCs w:val="22"/>
        </w:rPr>
        <w:t>improvement;</w:t>
      </w:r>
      <w:r w:rsidRPr="00FE584D">
        <w:rPr>
          <w:rFonts w:ascii="Arial" w:eastAsia="Arial" w:hAnsi="Arial" w:cs="Arial"/>
          <w:sz w:val="22"/>
          <w:szCs w:val="22"/>
        </w:rPr>
        <w:t xml:space="preserve"> situational leadership can help leaders to respond well to evolving clinical contexts and distributed leadership can enhance collaboration and shared responsibility in extending organisational boundaries. These strategies offer a more sustainable means of improving than simply leadership by reaction or hierarchy.</w:t>
      </w:r>
    </w:p>
    <w:p w14:paraId="0031F355" w14:textId="3BCB0BF6" w:rsidR="00E268A1" w:rsidRDefault="00000000">
      <w:pPr>
        <w:rPr>
          <w:rFonts w:ascii="Arial" w:hAnsi="Arial" w:cs="Arial"/>
          <w:sz w:val="22"/>
          <w:szCs w:val="22"/>
        </w:rPr>
      </w:pPr>
      <w:r w:rsidRPr="00FE584D">
        <w:rPr>
          <w:rFonts w:ascii="Arial" w:eastAsia="Arial" w:hAnsi="Arial" w:cs="Arial"/>
          <w:sz w:val="22"/>
          <w:szCs w:val="22"/>
        </w:rPr>
        <w:t xml:space="preserve">The overall findings of this report are that good leadership, strong governance, effective communication systems and ongoing organisational learning are key to enhancing medication safety. The use of digital technologies, evidence-based leadership, </w:t>
      </w:r>
      <w:r w:rsidRPr="00FE584D">
        <w:rPr>
          <w:rFonts w:ascii="Arial" w:eastAsia="Arial" w:hAnsi="Arial" w:cs="Arial"/>
          <w:sz w:val="22"/>
          <w:szCs w:val="22"/>
        </w:rPr>
        <w:lastRenderedPageBreak/>
        <w:t>multidisciplinary collaboration and empowered local decision-making, combined with strong national governance, can help healthcare organisations to improve patient safety systems, minimise medication errors, and prevent them from happening again.</w:t>
      </w:r>
    </w:p>
    <w:p w14:paraId="49C31480" w14:textId="1D2DE264" w:rsidR="00E268A1" w:rsidRPr="00FE584D" w:rsidRDefault="00E268A1" w:rsidP="00BE0028">
      <w:pPr>
        <w:pStyle w:val="Heading1"/>
      </w:pPr>
      <w:r>
        <w:br w:type="page"/>
      </w:r>
      <w:bookmarkStart w:id="62" w:name="_Toc235788962"/>
      <w:r>
        <w:lastRenderedPageBreak/>
        <w:t>5</w:t>
      </w:r>
      <w:r w:rsidRPr="00FE584D">
        <w:t>. Appendices</w:t>
      </w:r>
      <w:bookmarkEnd w:id="62"/>
    </w:p>
    <w:p w14:paraId="5BF641AE" w14:textId="77777777" w:rsidR="00E268A1" w:rsidRPr="00FE584D" w:rsidRDefault="00E268A1" w:rsidP="00E268A1">
      <w:pPr>
        <w:pStyle w:val="Heading2"/>
        <w:spacing w:line="360" w:lineRule="auto"/>
        <w:rPr>
          <w:rFonts w:cs="Arial"/>
          <w:szCs w:val="22"/>
        </w:rPr>
      </w:pPr>
      <w:bookmarkStart w:id="63" w:name="_Toc235788963"/>
      <w:r w:rsidRPr="00FE584D">
        <w:rPr>
          <w:rFonts w:cs="Arial"/>
          <w:szCs w:val="22"/>
        </w:rPr>
        <w:t>Appendix A: Rich Picture of the infant morphine overdose system</w:t>
      </w:r>
      <w:bookmarkEnd w:id="63"/>
    </w:p>
    <w:p w14:paraId="114291B2" w14:textId="77777777" w:rsidR="00E268A1" w:rsidRPr="00FE584D" w:rsidRDefault="00E268A1" w:rsidP="00E268A1">
      <w:pPr>
        <w:spacing w:before="240" w:after="240" w:line="360" w:lineRule="auto"/>
        <w:rPr>
          <w:rFonts w:ascii="Arial" w:eastAsia="Arial" w:hAnsi="Arial" w:cs="Arial"/>
          <w:b/>
          <w:bCs/>
          <w:sz w:val="22"/>
          <w:szCs w:val="22"/>
        </w:rPr>
      </w:pPr>
      <w:r w:rsidRPr="00FE584D">
        <w:rPr>
          <w:rFonts w:ascii="Arial" w:eastAsia="Arial" w:hAnsi="Arial" w:cs="Arial"/>
          <w:b/>
          <w:bCs/>
          <w:noProof/>
          <w:sz w:val="22"/>
          <w:szCs w:val="22"/>
        </w:rPr>
        <w:drawing>
          <wp:inline distT="114300" distB="114300" distL="114300" distR="114300" wp14:anchorId="553B9DC7" wp14:editId="6B20B56E">
            <wp:extent cx="5657850" cy="37719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657850" cy="3771900"/>
                    </a:xfrm>
                    <a:prstGeom prst="rect">
                      <a:avLst/>
                    </a:prstGeom>
                    <a:ln/>
                  </pic:spPr>
                </pic:pic>
              </a:graphicData>
            </a:graphic>
          </wp:inline>
        </w:drawing>
      </w:r>
    </w:p>
    <w:p w14:paraId="41DC1934" w14:textId="77777777" w:rsidR="00E268A1" w:rsidRPr="00FE584D" w:rsidRDefault="00E268A1" w:rsidP="00E268A1">
      <w:pPr>
        <w:pStyle w:val="Heading2"/>
        <w:spacing w:line="360" w:lineRule="auto"/>
        <w:rPr>
          <w:rFonts w:cs="Arial"/>
          <w:szCs w:val="22"/>
        </w:rPr>
      </w:pPr>
      <w:bookmarkStart w:id="64" w:name="_r72lvnvcauaf" w:colFirst="0" w:colLast="0"/>
      <w:bookmarkStart w:id="65" w:name="_Toc235788964"/>
      <w:bookmarkEnd w:id="64"/>
      <w:r w:rsidRPr="00FE584D">
        <w:rPr>
          <w:rFonts w:cs="Arial"/>
          <w:szCs w:val="22"/>
        </w:rPr>
        <w:t>Appendix B: Timeline of the Infant Morphine Overdose Incident</w:t>
      </w:r>
      <w:bookmarkEnd w:id="65"/>
    </w:p>
    <w:tbl>
      <w:tblPr>
        <w:tblStyle w:val="TableGrid"/>
        <w:tblW w:w="8910" w:type="dxa"/>
        <w:tblLayout w:type="fixed"/>
        <w:tblLook w:val="0600" w:firstRow="0" w:lastRow="0" w:firstColumn="0" w:lastColumn="0" w:noHBand="1" w:noVBand="1"/>
      </w:tblPr>
      <w:tblGrid>
        <w:gridCol w:w="2489"/>
        <w:gridCol w:w="6421"/>
      </w:tblGrid>
      <w:tr w:rsidR="00E268A1" w:rsidRPr="00FE584D" w14:paraId="21680DF3" w14:textId="77777777" w:rsidTr="002B65FF">
        <w:trPr>
          <w:trHeight w:val="515"/>
        </w:trPr>
        <w:tc>
          <w:tcPr>
            <w:tcW w:w="2489" w:type="dxa"/>
          </w:tcPr>
          <w:p w14:paraId="33BFBAEE" w14:textId="77777777" w:rsidR="00E268A1" w:rsidRPr="00FE584D" w:rsidRDefault="00E268A1" w:rsidP="002B65F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Time/Event</w:t>
            </w:r>
          </w:p>
        </w:tc>
        <w:tc>
          <w:tcPr>
            <w:tcW w:w="6420" w:type="dxa"/>
          </w:tcPr>
          <w:p w14:paraId="5D730A89" w14:textId="77777777" w:rsidR="00E268A1" w:rsidRPr="00FE584D" w:rsidRDefault="00E268A1" w:rsidP="002B65FF">
            <w:pPr>
              <w:spacing w:before="240" w:after="240" w:line="360" w:lineRule="auto"/>
              <w:jc w:val="center"/>
              <w:rPr>
                <w:rFonts w:ascii="Arial" w:eastAsia="Arial" w:hAnsi="Arial" w:cs="Arial"/>
                <w:sz w:val="22"/>
                <w:szCs w:val="22"/>
              </w:rPr>
            </w:pPr>
            <w:r w:rsidRPr="00FE584D">
              <w:rPr>
                <w:rFonts w:ascii="Arial" w:eastAsia="Arial" w:hAnsi="Arial" w:cs="Arial"/>
                <w:b/>
                <w:bCs/>
                <w:sz w:val="22"/>
                <w:szCs w:val="22"/>
              </w:rPr>
              <w:t>Incident Details</w:t>
            </w:r>
          </w:p>
        </w:tc>
      </w:tr>
      <w:tr w:rsidR="00E268A1" w:rsidRPr="00FE584D" w14:paraId="50BE69A1" w14:textId="77777777" w:rsidTr="002B65FF">
        <w:trPr>
          <w:trHeight w:val="1085"/>
        </w:trPr>
        <w:tc>
          <w:tcPr>
            <w:tcW w:w="2489" w:type="dxa"/>
          </w:tcPr>
          <w:p w14:paraId="2FEBF780"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Hospital discharge</w:t>
            </w:r>
          </w:p>
        </w:tc>
        <w:tc>
          <w:tcPr>
            <w:tcW w:w="6420" w:type="dxa"/>
          </w:tcPr>
          <w:p w14:paraId="0A82A346"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Infant discharged from neonatal unit with handwritten discharge summary requesting morphine sulphate 100 micrograms/ml oral solution.</w:t>
            </w:r>
          </w:p>
        </w:tc>
      </w:tr>
      <w:tr w:rsidR="00E268A1" w:rsidRPr="00FE584D" w14:paraId="7B25B7CB" w14:textId="77777777" w:rsidTr="002B65FF">
        <w:trPr>
          <w:trHeight w:val="800"/>
        </w:trPr>
        <w:tc>
          <w:tcPr>
            <w:tcW w:w="2489" w:type="dxa"/>
          </w:tcPr>
          <w:p w14:paraId="33E71DFB"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Discharge communication</w:t>
            </w:r>
          </w:p>
        </w:tc>
        <w:tc>
          <w:tcPr>
            <w:tcW w:w="6420" w:type="dxa"/>
          </w:tcPr>
          <w:p w14:paraId="4475ED84"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Dose written as "mcg" and medicine referred to as "Oramorph", without clear formulation and volume instructions.</w:t>
            </w:r>
          </w:p>
        </w:tc>
      </w:tr>
      <w:tr w:rsidR="00E268A1" w:rsidRPr="00FE584D" w14:paraId="2D42B146" w14:textId="77777777" w:rsidTr="002B65FF">
        <w:trPr>
          <w:trHeight w:val="800"/>
        </w:trPr>
        <w:tc>
          <w:tcPr>
            <w:tcW w:w="2489" w:type="dxa"/>
          </w:tcPr>
          <w:p w14:paraId="7108D497"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GP prescription</w:t>
            </w:r>
          </w:p>
        </w:tc>
        <w:tc>
          <w:tcPr>
            <w:tcW w:w="6420" w:type="dxa"/>
          </w:tcPr>
          <w:p w14:paraId="7AD089C8"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GP prescribed 10 mg/5 ml morphine oral solution instead of the intended hospital-only preparation.</w:t>
            </w:r>
          </w:p>
        </w:tc>
      </w:tr>
      <w:tr w:rsidR="00E268A1" w:rsidRPr="00FE584D" w14:paraId="6D5498DF" w14:textId="77777777" w:rsidTr="002B65FF">
        <w:trPr>
          <w:trHeight w:val="800"/>
        </w:trPr>
        <w:tc>
          <w:tcPr>
            <w:tcW w:w="2489" w:type="dxa"/>
          </w:tcPr>
          <w:p w14:paraId="72978865"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lastRenderedPageBreak/>
              <w:t>Community pharmacy dispensing</w:t>
            </w:r>
          </w:p>
        </w:tc>
        <w:tc>
          <w:tcPr>
            <w:tcW w:w="6420" w:type="dxa"/>
          </w:tcPr>
          <w:p w14:paraId="3A586CD9"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Pharmacy dispensed incorrect formulation; dose volume was not clearly explained, and no 1 ml syringe was provided.</w:t>
            </w:r>
          </w:p>
        </w:tc>
      </w:tr>
      <w:tr w:rsidR="00E268A1" w:rsidRPr="00FE584D" w14:paraId="4E4CDBD5" w14:textId="77777777" w:rsidTr="002B65FF">
        <w:trPr>
          <w:trHeight w:val="800"/>
        </w:trPr>
        <w:tc>
          <w:tcPr>
            <w:tcW w:w="2489" w:type="dxa"/>
          </w:tcPr>
          <w:p w14:paraId="61798D42"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Medicine administration</w:t>
            </w:r>
          </w:p>
        </w:tc>
        <w:tc>
          <w:tcPr>
            <w:tcW w:w="6420" w:type="dxa"/>
          </w:tcPr>
          <w:p w14:paraId="0F2D0CB3"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Parents continued giving 1.9 ml per dose, unaware of the difference in medicine strength.</w:t>
            </w:r>
          </w:p>
        </w:tc>
      </w:tr>
      <w:tr w:rsidR="00E268A1" w:rsidRPr="00FE584D" w14:paraId="056D8E14" w14:textId="77777777" w:rsidTr="002B65FF">
        <w:trPr>
          <w:trHeight w:val="800"/>
        </w:trPr>
        <w:tc>
          <w:tcPr>
            <w:tcW w:w="2489" w:type="dxa"/>
          </w:tcPr>
          <w:p w14:paraId="759A6C0B"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Overdose identified</w:t>
            </w:r>
          </w:p>
        </w:tc>
        <w:tc>
          <w:tcPr>
            <w:tcW w:w="6420" w:type="dxa"/>
          </w:tcPr>
          <w:p w14:paraId="402FD0E4"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Infant received approximately 3.8 mg instead of 190 micrograms (around 20 times the intended dose).</w:t>
            </w:r>
          </w:p>
        </w:tc>
      </w:tr>
      <w:tr w:rsidR="00E268A1" w:rsidRPr="00FE584D" w14:paraId="782C2918" w14:textId="77777777" w:rsidTr="002B65FF">
        <w:trPr>
          <w:trHeight w:val="800"/>
        </w:trPr>
        <w:tc>
          <w:tcPr>
            <w:tcW w:w="2489" w:type="dxa"/>
          </w:tcPr>
          <w:p w14:paraId="56F0412C"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Emergency treatment</w:t>
            </w:r>
          </w:p>
        </w:tc>
        <w:tc>
          <w:tcPr>
            <w:tcW w:w="6420" w:type="dxa"/>
          </w:tcPr>
          <w:p w14:paraId="5A011FC2"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Infant admitted to Accident and Emergency and successfully treated with naloxone.</w:t>
            </w:r>
          </w:p>
        </w:tc>
      </w:tr>
      <w:tr w:rsidR="00E268A1" w:rsidRPr="00FE584D" w14:paraId="6E094F39" w14:textId="77777777" w:rsidTr="002B65FF">
        <w:trPr>
          <w:trHeight w:val="800"/>
        </w:trPr>
        <w:tc>
          <w:tcPr>
            <w:tcW w:w="2489" w:type="dxa"/>
          </w:tcPr>
          <w:p w14:paraId="513172D5"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b/>
                <w:bCs/>
                <w:sz w:val="22"/>
                <w:szCs w:val="22"/>
              </w:rPr>
              <w:t>Investigation and learning</w:t>
            </w:r>
          </w:p>
        </w:tc>
        <w:tc>
          <w:tcPr>
            <w:tcW w:w="6420" w:type="dxa"/>
          </w:tcPr>
          <w:p w14:paraId="710F2B9E" w14:textId="77777777" w:rsidR="00E268A1" w:rsidRPr="00FE584D" w:rsidRDefault="00E268A1" w:rsidP="002B65FF">
            <w:pPr>
              <w:spacing w:before="240" w:after="240" w:line="360" w:lineRule="auto"/>
              <w:jc w:val="both"/>
              <w:rPr>
                <w:rFonts w:ascii="Arial" w:eastAsia="Arial" w:hAnsi="Arial" w:cs="Arial"/>
                <w:sz w:val="22"/>
                <w:szCs w:val="22"/>
              </w:rPr>
            </w:pPr>
            <w:r w:rsidRPr="00FE584D">
              <w:rPr>
                <w:rFonts w:ascii="Arial" w:eastAsia="Arial" w:hAnsi="Arial" w:cs="Arial"/>
                <w:sz w:val="22"/>
                <w:szCs w:val="22"/>
              </w:rPr>
              <w:t>Serious Incident Review identified failures in communication, governance, prescribing, dispensing, and parent counselling.</w:t>
            </w:r>
          </w:p>
        </w:tc>
      </w:tr>
    </w:tbl>
    <w:p w14:paraId="76311D3D" w14:textId="77777777" w:rsidR="00E268A1" w:rsidRPr="00FE584D" w:rsidRDefault="00E268A1" w:rsidP="00E268A1">
      <w:pPr>
        <w:spacing w:before="240" w:after="240" w:line="360" w:lineRule="auto"/>
        <w:jc w:val="both"/>
        <w:rPr>
          <w:rFonts w:ascii="Arial" w:eastAsia="Arial" w:hAnsi="Arial" w:cs="Arial"/>
          <w:sz w:val="22"/>
          <w:szCs w:val="22"/>
        </w:rPr>
      </w:pPr>
    </w:p>
    <w:p w14:paraId="1FB48649" w14:textId="77777777" w:rsidR="00E268A1" w:rsidRDefault="00E268A1">
      <w:pPr>
        <w:rPr>
          <w:rFonts w:ascii="Arial" w:eastAsia="Play" w:hAnsi="Arial" w:cs="Play"/>
          <w:b/>
          <w:color w:val="000000" w:themeColor="text1"/>
          <w:sz w:val="22"/>
          <w:szCs w:val="40"/>
        </w:rPr>
      </w:pPr>
      <w:r>
        <w:br w:type="page"/>
      </w:r>
    </w:p>
    <w:p w14:paraId="16BB2500" w14:textId="60DD2A81" w:rsidR="00A46FB0" w:rsidRPr="00E268A1" w:rsidRDefault="00E268A1" w:rsidP="00E268A1">
      <w:pPr>
        <w:pStyle w:val="Heading1"/>
        <w:rPr>
          <w:rFonts w:eastAsia="Arial"/>
        </w:rPr>
      </w:pPr>
      <w:bookmarkStart w:id="66" w:name="_Toc235788965"/>
      <w:r>
        <w:lastRenderedPageBreak/>
        <w:t>6</w:t>
      </w:r>
      <w:r w:rsidR="00000000" w:rsidRPr="00FE584D">
        <w:t>. References</w:t>
      </w:r>
      <w:bookmarkEnd w:id="66"/>
    </w:p>
    <w:p w14:paraId="24873317" w14:textId="7D1C316F"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w:t>
      </w:r>
      <w:r w:rsidRPr="00FE584D">
        <w:rPr>
          <w:rFonts w:ascii="Arial" w:eastAsia="Arial" w:hAnsi="Arial" w:cs="Arial"/>
          <w:color w:val="222222"/>
          <w:sz w:val="22"/>
          <w:szCs w:val="22"/>
          <w:highlight w:val="white"/>
        </w:rPr>
        <w:t xml:space="preserve">Alharbi, S., </w:t>
      </w:r>
      <w:proofErr w:type="spellStart"/>
      <w:r w:rsidRPr="00FE584D">
        <w:rPr>
          <w:rFonts w:ascii="Arial" w:eastAsia="Arial" w:hAnsi="Arial" w:cs="Arial"/>
          <w:color w:val="222222"/>
          <w:sz w:val="22"/>
          <w:szCs w:val="22"/>
          <w:highlight w:val="white"/>
        </w:rPr>
        <w:t>Elmassry</w:t>
      </w:r>
      <w:proofErr w:type="spellEnd"/>
      <w:r w:rsidRPr="00FE584D">
        <w:rPr>
          <w:rFonts w:ascii="Arial" w:eastAsia="Arial" w:hAnsi="Arial" w:cs="Arial"/>
          <w:color w:val="222222"/>
          <w:sz w:val="22"/>
          <w:szCs w:val="22"/>
          <w:highlight w:val="white"/>
        </w:rPr>
        <w:t xml:space="preserve">, L., </w:t>
      </w:r>
      <w:proofErr w:type="spellStart"/>
      <w:r w:rsidRPr="00FE584D">
        <w:rPr>
          <w:rFonts w:ascii="Arial" w:eastAsia="Arial" w:hAnsi="Arial" w:cs="Arial"/>
          <w:color w:val="222222"/>
          <w:sz w:val="22"/>
          <w:szCs w:val="22"/>
          <w:highlight w:val="white"/>
        </w:rPr>
        <w:t>Aljuaid</w:t>
      </w:r>
      <w:proofErr w:type="spellEnd"/>
      <w:r w:rsidRPr="00FE584D">
        <w:rPr>
          <w:rFonts w:ascii="Arial" w:eastAsia="Arial" w:hAnsi="Arial" w:cs="Arial"/>
          <w:color w:val="222222"/>
          <w:sz w:val="22"/>
          <w:szCs w:val="22"/>
          <w:highlight w:val="white"/>
        </w:rPr>
        <w:t xml:space="preserve">, E., Attar, A., Nuñez, J., Joseph, M., ... and </w:t>
      </w:r>
      <w:proofErr w:type="spellStart"/>
      <w:r w:rsidRPr="00FE584D">
        <w:rPr>
          <w:rFonts w:ascii="Arial" w:eastAsia="Arial" w:hAnsi="Arial" w:cs="Arial"/>
          <w:color w:val="222222"/>
          <w:sz w:val="22"/>
          <w:szCs w:val="22"/>
          <w:highlight w:val="white"/>
        </w:rPr>
        <w:t>Algubaishi</w:t>
      </w:r>
      <w:proofErr w:type="spellEnd"/>
      <w:r w:rsidRPr="00FE584D">
        <w:rPr>
          <w:rFonts w:ascii="Arial" w:eastAsia="Arial" w:hAnsi="Arial" w:cs="Arial"/>
          <w:color w:val="222222"/>
          <w:sz w:val="22"/>
          <w:szCs w:val="22"/>
          <w:highlight w:val="white"/>
        </w:rPr>
        <w:t xml:space="preserve">, S. (2025). Reengineering Patient Discharge with Lean Methodology and RED Framework: A Model for Safer, Faster, Patient-Centered Transitions. </w:t>
      </w:r>
      <w:r w:rsidRPr="00FE584D">
        <w:rPr>
          <w:rFonts w:ascii="Arial" w:eastAsia="Arial" w:hAnsi="Arial" w:cs="Arial"/>
          <w:i/>
          <w:iCs/>
          <w:color w:val="222222"/>
          <w:sz w:val="22"/>
          <w:szCs w:val="22"/>
          <w:highlight w:val="white"/>
        </w:rPr>
        <w:t>Global Journal on Quality and Safety in Healthcare</w:t>
      </w:r>
      <w:r w:rsidRPr="00FE584D">
        <w:rPr>
          <w:rFonts w:ascii="Arial" w:eastAsia="Arial" w:hAnsi="Arial" w:cs="Arial"/>
          <w:color w:val="222222"/>
          <w:sz w:val="22"/>
          <w:szCs w:val="22"/>
          <w:highlight w:val="white"/>
        </w:rPr>
        <w:t xml:space="preserve">, </w:t>
      </w:r>
      <w:r w:rsidR="00403083">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8</w:t>
      </w:r>
      <w:r w:rsidR="00403083">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4, </w:t>
      </w:r>
      <w:r w:rsidR="00403083">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148-160.</w:t>
      </w:r>
      <w:r w:rsidRPr="00FE584D">
        <w:rPr>
          <w:rFonts w:ascii="Arial" w:eastAsia="Arial" w:hAnsi="Arial" w:cs="Arial"/>
          <w:sz w:val="22"/>
          <w:szCs w:val="22"/>
        </w:rPr>
        <w:t xml:space="preserve"> </w:t>
      </w:r>
      <w:hyperlink r:id="rId12">
        <w:r w:rsidRPr="00FE584D">
          <w:rPr>
            <w:rFonts w:ascii="Arial" w:eastAsia="Arial" w:hAnsi="Arial" w:cs="Arial"/>
            <w:color w:val="1155CC"/>
            <w:sz w:val="22"/>
            <w:szCs w:val="22"/>
            <w:u w:val="single"/>
          </w:rPr>
          <w:t>https://innovationsjournals-jqsh.kglmeridian.com/view/journals/jqsh/8/4/article-p148.xml</w:t>
        </w:r>
      </w:hyperlink>
    </w:p>
    <w:p w14:paraId="71BFB4C5" w14:textId="56F7C3EC"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Alhur, A., Alhur, A. A., Al-</w:t>
      </w:r>
      <w:proofErr w:type="spellStart"/>
      <w:r w:rsidRPr="00FE584D">
        <w:rPr>
          <w:rFonts w:ascii="Arial" w:eastAsia="Arial" w:hAnsi="Arial" w:cs="Arial"/>
          <w:color w:val="222222"/>
          <w:sz w:val="22"/>
          <w:szCs w:val="22"/>
          <w:highlight w:val="white"/>
        </w:rPr>
        <w:t>Rowais</w:t>
      </w:r>
      <w:proofErr w:type="spellEnd"/>
      <w:r w:rsidRPr="00FE584D">
        <w:rPr>
          <w:rFonts w:ascii="Arial" w:eastAsia="Arial" w:hAnsi="Arial" w:cs="Arial"/>
          <w:color w:val="222222"/>
          <w:sz w:val="22"/>
          <w:szCs w:val="22"/>
          <w:highlight w:val="white"/>
        </w:rPr>
        <w:t xml:space="preserve">, D., Asiri, S., Muslim, H., Alotaibi, D., ... and Alotaibi Sr, D. (2024). Enhancing patient safety through effective interprofessional communication: a focus on medication error prevention. </w:t>
      </w:r>
      <w:r w:rsidRPr="00FE584D">
        <w:rPr>
          <w:rFonts w:ascii="Arial" w:eastAsia="Arial" w:hAnsi="Arial" w:cs="Arial"/>
          <w:i/>
          <w:iCs/>
          <w:color w:val="222222"/>
          <w:sz w:val="22"/>
          <w:szCs w:val="22"/>
          <w:highlight w:val="white"/>
        </w:rPr>
        <w:t>Cureus</w:t>
      </w:r>
      <w:r w:rsidRPr="00FE584D">
        <w:rPr>
          <w:rFonts w:ascii="Arial" w:eastAsia="Arial" w:hAnsi="Arial" w:cs="Arial"/>
          <w:color w:val="222222"/>
          <w:sz w:val="22"/>
          <w:szCs w:val="22"/>
          <w:highlight w:val="white"/>
        </w:rPr>
        <w:t xml:space="preserve">, </w:t>
      </w:r>
      <w:r w:rsidR="00403083">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16</w:t>
      </w:r>
      <w:r w:rsidR="00403083">
        <w:rPr>
          <w:rFonts w:ascii="Arial" w:eastAsia="Arial" w:hAnsi="Arial" w:cs="Arial"/>
          <w:color w:val="222222"/>
          <w:sz w:val="22"/>
          <w:szCs w:val="22"/>
          <w:highlight w:val="white"/>
        </w:rPr>
        <w:t>, no.</w:t>
      </w:r>
      <w:r w:rsidRPr="00FE584D">
        <w:rPr>
          <w:rFonts w:ascii="Arial" w:eastAsia="Arial" w:hAnsi="Arial" w:cs="Arial"/>
          <w:color w:val="222222"/>
          <w:sz w:val="22"/>
          <w:szCs w:val="22"/>
          <w:highlight w:val="white"/>
        </w:rPr>
        <w:t>4.</w:t>
      </w:r>
      <w:r w:rsidRPr="00FE584D">
        <w:rPr>
          <w:rFonts w:ascii="Arial" w:eastAsia="Arial" w:hAnsi="Arial" w:cs="Arial"/>
          <w:sz w:val="22"/>
          <w:szCs w:val="22"/>
        </w:rPr>
        <w:t xml:space="preserve"> </w:t>
      </w:r>
      <w:hyperlink r:id="rId13">
        <w:r w:rsidRPr="00FE584D">
          <w:rPr>
            <w:rFonts w:ascii="Arial" w:eastAsia="Arial" w:hAnsi="Arial" w:cs="Arial"/>
            <w:color w:val="1155CC"/>
            <w:sz w:val="22"/>
            <w:szCs w:val="22"/>
            <w:u w:val="single"/>
          </w:rPr>
          <w:t>https://www.cureus.com/articles/242797-enhancing-patient-safety-through-effective-interprofessional-communication-a-focus-on-medication-error-prevention.pdf</w:t>
        </w:r>
      </w:hyperlink>
    </w:p>
    <w:p w14:paraId="6286EB57" w14:textId="7FF7FD7D" w:rsidR="00A46FB0" w:rsidRPr="00FE584D" w:rsidRDefault="00A46FB0" w:rsidP="00A43C03">
      <w:pPr>
        <w:spacing w:after="240" w:line="360" w:lineRule="auto"/>
        <w:jc w:val="both"/>
        <w:rPr>
          <w:rFonts w:ascii="Arial" w:eastAsia="Arial" w:hAnsi="Arial" w:cs="Arial"/>
          <w:sz w:val="22"/>
          <w:szCs w:val="22"/>
        </w:rPr>
      </w:pPr>
      <w:r w:rsidRPr="00E268A1">
        <w:rPr>
          <w:rFonts w:ascii="Arial" w:eastAsia="Arial" w:hAnsi="Arial" w:cs="Arial"/>
          <w:color w:val="222222"/>
          <w:sz w:val="22"/>
          <w:szCs w:val="22"/>
          <w:highlight w:val="white"/>
          <w:lang w:val="it-IT"/>
        </w:rPr>
        <w:t xml:space="preserve">Armando, L. G., Miglio, G., de Cosmo, P., and Cena, C. (2023). </w:t>
      </w:r>
      <w:r w:rsidRPr="00FE584D">
        <w:rPr>
          <w:rFonts w:ascii="Arial" w:eastAsia="Arial" w:hAnsi="Arial" w:cs="Arial"/>
          <w:color w:val="222222"/>
          <w:sz w:val="22"/>
          <w:szCs w:val="22"/>
          <w:highlight w:val="white"/>
        </w:rPr>
        <w:t xml:space="preserve">Clinical decision support systems to improve drug prescription and therapy optimisation in clinical practice: a scoping review. </w:t>
      </w:r>
      <w:r w:rsidRPr="00FE584D">
        <w:rPr>
          <w:rFonts w:ascii="Arial" w:eastAsia="Arial" w:hAnsi="Arial" w:cs="Arial"/>
          <w:i/>
          <w:iCs/>
          <w:color w:val="222222"/>
          <w:sz w:val="22"/>
          <w:szCs w:val="22"/>
          <w:highlight w:val="white"/>
        </w:rPr>
        <w:t>BMJ Health and Care Informatics</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30</w:t>
      </w:r>
      <w:r w:rsidR="00575047">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e100683.</w:t>
      </w:r>
      <w:r w:rsidRPr="00FE584D">
        <w:rPr>
          <w:rFonts w:ascii="Arial" w:eastAsia="Arial" w:hAnsi="Arial" w:cs="Arial"/>
          <w:sz w:val="22"/>
          <w:szCs w:val="22"/>
        </w:rPr>
        <w:t xml:space="preserve"> </w:t>
      </w:r>
      <w:hyperlink r:id="rId14">
        <w:r w:rsidRPr="00FE584D">
          <w:rPr>
            <w:rFonts w:ascii="Arial" w:eastAsia="Arial" w:hAnsi="Arial" w:cs="Arial"/>
            <w:color w:val="1155CC"/>
            <w:sz w:val="22"/>
            <w:szCs w:val="22"/>
            <w:u w:val="single"/>
          </w:rPr>
          <w:t>https://pmc.ncbi.nlm.nih.gov/articles/PMC10163516/</w:t>
        </w:r>
      </w:hyperlink>
    </w:p>
    <w:p w14:paraId="6CFF5985" w14:textId="4BD0CA2A"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Attah, E., Ogwuche, L., and Aliyu, J. (2024). Emotional intelligence in leadership: A key to building resilient teams. </w:t>
      </w:r>
      <w:r w:rsidRPr="00FE584D">
        <w:rPr>
          <w:rFonts w:ascii="Arial" w:eastAsia="Arial" w:hAnsi="Arial" w:cs="Arial"/>
          <w:i/>
          <w:iCs/>
          <w:color w:val="222222"/>
          <w:sz w:val="22"/>
          <w:szCs w:val="22"/>
          <w:highlight w:val="white"/>
        </w:rPr>
        <w:t>International Journal of Academic and Applied Research (IJAAR) Vol</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8</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20-23.</w:t>
      </w:r>
      <w:r w:rsidRPr="00FE584D">
        <w:rPr>
          <w:rFonts w:ascii="Arial" w:eastAsia="Arial" w:hAnsi="Arial" w:cs="Arial"/>
          <w:sz w:val="22"/>
          <w:szCs w:val="22"/>
        </w:rPr>
        <w:t xml:space="preserve"> </w:t>
      </w:r>
      <w:hyperlink r:id="rId15">
        <w:r w:rsidRPr="00FE584D">
          <w:rPr>
            <w:rFonts w:ascii="Arial" w:eastAsia="Arial" w:hAnsi="Arial" w:cs="Arial"/>
            <w:color w:val="1155CC"/>
            <w:sz w:val="22"/>
            <w:szCs w:val="22"/>
            <w:u w:val="single"/>
          </w:rPr>
          <w:t>https://papers.ssrn.com/sol3/papers.cfm?abstract_id=5295397</w:t>
        </w:r>
      </w:hyperlink>
    </w:p>
    <w:p w14:paraId="1B1A3942" w14:textId="3854132B" w:rsidR="00A46FB0" w:rsidRPr="00FE584D" w:rsidRDefault="00A46FB0" w:rsidP="00A43C03">
      <w:pPr>
        <w:spacing w:after="240" w:line="360" w:lineRule="auto"/>
        <w:jc w:val="both"/>
        <w:rPr>
          <w:rFonts w:ascii="Arial" w:eastAsia="Arial" w:hAnsi="Arial" w:cs="Arial"/>
          <w:sz w:val="22"/>
          <w:szCs w:val="22"/>
        </w:rPr>
      </w:pPr>
      <w:proofErr w:type="spellStart"/>
      <w:r w:rsidRPr="00FE584D">
        <w:rPr>
          <w:rFonts w:ascii="Arial" w:eastAsia="Arial" w:hAnsi="Arial" w:cs="Arial"/>
          <w:color w:val="222222"/>
          <w:sz w:val="22"/>
          <w:szCs w:val="22"/>
          <w:highlight w:val="white"/>
        </w:rPr>
        <w:t>Balikubiri</w:t>
      </w:r>
      <w:proofErr w:type="spellEnd"/>
      <w:r w:rsidRPr="00FE584D">
        <w:rPr>
          <w:rFonts w:ascii="Arial" w:eastAsia="Arial" w:hAnsi="Arial" w:cs="Arial"/>
          <w:color w:val="222222"/>
          <w:sz w:val="22"/>
          <w:szCs w:val="22"/>
          <w:highlight w:val="white"/>
        </w:rPr>
        <w:t xml:space="preserve">, H., Kemp-Casey, A., Andrade, A. Q., and Roughead, E. E. (2025). Elements of healthcare delivery required to facilitate the clinical governance of hospital pharmacy services: a document review. </w:t>
      </w:r>
      <w:r w:rsidRPr="00FE584D">
        <w:rPr>
          <w:rFonts w:ascii="Arial" w:eastAsia="Arial" w:hAnsi="Arial" w:cs="Arial"/>
          <w:i/>
          <w:iCs/>
          <w:color w:val="222222"/>
          <w:sz w:val="22"/>
          <w:szCs w:val="22"/>
          <w:highlight w:val="white"/>
        </w:rPr>
        <w:t>Health Research Policy and Systems</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23</w:t>
      </w:r>
      <w:r w:rsidR="00575047">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100.</w:t>
      </w:r>
      <w:r w:rsidRPr="00FE584D">
        <w:rPr>
          <w:rFonts w:ascii="Arial" w:eastAsia="Arial" w:hAnsi="Arial" w:cs="Arial"/>
          <w:sz w:val="22"/>
          <w:szCs w:val="22"/>
        </w:rPr>
        <w:t xml:space="preserve"> </w:t>
      </w:r>
      <w:hyperlink r:id="rId16">
        <w:r w:rsidRPr="00FE584D">
          <w:rPr>
            <w:rFonts w:ascii="Arial" w:eastAsia="Arial" w:hAnsi="Arial" w:cs="Arial"/>
            <w:color w:val="1155CC"/>
            <w:sz w:val="22"/>
            <w:szCs w:val="22"/>
            <w:u w:val="single"/>
          </w:rPr>
          <w:t>https://link.springer.com/article/10.1186/s12961-025-01378-w</w:t>
        </w:r>
      </w:hyperlink>
    </w:p>
    <w:p w14:paraId="581348DB" w14:textId="6CCD4E42"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Bastin, A., Tsoi, V., and Wilcock, M. (2020). Pharmacist-prompted deprescribing of problematic polypharmacy in hospital–slow at starting to stop?. </w:t>
      </w:r>
      <w:r w:rsidRPr="00FE584D">
        <w:rPr>
          <w:rFonts w:ascii="Arial" w:eastAsia="Arial" w:hAnsi="Arial" w:cs="Arial"/>
          <w:i/>
          <w:iCs/>
          <w:color w:val="222222"/>
          <w:sz w:val="22"/>
          <w:szCs w:val="22"/>
          <w:highlight w:val="white"/>
        </w:rPr>
        <w:t>International Journal of Pharmacy Practice</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28</w:t>
      </w:r>
      <w:r w:rsidR="00575047">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S2,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5-39.</w:t>
      </w:r>
      <w:r w:rsidRPr="00FE584D">
        <w:rPr>
          <w:rFonts w:ascii="Arial" w:eastAsia="Arial" w:hAnsi="Arial" w:cs="Arial"/>
          <w:sz w:val="22"/>
          <w:szCs w:val="22"/>
        </w:rPr>
        <w:t xml:space="preserve"> </w:t>
      </w:r>
      <w:hyperlink r:id="rId17">
        <w:r w:rsidRPr="00FE584D">
          <w:rPr>
            <w:rFonts w:ascii="Arial" w:eastAsia="Arial" w:hAnsi="Arial" w:cs="Arial"/>
            <w:color w:val="1155CC"/>
            <w:sz w:val="22"/>
            <w:szCs w:val="22"/>
            <w:u w:val="single"/>
          </w:rPr>
          <w:t>https://www.researchgate.net/profile/Aliki-Peletidi/publication/343615119_Knowledge_and_Perceptions_of_both_community_pharmacists_and_public_about_obesity_and_its_consequences_in_Greece_The_case_of_Crete/links/5f34428d299bf13404be64d1/Knowledge-and-Perceptions-of-both-community-pharmacists-and-public-about-obesity-and-its-consequences-in-Greece-The-case-of-Crete.pdf</w:t>
        </w:r>
      </w:hyperlink>
    </w:p>
    <w:p w14:paraId="76DED604" w14:textId="6C080D1E"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Carroll, A. R., Johnson, J. A., </w:t>
      </w:r>
      <w:proofErr w:type="spellStart"/>
      <w:r w:rsidRPr="00FE584D">
        <w:rPr>
          <w:rFonts w:ascii="Arial" w:eastAsia="Arial" w:hAnsi="Arial" w:cs="Arial"/>
          <w:color w:val="222222"/>
          <w:sz w:val="22"/>
          <w:szCs w:val="22"/>
          <w:highlight w:val="white"/>
        </w:rPr>
        <w:t>Stassun</w:t>
      </w:r>
      <w:proofErr w:type="spellEnd"/>
      <w:r w:rsidRPr="00FE584D">
        <w:rPr>
          <w:rFonts w:ascii="Arial" w:eastAsia="Arial" w:hAnsi="Arial" w:cs="Arial"/>
          <w:color w:val="222222"/>
          <w:sz w:val="22"/>
          <w:szCs w:val="22"/>
          <w:highlight w:val="white"/>
        </w:rPr>
        <w:t xml:space="preserve">, J. C., Greevy, R. A., Mixon, A. S., and Williams, D. J. (2024). Health literacy–informed communication to reduce discharge medication errors in </w:t>
      </w:r>
      <w:r w:rsidRPr="00FE584D">
        <w:rPr>
          <w:rFonts w:ascii="Arial" w:eastAsia="Arial" w:hAnsi="Arial" w:cs="Arial"/>
          <w:color w:val="222222"/>
          <w:sz w:val="22"/>
          <w:szCs w:val="22"/>
          <w:highlight w:val="white"/>
        </w:rPr>
        <w:lastRenderedPageBreak/>
        <w:t xml:space="preserve">hospitalized children: A randomized clinical trial. </w:t>
      </w:r>
      <w:r w:rsidRPr="00FE584D">
        <w:rPr>
          <w:rFonts w:ascii="Arial" w:eastAsia="Arial" w:hAnsi="Arial" w:cs="Arial"/>
          <w:i/>
          <w:iCs/>
          <w:color w:val="222222"/>
          <w:sz w:val="22"/>
          <w:szCs w:val="22"/>
          <w:highlight w:val="white"/>
        </w:rPr>
        <w:t>JAMA Network Open</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7</w:t>
      </w:r>
      <w:r w:rsidR="00575047">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e2350969.</w:t>
      </w:r>
      <w:r w:rsidRPr="00FE584D">
        <w:rPr>
          <w:rFonts w:ascii="Arial" w:eastAsia="Arial" w:hAnsi="Arial" w:cs="Arial"/>
          <w:sz w:val="22"/>
          <w:szCs w:val="22"/>
        </w:rPr>
        <w:t xml:space="preserve"> </w:t>
      </w:r>
      <w:hyperlink r:id="rId18">
        <w:r w:rsidRPr="00FE584D">
          <w:rPr>
            <w:rFonts w:ascii="Arial" w:eastAsia="Arial" w:hAnsi="Arial" w:cs="Arial"/>
            <w:color w:val="1155CC"/>
            <w:sz w:val="22"/>
            <w:szCs w:val="22"/>
            <w:u w:val="single"/>
          </w:rPr>
          <w:t>https://jamanetwork.com/journals/jamanetworkopen/article-abstract/2813929</w:t>
        </w:r>
      </w:hyperlink>
    </w:p>
    <w:p w14:paraId="5DC55D33" w14:textId="35454624"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Carstensen, K., Kjeldsen, A. M., and Nielsen, C. P. (2023). Distributed leadership in health quality improvement collaboratives. </w:t>
      </w:r>
      <w:r w:rsidRPr="00FE584D">
        <w:rPr>
          <w:rFonts w:ascii="Arial" w:eastAsia="Arial" w:hAnsi="Arial" w:cs="Arial"/>
          <w:i/>
          <w:iCs/>
          <w:color w:val="222222"/>
          <w:sz w:val="22"/>
          <w:szCs w:val="22"/>
          <w:highlight w:val="white"/>
        </w:rPr>
        <w:t>Health care management review</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49</w:t>
      </w:r>
      <w:r w:rsidR="00575047">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 </w:t>
      </w:r>
      <w:r w:rsidR="00575047">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46.</w:t>
      </w:r>
      <w:r w:rsidRPr="00FE584D">
        <w:rPr>
          <w:rFonts w:ascii="Arial" w:eastAsia="Arial" w:hAnsi="Arial" w:cs="Arial"/>
          <w:sz w:val="22"/>
          <w:szCs w:val="22"/>
        </w:rPr>
        <w:t xml:space="preserve"> </w:t>
      </w:r>
      <w:hyperlink r:id="rId19">
        <w:r w:rsidRPr="00FE584D">
          <w:rPr>
            <w:rFonts w:ascii="Arial" w:eastAsia="Arial" w:hAnsi="Arial" w:cs="Arial"/>
            <w:color w:val="1155CC"/>
            <w:sz w:val="22"/>
            <w:szCs w:val="22"/>
            <w:u w:val="single"/>
          </w:rPr>
          <w:t>https://pmc.ncbi.nlm.nih.gov/articles/PMC11801468/</w:t>
        </w:r>
      </w:hyperlink>
    </w:p>
    <w:p w14:paraId="77955034" w14:textId="7777777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Cortes, M. (2023). </w:t>
      </w:r>
      <w:r w:rsidRPr="00FE584D">
        <w:rPr>
          <w:rFonts w:ascii="Arial" w:eastAsia="Arial" w:hAnsi="Arial" w:cs="Arial"/>
          <w:i/>
          <w:iCs/>
          <w:color w:val="222222"/>
          <w:sz w:val="22"/>
          <w:szCs w:val="22"/>
          <w:highlight w:val="white"/>
        </w:rPr>
        <w:t>The employees’ perspective: Situational leadership style flexibility and effectiveness and employee performance in a technological organization</w:t>
      </w:r>
      <w:r w:rsidRPr="00FE584D">
        <w:rPr>
          <w:rFonts w:ascii="Arial" w:eastAsia="Arial" w:hAnsi="Arial" w:cs="Arial"/>
          <w:color w:val="222222"/>
          <w:sz w:val="22"/>
          <w:szCs w:val="22"/>
          <w:highlight w:val="white"/>
        </w:rPr>
        <w:t>. Walden University.</w:t>
      </w:r>
      <w:r w:rsidRPr="00FE584D">
        <w:rPr>
          <w:rFonts w:ascii="Arial" w:eastAsia="Arial" w:hAnsi="Arial" w:cs="Arial"/>
          <w:sz w:val="22"/>
          <w:szCs w:val="22"/>
        </w:rPr>
        <w:t xml:space="preserve"> </w:t>
      </w:r>
      <w:hyperlink r:id="rId20">
        <w:r w:rsidRPr="00FE584D">
          <w:rPr>
            <w:rFonts w:ascii="Arial" w:eastAsia="Arial" w:hAnsi="Arial" w:cs="Arial"/>
            <w:color w:val="1155CC"/>
            <w:sz w:val="22"/>
            <w:szCs w:val="22"/>
            <w:u w:val="single"/>
          </w:rPr>
          <w:t>https://search.proquest.com/openview/d1ad6c7d3c8616287db0999022a37945/1?pq-origsite=gscholar&amp;cbl=18750&amp;diss=y</w:t>
        </w:r>
      </w:hyperlink>
    </w:p>
    <w:p w14:paraId="3632E390" w14:textId="7777777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‌Cqc.org.uk. (2023). </w:t>
      </w:r>
      <w:r w:rsidRPr="00FE584D">
        <w:rPr>
          <w:rFonts w:ascii="Arial" w:eastAsia="Arial" w:hAnsi="Arial" w:cs="Arial"/>
          <w:i/>
          <w:iCs/>
          <w:sz w:val="22"/>
          <w:szCs w:val="22"/>
        </w:rPr>
        <w:t>Key issues in 2023 - Care Quality Commission</w:t>
      </w:r>
      <w:r w:rsidRPr="00FE584D">
        <w:rPr>
          <w:rFonts w:ascii="Arial" w:eastAsia="Arial" w:hAnsi="Arial" w:cs="Arial"/>
          <w:sz w:val="22"/>
          <w:szCs w:val="22"/>
        </w:rPr>
        <w:t xml:space="preserve">. [online] Available at: </w:t>
      </w:r>
      <w:hyperlink r:id="rId21">
        <w:r w:rsidRPr="00FE584D">
          <w:rPr>
            <w:rFonts w:ascii="Arial" w:eastAsia="Arial" w:hAnsi="Arial" w:cs="Arial"/>
            <w:color w:val="1155CC"/>
            <w:sz w:val="22"/>
            <w:szCs w:val="22"/>
            <w:u w:val="single"/>
          </w:rPr>
          <w:t>https://www.cqc.org.uk/publications/controlled-drugs/2023/issues</w:t>
        </w:r>
      </w:hyperlink>
      <w:r w:rsidRPr="00FE584D">
        <w:rPr>
          <w:rFonts w:ascii="Arial" w:eastAsia="Arial" w:hAnsi="Arial" w:cs="Arial"/>
          <w:sz w:val="22"/>
          <w:szCs w:val="22"/>
        </w:rPr>
        <w:t xml:space="preserve"> [Accessed 19 July 2026].</w:t>
      </w:r>
    </w:p>
    <w:p w14:paraId="5950CAC7" w14:textId="5E2899E4"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de Wit, A., de Heide, J., Cummins, P., van </w:t>
      </w:r>
      <w:proofErr w:type="spellStart"/>
      <w:r w:rsidRPr="00FE584D">
        <w:rPr>
          <w:rFonts w:ascii="Arial" w:eastAsia="Arial" w:hAnsi="Arial" w:cs="Arial"/>
          <w:color w:val="222222"/>
          <w:sz w:val="22"/>
          <w:szCs w:val="22"/>
          <w:highlight w:val="white"/>
        </w:rPr>
        <w:t>Bruchem</w:t>
      </w:r>
      <w:proofErr w:type="spellEnd"/>
      <w:r w:rsidRPr="00FE584D">
        <w:rPr>
          <w:rFonts w:ascii="Arial" w:eastAsia="Arial" w:hAnsi="Arial" w:cs="Arial"/>
          <w:color w:val="222222"/>
          <w:sz w:val="22"/>
          <w:szCs w:val="22"/>
          <w:highlight w:val="white"/>
        </w:rPr>
        <w:t xml:space="preserve">-van de Scheur, A., </w:t>
      </w:r>
      <w:proofErr w:type="spellStart"/>
      <w:r w:rsidRPr="00FE584D">
        <w:rPr>
          <w:rFonts w:ascii="Arial" w:eastAsia="Arial" w:hAnsi="Arial" w:cs="Arial"/>
          <w:color w:val="222222"/>
          <w:sz w:val="22"/>
          <w:szCs w:val="22"/>
          <w:highlight w:val="white"/>
        </w:rPr>
        <w:t>Bhagwandien</w:t>
      </w:r>
      <w:proofErr w:type="spellEnd"/>
      <w:r w:rsidRPr="00FE584D">
        <w:rPr>
          <w:rFonts w:ascii="Arial" w:eastAsia="Arial" w:hAnsi="Arial" w:cs="Arial"/>
          <w:color w:val="222222"/>
          <w:sz w:val="22"/>
          <w:szCs w:val="22"/>
          <w:highlight w:val="white"/>
        </w:rPr>
        <w:t xml:space="preserve">, R., and Lenzen, M. (2022). A quality improvement initiative for patient knowledge comprehension during the discharge procedure using a novel computer-generated patient-tailored discharge document in cardiology. </w:t>
      </w:r>
      <w:r w:rsidRPr="00FE584D">
        <w:rPr>
          <w:rFonts w:ascii="Arial" w:eastAsia="Arial" w:hAnsi="Arial" w:cs="Arial"/>
          <w:i/>
          <w:iCs/>
          <w:color w:val="222222"/>
          <w:sz w:val="22"/>
          <w:szCs w:val="22"/>
          <w:highlight w:val="white"/>
        </w:rPr>
        <w:t>Digital Health</w:t>
      </w:r>
      <w:r w:rsidRPr="00FE584D">
        <w:rPr>
          <w:rFonts w:ascii="Arial" w:eastAsia="Arial" w:hAnsi="Arial" w:cs="Arial"/>
          <w:color w:val="222222"/>
          <w:sz w:val="22"/>
          <w:szCs w:val="22"/>
          <w:highlight w:val="white"/>
        </w:rPr>
        <w:t xml:space="preserve">, </w:t>
      </w:r>
      <w:r w:rsidR="00575047">
        <w:rPr>
          <w:rFonts w:ascii="Arial" w:eastAsia="Arial" w:hAnsi="Arial" w:cs="Arial"/>
          <w:color w:val="222222"/>
          <w:sz w:val="22"/>
          <w:szCs w:val="22"/>
          <w:highlight w:val="white"/>
        </w:rPr>
        <w:t xml:space="preserve">pp. </w:t>
      </w:r>
      <w:r w:rsidRPr="00FE584D">
        <w:rPr>
          <w:rFonts w:ascii="Arial" w:eastAsia="Arial" w:hAnsi="Arial" w:cs="Arial"/>
          <w:i/>
          <w:iCs/>
          <w:color w:val="222222"/>
          <w:sz w:val="22"/>
          <w:szCs w:val="22"/>
          <w:highlight w:val="white"/>
        </w:rPr>
        <w:t>8</w:t>
      </w:r>
      <w:r w:rsidRPr="00FE584D">
        <w:rPr>
          <w:rFonts w:ascii="Arial" w:eastAsia="Arial" w:hAnsi="Arial" w:cs="Arial"/>
          <w:color w:val="222222"/>
          <w:sz w:val="22"/>
          <w:szCs w:val="22"/>
          <w:highlight w:val="white"/>
        </w:rPr>
        <w:t>.</w:t>
      </w:r>
      <w:r w:rsidRPr="00FE584D">
        <w:rPr>
          <w:rFonts w:ascii="Arial" w:eastAsia="Arial" w:hAnsi="Arial" w:cs="Arial"/>
          <w:sz w:val="22"/>
          <w:szCs w:val="22"/>
        </w:rPr>
        <w:t xml:space="preserve"> </w:t>
      </w:r>
      <w:hyperlink r:id="rId22">
        <w:r w:rsidRPr="00FE584D">
          <w:rPr>
            <w:rFonts w:ascii="Arial" w:eastAsia="Arial" w:hAnsi="Arial" w:cs="Arial"/>
            <w:color w:val="1155CC"/>
            <w:sz w:val="22"/>
            <w:szCs w:val="22"/>
            <w:u w:val="single"/>
          </w:rPr>
          <w:t>https://journals.sagepub.com/doi/abs/10.1177/20552076221129079</w:t>
        </w:r>
      </w:hyperlink>
    </w:p>
    <w:p w14:paraId="0B80085E" w14:textId="01D86C2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Del Pino-</w:t>
      </w:r>
      <w:proofErr w:type="spellStart"/>
      <w:r w:rsidRPr="00FE584D">
        <w:rPr>
          <w:rFonts w:ascii="Arial" w:eastAsia="Arial" w:hAnsi="Arial" w:cs="Arial"/>
          <w:color w:val="222222"/>
          <w:sz w:val="22"/>
          <w:szCs w:val="22"/>
          <w:highlight w:val="white"/>
        </w:rPr>
        <w:t>Marchito</w:t>
      </w:r>
      <w:proofErr w:type="spellEnd"/>
      <w:r w:rsidRPr="00FE584D">
        <w:rPr>
          <w:rFonts w:ascii="Arial" w:eastAsia="Arial" w:hAnsi="Arial" w:cs="Arial"/>
          <w:color w:val="222222"/>
          <w:sz w:val="22"/>
          <w:szCs w:val="22"/>
          <w:highlight w:val="white"/>
        </w:rPr>
        <w:t xml:space="preserve">, A., Galán-García, A., and Plaza-Mejía, M. D. L. Á. (2025). The Hersey and Blanchard’s Situational Leadership Model Revisited: Its Role in Sustainable Organizational Development. </w:t>
      </w:r>
      <w:r w:rsidRPr="00FE584D">
        <w:rPr>
          <w:rFonts w:ascii="Arial" w:eastAsia="Arial" w:hAnsi="Arial" w:cs="Arial"/>
          <w:i/>
          <w:iCs/>
          <w:color w:val="222222"/>
          <w:sz w:val="22"/>
          <w:szCs w:val="22"/>
          <w:highlight w:val="white"/>
        </w:rPr>
        <w:t>World</w:t>
      </w:r>
      <w:r w:rsidRPr="00FE584D">
        <w:rPr>
          <w:rFonts w:ascii="Arial" w:eastAsia="Arial" w:hAnsi="Arial" w:cs="Arial"/>
          <w:color w:val="222222"/>
          <w:sz w:val="22"/>
          <w:szCs w:val="22"/>
          <w:highlight w:val="white"/>
        </w:rPr>
        <w:t xml:space="preserve">, </w:t>
      </w:r>
      <w:r w:rsidR="00550E5C">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6</w:t>
      </w:r>
      <w:r w:rsidR="00550E5C">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2, </w:t>
      </w:r>
      <w:r w:rsidR="00550E5C">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63.</w:t>
      </w:r>
      <w:r w:rsidRPr="00FE584D">
        <w:rPr>
          <w:rFonts w:ascii="Arial" w:eastAsia="Arial" w:hAnsi="Arial" w:cs="Arial"/>
          <w:sz w:val="22"/>
          <w:szCs w:val="22"/>
        </w:rPr>
        <w:t xml:space="preserve"> </w:t>
      </w:r>
      <w:hyperlink r:id="rId23">
        <w:r w:rsidRPr="00FE584D">
          <w:rPr>
            <w:rFonts w:ascii="Arial" w:eastAsia="Arial" w:hAnsi="Arial" w:cs="Arial"/>
            <w:color w:val="1155CC"/>
            <w:sz w:val="22"/>
            <w:szCs w:val="22"/>
            <w:u w:val="single"/>
          </w:rPr>
          <w:t>https://www.mdpi.com/2673-4060/6/2/63</w:t>
        </w:r>
      </w:hyperlink>
    </w:p>
    <w:p w14:paraId="49CDA9FB" w14:textId="3573126B"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Doyle, C. (2022). The importance of supportive relationships with general practitioners, hospitals and pharmacists for mothers who ‘give medicines’ to children with severe and profound intellectual disabilities. </w:t>
      </w:r>
      <w:r w:rsidRPr="00FE584D">
        <w:rPr>
          <w:rFonts w:ascii="Arial" w:eastAsia="Arial" w:hAnsi="Arial" w:cs="Arial"/>
          <w:i/>
          <w:iCs/>
          <w:color w:val="222222"/>
          <w:sz w:val="22"/>
          <w:szCs w:val="22"/>
          <w:highlight w:val="white"/>
        </w:rPr>
        <w:t>Journal of Intellectual Disabilities</w:t>
      </w:r>
      <w:r w:rsidRPr="00FE584D">
        <w:rPr>
          <w:rFonts w:ascii="Arial" w:eastAsia="Arial" w:hAnsi="Arial" w:cs="Arial"/>
          <w:color w:val="222222"/>
          <w:sz w:val="22"/>
          <w:szCs w:val="22"/>
          <w:highlight w:val="white"/>
        </w:rPr>
        <w:t xml:space="preserve">, </w:t>
      </w:r>
      <w:r w:rsidR="00550E5C">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26</w:t>
      </w:r>
      <w:r w:rsidR="00550E5C">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1, 29-49.</w:t>
      </w:r>
      <w:r w:rsidRPr="00FE584D">
        <w:rPr>
          <w:rFonts w:ascii="Arial" w:eastAsia="Arial" w:hAnsi="Arial" w:cs="Arial"/>
          <w:sz w:val="22"/>
          <w:szCs w:val="22"/>
        </w:rPr>
        <w:t xml:space="preserve"> </w:t>
      </w:r>
      <w:hyperlink r:id="rId24">
        <w:r w:rsidRPr="00FE584D">
          <w:rPr>
            <w:rFonts w:ascii="Arial" w:eastAsia="Arial" w:hAnsi="Arial" w:cs="Arial"/>
            <w:color w:val="1155CC"/>
            <w:sz w:val="22"/>
            <w:szCs w:val="22"/>
            <w:u w:val="single"/>
          </w:rPr>
          <w:t>https://journals.sagepub.com/doi/abs/10.1177/1744629520951003</w:t>
        </w:r>
      </w:hyperlink>
    </w:p>
    <w:p w14:paraId="71FEE5FC" w14:textId="77777777"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Drugs.com, (2025). </w:t>
      </w:r>
      <w:r w:rsidRPr="00FE584D">
        <w:rPr>
          <w:rFonts w:ascii="Arial" w:eastAsia="Arial" w:hAnsi="Arial" w:cs="Arial"/>
          <w:i/>
          <w:iCs/>
          <w:sz w:val="22"/>
          <w:szCs w:val="22"/>
        </w:rPr>
        <w:t>Oramorph SR: Key Safety and Patient Guidance</w:t>
      </w:r>
      <w:r w:rsidRPr="00FE584D">
        <w:rPr>
          <w:rFonts w:ascii="Arial" w:eastAsia="Arial" w:hAnsi="Arial" w:cs="Arial"/>
          <w:sz w:val="22"/>
          <w:szCs w:val="22"/>
        </w:rPr>
        <w:t xml:space="preserve">. [online] Drugs.com. Available at: </w:t>
      </w:r>
      <w:hyperlink r:id="rId25">
        <w:r w:rsidRPr="00FE584D">
          <w:rPr>
            <w:rFonts w:ascii="Arial" w:eastAsia="Arial" w:hAnsi="Arial" w:cs="Arial"/>
            <w:color w:val="1155CC"/>
            <w:sz w:val="22"/>
            <w:szCs w:val="22"/>
            <w:u w:val="single"/>
          </w:rPr>
          <w:t>https://www.drugs.com/cons/oramorph-sr.html</w:t>
        </w:r>
      </w:hyperlink>
      <w:r w:rsidRPr="00FE584D">
        <w:rPr>
          <w:rFonts w:ascii="Arial" w:eastAsia="Arial" w:hAnsi="Arial" w:cs="Arial"/>
          <w:sz w:val="22"/>
          <w:szCs w:val="22"/>
        </w:rPr>
        <w:t xml:space="preserve"> [Accessed 19 July 2026].</w:t>
      </w:r>
    </w:p>
    <w:p w14:paraId="5AC9F2A6" w14:textId="75FE8944"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‌Elliott, R.A., Camacho, E., Jankovic, D., </w:t>
      </w:r>
      <w:proofErr w:type="spellStart"/>
      <w:r w:rsidRPr="00FE584D">
        <w:rPr>
          <w:rFonts w:ascii="Arial" w:eastAsia="Arial" w:hAnsi="Arial" w:cs="Arial"/>
          <w:sz w:val="22"/>
          <w:szCs w:val="22"/>
        </w:rPr>
        <w:t>Sculpher</w:t>
      </w:r>
      <w:proofErr w:type="spellEnd"/>
      <w:r w:rsidRPr="00FE584D">
        <w:rPr>
          <w:rFonts w:ascii="Arial" w:eastAsia="Arial" w:hAnsi="Arial" w:cs="Arial"/>
          <w:sz w:val="22"/>
          <w:szCs w:val="22"/>
        </w:rPr>
        <w:t xml:space="preserve">, M.J. and Faria, R. (2020). Economic analysis of the prevalence and clinical and economic burden of medication error in England. </w:t>
      </w:r>
      <w:r w:rsidRPr="00FE584D">
        <w:rPr>
          <w:rFonts w:ascii="Arial" w:eastAsia="Arial" w:hAnsi="Arial" w:cs="Arial"/>
          <w:i/>
          <w:iCs/>
          <w:sz w:val="22"/>
          <w:szCs w:val="22"/>
        </w:rPr>
        <w:t>BMJ Quality and Safety</w:t>
      </w:r>
      <w:r w:rsidRPr="00FE584D">
        <w:rPr>
          <w:rFonts w:ascii="Arial" w:eastAsia="Arial" w:hAnsi="Arial" w:cs="Arial"/>
          <w:sz w:val="22"/>
          <w:szCs w:val="22"/>
        </w:rPr>
        <w:t xml:space="preserve">, [online] </w:t>
      </w:r>
      <w:r w:rsidR="004440B1">
        <w:rPr>
          <w:rFonts w:ascii="Arial" w:eastAsia="Arial" w:hAnsi="Arial" w:cs="Arial"/>
          <w:sz w:val="22"/>
          <w:szCs w:val="22"/>
        </w:rPr>
        <w:t xml:space="preserve">vol. </w:t>
      </w:r>
      <w:r w:rsidRPr="00FE584D">
        <w:rPr>
          <w:rFonts w:ascii="Arial" w:eastAsia="Arial" w:hAnsi="Arial" w:cs="Arial"/>
          <w:sz w:val="22"/>
          <w:szCs w:val="22"/>
        </w:rPr>
        <w:t>30</w:t>
      </w:r>
      <w:r w:rsidR="004440B1">
        <w:rPr>
          <w:rFonts w:ascii="Arial" w:eastAsia="Arial" w:hAnsi="Arial" w:cs="Arial"/>
          <w:sz w:val="22"/>
          <w:szCs w:val="22"/>
        </w:rPr>
        <w:t xml:space="preserve">, no. </w:t>
      </w:r>
      <w:r w:rsidRPr="00FE584D">
        <w:rPr>
          <w:rFonts w:ascii="Arial" w:eastAsia="Arial" w:hAnsi="Arial" w:cs="Arial"/>
          <w:sz w:val="22"/>
          <w:szCs w:val="22"/>
        </w:rPr>
        <w:t>2, pp.96–105. doi:10.1136/bmjqs-2019-010206.</w:t>
      </w:r>
    </w:p>
    <w:p w14:paraId="106EBF1F" w14:textId="06C1F6AB"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England.nhs.uk, (2024). </w:t>
      </w:r>
      <w:r w:rsidRPr="00FE584D">
        <w:rPr>
          <w:rFonts w:ascii="Arial" w:eastAsia="Arial" w:hAnsi="Arial" w:cs="Arial"/>
          <w:i/>
          <w:iCs/>
          <w:sz w:val="22"/>
          <w:szCs w:val="22"/>
        </w:rPr>
        <w:t>NHS England » Primary care patient safety strategy</w:t>
      </w:r>
      <w:r w:rsidRPr="00FE584D">
        <w:rPr>
          <w:rFonts w:ascii="Arial" w:eastAsia="Arial" w:hAnsi="Arial" w:cs="Arial"/>
          <w:sz w:val="22"/>
          <w:szCs w:val="22"/>
        </w:rPr>
        <w:t xml:space="preserve">. [online] England.nhs.uk. Available at: </w:t>
      </w:r>
      <w:hyperlink r:id="rId26">
        <w:r w:rsidRPr="00FE584D">
          <w:rPr>
            <w:rFonts w:ascii="Arial" w:eastAsia="Arial" w:hAnsi="Arial" w:cs="Arial"/>
            <w:color w:val="1155CC"/>
            <w:sz w:val="22"/>
            <w:szCs w:val="22"/>
            <w:u w:val="single"/>
          </w:rPr>
          <w:t>https://www.england.nhs.uk/long-read/primary-care-patient-safety-strategy/</w:t>
        </w:r>
      </w:hyperlink>
      <w:r w:rsidRPr="00FE584D">
        <w:rPr>
          <w:rFonts w:ascii="Arial" w:eastAsia="Arial" w:hAnsi="Arial" w:cs="Arial"/>
          <w:sz w:val="22"/>
          <w:szCs w:val="22"/>
        </w:rPr>
        <w:t xml:space="preserve"> [Accessed 1</w:t>
      </w:r>
      <w:r w:rsidR="004440B1">
        <w:rPr>
          <w:rFonts w:ascii="Arial" w:eastAsia="Arial" w:hAnsi="Arial" w:cs="Arial"/>
          <w:sz w:val="22"/>
          <w:szCs w:val="22"/>
        </w:rPr>
        <w:t>2</w:t>
      </w:r>
      <w:r w:rsidRPr="00FE584D">
        <w:rPr>
          <w:rFonts w:ascii="Arial" w:eastAsia="Arial" w:hAnsi="Arial" w:cs="Arial"/>
          <w:sz w:val="22"/>
          <w:szCs w:val="22"/>
        </w:rPr>
        <w:t xml:space="preserve"> July 2026].</w:t>
      </w:r>
    </w:p>
    <w:p w14:paraId="03A6C28F" w14:textId="234F9E3A"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lastRenderedPageBreak/>
        <w:t xml:space="preserve">England.nhs.uk, (2026). </w:t>
      </w:r>
      <w:r w:rsidRPr="00FE584D">
        <w:rPr>
          <w:rFonts w:ascii="Arial" w:eastAsia="Arial" w:hAnsi="Arial" w:cs="Arial"/>
          <w:i/>
          <w:iCs/>
          <w:sz w:val="22"/>
          <w:szCs w:val="22"/>
        </w:rPr>
        <w:t>NHS England » Patient safety</w:t>
      </w:r>
      <w:r w:rsidRPr="00FE584D">
        <w:rPr>
          <w:rFonts w:ascii="Arial" w:eastAsia="Arial" w:hAnsi="Arial" w:cs="Arial"/>
          <w:sz w:val="22"/>
          <w:szCs w:val="22"/>
        </w:rPr>
        <w:t xml:space="preserve">. [online] England.nhs.uk. Available at: </w:t>
      </w:r>
      <w:hyperlink r:id="rId27">
        <w:r w:rsidRPr="00FE584D">
          <w:rPr>
            <w:rFonts w:ascii="Arial" w:eastAsia="Arial" w:hAnsi="Arial" w:cs="Arial"/>
            <w:color w:val="1155CC"/>
            <w:sz w:val="22"/>
            <w:szCs w:val="22"/>
            <w:u w:val="single"/>
          </w:rPr>
          <w:t>https://www.england.nhs.uk/patient%20safety/</w:t>
        </w:r>
      </w:hyperlink>
      <w:r w:rsidRPr="00FE584D">
        <w:rPr>
          <w:rFonts w:ascii="Arial" w:eastAsia="Arial" w:hAnsi="Arial" w:cs="Arial"/>
          <w:sz w:val="22"/>
          <w:szCs w:val="22"/>
        </w:rPr>
        <w:t xml:space="preserve"> [Accessed 1</w:t>
      </w:r>
      <w:r w:rsidR="004440B1">
        <w:rPr>
          <w:rFonts w:ascii="Arial" w:eastAsia="Arial" w:hAnsi="Arial" w:cs="Arial"/>
          <w:sz w:val="22"/>
          <w:szCs w:val="22"/>
        </w:rPr>
        <w:t>7</w:t>
      </w:r>
      <w:r w:rsidRPr="00FE584D">
        <w:rPr>
          <w:rFonts w:ascii="Arial" w:eastAsia="Arial" w:hAnsi="Arial" w:cs="Arial"/>
          <w:sz w:val="22"/>
          <w:szCs w:val="22"/>
        </w:rPr>
        <w:t xml:space="preserve"> July 2026].</w:t>
      </w:r>
    </w:p>
    <w:p w14:paraId="2F82A791" w14:textId="40C4239E"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Falade, I. M., </w:t>
      </w:r>
      <w:proofErr w:type="spellStart"/>
      <w:r w:rsidRPr="00FE584D">
        <w:rPr>
          <w:rFonts w:ascii="Arial" w:eastAsia="Arial" w:hAnsi="Arial" w:cs="Arial"/>
          <w:color w:val="222222"/>
          <w:sz w:val="22"/>
          <w:szCs w:val="22"/>
          <w:highlight w:val="white"/>
        </w:rPr>
        <w:t>Gyampoh</w:t>
      </w:r>
      <w:proofErr w:type="spellEnd"/>
      <w:r w:rsidRPr="00FE584D">
        <w:rPr>
          <w:rFonts w:ascii="Arial" w:eastAsia="Arial" w:hAnsi="Arial" w:cs="Arial"/>
          <w:color w:val="222222"/>
          <w:sz w:val="22"/>
          <w:szCs w:val="22"/>
          <w:highlight w:val="white"/>
        </w:rPr>
        <w:t xml:space="preserve">, G. K. S., </w:t>
      </w:r>
      <w:proofErr w:type="spellStart"/>
      <w:r w:rsidRPr="00FE584D">
        <w:rPr>
          <w:rFonts w:ascii="Arial" w:eastAsia="Arial" w:hAnsi="Arial" w:cs="Arial"/>
          <w:color w:val="222222"/>
          <w:sz w:val="22"/>
          <w:szCs w:val="22"/>
          <w:highlight w:val="white"/>
        </w:rPr>
        <w:t>Akpamgbo</w:t>
      </w:r>
      <w:proofErr w:type="spellEnd"/>
      <w:r w:rsidRPr="00FE584D">
        <w:rPr>
          <w:rFonts w:ascii="Arial" w:eastAsia="Arial" w:hAnsi="Arial" w:cs="Arial"/>
          <w:color w:val="222222"/>
          <w:sz w:val="22"/>
          <w:szCs w:val="22"/>
          <w:highlight w:val="white"/>
        </w:rPr>
        <w:t xml:space="preserve">, E. O., Chika, O. C., Obodo, O. R., </w:t>
      </w:r>
      <w:proofErr w:type="spellStart"/>
      <w:r w:rsidRPr="00FE584D">
        <w:rPr>
          <w:rFonts w:ascii="Arial" w:eastAsia="Arial" w:hAnsi="Arial" w:cs="Arial"/>
          <w:color w:val="222222"/>
          <w:sz w:val="22"/>
          <w:szCs w:val="22"/>
          <w:highlight w:val="white"/>
        </w:rPr>
        <w:t>Okobi</w:t>
      </w:r>
      <w:proofErr w:type="spellEnd"/>
      <w:r w:rsidRPr="00FE584D">
        <w:rPr>
          <w:rFonts w:ascii="Arial" w:eastAsia="Arial" w:hAnsi="Arial" w:cs="Arial"/>
          <w:color w:val="222222"/>
          <w:sz w:val="22"/>
          <w:szCs w:val="22"/>
          <w:highlight w:val="white"/>
        </w:rPr>
        <w:t xml:space="preserve">, O. E., ... and Chukwu, V. U. (2024). A comprehensive review of effective patient safety and quality improvement programs in healthcare facilities. </w:t>
      </w:r>
      <w:r w:rsidRPr="00FE584D">
        <w:rPr>
          <w:rFonts w:ascii="Arial" w:eastAsia="Arial" w:hAnsi="Arial" w:cs="Arial"/>
          <w:i/>
          <w:iCs/>
          <w:color w:val="222222"/>
          <w:sz w:val="22"/>
          <w:szCs w:val="22"/>
          <w:highlight w:val="white"/>
        </w:rPr>
        <w:t>Medical Research Archives</w:t>
      </w:r>
      <w:r w:rsidRPr="00FE584D">
        <w:rPr>
          <w:rFonts w:ascii="Arial" w:eastAsia="Arial" w:hAnsi="Arial" w:cs="Arial"/>
          <w:color w:val="222222"/>
          <w:sz w:val="22"/>
          <w:szCs w:val="22"/>
          <w:highlight w:val="white"/>
        </w:rPr>
        <w:t xml:space="preserve">, </w:t>
      </w:r>
      <w:r w:rsidR="003B5B0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12</w:t>
      </w:r>
      <w:r w:rsidR="003B5B0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7.</w:t>
      </w:r>
      <w:r w:rsidRPr="00FE584D">
        <w:rPr>
          <w:rFonts w:ascii="Arial" w:eastAsia="Arial" w:hAnsi="Arial" w:cs="Arial"/>
          <w:sz w:val="22"/>
          <w:szCs w:val="22"/>
        </w:rPr>
        <w:t xml:space="preserve"> </w:t>
      </w:r>
      <w:hyperlink r:id="rId28" w:history="1">
        <w:r w:rsidR="003B5B02" w:rsidRPr="00CF3D36">
          <w:rPr>
            <w:rStyle w:val="Hyperlink"/>
            <w:rFonts w:ascii="Arial" w:eastAsia="Arial" w:hAnsi="Arial" w:cs="Arial"/>
            <w:sz w:val="22"/>
            <w:szCs w:val="22"/>
          </w:rPr>
          <w:t>https://doi.org/10.18103/mra.v12i 7.5649</w:t>
        </w:r>
      </w:hyperlink>
      <w:r w:rsidR="003B5B02">
        <w:rPr>
          <w:rFonts w:ascii="Arial" w:eastAsia="Arial" w:hAnsi="Arial" w:cs="Arial"/>
          <w:sz w:val="22"/>
          <w:szCs w:val="22"/>
        </w:rPr>
        <w:t xml:space="preserve"> </w:t>
      </w:r>
    </w:p>
    <w:p w14:paraId="42632152" w14:textId="3875F722"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Fernandes, R. G., Silva, L. F. D., and Vils, L. (2023). Distributed team cognition and collaborative problem-solving in project management. </w:t>
      </w:r>
      <w:r w:rsidRPr="00FE584D">
        <w:rPr>
          <w:rFonts w:ascii="Arial" w:eastAsia="Arial" w:hAnsi="Arial" w:cs="Arial"/>
          <w:i/>
          <w:iCs/>
          <w:color w:val="222222"/>
          <w:sz w:val="22"/>
          <w:szCs w:val="22"/>
          <w:highlight w:val="white"/>
        </w:rPr>
        <w:t>International Journal of Managing Projects in Business</w:t>
      </w:r>
      <w:r w:rsidRPr="00FE584D">
        <w:rPr>
          <w:rFonts w:ascii="Arial" w:eastAsia="Arial" w:hAnsi="Arial" w:cs="Arial"/>
          <w:color w:val="222222"/>
          <w:sz w:val="22"/>
          <w:szCs w:val="22"/>
          <w:highlight w:val="white"/>
        </w:rPr>
        <w:t xml:space="preserve">, </w:t>
      </w:r>
      <w:r w:rsidR="00700C0B">
        <w:rPr>
          <w:rFonts w:ascii="Arial" w:eastAsia="Arial" w:hAnsi="Arial" w:cs="Arial"/>
          <w:color w:val="222222"/>
          <w:sz w:val="22"/>
          <w:szCs w:val="22"/>
          <w:highlight w:val="white"/>
        </w:rPr>
        <w:t>vol.</w:t>
      </w:r>
      <w:r w:rsidRPr="00FE584D">
        <w:rPr>
          <w:rFonts w:ascii="Arial" w:eastAsia="Arial" w:hAnsi="Arial" w:cs="Arial"/>
          <w:i/>
          <w:iCs/>
          <w:color w:val="222222"/>
          <w:sz w:val="22"/>
          <w:szCs w:val="22"/>
          <w:highlight w:val="white"/>
        </w:rPr>
        <w:t>16</w:t>
      </w:r>
      <w:r w:rsidR="00700C0B">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6-7, </w:t>
      </w:r>
      <w:r w:rsidR="00700C0B">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713-742.</w:t>
      </w:r>
      <w:r w:rsidRPr="00FE584D">
        <w:rPr>
          <w:rFonts w:ascii="Arial" w:eastAsia="Arial" w:hAnsi="Arial" w:cs="Arial"/>
          <w:sz w:val="22"/>
          <w:szCs w:val="22"/>
        </w:rPr>
        <w:t xml:space="preserve"> </w:t>
      </w:r>
      <w:hyperlink r:id="rId29">
        <w:r w:rsidRPr="00FE584D">
          <w:rPr>
            <w:rFonts w:ascii="Arial" w:eastAsia="Arial" w:hAnsi="Arial" w:cs="Arial"/>
            <w:color w:val="1155CC"/>
            <w:sz w:val="22"/>
            <w:szCs w:val="22"/>
            <w:u w:val="single"/>
          </w:rPr>
          <w:t>https://www.emerald.com/ijmpb/article/16/6-7/713/141585</w:t>
        </w:r>
      </w:hyperlink>
    </w:p>
    <w:p w14:paraId="700210BE" w14:textId="244D6E84"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Gallier, S., Topham, A., Nightingale, P., Garrick, M., Woolhouse, I., Berry, M. A., ... and Ball, S. (2022). Electronic prescribing systems as tools to improve patient care: a learning health systems approach to increase guideline concordant prescribing for venous thromboembolism prevention. </w:t>
      </w:r>
      <w:r w:rsidRPr="00FE584D">
        <w:rPr>
          <w:rFonts w:ascii="Arial" w:eastAsia="Arial" w:hAnsi="Arial" w:cs="Arial"/>
          <w:i/>
          <w:iCs/>
          <w:color w:val="222222"/>
          <w:sz w:val="22"/>
          <w:szCs w:val="22"/>
          <w:highlight w:val="white"/>
        </w:rPr>
        <w:t>BMC Medical Informatics and Decision Making</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22</w:t>
      </w:r>
      <w:r w:rsidR="00030C1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 </w:t>
      </w:r>
      <w:r w:rsidR="00030C12">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121.</w:t>
      </w:r>
      <w:r w:rsidRPr="00FE584D">
        <w:rPr>
          <w:rFonts w:ascii="Arial" w:eastAsia="Arial" w:hAnsi="Arial" w:cs="Arial"/>
          <w:sz w:val="22"/>
          <w:szCs w:val="22"/>
        </w:rPr>
        <w:t xml:space="preserve"> </w:t>
      </w:r>
      <w:hyperlink r:id="rId30">
        <w:r w:rsidRPr="00FE584D">
          <w:rPr>
            <w:rFonts w:ascii="Arial" w:eastAsia="Arial" w:hAnsi="Arial" w:cs="Arial"/>
            <w:color w:val="1155CC"/>
            <w:sz w:val="22"/>
            <w:szCs w:val="22"/>
            <w:u w:val="single"/>
          </w:rPr>
          <w:t>https://link.springer.com/article/10.1186/s12911-022-01865-y</w:t>
        </w:r>
      </w:hyperlink>
    </w:p>
    <w:p w14:paraId="1A492D94" w14:textId="2F58723F"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Gamble, E., Heavin, C., and Linehan, C. (2025). Adaptation of clinical research staff to decentralized clinical trials and impacts on the patient-centered experience: Qualitative interview study. </w:t>
      </w:r>
      <w:r w:rsidRPr="00FE584D">
        <w:rPr>
          <w:rFonts w:ascii="Arial" w:eastAsia="Arial" w:hAnsi="Arial" w:cs="Arial"/>
          <w:i/>
          <w:iCs/>
          <w:color w:val="222222"/>
          <w:sz w:val="22"/>
          <w:szCs w:val="22"/>
          <w:highlight w:val="white"/>
        </w:rPr>
        <w:t>Journal of Medical Internet Research</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27</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e62947.</w:t>
      </w:r>
      <w:r w:rsidRPr="00FE584D">
        <w:rPr>
          <w:rFonts w:ascii="Arial" w:eastAsia="Arial" w:hAnsi="Arial" w:cs="Arial"/>
          <w:sz w:val="22"/>
          <w:szCs w:val="22"/>
        </w:rPr>
        <w:t xml:space="preserve"> </w:t>
      </w:r>
      <w:hyperlink r:id="rId31">
        <w:r w:rsidRPr="00FE584D">
          <w:rPr>
            <w:rFonts w:ascii="Arial" w:eastAsia="Arial" w:hAnsi="Arial" w:cs="Arial"/>
            <w:color w:val="1155CC"/>
            <w:sz w:val="22"/>
            <w:szCs w:val="22"/>
            <w:u w:val="single"/>
          </w:rPr>
          <w:t>https://www.jmir.org/2025/1/e62947/</w:t>
        </w:r>
      </w:hyperlink>
    </w:p>
    <w:p w14:paraId="0466579E" w14:textId="77777777" w:rsidR="00A46FB0" w:rsidRPr="00E268A1" w:rsidRDefault="00A46FB0" w:rsidP="00A43C03">
      <w:pPr>
        <w:spacing w:before="240" w:after="240" w:line="360" w:lineRule="auto"/>
        <w:jc w:val="both"/>
        <w:rPr>
          <w:rFonts w:ascii="Arial" w:eastAsia="Arial" w:hAnsi="Arial" w:cs="Arial"/>
          <w:sz w:val="22"/>
          <w:szCs w:val="22"/>
          <w:lang w:val="it-IT"/>
        </w:rPr>
      </w:pPr>
      <w:r w:rsidRPr="00FE584D">
        <w:rPr>
          <w:rFonts w:ascii="Arial" w:eastAsia="Arial" w:hAnsi="Arial" w:cs="Arial"/>
          <w:color w:val="222222"/>
          <w:sz w:val="22"/>
          <w:szCs w:val="22"/>
          <w:highlight w:val="white"/>
        </w:rPr>
        <w:t xml:space="preserve">Giva, S., MacDonald, F., Cleary, B., McCallion, N., and O'Brien, F. (2026). Improving Medication Safety at Home: A Systematic Review of Educational Interventions for Parents of Paediatric Patients. </w:t>
      </w:r>
      <w:r w:rsidRPr="00E268A1">
        <w:rPr>
          <w:rFonts w:ascii="Arial" w:eastAsia="Arial" w:hAnsi="Arial" w:cs="Arial"/>
          <w:i/>
          <w:iCs/>
          <w:color w:val="222222"/>
          <w:sz w:val="22"/>
          <w:szCs w:val="22"/>
          <w:highlight w:val="white"/>
          <w:lang w:val="it-IT"/>
        </w:rPr>
        <w:t>Acta Paediatrica</w:t>
      </w:r>
      <w:r w:rsidRPr="00E268A1">
        <w:rPr>
          <w:rFonts w:ascii="Arial" w:eastAsia="Arial" w:hAnsi="Arial" w:cs="Arial"/>
          <w:color w:val="222222"/>
          <w:sz w:val="22"/>
          <w:szCs w:val="22"/>
          <w:highlight w:val="white"/>
          <w:lang w:val="it-IT"/>
        </w:rPr>
        <w:t>.</w:t>
      </w:r>
      <w:r w:rsidRPr="00E268A1">
        <w:rPr>
          <w:rFonts w:ascii="Arial" w:eastAsia="Arial" w:hAnsi="Arial" w:cs="Arial"/>
          <w:sz w:val="22"/>
          <w:szCs w:val="22"/>
          <w:lang w:val="it-IT"/>
        </w:rPr>
        <w:t xml:space="preserve"> </w:t>
      </w:r>
      <w:hyperlink r:id="rId32">
        <w:r w:rsidRPr="00E268A1">
          <w:rPr>
            <w:rFonts w:ascii="Arial" w:eastAsia="Arial" w:hAnsi="Arial" w:cs="Arial"/>
            <w:color w:val="1155CC"/>
            <w:sz w:val="22"/>
            <w:szCs w:val="22"/>
            <w:u w:val="single"/>
            <w:lang w:val="it-IT"/>
          </w:rPr>
          <w:t>https://onlinelibrary.wiley.com/doi/abs/10.1111/apa.70407</w:t>
        </w:r>
      </w:hyperlink>
    </w:p>
    <w:p w14:paraId="653BFB7F" w14:textId="77777777" w:rsidR="00A46FB0" w:rsidRPr="00FE584D" w:rsidRDefault="00A46FB0" w:rsidP="00A43C03">
      <w:pPr>
        <w:spacing w:after="240" w:line="360" w:lineRule="auto"/>
        <w:jc w:val="both"/>
        <w:rPr>
          <w:rFonts w:ascii="Arial" w:eastAsia="Arial" w:hAnsi="Arial" w:cs="Arial"/>
          <w:sz w:val="22"/>
          <w:szCs w:val="22"/>
        </w:rPr>
      </w:pPr>
      <w:r w:rsidRPr="00E268A1">
        <w:rPr>
          <w:rFonts w:ascii="Arial" w:eastAsia="Arial" w:hAnsi="Arial" w:cs="Arial"/>
          <w:sz w:val="22"/>
          <w:szCs w:val="22"/>
          <w:lang w:val="it-IT"/>
        </w:rPr>
        <w:t xml:space="preserve">GOV.UK, (2018). </w:t>
      </w:r>
      <w:r w:rsidRPr="00FE584D">
        <w:rPr>
          <w:rFonts w:ascii="Arial" w:eastAsia="Arial" w:hAnsi="Arial" w:cs="Arial"/>
          <w:i/>
          <w:iCs/>
          <w:sz w:val="22"/>
          <w:szCs w:val="22"/>
        </w:rPr>
        <w:t>Transdermal fentanyl patches: life-threatening and fatal opioid toxicity from accidental exposure, particularly in children</w:t>
      </w:r>
      <w:r w:rsidRPr="00FE584D">
        <w:rPr>
          <w:rFonts w:ascii="Arial" w:eastAsia="Arial" w:hAnsi="Arial" w:cs="Arial"/>
          <w:sz w:val="22"/>
          <w:szCs w:val="22"/>
        </w:rPr>
        <w:t xml:space="preserve">. [online] GOV.UK. Available at: </w:t>
      </w:r>
      <w:hyperlink r:id="rId33">
        <w:r w:rsidRPr="00FE584D">
          <w:rPr>
            <w:rFonts w:ascii="Arial" w:eastAsia="Arial" w:hAnsi="Arial" w:cs="Arial"/>
            <w:color w:val="1155CC"/>
            <w:sz w:val="22"/>
            <w:szCs w:val="22"/>
            <w:u w:val="single"/>
          </w:rPr>
          <w:t>https://www.gov.uk/drug-safety-update/transdermal-fentanyl-patches-life-threatening-and-fatal-opioid-toxicity-from-accidental-exposure-particularly-in-children?UNLID=854181413202668202624&amp;utm</w:t>
        </w:r>
      </w:hyperlink>
      <w:r w:rsidRPr="00FE584D">
        <w:rPr>
          <w:rFonts w:ascii="Arial" w:eastAsia="Arial" w:hAnsi="Arial" w:cs="Arial"/>
          <w:sz w:val="22"/>
          <w:szCs w:val="22"/>
        </w:rPr>
        <w:t xml:space="preserve"> [Accessed 19 July 2026].</w:t>
      </w:r>
    </w:p>
    <w:p w14:paraId="492C32B1" w14:textId="77777777" w:rsidR="00A46FB0" w:rsidRPr="00FE584D" w:rsidRDefault="00A46FB0" w:rsidP="00A43C03">
      <w:pPr>
        <w:spacing w:after="0" w:line="360" w:lineRule="auto"/>
        <w:jc w:val="both"/>
        <w:rPr>
          <w:rFonts w:ascii="Arial" w:eastAsia="Arial" w:hAnsi="Arial" w:cs="Arial"/>
          <w:sz w:val="22"/>
          <w:szCs w:val="22"/>
        </w:rPr>
      </w:pPr>
      <w:proofErr w:type="spellStart"/>
      <w:r w:rsidRPr="00FE584D">
        <w:rPr>
          <w:rFonts w:ascii="Arial" w:eastAsia="Arial" w:hAnsi="Arial" w:cs="Arial"/>
          <w:color w:val="222222"/>
          <w:sz w:val="22"/>
          <w:szCs w:val="22"/>
          <w:highlight w:val="white"/>
        </w:rPr>
        <w:t>Guntschnig</w:t>
      </w:r>
      <w:proofErr w:type="spellEnd"/>
      <w:r w:rsidRPr="00FE584D">
        <w:rPr>
          <w:rFonts w:ascii="Arial" w:eastAsia="Arial" w:hAnsi="Arial" w:cs="Arial"/>
          <w:color w:val="222222"/>
          <w:sz w:val="22"/>
          <w:szCs w:val="22"/>
          <w:highlight w:val="white"/>
        </w:rPr>
        <w:t xml:space="preserve">, S., Barbosa, R., Jenzer, H., Greening, M., Hayde, J., Heery, H., ... and Mulac, A. (2025). Tackling medication errors: how a systems approach improves patient safety. </w:t>
      </w:r>
      <w:r w:rsidRPr="00FE584D">
        <w:rPr>
          <w:rFonts w:ascii="Arial" w:eastAsia="Arial" w:hAnsi="Arial" w:cs="Arial"/>
          <w:i/>
          <w:iCs/>
          <w:color w:val="222222"/>
          <w:sz w:val="22"/>
          <w:szCs w:val="22"/>
          <w:highlight w:val="white"/>
        </w:rPr>
        <w:t>European Journal of Hospital Pharmacy</w:t>
      </w:r>
      <w:r w:rsidRPr="00FE584D">
        <w:rPr>
          <w:rFonts w:ascii="Arial" w:eastAsia="Arial" w:hAnsi="Arial" w:cs="Arial"/>
          <w:color w:val="222222"/>
          <w:sz w:val="22"/>
          <w:szCs w:val="22"/>
          <w:highlight w:val="white"/>
        </w:rPr>
        <w:t>.</w:t>
      </w:r>
      <w:r w:rsidRPr="00FE584D">
        <w:rPr>
          <w:rFonts w:ascii="Arial" w:eastAsia="Arial" w:hAnsi="Arial" w:cs="Arial"/>
          <w:sz w:val="22"/>
          <w:szCs w:val="22"/>
        </w:rPr>
        <w:t xml:space="preserve"> </w:t>
      </w:r>
      <w:hyperlink r:id="rId34">
        <w:r w:rsidRPr="00FE584D">
          <w:rPr>
            <w:rFonts w:ascii="Arial" w:eastAsia="Arial" w:hAnsi="Arial" w:cs="Arial"/>
            <w:color w:val="1155CC"/>
            <w:sz w:val="22"/>
            <w:szCs w:val="22"/>
            <w:u w:val="single"/>
          </w:rPr>
          <w:t>https://ejhp.bmj.com/content/early/2025/04/30/ejhpharm-2025-004533?versioned=true</w:t>
        </w:r>
      </w:hyperlink>
    </w:p>
    <w:p w14:paraId="3FA19E4C" w14:textId="08A0801B"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lastRenderedPageBreak/>
        <w:t xml:space="preserve">Hamed, A. M., </w:t>
      </w:r>
      <w:proofErr w:type="spellStart"/>
      <w:r w:rsidRPr="00FE584D">
        <w:rPr>
          <w:rFonts w:ascii="Arial" w:eastAsia="Arial" w:hAnsi="Arial" w:cs="Arial"/>
          <w:color w:val="222222"/>
          <w:sz w:val="22"/>
          <w:szCs w:val="22"/>
          <w:highlight w:val="white"/>
        </w:rPr>
        <w:t>Elshaikh</w:t>
      </w:r>
      <w:proofErr w:type="spellEnd"/>
      <w:r w:rsidRPr="00FE584D">
        <w:rPr>
          <w:rFonts w:ascii="Arial" w:eastAsia="Arial" w:hAnsi="Arial" w:cs="Arial"/>
          <w:color w:val="222222"/>
          <w:sz w:val="22"/>
          <w:szCs w:val="22"/>
          <w:highlight w:val="white"/>
        </w:rPr>
        <w:t xml:space="preserve">, R. E., </w:t>
      </w:r>
      <w:proofErr w:type="spellStart"/>
      <w:r w:rsidRPr="00FE584D">
        <w:rPr>
          <w:rFonts w:ascii="Arial" w:eastAsia="Arial" w:hAnsi="Arial" w:cs="Arial"/>
          <w:color w:val="222222"/>
          <w:sz w:val="22"/>
          <w:szCs w:val="22"/>
          <w:highlight w:val="white"/>
        </w:rPr>
        <w:t>Laradhi</w:t>
      </w:r>
      <w:proofErr w:type="spellEnd"/>
      <w:r w:rsidRPr="00FE584D">
        <w:rPr>
          <w:rFonts w:ascii="Arial" w:eastAsia="Arial" w:hAnsi="Arial" w:cs="Arial"/>
          <w:color w:val="222222"/>
          <w:sz w:val="22"/>
          <w:szCs w:val="22"/>
          <w:highlight w:val="white"/>
        </w:rPr>
        <w:t xml:space="preserve">, A. A., </w:t>
      </w:r>
      <w:proofErr w:type="spellStart"/>
      <w:r w:rsidRPr="00FE584D">
        <w:rPr>
          <w:rFonts w:ascii="Arial" w:eastAsia="Arial" w:hAnsi="Arial" w:cs="Arial"/>
          <w:color w:val="222222"/>
          <w:sz w:val="22"/>
          <w:szCs w:val="22"/>
          <w:highlight w:val="white"/>
        </w:rPr>
        <w:t>Fnjan</w:t>
      </w:r>
      <w:proofErr w:type="spellEnd"/>
      <w:r w:rsidRPr="00FE584D">
        <w:rPr>
          <w:rFonts w:ascii="Arial" w:eastAsia="Arial" w:hAnsi="Arial" w:cs="Arial"/>
          <w:color w:val="222222"/>
          <w:sz w:val="22"/>
          <w:szCs w:val="22"/>
          <w:highlight w:val="white"/>
        </w:rPr>
        <w:t xml:space="preserve">, A. M., Berro, A. M., Ahmed, A., ... and HAMED, A. M. (2026). Non-pharmacological Interventions for Pain-Related Anxiety and Distress in Emergency Department Patients: A Systematic Review With Narrative Synthesis. </w:t>
      </w:r>
      <w:r w:rsidRPr="00FE584D">
        <w:rPr>
          <w:rFonts w:ascii="Arial" w:eastAsia="Arial" w:hAnsi="Arial" w:cs="Arial"/>
          <w:i/>
          <w:iCs/>
          <w:color w:val="222222"/>
          <w:sz w:val="22"/>
          <w:szCs w:val="22"/>
          <w:highlight w:val="white"/>
        </w:rPr>
        <w:t>Cureus</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18</w:t>
      </w:r>
      <w:r w:rsidR="00030C1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7.</w:t>
      </w:r>
      <w:r w:rsidRPr="00FE584D">
        <w:rPr>
          <w:rFonts w:ascii="Arial" w:eastAsia="Arial" w:hAnsi="Arial" w:cs="Arial"/>
          <w:sz w:val="22"/>
          <w:szCs w:val="22"/>
        </w:rPr>
        <w:t xml:space="preserve"> </w:t>
      </w:r>
      <w:hyperlink r:id="rId35">
        <w:r w:rsidRPr="00FE584D">
          <w:rPr>
            <w:rFonts w:ascii="Arial" w:eastAsia="Arial" w:hAnsi="Arial" w:cs="Arial"/>
            <w:color w:val="1155CC"/>
            <w:sz w:val="22"/>
            <w:szCs w:val="22"/>
            <w:u w:val="single"/>
          </w:rPr>
          <w:t>https://www.cureus.com/articles/508242-non-pharmacological-interventions-for-pain-related-anxiety-and-distress-in-emergency-department-patients-a-systematic-review-with-narrative-synthesis.pdf</w:t>
        </w:r>
      </w:hyperlink>
    </w:p>
    <w:p w14:paraId="364295F6" w14:textId="559F933A"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Hareem, A., Stevens, J. E., Park, J. S., </w:t>
      </w:r>
      <w:proofErr w:type="spellStart"/>
      <w:r w:rsidRPr="00FE584D">
        <w:rPr>
          <w:rFonts w:ascii="Arial" w:eastAsia="Arial" w:hAnsi="Arial" w:cs="Arial"/>
          <w:color w:val="222222"/>
          <w:sz w:val="22"/>
          <w:szCs w:val="22"/>
          <w:highlight w:val="white"/>
        </w:rPr>
        <w:t>Stupans</w:t>
      </w:r>
      <w:proofErr w:type="spellEnd"/>
      <w:r w:rsidRPr="00FE584D">
        <w:rPr>
          <w:rFonts w:ascii="Arial" w:eastAsia="Arial" w:hAnsi="Arial" w:cs="Arial"/>
          <w:color w:val="222222"/>
          <w:sz w:val="22"/>
          <w:szCs w:val="22"/>
          <w:highlight w:val="white"/>
        </w:rPr>
        <w:t xml:space="preserve">, I., Gilmartin-Thomas, J., and Wang, K. (2025). Implementing Electronic Health Records in Community Pharmacy Practice: Insights from developed health systems. </w:t>
      </w:r>
      <w:r w:rsidRPr="00FE584D">
        <w:rPr>
          <w:rFonts w:ascii="Arial" w:eastAsia="Arial" w:hAnsi="Arial" w:cs="Arial"/>
          <w:i/>
          <w:iCs/>
          <w:color w:val="222222"/>
          <w:sz w:val="22"/>
          <w:szCs w:val="22"/>
          <w:highlight w:val="white"/>
        </w:rPr>
        <w:t>Asia Pacific Journal of Health Management</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20</w:t>
      </w:r>
      <w:r w:rsidR="00030C1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3.</w:t>
      </w:r>
      <w:r w:rsidRPr="00FE584D">
        <w:rPr>
          <w:rFonts w:ascii="Arial" w:eastAsia="Arial" w:hAnsi="Arial" w:cs="Arial"/>
          <w:sz w:val="22"/>
          <w:szCs w:val="22"/>
        </w:rPr>
        <w:t xml:space="preserve"> </w:t>
      </w:r>
      <w:hyperlink r:id="rId36">
        <w:r w:rsidRPr="00FE584D">
          <w:rPr>
            <w:rFonts w:ascii="Arial" w:eastAsia="Arial" w:hAnsi="Arial" w:cs="Arial"/>
            <w:color w:val="1155CC"/>
            <w:sz w:val="22"/>
            <w:szCs w:val="22"/>
            <w:u w:val="single"/>
          </w:rPr>
          <w:t>https://journal.achsm.org.au/index.php/achsm/article/view/4695</w:t>
        </w:r>
      </w:hyperlink>
    </w:p>
    <w:p w14:paraId="337FDBBB" w14:textId="27521E51"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Harris, J.B. and Holmes, A.P. (2022). Comparison of Two Morphine Dosing Strategies in the Management of Neonatal Abstinence Syndrome. </w:t>
      </w:r>
      <w:r w:rsidRPr="00FE584D">
        <w:rPr>
          <w:rFonts w:ascii="Arial" w:eastAsia="Arial" w:hAnsi="Arial" w:cs="Arial"/>
          <w:i/>
          <w:iCs/>
          <w:sz w:val="22"/>
          <w:szCs w:val="22"/>
        </w:rPr>
        <w:t xml:space="preserve">The Journal of </w:t>
      </w:r>
      <w:proofErr w:type="spellStart"/>
      <w:r w:rsidRPr="00FE584D">
        <w:rPr>
          <w:rFonts w:ascii="Arial" w:eastAsia="Arial" w:hAnsi="Arial" w:cs="Arial"/>
          <w:i/>
          <w:iCs/>
          <w:sz w:val="22"/>
          <w:szCs w:val="22"/>
        </w:rPr>
        <w:t>Pediatric</w:t>
      </w:r>
      <w:proofErr w:type="spellEnd"/>
      <w:r w:rsidRPr="00FE584D">
        <w:rPr>
          <w:rFonts w:ascii="Arial" w:eastAsia="Arial" w:hAnsi="Arial" w:cs="Arial"/>
          <w:i/>
          <w:iCs/>
          <w:sz w:val="22"/>
          <w:szCs w:val="22"/>
        </w:rPr>
        <w:t xml:space="preserve"> Pharmacology and Therapeutics</w:t>
      </w:r>
      <w:r w:rsidRPr="00FE584D">
        <w:rPr>
          <w:rFonts w:ascii="Arial" w:eastAsia="Arial" w:hAnsi="Arial" w:cs="Arial"/>
          <w:sz w:val="22"/>
          <w:szCs w:val="22"/>
        </w:rPr>
        <w:t xml:space="preserve">, [online] </w:t>
      </w:r>
      <w:r w:rsidR="00030C12">
        <w:rPr>
          <w:rFonts w:ascii="Arial" w:eastAsia="Arial" w:hAnsi="Arial" w:cs="Arial"/>
          <w:color w:val="222222"/>
          <w:sz w:val="22"/>
          <w:szCs w:val="22"/>
          <w:highlight w:val="white"/>
        </w:rPr>
        <w:t>vol.</w:t>
      </w:r>
      <w:r w:rsidR="00030C12">
        <w:rPr>
          <w:rFonts w:ascii="Arial" w:eastAsia="Arial" w:hAnsi="Arial" w:cs="Arial"/>
          <w:color w:val="222222"/>
          <w:sz w:val="22"/>
          <w:szCs w:val="22"/>
        </w:rPr>
        <w:t xml:space="preserve"> </w:t>
      </w:r>
      <w:r w:rsidRPr="00FE584D">
        <w:rPr>
          <w:rFonts w:ascii="Arial" w:eastAsia="Arial" w:hAnsi="Arial" w:cs="Arial"/>
          <w:sz w:val="22"/>
          <w:szCs w:val="22"/>
        </w:rPr>
        <w:t>27</w:t>
      </w:r>
      <w:r w:rsidR="00030C12">
        <w:rPr>
          <w:rFonts w:ascii="Arial" w:eastAsia="Arial" w:hAnsi="Arial" w:cs="Arial"/>
          <w:sz w:val="22"/>
          <w:szCs w:val="22"/>
        </w:rPr>
        <w:t xml:space="preserve">, no. </w:t>
      </w:r>
      <w:r w:rsidRPr="00FE584D">
        <w:rPr>
          <w:rFonts w:ascii="Arial" w:eastAsia="Arial" w:hAnsi="Arial" w:cs="Arial"/>
          <w:sz w:val="22"/>
          <w:szCs w:val="22"/>
        </w:rPr>
        <w:t>2, pp.151–156. doi:10.5863/1551-6776-27.2.151.</w:t>
      </w:r>
    </w:p>
    <w:p w14:paraId="4B1D54D9" w14:textId="715124FB" w:rsidR="00A46FB0" w:rsidRPr="00E268A1" w:rsidRDefault="00A46FB0" w:rsidP="00A43C03">
      <w:pPr>
        <w:spacing w:after="240" w:line="360" w:lineRule="auto"/>
        <w:jc w:val="both"/>
        <w:rPr>
          <w:rFonts w:ascii="Arial" w:eastAsia="Arial" w:hAnsi="Arial" w:cs="Arial"/>
          <w:sz w:val="22"/>
          <w:szCs w:val="22"/>
          <w:lang w:val="it-IT"/>
        </w:rPr>
      </w:pPr>
      <w:r w:rsidRPr="00FE584D">
        <w:rPr>
          <w:rFonts w:ascii="Arial" w:eastAsia="Arial" w:hAnsi="Arial" w:cs="Arial"/>
          <w:color w:val="222222"/>
          <w:sz w:val="22"/>
          <w:szCs w:val="22"/>
          <w:highlight w:val="white"/>
        </w:rPr>
        <w:t xml:space="preserve">Harris, M., Holland, A., Lewer, D., Brown, M., Eastwood, N., Sutton, G., ... and Scott, J. (2022). Barriers to management of opioid withdrawal in hospitals in England: a document analysis of hospital policies on the management of substance dependence. </w:t>
      </w:r>
      <w:r w:rsidRPr="00E268A1">
        <w:rPr>
          <w:rFonts w:ascii="Arial" w:eastAsia="Arial" w:hAnsi="Arial" w:cs="Arial"/>
          <w:i/>
          <w:iCs/>
          <w:color w:val="222222"/>
          <w:sz w:val="22"/>
          <w:szCs w:val="22"/>
          <w:highlight w:val="white"/>
          <w:lang w:val="it-IT"/>
        </w:rPr>
        <w:t>BMC medicine</w:t>
      </w:r>
      <w:r w:rsidRPr="00E268A1">
        <w:rPr>
          <w:rFonts w:ascii="Arial" w:eastAsia="Arial" w:hAnsi="Arial" w:cs="Arial"/>
          <w:color w:val="222222"/>
          <w:sz w:val="22"/>
          <w:szCs w:val="22"/>
          <w:highlight w:val="white"/>
          <w:lang w:val="it-IT"/>
        </w:rPr>
        <w:t xml:space="preserve">, </w:t>
      </w:r>
      <w:r w:rsidR="00030C12" w:rsidRPr="00E268A1">
        <w:rPr>
          <w:rFonts w:ascii="Arial" w:eastAsia="Arial" w:hAnsi="Arial" w:cs="Arial"/>
          <w:color w:val="222222"/>
          <w:sz w:val="22"/>
          <w:szCs w:val="22"/>
          <w:highlight w:val="white"/>
          <w:lang w:val="it-IT"/>
        </w:rPr>
        <w:t xml:space="preserve">vol. </w:t>
      </w:r>
      <w:r w:rsidRPr="00E268A1">
        <w:rPr>
          <w:rFonts w:ascii="Arial" w:eastAsia="Arial" w:hAnsi="Arial" w:cs="Arial"/>
          <w:i/>
          <w:iCs/>
          <w:color w:val="222222"/>
          <w:sz w:val="22"/>
          <w:szCs w:val="22"/>
          <w:highlight w:val="white"/>
          <w:lang w:val="it-IT"/>
        </w:rPr>
        <w:t>20</w:t>
      </w:r>
      <w:r w:rsidR="00030C12" w:rsidRPr="00E268A1">
        <w:rPr>
          <w:rFonts w:ascii="Arial" w:eastAsia="Arial" w:hAnsi="Arial" w:cs="Arial"/>
          <w:color w:val="222222"/>
          <w:sz w:val="22"/>
          <w:szCs w:val="22"/>
          <w:highlight w:val="white"/>
          <w:lang w:val="it-IT"/>
        </w:rPr>
        <w:t xml:space="preserve">, no. </w:t>
      </w:r>
      <w:r w:rsidRPr="00E268A1">
        <w:rPr>
          <w:rFonts w:ascii="Arial" w:eastAsia="Arial" w:hAnsi="Arial" w:cs="Arial"/>
          <w:color w:val="222222"/>
          <w:sz w:val="22"/>
          <w:szCs w:val="22"/>
          <w:highlight w:val="white"/>
          <w:lang w:val="it-IT"/>
        </w:rPr>
        <w:t xml:space="preserve">1, </w:t>
      </w:r>
      <w:r w:rsidR="00030C12" w:rsidRPr="00E268A1">
        <w:rPr>
          <w:rFonts w:ascii="Arial" w:eastAsia="Arial" w:hAnsi="Arial" w:cs="Arial"/>
          <w:color w:val="222222"/>
          <w:sz w:val="22"/>
          <w:szCs w:val="22"/>
          <w:highlight w:val="white"/>
          <w:lang w:val="it-IT"/>
        </w:rPr>
        <w:t xml:space="preserve">pp. </w:t>
      </w:r>
      <w:r w:rsidRPr="00E268A1">
        <w:rPr>
          <w:rFonts w:ascii="Arial" w:eastAsia="Arial" w:hAnsi="Arial" w:cs="Arial"/>
          <w:color w:val="222222"/>
          <w:sz w:val="22"/>
          <w:szCs w:val="22"/>
          <w:highlight w:val="white"/>
          <w:lang w:val="it-IT"/>
        </w:rPr>
        <w:t>151.</w:t>
      </w:r>
      <w:r w:rsidRPr="00E268A1">
        <w:rPr>
          <w:rFonts w:ascii="Arial" w:eastAsia="Arial" w:hAnsi="Arial" w:cs="Arial"/>
          <w:sz w:val="22"/>
          <w:szCs w:val="22"/>
          <w:lang w:val="it-IT"/>
        </w:rPr>
        <w:t xml:space="preserve"> </w:t>
      </w:r>
      <w:hyperlink r:id="rId37">
        <w:r w:rsidRPr="00E268A1">
          <w:rPr>
            <w:rFonts w:ascii="Arial" w:eastAsia="Arial" w:hAnsi="Arial" w:cs="Arial"/>
            <w:color w:val="1155CC"/>
            <w:sz w:val="22"/>
            <w:szCs w:val="22"/>
            <w:u w:val="single"/>
            <w:lang w:val="it-IT"/>
          </w:rPr>
          <w:t>https://link.springer.com/article/10.1186/s12916-022-02351-y</w:t>
        </w:r>
      </w:hyperlink>
    </w:p>
    <w:p w14:paraId="3F4CE059" w14:textId="69431558" w:rsidR="00A46FB0" w:rsidRPr="00FE584D" w:rsidRDefault="00A46FB0" w:rsidP="00A43C03">
      <w:pPr>
        <w:spacing w:before="240" w:after="240" w:line="360" w:lineRule="auto"/>
        <w:jc w:val="both"/>
        <w:rPr>
          <w:rFonts w:ascii="Arial" w:eastAsia="Arial" w:hAnsi="Arial" w:cs="Arial"/>
          <w:sz w:val="22"/>
          <w:szCs w:val="22"/>
        </w:rPr>
      </w:pPr>
      <w:proofErr w:type="spellStart"/>
      <w:r w:rsidRPr="00FE584D">
        <w:rPr>
          <w:rFonts w:ascii="Arial" w:eastAsia="Arial" w:hAnsi="Arial" w:cs="Arial"/>
          <w:color w:val="222222"/>
          <w:sz w:val="22"/>
          <w:szCs w:val="22"/>
          <w:highlight w:val="white"/>
        </w:rPr>
        <w:t>Intahphuak</w:t>
      </w:r>
      <w:proofErr w:type="spellEnd"/>
      <w:r w:rsidRPr="00FE584D">
        <w:rPr>
          <w:rFonts w:ascii="Arial" w:eastAsia="Arial" w:hAnsi="Arial" w:cs="Arial"/>
          <w:color w:val="222222"/>
          <w:sz w:val="22"/>
          <w:szCs w:val="22"/>
          <w:highlight w:val="white"/>
        </w:rPr>
        <w:t xml:space="preserve">, S., </w:t>
      </w:r>
      <w:proofErr w:type="spellStart"/>
      <w:r w:rsidRPr="00FE584D">
        <w:rPr>
          <w:rFonts w:ascii="Arial" w:eastAsia="Arial" w:hAnsi="Arial" w:cs="Arial"/>
          <w:color w:val="222222"/>
          <w:sz w:val="22"/>
          <w:szCs w:val="22"/>
          <w:highlight w:val="white"/>
        </w:rPr>
        <w:t>Lorga</w:t>
      </w:r>
      <w:proofErr w:type="spellEnd"/>
      <w:r w:rsidRPr="00FE584D">
        <w:rPr>
          <w:rFonts w:ascii="Arial" w:eastAsia="Arial" w:hAnsi="Arial" w:cs="Arial"/>
          <w:color w:val="222222"/>
          <w:sz w:val="22"/>
          <w:szCs w:val="22"/>
          <w:highlight w:val="white"/>
        </w:rPr>
        <w:t xml:space="preserve">, T., and </w:t>
      </w:r>
      <w:proofErr w:type="spellStart"/>
      <w:r w:rsidRPr="00FE584D">
        <w:rPr>
          <w:rFonts w:ascii="Arial" w:eastAsia="Arial" w:hAnsi="Arial" w:cs="Arial"/>
          <w:color w:val="222222"/>
          <w:sz w:val="22"/>
          <w:szCs w:val="22"/>
          <w:highlight w:val="white"/>
        </w:rPr>
        <w:t>Tipwareerom</w:t>
      </w:r>
      <w:proofErr w:type="spellEnd"/>
      <w:r w:rsidRPr="00FE584D">
        <w:rPr>
          <w:rFonts w:ascii="Arial" w:eastAsia="Arial" w:hAnsi="Arial" w:cs="Arial"/>
          <w:color w:val="222222"/>
          <w:sz w:val="22"/>
          <w:szCs w:val="22"/>
          <w:highlight w:val="white"/>
        </w:rPr>
        <w:t xml:space="preserve">, W. (2022). Community health nurses’ perspective on the introduced rational drug use policy in primary care settings in Thailand: A descriptive qualitative study. </w:t>
      </w:r>
      <w:r w:rsidRPr="00FE584D">
        <w:rPr>
          <w:rFonts w:ascii="Arial" w:eastAsia="Arial" w:hAnsi="Arial" w:cs="Arial"/>
          <w:i/>
          <w:iCs/>
          <w:color w:val="222222"/>
          <w:sz w:val="22"/>
          <w:szCs w:val="22"/>
          <w:highlight w:val="white"/>
        </w:rPr>
        <w:t>Tropical Medicine and Infectious Disease</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7</w:t>
      </w:r>
      <w:r w:rsidR="00030C1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10, </w:t>
      </w:r>
      <w:r w:rsidR="00030C12">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304.</w:t>
      </w:r>
      <w:r w:rsidRPr="00FE584D">
        <w:rPr>
          <w:rFonts w:ascii="Arial" w:eastAsia="Arial" w:hAnsi="Arial" w:cs="Arial"/>
          <w:sz w:val="22"/>
          <w:szCs w:val="22"/>
        </w:rPr>
        <w:t xml:space="preserve"> </w:t>
      </w:r>
      <w:hyperlink r:id="rId38">
        <w:r w:rsidRPr="00FE584D">
          <w:rPr>
            <w:rFonts w:ascii="Arial" w:eastAsia="Arial" w:hAnsi="Arial" w:cs="Arial"/>
            <w:color w:val="1155CC"/>
            <w:sz w:val="22"/>
            <w:szCs w:val="22"/>
            <w:u w:val="single"/>
          </w:rPr>
          <w:t>https://www.mdpi.com/2414-6366/7/10/304</w:t>
        </w:r>
      </w:hyperlink>
    </w:p>
    <w:p w14:paraId="0347962B" w14:textId="53FE726A"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Kent, H. M., and Hollywood, E. (2026). The impact of parental health literacy on paediatric discharge education: A narrative review. </w:t>
      </w:r>
      <w:r w:rsidRPr="00FE584D">
        <w:rPr>
          <w:rFonts w:ascii="Arial" w:eastAsia="Arial" w:hAnsi="Arial" w:cs="Arial"/>
          <w:i/>
          <w:iCs/>
          <w:color w:val="222222"/>
          <w:sz w:val="22"/>
          <w:szCs w:val="22"/>
          <w:highlight w:val="white"/>
        </w:rPr>
        <w:t>Journal of Family and Child Health</w:t>
      </w:r>
      <w:r w:rsidRPr="00FE584D">
        <w:rPr>
          <w:rFonts w:ascii="Arial" w:eastAsia="Arial" w:hAnsi="Arial" w:cs="Arial"/>
          <w:color w:val="222222"/>
          <w:sz w:val="22"/>
          <w:szCs w:val="22"/>
          <w:highlight w:val="white"/>
        </w:rPr>
        <w:t xml:space="preserve">, </w:t>
      </w:r>
      <w:r w:rsidR="00030C12">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w:t>
      </w:r>
      <w:r w:rsidR="00030C12">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2,</w:t>
      </w:r>
      <w:r w:rsidR="00030C12">
        <w:rPr>
          <w:rFonts w:ascii="Arial" w:eastAsia="Arial" w:hAnsi="Arial" w:cs="Arial"/>
          <w:color w:val="222222"/>
          <w:sz w:val="22"/>
          <w:szCs w:val="22"/>
          <w:highlight w:val="white"/>
        </w:rPr>
        <w:t xml:space="preserve"> pp. </w:t>
      </w:r>
      <w:r w:rsidRPr="00FE584D">
        <w:rPr>
          <w:rFonts w:ascii="Arial" w:eastAsia="Arial" w:hAnsi="Arial" w:cs="Arial"/>
          <w:color w:val="222222"/>
          <w:sz w:val="22"/>
          <w:szCs w:val="22"/>
          <w:highlight w:val="white"/>
        </w:rPr>
        <w:t xml:space="preserve"> 68-76.</w:t>
      </w:r>
      <w:r w:rsidRPr="00FE584D">
        <w:rPr>
          <w:rFonts w:ascii="Arial" w:eastAsia="Arial" w:hAnsi="Arial" w:cs="Arial"/>
          <w:sz w:val="22"/>
          <w:szCs w:val="22"/>
        </w:rPr>
        <w:t xml:space="preserve"> </w:t>
      </w:r>
      <w:hyperlink r:id="rId39">
        <w:r w:rsidRPr="00FE584D">
          <w:rPr>
            <w:rFonts w:ascii="Arial" w:eastAsia="Arial" w:hAnsi="Arial" w:cs="Arial"/>
            <w:color w:val="1155CC"/>
            <w:sz w:val="22"/>
            <w:szCs w:val="22"/>
            <w:u w:val="single"/>
          </w:rPr>
          <w:t>https://www.magonlinelibrary.com/doi/abs/10.12968/jfch.2026.0001</w:t>
        </w:r>
      </w:hyperlink>
    </w:p>
    <w:p w14:paraId="6C58AF4F" w14:textId="26E3D54D"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Liu, Y. and Werblow, J. (2019). The operation of distributed leadership and the relationship with organizational commitment and job satisfaction of principals and teachers: A multi-level model and meta-analysis using the 2013 TALIS data. </w:t>
      </w:r>
      <w:r w:rsidRPr="00FE584D">
        <w:rPr>
          <w:rFonts w:ascii="Arial" w:eastAsia="Arial" w:hAnsi="Arial" w:cs="Arial"/>
          <w:i/>
          <w:iCs/>
          <w:sz w:val="22"/>
          <w:szCs w:val="22"/>
        </w:rPr>
        <w:t>International Journal of Educational Research</w:t>
      </w:r>
      <w:r w:rsidRPr="00FE584D">
        <w:rPr>
          <w:rFonts w:ascii="Arial" w:eastAsia="Arial" w:hAnsi="Arial" w:cs="Arial"/>
          <w:sz w:val="22"/>
          <w:szCs w:val="22"/>
        </w:rPr>
        <w:t xml:space="preserve">, [online] </w:t>
      </w:r>
      <w:r w:rsidR="00824AFD">
        <w:rPr>
          <w:rFonts w:ascii="Arial" w:eastAsia="Arial" w:hAnsi="Arial" w:cs="Arial"/>
          <w:sz w:val="22"/>
          <w:szCs w:val="22"/>
        </w:rPr>
        <w:t xml:space="preserve">vol. </w:t>
      </w:r>
      <w:r w:rsidRPr="00FE584D">
        <w:rPr>
          <w:rFonts w:ascii="Arial" w:eastAsia="Arial" w:hAnsi="Arial" w:cs="Arial"/>
          <w:sz w:val="22"/>
          <w:szCs w:val="22"/>
        </w:rPr>
        <w:t xml:space="preserve">96, pp.41–55. </w:t>
      </w:r>
      <w:proofErr w:type="spellStart"/>
      <w:r w:rsidRPr="00FE584D">
        <w:rPr>
          <w:rFonts w:ascii="Arial" w:eastAsia="Arial" w:hAnsi="Arial" w:cs="Arial"/>
          <w:sz w:val="22"/>
          <w:szCs w:val="22"/>
        </w:rPr>
        <w:t>doi</w:t>
      </w:r>
      <w:proofErr w:type="spellEnd"/>
      <w:r w:rsidRPr="00FE584D">
        <w:rPr>
          <w:rFonts w:ascii="Arial" w:eastAsia="Arial" w:hAnsi="Arial" w:cs="Arial"/>
          <w:sz w:val="22"/>
          <w:szCs w:val="22"/>
        </w:rPr>
        <w:t>:</w:t>
      </w:r>
      <w:r w:rsidR="00824AFD">
        <w:rPr>
          <w:rFonts w:ascii="Arial" w:eastAsia="Arial" w:hAnsi="Arial" w:cs="Arial"/>
          <w:sz w:val="22"/>
          <w:szCs w:val="22"/>
        </w:rPr>
        <w:t xml:space="preserve"> </w:t>
      </w:r>
      <w:r w:rsidRPr="00FE584D">
        <w:rPr>
          <w:rFonts w:ascii="Arial" w:eastAsia="Arial" w:hAnsi="Arial" w:cs="Arial"/>
          <w:sz w:val="22"/>
          <w:szCs w:val="22"/>
        </w:rPr>
        <w:t>10.1016/j.ijer.2019.05.005.</w:t>
      </w:r>
    </w:p>
    <w:p w14:paraId="214A52AE" w14:textId="1321D793" w:rsidR="00A46FB0" w:rsidRPr="00FE584D" w:rsidRDefault="00A46FB0" w:rsidP="00A43C03">
      <w:pPr>
        <w:spacing w:after="240" w:line="360" w:lineRule="auto"/>
        <w:jc w:val="both"/>
        <w:rPr>
          <w:rFonts w:ascii="Arial" w:eastAsia="Arial" w:hAnsi="Arial" w:cs="Arial"/>
          <w:b/>
          <w:bCs/>
          <w:sz w:val="22"/>
          <w:szCs w:val="22"/>
        </w:rPr>
      </w:pPr>
      <w:r w:rsidRPr="00E268A1">
        <w:rPr>
          <w:rFonts w:ascii="Arial" w:eastAsia="Arial" w:hAnsi="Arial" w:cs="Arial"/>
          <w:color w:val="222222"/>
          <w:sz w:val="22"/>
          <w:szCs w:val="22"/>
          <w:highlight w:val="white"/>
          <w:lang w:val="it-IT"/>
        </w:rPr>
        <w:t xml:space="preserve">Manandi, D., Tu, Q., Hafiz, N., Raeside, R., Redfern, J., and Hyun, K. (2023). </w:t>
      </w:r>
      <w:r w:rsidRPr="00FE584D">
        <w:rPr>
          <w:rFonts w:ascii="Arial" w:eastAsia="Arial" w:hAnsi="Arial" w:cs="Arial"/>
          <w:color w:val="222222"/>
          <w:sz w:val="22"/>
          <w:szCs w:val="22"/>
          <w:highlight w:val="white"/>
        </w:rPr>
        <w:t xml:space="preserve">The evaluation of the Plan–Do–Study–Act cycles for a healthcare quality improvement intervention in primary care. </w:t>
      </w:r>
      <w:r w:rsidRPr="00FE584D">
        <w:rPr>
          <w:rFonts w:ascii="Arial" w:eastAsia="Arial" w:hAnsi="Arial" w:cs="Arial"/>
          <w:i/>
          <w:iCs/>
          <w:color w:val="222222"/>
          <w:sz w:val="22"/>
          <w:szCs w:val="22"/>
          <w:highlight w:val="white"/>
        </w:rPr>
        <w:t>Australian journal of primary health</w:t>
      </w:r>
      <w:r w:rsidRPr="00FE584D">
        <w:rPr>
          <w:rFonts w:ascii="Arial" w:eastAsia="Arial" w:hAnsi="Arial" w:cs="Arial"/>
          <w:color w:val="222222"/>
          <w:sz w:val="22"/>
          <w:szCs w:val="22"/>
          <w:highlight w:val="white"/>
        </w:rPr>
        <w:t xml:space="preserve">, </w:t>
      </w:r>
      <w:r w:rsidR="00824AFD">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30</w:t>
      </w:r>
      <w:r w:rsidR="00824AFD">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1, PY23123.</w:t>
      </w:r>
      <w:r w:rsidRPr="00FE584D">
        <w:rPr>
          <w:rFonts w:ascii="Arial" w:eastAsia="Arial" w:hAnsi="Arial" w:cs="Arial"/>
          <w:sz w:val="22"/>
          <w:szCs w:val="22"/>
        </w:rPr>
        <w:t xml:space="preserve"> </w:t>
      </w:r>
      <w:hyperlink r:id="rId40">
        <w:r w:rsidRPr="00FE584D">
          <w:rPr>
            <w:rFonts w:ascii="Arial" w:eastAsia="Arial" w:hAnsi="Arial" w:cs="Arial"/>
            <w:color w:val="1155CC"/>
            <w:sz w:val="22"/>
            <w:szCs w:val="22"/>
            <w:u w:val="single"/>
          </w:rPr>
          <w:t>https://connectsci.au/py/article-abstract/30/1/PY23123/82066</w:t>
        </w:r>
      </w:hyperlink>
    </w:p>
    <w:p w14:paraId="3B5293AF" w14:textId="667B811E"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lastRenderedPageBreak/>
        <w:t xml:space="preserve">Masterton, W., Falzon, D., Burton, G., Carver, H., Wallace, B., Aston, E. V., ... and Parkes, T. (2022). A realist review of how community-based drug checking services could be designed and implemented to promote engagement of people who use drugs. </w:t>
      </w:r>
      <w:r w:rsidRPr="00FE584D">
        <w:rPr>
          <w:rFonts w:ascii="Arial" w:eastAsia="Arial" w:hAnsi="Arial" w:cs="Arial"/>
          <w:i/>
          <w:iCs/>
          <w:color w:val="222222"/>
          <w:sz w:val="22"/>
          <w:szCs w:val="22"/>
          <w:highlight w:val="white"/>
        </w:rPr>
        <w:t>International journal of environmental research and public health</w:t>
      </w:r>
      <w:r w:rsidRPr="00FE584D">
        <w:rPr>
          <w:rFonts w:ascii="Arial" w:eastAsia="Arial" w:hAnsi="Arial" w:cs="Arial"/>
          <w:color w:val="222222"/>
          <w:sz w:val="22"/>
          <w:szCs w:val="22"/>
          <w:highlight w:val="white"/>
        </w:rPr>
        <w:t xml:space="preserve">, </w:t>
      </w:r>
      <w:r w:rsidR="008469EB">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19</w:t>
      </w:r>
      <w:r w:rsidR="008469EB">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19, </w:t>
      </w:r>
      <w:r w:rsidR="008469EB">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11960.</w:t>
      </w:r>
      <w:r w:rsidRPr="00FE584D">
        <w:rPr>
          <w:rFonts w:ascii="Arial" w:eastAsia="Arial" w:hAnsi="Arial" w:cs="Arial"/>
          <w:sz w:val="22"/>
          <w:szCs w:val="22"/>
        </w:rPr>
        <w:t xml:space="preserve"> </w:t>
      </w:r>
      <w:hyperlink r:id="rId41">
        <w:r w:rsidRPr="00FE584D">
          <w:rPr>
            <w:rFonts w:ascii="Arial" w:eastAsia="Arial" w:hAnsi="Arial" w:cs="Arial"/>
            <w:color w:val="1155CC"/>
            <w:sz w:val="22"/>
            <w:szCs w:val="22"/>
            <w:u w:val="single"/>
          </w:rPr>
          <w:t>https://www.mdpi.com/1660-4601/19/19/11960</w:t>
        </w:r>
      </w:hyperlink>
    </w:p>
    <w:p w14:paraId="69F87C6F" w14:textId="1A1D83DA"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w:t>
      </w:r>
      <w:r w:rsidRPr="00FE584D">
        <w:rPr>
          <w:rFonts w:ascii="Arial" w:eastAsia="Arial" w:hAnsi="Arial" w:cs="Arial"/>
          <w:color w:val="222222"/>
          <w:sz w:val="22"/>
          <w:szCs w:val="22"/>
          <w:highlight w:val="white"/>
        </w:rPr>
        <w:t>Mohammed, A. A., and AL-</w:t>
      </w:r>
      <w:proofErr w:type="spellStart"/>
      <w:r w:rsidRPr="00FE584D">
        <w:rPr>
          <w:rFonts w:ascii="Arial" w:eastAsia="Arial" w:hAnsi="Arial" w:cs="Arial"/>
          <w:color w:val="222222"/>
          <w:sz w:val="22"/>
          <w:szCs w:val="22"/>
          <w:highlight w:val="white"/>
        </w:rPr>
        <w:t>Abrrow</w:t>
      </w:r>
      <w:proofErr w:type="spellEnd"/>
      <w:r w:rsidRPr="00FE584D">
        <w:rPr>
          <w:rFonts w:ascii="Arial" w:eastAsia="Arial" w:hAnsi="Arial" w:cs="Arial"/>
          <w:color w:val="222222"/>
          <w:sz w:val="22"/>
          <w:szCs w:val="22"/>
          <w:highlight w:val="white"/>
        </w:rPr>
        <w:t xml:space="preserve">, H. (2023). The impact of empowering and transformational leadership on organizational performance and innovation: the mediating role of shared leadership and moderating role of organizational culture in the Iraqi healthcare sector. </w:t>
      </w:r>
      <w:r w:rsidRPr="00FE584D">
        <w:rPr>
          <w:rFonts w:ascii="Arial" w:eastAsia="Arial" w:hAnsi="Arial" w:cs="Arial"/>
          <w:i/>
          <w:iCs/>
          <w:color w:val="222222"/>
          <w:sz w:val="22"/>
          <w:szCs w:val="22"/>
          <w:highlight w:val="white"/>
        </w:rPr>
        <w:t>International Journal of Organizational Analysis</w:t>
      </w:r>
      <w:r w:rsidRPr="00FE584D">
        <w:rPr>
          <w:rFonts w:ascii="Arial" w:eastAsia="Arial" w:hAnsi="Arial" w:cs="Arial"/>
          <w:color w:val="222222"/>
          <w:sz w:val="22"/>
          <w:szCs w:val="22"/>
          <w:highlight w:val="white"/>
        </w:rPr>
        <w:t xml:space="preserve">, </w:t>
      </w:r>
      <w:r w:rsidR="00964BEC">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31</w:t>
      </w:r>
      <w:r w:rsidR="00964BEC">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7, </w:t>
      </w:r>
      <w:r w:rsidR="00964BEC">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3532-3552.</w:t>
      </w:r>
      <w:r w:rsidRPr="00FE584D">
        <w:rPr>
          <w:rFonts w:ascii="Arial" w:eastAsia="Arial" w:hAnsi="Arial" w:cs="Arial"/>
          <w:sz w:val="22"/>
          <w:szCs w:val="22"/>
        </w:rPr>
        <w:t xml:space="preserve"> </w:t>
      </w:r>
      <w:hyperlink r:id="rId42">
        <w:r w:rsidRPr="00FE584D">
          <w:rPr>
            <w:rFonts w:ascii="Arial" w:eastAsia="Arial" w:hAnsi="Arial" w:cs="Arial"/>
            <w:color w:val="1155CC"/>
            <w:sz w:val="22"/>
            <w:szCs w:val="22"/>
            <w:u w:val="single"/>
          </w:rPr>
          <w:t>https://www.emerald.com/ijoa/article/31/7/3532/314590</w:t>
        </w:r>
      </w:hyperlink>
    </w:p>
    <w:p w14:paraId="7CCAA2AF" w14:textId="77777777"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Nhs.uk, (2022). </w:t>
      </w:r>
      <w:r w:rsidRPr="00FE584D">
        <w:rPr>
          <w:rFonts w:ascii="Arial" w:eastAsia="Arial" w:hAnsi="Arial" w:cs="Arial"/>
          <w:i/>
          <w:iCs/>
          <w:sz w:val="22"/>
          <w:szCs w:val="22"/>
        </w:rPr>
        <w:t>Medicines interoperability - NHS England Digital</w:t>
      </w:r>
      <w:r w:rsidRPr="00FE584D">
        <w:rPr>
          <w:rFonts w:ascii="Arial" w:eastAsia="Arial" w:hAnsi="Arial" w:cs="Arial"/>
          <w:sz w:val="22"/>
          <w:szCs w:val="22"/>
        </w:rPr>
        <w:t xml:space="preserve">. [online] </w:t>
      </w:r>
      <w:r w:rsidRPr="00FE584D">
        <w:rPr>
          <w:rFonts w:ascii="Arial" w:eastAsia="Arial" w:hAnsi="Arial" w:cs="Arial"/>
          <w:i/>
          <w:iCs/>
          <w:sz w:val="22"/>
          <w:szCs w:val="22"/>
        </w:rPr>
        <w:t>NHS England Digital</w:t>
      </w:r>
      <w:r w:rsidRPr="00FE584D">
        <w:rPr>
          <w:rFonts w:ascii="Arial" w:eastAsia="Arial" w:hAnsi="Arial" w:cs="Arial"/>
          <w:sz w:val="22"/>
          <w:szCs w:val="22"/>
        </w:rPr>
        <w:t xml:space="preserve">. Available at: </w:t>
      </w:r>
      <w:hyperlink r:id="rId43">
        <w:r w:rsidRPr="00FE584D">
          <w:rPr>
            <w:rFonts w:ascii="Arial" w:eastAsia="Arial" w:hAnsi="Arial" w:cs="Arial"/>
            <w:color w:val="1155CC"/>
            <w:sz w:val="22"/>
            <w:szCs w:val="22"/>
            <w:u w:val="single"/>
          </w:rPr>
          <w:t>https://digital.nhs.uk/services/digital-and-interoperable-medicines</w:t>
        </w:r>
      </w:hyperlink>
      <w:r w:rsidRPr="00FE584D">
        <w:rPr>
          <w:rFonts w:ascii="Arial" w:eastAsia="Arial" w:hAnsi="Arial" w:cs="Arial"/>
          <w:sz w:val="22"/>
          <w:szCs w:val="22"/>
        </w:rPr>
        <w:t>.</w:t>
      </w:r>
    </w:p>
    <w:p w14:paraId="3E14E525" w14:textId="7777777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Nhs.uk, (2023)‌. </w:t>
      </w:r>
      <w:r w:rsidRPr="00FE584D">
        <w:rPr>
          <w:rFonts w:ascii="Arial" w:eastAsia="Arial" w:hAnsi="Arial" w:cs="Arial"/>
          <w:i/>
          <w:iCs/>
          <w:sz w:val="22"/>
          <w:szCs w:val="22"/>
        </w:rPr>
        <w:t xml:space="preserve">Serious Incident Case Study: Infant Morphine Overdose Investigation Summary and Learning. </w:t>
      </w:r>
      <w:hyperlink r:id="rId44">
        <w:r w:rsidRPr="00FE584D">
          <w:rPr>
            <w:rFonts w:ascii="Arial" w:eastAsia="Arial" w:hAnsi="Arial" w:cs="Arial"/>
            <w:color w:val="1155CC"/>
            <w:sz w:val="22"/>
            <w:szCs w:val="22"/>
            <w:u w:val="single"/>
          </w:rPr>
          <w:t>https://northyorkshireccg.nhs.uk/wp-content/uploads/2023/09/11.07.23-NHS-NEY-INFANT-MORPHINE-OVERDOSE-CASE-STUDY.pdf</w:t>
        </w:r>
      </w:hyperlink>
      <w:r w:rsidRPr="00FE584D">
        <w:rPr>
          <w:rFonts w:ascii="Arial" w:eastAsia="Arial" w:hAnsi="Arial" w:cs="Arial"/>
          <w:sz w:val="22"/>
          <w:szCs w:val="22"/>
        </w:rPr>
        <w:t xml:space="preserve"> [Accessed 19 July 2026].</w:t>
      </w:r>
    </w:p>
    <w:p w14:paraId="42A79C33" w14:textId="7777777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 xml:space="preserve">Nhs.uk, (2026). Controlled drugs accountable officer – alerts. </w:t>
      </w:r>
      <w:hyperlink r:id="rId45">
        <w:r w:rsidRPr="00FE584D">
          <w:rPr>
            <w:rFonts w:ascii="Arial" w:eastAsia="Arial" w:hAnsi="Arial" w:cs="Arial"/>
            <w:color w:val="1155CC"/>
            <w:sz w:val="22"/>
            <w:szCs w:val="22"/>
            <w:u w:val="single"/>
          </w:rPr>
          <w:t>https://digital.nhs.uk/data-and-information/keeping-data-safe-and-benefitting-the-public/gdpr/gdpr-register/controlled-drugs-accountable-officer---alerts/</w:t>
        </w:r>
      </w:hyperlink>
    </w:p>
    <w:p w14:paraId="33202F9D" w14:textId="5DFAFD59"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w:t>
      </w:r>
      <w:proofErr w:type="spellStart"/>
      <w:r w:rsidRPr="00FE584D">
        <w:rPr>
          <w:rFonts w:ascii="Arial" w:eastAsia="Arial" w:hAnsi="Arial" w:cs="Arial"/>
          <w:color w:val="222222"/>
          <w:sz w:val="22"/>
          <w:szCs w:val="22"/>
          <w:highlight w:val="white"/>
        </w:rPr>
        <w:t>Nurlina</w:t>
      </w:r>
      <w:proofErr w:type="spellEnd"/>
      <w:r w:rsidRPr="00FE584D">
        <w:rPr>
          <w:rFonts w:ascii="Arial" w:eastAsia="Arial" w:hAnsi="Arial" w:cs="Arial"/>
          <w:color w:val="222222"/>
          <w:sz w:val="22"/>
          <w:szCs w:val="22"/>
          <w:highlight w:val="white"/>
        </w:rPr>
        <w:t xml:space="preserve">, N. (2022). Examining linkage between transactional leadership, organizational culture, commitment and compensation on work satisfaction and performance. </w:t>
      </w:r>
      <w:r w:rsidRPr="00FE584D">
        <w:rPr>
          <w:rFonts w:ascii="Arial" w:eastAsia="Arial" w:hAnsi="Arial" w:cs="Arial"/>
          <w:i/>
          <w:iCs/>
          <w:color w:val="222222"/>
          <w:sz w:val="22"/>
          <w:szCs w:val="22"/>
          <w:highlight w:val="white"/>
        </w:rPr>
        <w:t>Golden Ratio of Human Resource Management</w:t>
      </w:r>
      <w:r w:rsidRPr="00FE584D">
        <w:rPr>
          <w:rFonts w:ascii="Arial" w:eastAsia="Arial" w:hAnsi="Arial" w:cs="Arial"/>
          <w:color w:val="222222"/>
          <w:sz w:val="22"/>
          <w:szCs w:val="22"/>
          <w:highlight w:val="white"/>
        </w:rPr>
        <w:t xml:space="preserve">, </w:t>
      </w:r>
      <w:r w:rsidR="00964BEC">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w:t>
      </w:r>
      <w:r w:rsidR="00964BEC">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2, </w:t>
      </w:r>
      <w:r w:rsidR="00964BEC">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108-122.</w:t>
      </w:r>
      <w:r w:rsidRPr="00FE584D">
        <w:rPr>
          <w:rFonts w:ascii="Arial" w:eastAsia="Arial" w:hAnsi="Arial" w:cs="Arial"/>
          <w:sz w:val="22"/>
          <w:szCs w:val="22"/>
        </w:rPr>
        <w:t xml:space="preserve"> </w:t>
      </w:r>
      <w:hyperlink r:id="rId46">
        <w:r w:rsidRPr="00FE584D">
          <w:rPr>
            <w:rFonts w:ascii="Arial" w:eastAsia="Arial" w:hAnsi="Arial" w:cs="Arial"/>
            <w:color w:val="1155CC"/>
            <w:sz w:val="22"/>
            <w:szCs w:val="22"/>
            <w:u w:val="single"/>
          </w:rPr>
          <w:t>https://www.goldenratio.id/index.php/grhrm/article/view/182</w:t>
        </w:r>
      </w:hyperlink>
    </w:p>
    <w:p w14:paraId="74CF60C4" w14:textId="775422A1"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Nwokedi, V. U., and Akanbi, O. O. (2025). A Review on Interprofessional Collaboration in Poisoning and Overdose Management. </w:t>
      </w:r>
      <w:r w:rsidRPr="00FE584D">
        <w:rPr>
          <w:rFonts w:ascii="Arial" w:eastAsia="Arial" w:hAnsi="Arial" w:cs="Arial"/>
          <w:i/>
          <w:iCs/>
          <w:color w:val="222222"/>
          <w:sz w:val="22"/>
          <w:szCs w:val="22"/>
          <w:highlight w:val="white"/>
        </w:rPr>
        <w:t>Journal of Pharma Insights and Research</w:t>
      </w:r>
      <w:r w:rsidRPr="00FE584D">
        <w:rPr>
          <w:rFonts w:ascii="Arial" w:eastAsia="Arial" w:hAnsi="Arial" w:cs="Arial"/>
          <w:color w:val="222222"/>
          <w:sz w:val="22"/>
          <w:szCs w:val="22"/>
          <w:highlight w:val="white"/>
        </w:rPr>
        <w:t xml:space="preserve">, </w:t>
      </w:r>
      <w:r w:rsidR="00B82784">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w:t>
      </w:r>
      <w:r w:rsidR="00B82784">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3, </w:t>
      </w:r>
      <w:r w:rsidR="00B82784">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158-171.</w:t>
      </w:r>
      <w:r w:rsidRPr="00FE584D">
        <w:rPr>
          <w:rFonts w:ascii="Arial" w:eastAsia="Arial" w:hAnsi="Arial" w:cs="Arial"/>
          <w:sz w:val="22"/>
          <w:szCs w:val="22"/>
        </w:rPr>
        <w:t xml:space="preserve"> </w:t>
      </w:r>
      <w:hyperlink r:id="rId47">
        <w:r w:rsidRPr="00FE584D">
          <w:rPr>
            <w:rFonts w:ascii="Arial" w:eastAsia="Arial" w:hAnsi="Arial" w:cs="Arial"/>
            <w:color w:val="1155CC"/>
            <w:sz w:val="22"/>
            <w:szCs w:val="22"/>
            <w:u w:val="single"/>
          </w:rPr>
          <w:t>http://jopir.in/index.php/journals/article/view/429</w:t>
        </w:r>
      </w:hyperlink>
    </w:p>
    <w:p w14:paraId="52C02B06" w14:textId="7EECB481"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Odero, J. A. (2023). Transactional leadership style and strategic plan implementation: the moderating role of organizational culture. </w:t>
      </w:r>
      <w:r w:rsidRPr="00FE584D">
        <w:rPr>
          <w:rFonts w:ascii="Arial" w:eastAsia="Arial" w:hAnsi="Arial" w:cs="Arial"/>
          <w:i/>
          <w:iCs/>
          <w:color w:val="222222"/>
          <w:sz w:val="22"/>
          <w:szCs w:val="22"/>
          <w:highlight w:val="white"/>
        </w:rPr>
        <w:t>Business Excellence and Management</w:t>
      </w:r>
      <w:r w:rsidRPr="00FE584D">
        <w:rPr>
          <w:rFonts w:ascii="Arial" w:eastAsia="Arial" w:hAnsi="Arial" w:cs="Arial"/>
          <w:color w:val="222222"/>
          <w:sz w:val="22"/>
          <w:szCs w:val="22"/>
          <w:highlight w:val="white"/>
        </w:rPr>
        <w:t xml:space="preserve">, </w:t>
      </w:r>
      <w:r w:rsidR="001355DA">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13</w:t>
      </w:r>
      <w:r w:rsidR="001355DA">
        <w:rPr>
          <w:rFonts w:ascii="Arial" w:eastAsia="Arial" w:hAnsi="Arial" w:cs="Arial"/>
          <w:i/>
          <w:iCs/>
          <w:color w:val="222222"/>
          <w:sz w:val="22"/>
          <w:szCs w:val="22"/>
          <w:highlight w:val="white"/>
        </w:rPr>
        <w:t xml:space="preserve">, </w:t>
      </w:r>
      <w:r w:rsidR="001355DA">
        <w:rPr>
          <w:rFonts w:ascii="Arial" w:eastAsia="Arial" w:hAnsi="Arial" w:cs="Arial"/>
          <w:color w:val="222222"/>
          <w:sz w:val="22"/>
          <w:szCs w:val="22"/>
          <w:highlight w:val="white"/>
        </w:rPr>
        <w:t xml:space="preserve">no. </w:t>
      </w:r>
      <w:r w:rsidRPr="00FE584D">
        <w:rPr>
          <w:rFonts w:ascii="Arial" w:eastAsia="Arial" w:hAnsi="Arial" w:cs="Arial"/>
          <w:color w:val="222222"/>
          <w:sz w:val="22"/>
          <w:szCs w:val="22"/>
          <w:highlight w:val="white"/>
        </w:rPr>
        <w:t>1,</w:t>
      </w:r>
      <w:r w:rsidR="001355DA">
        <w:rPr>
          <w:rFonts w:ascii="Arial" w:eastAsia="Arial" w:hAnsi="Arial" w:cs="Arial"/>
          <w:color w:val="222222"/>
          <w:sz w:val="22"/>
          <w:szCs w:val="22"/>
          <w:highlight w:val="white"/>
        </w:rPr>
        <w:t xml:space="preserve"> pp.</w:t>
      </w:r>
      <w:r w:rsidRPr="00FE584D">
        <w:rPr>
          <w:rFonts w:ascii="Arial" w:eastAsia="Arial" w:hAnsi="Arial" w:cs="Arial"/>
          <w:color w:val="222222"/>
          <w:sz w:val="22"/>
          <w:szCs w:val="22"/>
          <w:highlight w:val="white"/>
        </w:rPr>
        <w:t xml:space="preserve"> 21-40.</w:t>
      </w:r>
      <w:r w:rsidRPr="00FE584D">
        <w:rPr>
          <w:rFonts w:ascii="Arial" w:eastAsia="Arial" w:hAnsi="Arial" w:cs="Arial"/>
          <w:sz w:val="22"/>
          <w:szCs w:val="22"/>
        </w:rPr>
        <w:t xml:space="preserve"> </w:t>
      </w:r>
      <w:hyperlink r:id="rId48">
        <w:r w:rsidRPr="00FE584D">
          <w:rPr>
            <w:rFonts w:ascii="Arial" w:eastAsia="Arial" w:hAnsi="Arial" w:cs="Arial"/>
            <w:color w:val="1155CC"/>
            <w:sz w:val="22"/>
            <w:szCs w:val="22"/>
            <w:u w:val="single"/>
          </w:rPr>
          <w:t>https://www.ceeol.com/search/article-detail?id=1193061</w:t>
        </w:r>
      </w:hyperlink>
    </w:p>
    <w:p w14:paraId="313F6DB5" w14:textId="77777777"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sz w:val="22"/>
          <w:szCs w:val="22"/>
        </w:rPr>
        <w:t>‌</w:t>
      </w:r>
      <w:r w:rsidRPr="00FE584D">
        <w:rPr>
          <w:rFonts w:ascii="Arial" w:eastAsia="Arial" w:hAnsi="Arial" w:cs="Arial"/>
          <w:color w:val="222222"/>
          <w:sz w:val="22"/>
          <w:szCs w:val="22"/>
          <w:highlight w:val="white"/>
        </w:rPr>
        <w:t xml:space="preserve">Porter, L., and Rees, C. (2025). Leadership and teamworking–the foundations of organisational culture in health and social care practice. In </w:t>
      </w:r>
      <w:r w:rsidRPr="00FE584D">
        <w:rPr>
          <w:rFonts w:ascii="Arial" w:eastAsia="Arial" w:hAnsi="Arial" w:cs="Arial"/>
          <w:i/>
          <w:iCs/>
          <w:color w:val="222222"/>
          <w:sz w:val="22"/>
          <w:szCs w:val="22"/>
          <w:highlight w:val="white"/>
        </w:rPr>
        <w:t>The Students’ Handbook for Studying Health and Social Care</w:t>
      </w:r>
      <w:r w:rsidRPr="00FE584D">
        <w:rPr>
          <w:rFonts w:ascii="Arial" w:eastAsia="Arial" w:hAnsi="Arial" w:cs="Arial"/>
          <w:color w:val="222222"/>
          <w:sz w:val="22"/>
          <w:szCs w:val="22"/>
          <w:highlight w:val="white"/>
        </w:rPr>
        <w:t xml:space="preserve"> (pp. 261-277). Routledge.</w:t>
      </w:r>
      <w:r w:rsidRPr="00FE584D">
        <w:rPr>
          <w:rFonts w:ascii="Arial" w:eastAsia="Arial" w:hAnsi="Arial" w:cs="Arial"/>
          <w:sz w:val="22"/>
          <w:szCs w:val="22"/>
        </w:rPr>
        <w:t xml:space="preserve"> </w:t>
      </w:r>
      <w:hyperlink r:id="rId49">
        <w:r w:rsidRPr="00FE584D">
          <w:rPr>
            <w:rFonts w:ascii="Arial" w:eastAsia="Arial" w:hAnsi="Arial" w:cs="Arial"/>
            <w:color w:val="1155CC"/>
            <w:sz w:val="22"/>
            <w:szCs w:val="22"/>
            <w:u w:val="single"/>
          </w:rPr>
          <w:t>https://api.taylorfrancis.com/content/chapters/edit/download?identifierName=doi&amp;identifierValue=10.4324/9781032619309-23&amp;type=chapterpdf</w:t>
        </w:r>
      </w:hyperlink>
    </w:p>
    <w:p w14:paraId="69607B23" w14:textId="4319CAAB"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Putri, P., and Afandi, A. T. (2023). The SBAR Communication Method (Situation-Background-Assessment-Recommendation) In Nursing: A Literature Review. </w:t>
      </w:r>
      <w:proofErr w:type="spellStart"/>
      <w:r w:rsidRPr="00FE584D">
        <w:rPr>
          <w:rFonts w:ascii="Arial" w:eastAsia="Arial" w:hAnsi="Arial" w:cs="Arial"/>
          <w:i/>
          <w:iCs/>
          <w:color w:val="222222"/>
          <w:sz w:val="22"/>
          <w:szCs w:val="22"/>
          <w:highlight w:val="white"/>
        </w:rPr>
        <w:t>Jurnal</w:t>
      </w:r>
      <w:proofErr w:type="spellEnd"/>
      <w:r w:rsidRPr="00FE584D">
        <w:rPr>
          <w:rFonts w:ascii="Arial" w:eastAsia="Arial" w:hAnsi="Arial" w:cs="Arial"/>
          <w:i/>
          <w:iCs/>
          <w:color w:val="222222"/>
          <w:sz w:val="22"/>
          <w:szCs w:val="22"/>
          <w:highlight w:val="white"/>
        </w:rPr>
        <w:t xml:space="preserve"> Kesehatan </w:t>
      </w:r>
      <w:proofErr w:type="spellStart"/>
      <w:r w:rsidRPr="00FE584D">
        <w:rPr>
          <w:rFonts w:ascii="Arial" w:eastAsia="Arial" w:hAnsi="Arial" w:cs="Arial"/>
          <w:i/>
          <w:iCs/>
          <w:color w:val="222222"/>
          <w:sz w:val="22"/>
          <w:szCs w:val="22"/>
          <w:highlight w:val="white"/>
        </w:rPr>
        <w:t>Komunitas</w:t>
      </w:r>
      <w:proofErr w:type="spellEnd"/>
      <w:r w:rsidRPr="00FE584D">
        <w:rPr>
          <w:rFonts w:ascii="Arial" w:eastAsia="Arial" w:hAnsi="Arial" w:cs="Arial"/>
          <w:i/>
          <w:iCs/>
          <w:color w:val="222222"/>
          <w:sz w:val="22"/>
          <w:szCs w:val="22"/>
          <w:highlight w:val="white"/>
        </w:rPr>
        <w:t xml:space="preserve"> Indonesia</w:t>
      </w:r>
      <w:r w:rsidRPr="00FE584D">
        <w:rPr>
          <w:rFonts w:ascii="Arial" w:eastAsia="Arial" w:hAnsi="Arial" w:cs="Arial"/>
          <w:color w:val="222222"/>
          <w:sz w:val="22"/>
          <w:szCs w:val="22"/>
          <w:highlight w:val="white"/>
        </w:rPr>
        <w:t xml:space="preserve">, </w:t>
      </w:r>
      <w:r w:rsidR="001355DA">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3</w:t>
      </w:r>
      <w:r w:rsidR="001355DA">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2, </w:t>
      </w:r>
      <w:r w:rsidR="001355DA">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194-200.</w:t>
      </w:r>
      <w:r w:rsidRPr="00FE584D">
        <w:rPr>
          <w:rFonts w:ascii="Arial" w:eastAsia="Arial" w:hAnsi="Arial" w:cs="Arial"/>
          <w:sz w:val="22"/>
          <w:szCs w:val="22"/>
        </w:rPr>
        <w:t xml:space="preserve"> </w:t>
      </w:r>
      <w:hyperlink r:id="rId50">
        <w:r w:rsidRPr="00FE584D">
          <w:rPr>
            <w:rFonts w:ascii="Arial" w:eastAsia="Arial" w:hAnsi="Arial" w:cs="Arial"/>
            <w:color w:val="1155CC"/>
            <w:sz w:val="22"/>
            <w:szCs w:val="22"/>
            <w:u w:val="single"/>
          </w:rPr>
          <w:t>https://ebsina.or.id/journals/index.php/jkki/article/view/118</w:t>
        </w:r>
      </w:hyperlink>
    </w:p>
    <w:p w14:paraId="3560EB5F" w14:textId="1E7A3464"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Sheikh, A., Coleman, J., Chuter, A., Williams, R., </w:t>
      </w:r>
      <w:proofErr w:type="spellStart"/>
      <w:r w:rsidRPr="00FE584D">
        <w:rPr>
          <w:rFonts w:ascii="Arial" w:eastAsia="Arial" w:hAnsi="Arial" w:cs="Arial"/>
          <w:color w:val="222222"/>
          <w:sz w:val="22"/>
          <w:szCs w:val="22"/>
          <w:highlight w:val="white"/>
        </w:rPr>
        <w:t>Lilford</w:t>
      </w:r>
      <w:proofErr w:type="spellEnd"/>
      <w:r w:rsidRPr="00FE584D">
        <w:rPr>
          <w:rFonts w:ascii="Arial" w:eastAsia="Arial" w:hAnsi="Arial" w:cs="Arial"/>
          <w:color w:val="222222"/>
          <w:sz w:val="22"/>
          <w:szCs w:val="22"/>
          <w:highlight w:val="white"/>
        </w:rPr>
        <w:t xml:space="preserve">, R., Slee, A., ... and Watson, N. (2022). Electronic prescribing systems in hospitals to improve medication safety: a </w:t>
      </w:r>
      <w:proofErr w:type="spellStart"/>
      <w:r w:rsidRPr="00FE584D">
        <w:rPr>
          <w:rFonts w:ascii="Arial" w:eastAsia="Arial" w:hAnsi="Arial" w:cs="Arial"/>
          <w:color w:val="222222"/>
          <w:sz w:val="22"/>
          <w:szCs w:val="22"/>
          <w:highlight w:val="white"/>
        </w:rPr>
        <w:t>multimethods</w:t>
      </w:r>
      <w:proofErr w:type="spellEnd"/>
      <w:r w:rsidRPr="00FE584D">
        <w:rPr>
          <w:rFonts w:ascii="Arial" w:eastAsia="Arial" w:hAnsi="Arial" w:cs="Arial"/>
          <w:color w:val="222222"/>
          <w:sz w:val="22"/>
          <w:szCs w:val="22"/>
          <w:highlight w:val="white"/>
        </w:rPr>
        <w:t xml:space="preserve"> research programme. </w:t>
      </w:r>
      <w:r w:rsidRPr="00FE584D">
        <w:rPr>
          <w:rFonts w:ascii="Arial" w:eastAsia="Arial" w:hAnsi="Arial" w:cs="Arial"/>
          <w:i/>
          <w:iCs/>
          <w:color w:val="222222"/>
          <w:sz w:val="22"/>
          <w:szCs w:val="22"/>
          <w:highlight w:val="white"/>
        </w:rPr>
        <w:t>Programme Grants for Applied Research</w:t>
      </w:r>
      <w:r w:rsidRPr="00FE584D">
        <w:rPr>
          <w:rFonts w:ascii="Arial" w:eastAsia="Arial" w:hAnsi="Arial" w:cs="Arial"/>
          <w:color w:val="222222"/>
          <w:sz w:val="22"/>
          <w:szCs w:val="22"/>
          <w:highlight w:val="white"/>
        </w:rPr>
        <w:t xml:space="preserve">, </w:t>
      </w:r>
      <w:r w:rsidR="001355DA">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10</w:t>
      </w:r>
      <w:r w:rsidR="001355DA">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 xml:space="preserve">7, </w:t>
      </w:r>
      <w:r w:rsidR="001355DA">
        <w:rPr>
          <w:rFonts w:ascii="Arial" w:eastAsia="Arial" w:hAnsi="Arial" w:cs="Arial"/>
          <w:color w:val="222222"/>
          <w:sz w:val="22"/>
          <w:szCs w:val="22"/>
          <w:highlight w:val="white"/>
        </w:rPr>
        <w:t xml:space="preserve">pp. </w:t>
      </w:r>
      <w:r w:rsidRPr="00FE584D">
        <w:rPr>
          <w:rFonts w:ascii="Arial" w:eastAsia="Arial" w:hAnsi="Arial" w:cs="Arial"/>
          <w:color w:val="222222"/>
          <w:sz w:val="22"/>
          <w:szCs w:val="22"/>
          <w:highlight w:val="white"/>
        </w:rPr>
        <w:t>1-164.</w:t>
      </w:r>
      <w:r w:rsidRPr="00FE584D">
        <w:rPr>
          <w:rFonts w:ascii="Arial" w:eastAsia="Arial" w:hAnsi="Arial" w:cs="Arial"/>
          <w:sz w:val="22"/>
          <w:szCs w:val="22"/>
        </w:rPr>
        <w:t xml:space="preserve"> </w:t>
      </w:r>
      <w:hyperlink r:id="rId51">
        <w:r w:rsidRPr="00FE584D">
          <w:rPr>
            <w:rFonts w:ascii="Arial" w:eastAsia="Arial" w:hAnsi="Arial" w:cs="Arial"/>
            <w:color w:val="1155CC"/>
            <w:sz w:val="22"/>
            <w:szCs w:val="22"/>
            <w:u w:val="single"/>
          </w:rPr>
          <w:t>https://www.journalslibrary.nihr.ac.uk/pgfar/KSRS2009</w:t>
        </w:r>
      </w:hyperlink>
    </w:p>
    <w:p w14:paraId="62326670" w14:textId="77777777"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Susilo, D. (2024). </w:t>
      </w:r>
      <w:r w:rsidRPr="00FE584D">
        <w:rPr>
          <w:rFonts w:ascii="Arial" w:eastAsia="Arial" w:hAnsi="Arial" w:cs="Arial"/>
          <w:i/>
          <w:iCs/>
          <w:sz w:val="22"/>
          <w:szCs w:val="22"/>
        </w:rPr>
        <w:t>Transformational leadership: A style of motivating employees</w:t>
      </w:r>
      <w:r w:rsidRPr="00FE584D">
        <w:rPr>
          <w:rFonts w:ascii="Arial" w:eastAsia="Arial" w:hAnsi="Arial" w:cs="Arial"/>
          <w:sz w:val="22"/>
          <w:szCs w:val="22"/>
        </w:rPr>
        <w:t xml:space="preserve">. [online] </w:t>
      </w:r>
      <w:r w:rsidRPr="00FE584D">
        <w:rPr>
          <w:rFonts w:ascii="Arial" w:eastAsia="Arial" w:hAnsi="Arial" w:cs="Arial"/>
          <w:i/>
          <w:iCs/>
          <w:sz w:val="22"/>
          <w:szCs w:val="22"/>
        </w:rPr>
        <w:t>ResearchGate</w:t>
      </w:r>
      <w:r w:rsidRPr="00FE584D">
        <w:rPr>
          <w:rFonts w:ascii="Arial" w:eastAsia="Arial" w:hAnsi="Arial" w:cs="Arial"/>
          <w:sz w:val="22"/>
          <w:szCs w:val="22"/>
        </w:rPr>
        <w:t xml:space="preserve">. Available at: </w:t>
      </w:r>
      <w:hyperlink r:id="rId52">
        <w:r w:rsidRPr="00FE584D">
          <w:rPr>
            <w:rFonts w:ascii="Arial" w:eastAsia="Arial" w:hAnsi="Arial" w:cs="Arial"/>
            <w:color w:val="1155CC"/>
            <w:sz w:val="22"/>
            <w:szCs w:val="22"/>
            <w:u w:val="single"/>
          </w:rPr>
          <w:t>https://www.researchgate.net/publication/328167090_TRANSFORMATIONAL_LEADERSHIP_A_STYLE_OF_MOTIVATING_EMPLOYEES</w:t>
        </w:r>
      </w:hyperlink>
      <w:r w:rsidRPr="00FE584D">
        <w:rPr>
          <w:rFonts w:ascii="Arial" w:eastAsia="Arial" w:hAnsi="Arial" w:cs="Arial"/>
          <w:sz w:val="22"/>
          <w:szCs w:val="22"/>
        </w:rPr>
        <w:t>.</w:t>
      </w:r>
    </w:p>
    <w:p w14:paraId="4290C91A" w14:textId="77777777"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WHO (2023). </w:t>
      </w:r>
      <w:r w:rsidRPr="00FE584D">
        <w:rPr>
          <w:rFonts w:ascii="Arial" w:eastAsia="Arial" w:hAnsi="Arial" w:cs="Arial"/>
          <w:i/>
          <w:iCs/>
          <w:sz w:val="22"/>
          <w:szCs w:val="22"/>
        </w:rPr>
        <w:t>Patient safety</w:t>
      </w:r>
      <w:r w:rsidRPr="00FE584D">
        <w:rPr>
          <w:rFonts w:ascii="Arial" w:eastAsia="Arial" w:hAnsi="Arial" w:cs="Arial"/>
          <w:sz w:val="22"/>
          <w:szCs w:val="22"/>
        </w:rPr>
        <w:t xml:space="preserve">. [online] Who.int. Available at: </w:t>
      </w:r>
      <w:hyperlink r:id="rId53">
        <w:r w:rsidRPr="00FE584D">
          <w:rPr>
            <w:rFonts w:ascii="Arial" w:eastAsia="Arial" w:hAnsi="Arial" w:cs="Arial"/>
            <w:color w:val="1155CC"/>
            <w:sz w:val="22"/>
            <w:szCs w:val="22"/>
            <w:u w:val="single"/>
          </w:rPr>
          <w:t>https://www.who.int/news-room/fact-sheets/detail/patient-safety</w:t>
        </w:r>
      </w:hyperlink>
      <w:r w:rsidRPr="00FE584D">
        <w:rPr>
          <w:rFonts w:ascii="Arial" w:eastAsia="Arial" w:hAnsi="Arial" w:cs="Arial"/>
          <w:sz w:val="22"/>
          <w:szCs w:val="22"/>
        </w:rPr>
        <w:t xml:space="preserve"> [Accessed 19 July 2026].</w:t>
      </w:r>
    </w:p>
    <w:p w14:paraId="477FD24C" w14:textId="77777777" w:rsidR="00A46FB0" w:rsidRPr="00FE584D" w:rsidRDefault="00A46FB0" w:rsidP="00A43C03">
      <w:pPr>
        <w:spacing w:after="240" w:line="360" w:lineRule="auto"/>
        <w:jc w:val="both"/>
        <w:rPr>
          <w:rFonts w:ascii="Arial" w:eastAsia="Arial" w:hAnsi="Arial" w:cs="Arial"/>
          <w:sz w:val="22"/>
          <w:szCs w:val="22"/>
        </w:rPr>
      </w:pPr>
      <w:r w:rsidRPr="00FE584D">
        <w:rPr>
          <w:rFonts w:ascii="Arial" w:eastAsia="Arial" w:hAnsi="Arial" w:cs="Arial"/>
          <w:sz w:val="22"/>
          <w:szCs w:val="22"/>
        </w:rPr>
        <w:t xml:space="preserve">Who.int. (2024). </w:t>
      </w:r>
      <w:r w:rsidRPr="00FE584D">
        <w:rPr>
          <w:rFonts w:ascii="Arial" w:eastAsia="Arial" w:hAnsi="Arial" w:cs="Arial"/>
          <w:i/>
          <w:iCs/>
          <w:sz w:val="22"/>
          <w:szCs w:val="22"/>
        </w:rPr>
        <w:t>Medication Without Harm</w:t>
      </w:r>
      <w:r w:rsidRPr="00FE584D">
        <w:rPr>
          <w:rFonts w:ascii="Arial" w:eastAsia="Arial" w:hAnsi="Arial" w:cs="Arial"/>
          <w:sz w:val="22"/>
          <w:szCs w:val="22"/>
        </w:rPr>
        <w:t xml:space="preserve">. [online] Available at: </w:t>
      </w:r>
      <w:hyperlink r:id="rId54">
        <w:r w:rsidRPr="00FE584D">
          <w:rPr>
            <w:rFonts w:ascii="Arial" w:eastAsia="Arial" w:hAnsi="Arial" w:cs="Arial"/>
            <w:color w:val="1155CC"/>
            <w:sz w:val="22"/>
            <w:szCs w:val="22"/>
            <w:u w:val="single"/>
          </w:rPr>
          <w:t>https://www.who.int/initiatives/medication-without-harm</w:t>
        </w:r>
      </w:hyperlink>
      <w:r w:rsidRPr="00FE584D">
        <w:rPr>
          <w:rFonts w:ascii="Arial" w:eastAsia="Arial" w:hAnsi="Arial" w:cs="Arial"/>
          <w:sz w:val="22"/>
          <w:szCs w:val="22"/>
        </w:rPr>
        <w:t xml:space="preserve"> [Accessed 19 July 2026].</w:t>
      </w:r>
    </w:p>
    <w:p w14:paraId="0DB37E03" w14:textId="2A4ADA80" w:rsidR="00A46FB0" w:rsidRPr="00FE584D" w:rsidRDefault="00A46FB0" w:rsidP="00A43C03">
      <w:pPr>
        <w:spacing w:before="240" w:after="240" w:line="360" w:lineRule="auto"/>
        <w:jc w:val="both"/>
        <w:rPr>
          <w:rFonts w:ascii="Arial" w:eastAsia="Arial" w:hAnsi="Arial" w:cs="Arial"/>
          <w:sz w:val="22"/>
          <w:szCs w:val="22"/>
        </w:rPr>
      </w:pPr>
      <w:r w:rsidRPr="00FE584D">
        <w:rPr>
          <w:rFonts w:ascii="Arial" w:eastAsia="Arial" w:hAnsi="Arial" w:cs="Arial"/>
          <w:color w:val="222222"/>
          <w:sz w:val="22"/>
          <w:szCs w:val="22"/>
          <w:highlight w:val="white"/>
        </w:rPr>
        <w:t xml:space="preserve">Wings, S., and Harkonen, J. (2023). Decentralised or centralised management of data and products: influence on revenue-generating processes. </w:t>
      </w:r>
      <w:r w:rsidRPr="00FE584D">
        <w:rPr>
          <w:rFonts w:ascii="Arial" w:eastAsia="Arial" w:hAnsi="Arial" w:cs="Arial"/>
          <w:i/>
          <w:iCs/>
          <w:color w:val="222222"/>
          <w:sz w:val="22"/>
          <w:szCs w:val="22"/>
          <w:highlight w:val="white"/>
        </w:rPr>
        <w:t>International Journal of Management and Decision Making</w:t>
      </w:r>
      <w:r w:rsidRPr="00FE584D">
        <w:rPr>
          <w:rFonts w:ascii="Arial" w:eastAsia="Arial" w:hAnsi="Arial" w:cs="Arial"/>
          <w:color w:val="222222"/>
          <w:sz w:val="22"/>
          <w:szCs w:val="22"/>
          <w:highlight w:val="white"/>
        </w:rPr>
        <w:t xml:space="preserve">, </w:t>
      </w:r>
      <w:r w:rsidR="001355DA">
        <w:rPr>
          <w:rFonts w:ascii="Arial" w:eastAsia="Arial" w:hAnsi="Arial" w:cs="Arial"/>
          <w:color w:val="222222"/>
          <w:sz w:val="22"/>
          <w:szCs w:val="22"/>
          <w:highlight w:val="white"/>
        </w:rPr>
        <w:t xml:space="preserve">vol. </w:t>
      </w:r>
      <w:r w:rsidRPr="00FE584D">
        <w:rPr>
          <w:rFonts w:ascii="Arial" w:eastAsia="Arial" w:hAnsi="Arial" w:cs="Arial"/>
          <w:i/>
          <w:iCs/>
          <w:color w:val="222222"/>
          <w:sz w:val="22"/>
          <w:szCs w:val="22"/>
          <w:highlight w:val="white"/>
        </w:rPr>
        <w:t>22</w:t>
      </w:r>
      <w:r w:rsidR="001355DA">
        <w:rPr>
          <w:rFonts w:ascii="Arial" w:eastAsia="Arial" w:hAnsi="Arial" w:cs="Arial"/>
          <w:color w:val="222222"/>
          <w:sz w:val="22"/>
          <w:szCs w:val="22"/>
          <w:highlight w:val="white"/>
        </w:rPr>
        <w:t xml:space="preserve">, no. </w:t>
      </w:r>
      <w:r w:rsidRPr="00FE584D">
        <w:rPr>
          <w:rFonts w:ascii="Arial" w:eastAsia="Arial" w:hAnsi="Arial" w:cs="Arial"/>
          <w:color w:val="222222"/>
          <w:sz w:val="22"/>
          <w:szCs w:val="22"/>
          <w:highlight w:val="white"/>
        </w:rPr>
        <w:t>1, 74-105.</w:t>
      </w:r>
      <w:r w:rsidRPr="00FE584D">
        <w:rPr>
          <w:rFonts w:ascii="Arial" w:eastAsia="Arial" w:hAnsi="Arial" w:cs="Arial"/>
          <w:sz w:val="22"/>
          <w:szCs w:val="22"/>
        </w:rPr>
        <w:t xml:space="preserve"> </w:t>
      </w:r>
      <w:hyperlink r:id="rId55">
        <w:r w:rsidRPr="00FE584D">
          <w:rPr>
            <w:rFonts w:ascii="Arial" w:eastAsia="Arial" w:hAnsi="Arial" w:cs="Arial"/>
            <w:color w:val="1155CC"/>
            <w:sz w:val="22"/>
            <w:szCs w:val="22"/>
            <w:u w:val="single"/>
          </w:rPr>
          <w:t>https://www.inderscienceonline.com/doi/abs/10.1504/IJMDM.2023.127687</w:t>
        </w:r>
      </w:hyperlink>
    </w:p>
    <w:p w14:paraId="4F82DF20" w14:textId="77777777" w:rsidR="001839A3" w:rsidRPr="00FE584D" w:rsidRDefault="001839A3" w:rsidP="00A43C03">
      <w:pPr>
        <w:spacing w:after="240" w:line="360" w:lineRule="auto"/>
        <w:jc w:val="both"/>
        <w:rPr>
          <w:rFonts w:ascii="Arial" w:eastAsia="Arial" w:hAnsi="Arial" w:cs="Arial"/>
          <w:sz w:val="22"/>
          <w:szCs w:val="22"/>
        </w:rPr>
      </w:pPr>
    </w:p>
    <w:p w14:paraId="0C3B0DB5" w14:textId="5CF2584E" w:rsidR="001839A3" w:rsidRPr="00FE584D" w:rsidRDefault="00000000" w:rsidP="00E268A1">
      <w:pPr>
        <w:pStyle w:val="Heading1"/>
        <w:spacing w:line="360" w:lineRule="auto"/>
        <w:rPr>
          <w:rFonts w:eastAsia="Arial" w:cs="Arial"/>
          <w:szCs w:val="22"/>
        </w:rPr>
      </w:pPr>
      <w:bookmarkStart w:id="67" w:name="_nqzshbifz0h2" w:colFirst="0" w:colLast="0"/>
      <w:bookmarkEnd w:id="67"/>
      <w:r w:rsidRPr="00FE584D">
        <w:rPr>
          <w:rFonts w:cs="Arial"/>
          <w:szCs w:val="22"/>
        </w:rPr>
        <w:br w:type="page"/>
      </w:r>
      <w:bookmarkStart w:id="68" w:name="_kbv4wbsgan9" w:colFirst="0" w:colLast="0"/>
      <w:bookmarkEnd w:id="68"/>
    </w:p>
    <w:p w14:paraId="50899BF7" w14:textId="77777777" w:rsidR="001839A3" w:rsidRPr="00FE584D" w:rsidRDefault="001839A3" w:rsidP="00A43C03">
      <w:pPr>
        <w:spacing w:before="240" w:after="240" w:line="360" w:lineRule="auto"/>
        <w:jc w:val="both"/>
        <w:rPr>
          <w:rFonts w:ascii="Arial" w:eastAsia="Arial" w:hAnsi="Arial" w:cs="Arial"/>
          <w:b/>
          <w:bCs/>
          <w:sz w:val="22"/>
          <w:szCs w:val="22"/>
        </w:rPr>
      </w:pPr>
    </w:p>
    <w:sectPr w:rsidR="001839A3" w:rsidRPr="00FE584D" w:rsidSect="00A46FB0">
      <w:footerReference w:type="default" r:id="rId5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83B7B" w14:textId="77777777" w:rsidR="00E675DD" w:rsidRPr="001C73D7" w:rsidRDefault="00E675DD" w:rsidP="00A46FB0">
      <w:pPr>
        <w:spacing w:after="0" w:line="240" w:lineRule="auto"/>
      </w:pPr>
      <w:r w:rsidRPr="001C73D7">
        <w:separator/>
      </w:r>
    </w:p>
  </w:endnote>
  <w:endnote w:type="continuationSeparator" w:id="0">
    <w:p w14:paraId="109F4243" w14:textId="77777777" w:rsidR="00E675DD" w:rsidRPr="001C73D7" w:rsidRDefault="00E675DD" w:rsidP="00A46FB0">
      <w:pPr>
        <w:spacing w:after="0" w:line="240" w:lineRule="auto"/>
      </w:pPr>
      <w:r w:rsidRPr="001C73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51BA3B57-52C1-49C4-9DC3-95C304239273}"/>
    <w:embedBold r:id="rId2" w:fontKey="{70C8ECAE-8920-47C1-AFED-D6E21874AEA1}"/>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3" w:fontKey="{20810A46-9FF4-432A-84AF-70A827BB39A2}"/>
    <w:embedBold r:id="rId4" w:fontKey="{7D2D0D64-C966-49B8-99CE-E2B0D322AA1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C0AF9B0B-1CFD-4D56-96DF-C6B945F69552}"/>
  </w:font>
  <w:font w:name="Calibri">
    <w:panose1 w:val="020F0502020204030204"/>
    <w:charset w:val="00"/>
    <w:family w:val="swiss"/>
    <w:pitch w:val="variable"/>
    <w:sig w:usb0="E4002EFF" w:usb1="C200247B" w:usb2="00000009" w:usb3="00000000" w:csb0="000001FF" w:csb1="00000000"/>
    <w:embedRegular r:id="rId6" w:fontKey="{C9A21DCC-0894-4406-820F-6C7A944DC5E4}"/>
    <w:embedBold r:id="rId7" w:fontKey="{E5651CA0-D2C0-4785-8F81-A68F6BA7838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8" w:fontKey="{14D75DE0-A0BE-4FC8-8F2F-97A15B9BF7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832165"/>
      <w:docPartObj>
        <w:docPartGallery w:val="Page Numbers (Bottom of Page)"/>
        <w:docPartUnique/>
      </w:docPartObj>
    </w:sdtPr>
    <w:sdtContent>
      <w:p w14:paraId="04D33A9C" w14:textId="55266216" w:rsidR="00A46FB0" w:rsidRPr="001C73D7" w:rsidRDefault="00A46FB0">
        <w:pPr>
          <w:pStyle w:val="Footer"/>
          <w:jc w:val="right"/>
        </w:pPr>
        <w:r w:rsidRPr="001C73D7">
          <w:fldChar w:fldCharType="begin"/>
        </w:r>
        <w:r w:rsidRPr="001C73D7">
          <w:instrText xml:space="preserve"> PAGE   \* MERGEFORMAT </w:instrText>
        </w:r>
        <w:r w:rsidRPr="001C73D7">
          <w:fldChar w:fldCharType="separate"/>
        </w:r>
        <w:r w:rsidRPr="001C73D7">
          <w:t>2</w:t>
        </w:r>
        <w:r w:rsidRPr="001C73D7">
          <w:fldChar w:fldCharType="end"/>
        </w:r>
      </w:p>
    </w:sdtContent>
  </w:sdt>
  <w:p w14:paraId="5751694D" w14:textId="77777777" w:rsidR="00A46FB0" w:rsidRPr="001C73D7" w:rsidRDefault="00A46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B1CB8" w14:textId="77777777" w:rsidR="00E675DD" w:rsidRPr="001C73D7" w:rsidRDefault="00E675DD" w:rsidP="00A46FB0">
      <w:pPr>
        <w:spacing w:after="0" w:line="240" w:lineRule="auto"/>
      </w:pPr>
      <w:r w:rsidRPr="001C73D7">
        <w:separator/>
      </w:r>
    </w:p>
  </w:footnote>
  <w:footnote w:type="continuationSeparator" w:id="0">
    <w:p w14:paraId="2930339E" w14:textId="77777777" w:rsidR="00E675DD" w:rsidRPr="001C73D7" w:rsidRDefault="00E675DD" w:rsidP="00A46FB0">
      <w:pPr>
        <w:spacing w:after="0" w:line="240" w:lineRule="auto"/>
      </w:pPr>
      <w:r w:rsidRPr="001C73D7">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A3"/>
    <w:rsid w:val="00030C12"/>
    <w:rsid w:val="001355DA"/>
    <w:rsid w:val="00157B8E"/>
    <w:rsid w:val="001839A3"/>
    <w:rsid w:val="001911C5"/>
    <w:rsid w:val="001C73D7"/>
    <w:rsid w:val="001D7DDA"/>
    <w:rsid w:val="002128A9"/>
    <w:rsid w:val="00260F6F"/>
    <w:rsid w:val="003A0732"/>
    <w:rsid w:val="003B5B02"/>
    <w:rsid w:val="003D19B9"/>
    <w:rsid w:val="00403083"/>
    <w:rsid w:val="004440B1"/>
    <w:rsid w:val="0049479E"/>
    <w:rsid w:val="004A7930"/>
    <w:rsid w:val="00547C92"/>
    <w:rsid w:val="00550E5C"/>
    <w:rsid w:val="00572126"/>
    <w:rsid w:val="00575047"/>
    <w:rsid w:val="00615A1E"/>
    <w:rsid w:val="00700C0B"/>
    <w:rsid w:val="00780597"/>
    <w:rsid w:val="007B4361"/>
    <w:rsid w:val="00824AFD"/>
    <w:rsid w:val="008469EB"/>
    <w:rsid w:val="00947A19"/>
    <w:rsid w:val="00964BEC"/>
    <w:rsid w:val="009B73E3"/>
    <w:rsid w:val="009D7065"/>
    <w:rsid w:val="00A22DC5"/>
    <w:rsid w:val="00A43C03"/>
    <w:rsid w:val="00A46FB0"/>
    <w:rsid w:val="00AD1B4B"/>
    <w:rsid w:val="00B63D00"/>
    <w:rsid w:val="00B82784"/>
    <w:rsid w:val="00BE0028"/>
    <w:rsid w:val="00C51C4D"/>
    <w:rsid w:val="00C6298B"/>
    <w:rsid w:val="00CB69C6"/>
    <w:rsid w:val="00CD358F"/>
    <w:rsid w:val="00D324FE"/>
    <w:rsid w:val="00D71039"/>
    <w:rsid w:val="00D93FF7"/>
    <w:rsid w:val="00E05E44"/>
    <w:rsid w:val="00E12EE3"/>
    <w:rsid w:val="00E268A1"/>
    <w:rsid w:val="00E675DD"/>
    <w:rsid w:val="00F46575"/>
    <w:rsid w:val="00FE58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3AE82"/>
  <w15:docId w15:val="{69EDA59E-F362-4064-858D-AB4A4806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A46FB0"/>
    <w:pPr>
      <w:keepNext/>
      <w:keepLines/>
      <w:pBdr>
        <w:top w:val="nil"/>
        <w:left w:val="nil"/>
        <w:bottom w:val="nil"/>
        <w:right w:val="nil"/>
        <w:between w:val="nil"/>
      </w:pBdr>
      <w:spacing w:before="360" w:after="80"/>
      <w:outlineLvl w:val="0"/>
    </w:pPr>
    <w:rPr>
      <w:rFonts w:ascii="Arial" w:eastAsia="Play" w:hAnsi="Arial" w:cs="Play"/>
      <w:b/>
      <w:color w:val="000000" w:themeColor="text1"/>
      <w:sz w:val="22"/>
      <w:szCs w:val="40"/>
    </w:rPr>
  </w:style>
  <w:style w:type="paragraph" w:styleId="Heading2">
    <w:name w:val="heading 2"/>
    <w:basedOn w:val="Normal"/>
    <w:next w:val="Normal"/>
    <w:uiPriority w:val="9"/>
    <w:unhideWhenUsed/>
    <w:qFormat/>
    <w:rsid w:val="00A46FB0"/>
    <w:pPr>
      <w:keepNext/>
      <w:keepLines/>
      <w:pBdr>
        <w:top w:val="nil"/>
        <w:left w:val="nil"/>
        <w:bottom w:val="nil"/>
        <w:right w:val="nil"/>
        <w:between w:val="nil"/>
      </w:pBdr>
      <w:spacing w:before="40" w:after="0"/>
      <w:outlineLvl w:val="1"/>
    </w:pPr>
    <w:rPr>
      <w:rFonts w:ascii="Arial" w:eastAsia="Play" w:hAnsi="Arial" w:cs="Play"/>
      <w:b/>
      <w:color w:val="000000" w:themeColor="text1"/>
      <w:sz w:val="22"/>
      <w:szCs w:val="26"/>
    </w:rPr>
  </w:style>
  <w:style w:type="paragraph" w:styleId="Heading3">
    <w:name w:val="heading 3"/>
    <w:basedOn w:val="Normal"/>
    <w:next w:val="Normal"/>
    <w:uiPriority w:val="9"/>
    <w:unhideWhenUsed/>
    <w:qFormat/>
    <w:rsid w:val="00A46FB0"/>
    <w:pPr>
      <w:keepNext/>
      <w:keepLines/>
      <w:pBdr>
        <w:top w:val="nil"/>
        <w:left w:val="nil"/>
        <w:bottom w:val="nil"/>
        <w:right w:val="nil"/>
        <w:between w:val="nil"/>
      </w:pBdr>
      <w:spacing w:before="40" w:after="0"/>
      <w:outlineLvl w:val="2"/>
    </w:pPr>
    <w:rPr>
      <w:rFonts w:ascii="Arial" w:eastAsia="Play" w:hAnsi="Arial" w:cs="Play"/>
      <w:b/>
      <w:color w:val="000000" w:themeColor="text1"/>
      <w:sz w:val="22"/>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A46FB0"/>
    <w:pPr>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A46FB0"/>
    <w:pPr>
      <w:spacing w:after="100"/>
      <w:ind w:left="240"/>
    </w:pPr>
  </w:style>
  <w:style w:type="paragraph" w:styleId="TOC1">
    <w:name w:val="toc 1"/>
    <w:basedOn w:val="Normal"/>
    <w:next w:val="Normal"/>
    <w:autoRedefine/>
    <w:uiPriority w:val="39"/>
    <w:unhideWhenUsed/>
    <w:rsid w:val="00A46FB0"/>
    <w:pPr>
      <w:spacing w:after="100"/>
    </w:pPr>
  </w:style>
  <w:style w:type="paragraph" w:styleId="TOC3">
    <w:name w:val="toc 3"/>
    <w:basedOn w:val="Normal"/>
    <w:next w:val="Normal"/>
    <w:autoRedefine/>
    <w:uiPriority w:val="39"/>
    <w:unhideWhenUsed/>
    <w:rsid w:val="00A46FB0"/>
    <w:pPr>
      <w:spacing w:after="100"/>
      <w:ind w:left="480"/>
    </w:pPr>
  </w:style>
  <w:style w:type="character" w:styleId="Hyperlink">
    <w:name w:val="Hyperlink"/>
    <w:basedOn w:val="DefaultParagraphFont"/>
    <w:uiPriority w:val="99"/>
    <w:unhideWhenUsed/>
    <w:rsid w:val="00A46FB0"/>
    <w:rPr>
      <w:color w:val="0000FF" w:themeColor="hyperlink"/>
      <w:u w:val="single"/>
    </w:rPr>
  </w:style>
  <w:style w:type="paragraph" w:styleId="Header">
    <w:name w:val="header"/>
    <w:basedOn w:val="Normal"/>
    <w:link w:val="HeaderChar"/>
    <w:uiPriority w:val="99"/>
    <w:unhideWhenUsed/>
    <w:rsid w:val="00A46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FB0"/>
  </w:style>
  <w:style w:type="paragraph" w:styleId="Footer">
    <w:name w:val="footer"/>
    <w:basedOn w:val="Normal"/>
    <w:link w:val="FooterChar"/>
    <w:uiPriority w:val="99"/>
    <w:unhideWhenUsed/>
    <w:rsid w:val="00A46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FB0"/>
  </w:style>
  <w:style w:type="table" w:styleId="TableGrid">
    <w:name w:val="Table Grid"/>
    <w:basedOn w:val="TableNormal"/>
    <w:uiPriority w:val="39"/>
    <w:rsid w:val="00A46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B5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reus.com/articles/242797-enhancing-patient-safety-through-effective-interprofessional-communication-a-focus-on-medication-error-prevention.pdf" TargetMode="External"/><Relationship Id="rId18" Type="http://schemas.openxmlformats.org/officeDocument/2006/relationships/hyperlink" Target="https://jamanetwork.com/journals/jamanetworkopen/article-abstract/2813929" TargetMode="External"/><Relationship Id="rId26" Type="http://schemas.openxmlformats.org/officeDocument/2006/relationships/hyperlink" Target="https://www.england.nhs.uk/long-read/primary-care-patient-safety-strategy/" TargetMode="External"/><Relationship Id="rId39" Type="http://schemas.openxmlformats.org/officeDocument/2006/relationships/hyperlink" Target="https://www.magonlinelibrary.com/doi/abs/10.12968/jfch.2026.0001" TargetMode="External"/><Relationship Id="rId21" Type="http://schemas.openxmlformats.org/officeDocument/2006/relationships/hyperlink" Target="https://www.cqc.org.uk/publications/controlled-drugs/2023/issues" TargetMode="External"/><Relationship Id="rId34" Type="http://schemas.openxmlformats.org/officeDocument/2006/relationships/hyperlink" Target="https://ejhp.bmj.com/content/early/2025/04/30/ejhpharm-2025-004533?versioned=true" TargetMode="External"/><Relationship Id="rId42" Type="http://schemas.openxmlformats.org/officeDocument/2006/relationships/hyperlink" Target="https://www.emerald.com/ijoa/article/31/7/3532/314590" TargetMode="External"/><Relationship Id="rId47" Type="http://schemas.openxmlformats.org/officeDocument/2006/relationships/hyperlink" Target="http://jopir.in/index.php/journals/article/view/429" TargetMode="External"/><Relationship Id="rId50" Type="http://schemas.openxmlformats.org/officeDocument/2006/relationships/hyperlink" Target="https://ebsina.or.id/journals/index.php/jkki/article/view/118" TargetMode="External"/><Relationship Id="rId55" Type="http://schemas.openxmlformats.org/officeDocument/2006/relationships/hyperlink" Target="https://www.inderscienceonline.com/doi/abs/10.1504/IJMDM.2023.127687"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article/10.1186/s12961-025-01378-w" TargetMode="External"/><Relationship Id="rId29" Type="http://schemas.openxmlformats.org/officeDocument/2006/relationships/hyperlink" Target="https://www.emerald.com/ijmpb/article/16/6-7/713/141585" TargetMode="External"/><Relationship Id="rId11" Type="http://schemas.openxmlformats.org/officeDocument/2006/relationships/image" Target="media/image5.png"/><Relationship Id="rId24" Type="http://schemas.openxmlformats.org/officeDocument/2006/relationships/hyperlink" Target="https://journals.sagepub.com/doi/abs/10.1177/1744629520951003" TargetMode="External"/><Relationship Id="rId32" Type="http://schemas.openxmlformats.org/officeDocument/2006/relationships/hyperlink" Target="https://onlinelibrary.wiley.com/doi/abs/10.1111/apa.70407" TargetMode="External"/><Relationship Id="rId37" Type="http://schemas.openxmlformats.org/officeDocument/2006/relationships/hyperlink" Target="https://link.springer.com/article/10.1186/s12916-022-02351-y" TargetMode="External"/><Relationship Id="rId40" Type="http://schemas.openxmlformats.org/officeDocument/2006/relationships/hyperlink" Target="https://connectsci.au/py/article-abstract/30/1/PY23123/82066" TargetMode="External"/><Relationship Id="rId45" Type="http://schemas.openxmlformats.org/officeDocument/2006/relationships/hyperlink" Target="https://digital.nhs.uk/data-and-information/keeping-data-safe-and-benefitting-the-public/gdpr/gdpr-register/controlled-drugs-accountable-officer---alerts/" TargetMode="External"/><Relationship Id="rId53" Type="http://schemas.openxmlformats.org/officeDocument/2006/relationships/hyperlink" Target="https://www.who.int/news-room/fact-sheets/detail/patient-safety"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pmc.ncbi.nlm.nih.gov/articles/PMC1180146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mc.ncbi.nlm.nih.gov/articles/PMC10163516/" TargetMode="External"/><Relationship Id="rId22" Type="http://schemas.openxmlformats.org/officeDocument/2006/relationships/hyperlink" Target="https://journals.sagepub.com/doi/abs/10.1177/20552076221129079" TargetMode="External"/><Relationship Id="rId27" Type="http://schemas.openxmlformats.org/officeDocument/2006/relationships/hyperlink" Target="https://www.england.nhs.uk/patient%20safety/" TargetMode="External"/><Relationship Id="rId30" Type="http://schemas.openxmlformats.org/officeDocument/2006/relationships/hyperlink" Target="https://link.springer.com/article/10.1186/s12911-022-01865-y" TargetMode="External"/><Relationship Id="rId35" Type="http://schemas.openxmlformats.org/officeDocument/2006/relationships/hyperlink" Target="https://www.cureus.com/articles/508242-non-pharmacological-interventions-for-pain-related-anxiety-and-distress-in-emergency-department-patients-a-systematic-review-with-narrative-synthesis.pdf" TargetMode="External"/><Relationship Id="rId43" Type="http://schemas.openxmlformats.org/officeDocument/2006/relationships/hyperlink" Target="https://digital.nhs.uk/services/digital-and-interoperable-medicines" TargetMode="External"/><Relationship Id="rId48" Type="http://schemas.openxmlformats.org/officeDocument/2006/relationships/hyperlink" Target="https://www.ceeol.com/search/article-detail?id=1193061"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journalslibrary.nihr.ac.uk/pgfar/KSRS2009" TargetMode="External"/><Relationship Id="rId3" Type="http://schemas.openxmlformats.org/officeDocument/2006/relationships/settings" Target="settings.xml"/><Relationship Id="rId12" Type="http://schemas.openxmlformats.org/officeDocument/2006/relationships/hyperlink" Target="https://innovationsjournals-jqsh.kglmeridian.com/view/journals/jqsh/8/4/article-p148.xml" TargetMode="External"/><Relationship Id="rId17" Type="http://schemas.openxmlformats.org/officeDocument/2006/relationships/hyperlink" Target="https://www.researchgate.net/profile/Aliki-Peletidi/publication/343615119_Knowledge_and_Perceptions_of_both_community_pharmacists_and_public_about_obesity_and_its_consequences_in_Greece_The_case_of_Crete/links/5f34428d299bf13404be64d1/Knowledge-and-Perceptions-of-both-community-pharmacists-and-public-about-obesity-and-its-consequences-in-Greece-The-case-of-Crete.pdf" TargetMode="External"/><Relationship Id="rId25" Type="http://schemas.openxmlformats.org/officeDocument/2006/relationships/hyperlink" Target="https://www.drugs.com/cons/oramorph-sr.html" TargetMode="External"/><Relationship Id="rId33" Type="http://schemas.openxmlformats.org/officeDocument/2006/relationships/hyperlink" Target="https://www.gov.uk/drug-safety-update/transdermal-fentanyl-patches-life-threatening-and-fatal-opioid-toxicity-from-accidental-exposure-particularly-in-children?UNLID=854181413202668202624&amp;utm" TargetMode="External"/><Relationship Id="rId38" Type="http://schemas.openxmlformats.org/officeDocument/2006/relationships/hyperlink" Target="https://www.mdpi.com/2414-6366/7/10/304" TargetMode="External"/><Relationship Id="rId46" Type="http://schemas.openxmlformats.org/officeDocument/2006/relationships/hyperlink" Target="https://www.goldenratio.id/index.php/grhrm/article/view/182" TargetMode="External"/><Relationship Id="rId20" Type="http://schemas.openxmlformats.org/officeDocument/2006/relationships/hyperlink" Target="https://search.proquest.com/openview/d1ad6c7d3c8616287db0999022a37945/1?pq-origsite=gscholar&amp;cbl=18750&amp;diss=y" TargetMode="External"/><Relationship Id="rId41" Type="http://schemas.openxmlformats.org/officeDocument/2006/relationships/hyperlink" Target="https://www.mdpi.com/1660-4601/19/19/11960" TargetMode="External"/><Relationship Id="rId54" Type="http://schemas.openxmlformats.org/officeDocument/2006/relationships/hyperlink" Target="https://www.who.int/initiatives/medication-without-harm"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papers.ssrn.com/sol3/papers.cfm?abstract_id=5295397" TargetMode="External"/><Relationship Id="rId23" Type="http://schemas.openxmlformats.org/officeDocument/2006/relationships/hyperlink" Target="https://www.mdpi.com/2673-4060/6/2/63" TargetMode="External"/><Relationship Id="rId28" Type="http://schemas.openxmlformats.org/officeDocument/2006/relationships/hyperlink" Target="https://doi.org/10.18103/mra.v12i%207.5649" TargetMode="External"/><Relationship Id="rId36" Type="http://schemas.openxmlformats.org/officeDocument/2006/relationships/hyperlink" Target="https://journal.achsm.org.au/index.php/achsm/article/view/4695" TargetMode="External"/><Relationship Id="rId49" Type="http://schemas.openxmlformats.org/officeDocument/2006/relationships/hyperlink" Target="https://api.taylorfrancis.com/content/chapters/edit/download?identifierName=doi&amp;identifierValue=10.4324/9781032619309-23&amp;type=chapterpdf"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www.jmir.org/2025/1/e62947/" TargetMode="External"/><Relationship Id="rId44" Type="http://schemas.openxmlformats.org/officeDocument/2006/relationships/hyperlink" Target="https://northyorkshireccg.nhs.uk/wp-content/uploads/2023/09/11.07.23-NHS-NEY-INFANT-MORPHINE-OVERDOSE-CASE-STUDY.pdf" TargetMode="External"/><Relationship Id="rId52" Type="http://schemas.openxmlformats.org/officeDocument/2006/relationships/hyperlink" Target="https://www.researchgate.net/publication/328167090_TRANSFORMATIONAL_LEADERSHIP_A_STYLE_OF_MOTIVATING_EMPLOYE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2265B-5351-4A68-B2C1-6EF70423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8717</Words>
  <Characters>49687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work space</cp:lastModifiedBy>
  <cp:revision>62</cp:revision>
  <dcterms:created xsi:type="dcterms:W3CDTF">2026-07-19T22:11:00Z</dcterms:created>
  <dcterms:modified xsi:type="dcterms:W3CDTF">2026-07-24T07:07:00Z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0x01010076595E8E0A45804CA56A581D7B7B9B2C</vt:lpwstr>
  </property>
  <property fmtid="{D5CDD505-2E9C-101B-9397-08002B2CF9AE}" pid="3" name="_DocHome">
    <vt:lpwstr>2029509337</vt:lpwstr>
  </property>
</Properties>
</file>