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446C8" w14:textId="6DFBA6A3" w:rsidR="009A16A7" w:rsidRPr="009A16A7" w:rsidRDefault="009A16A7" w:rsidP="009A16A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03837A4" wp14:editId="37BB9453">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A16A7" w:rsidRPr="00A406E5" w14:paraId="0AACB855" w14:textId="77777777" w:rsidTr="009A16A7">
        <w:tc>
          <w:tcPr>
            <w:tcW w:w="9922" w:type="dxa"/>
            <w:shd w:val="clear" w:color="auto" w:fill="C0C0C0"/>
          </w:tcPr>
          <w:p w14:paraId="494C2ED0" w14:textId="77777777" w:rsidR="009A16A7" w:rsidRPr="00A406E5" w:rsidRDefault="009A16A7" w:rsidP="00F200F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tbl>
      <w:tblPr>
        <w:tblpPr w:leftFromText="180" w:rightFromText="180" w:vertAnchor="text" w:horzAnchor="margin" w:tblpY="45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3955"/>
        <w:gridCol w:w="1998"/>
        <w:gridCol w:w="2381"/>
      </w:tblGrid>
      <w:tr w:rsidR="009A16A7" w:rsidRPr="00A406E5" w14:paraId="3AF0EF88" w14:textId="77777777" w:rsidTr="009A16A7">
        <w:tc>
          <w:tcPr>
            <w:tcW w:w="1588" w:type="dxa"/>
          </w:tcPr>
          <w:p w14:paraId="56BF0388"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Student name:</w:t>
            </w:r>
          </w:p>
        </w:tc>
        <w:tc>
          <w:tcPr>
            <w:tcW w:w="3955" w:type="dxa"/>
          </w:tcPr>
          <w:p w14:paraId="78F75876" w14:textId="4DF5E915" w:rsidR="009A16A7" w:rsidRPr="00A406E5" w:rsidRDefault="009A16A7" w:rsidP="009A16A7">
            <w:pPr>
              <w:spacing w:before="120" w:after="120"/>
              <w:rPr>
                <w:rFonts w:ascii="Arial" w:hAnsi="Arial" w:cs="Arial"/>
                <w:b/>
                <w:sz w:val="22"/>
                <w:szCs w:val="22"/>
              </w:rPr>
            </w:pPr>
          </w:p>
        </w:tc>
        <w:tc>
          <w:tcPr>
            <w:tcW w:w="1998" w:type="dxa"/>
            <w:shd w:val="clear" w:color="auto" w:fill="D9D9D9" w:themeFill="background1" w:themeFillShade="D9"/>
          </w:tcPr>
          <w:p w14:paraId="4409A1D3"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Student ID number:</w:t>
            </w:r>
          </w:p>
        </w:tc>
        <w:tc>
          <w:tcPr>
            <w:tcW w:w="2381" w:type="dxa"/>
          </w:tcPr>
          <w:p w14:paraId="4091F857" w14:textId="77777777" w:rsidR="009A16A7" w:rsidRPr="00A406E5" w:rsidRDefault="009A16A7" w:rsidP="009A16A7">
            <w:pPr>
              <w:spacing w:before="120" w:after="120"/>
              <w:rPr>
                <w:rFonts w:ascii="Arial" w:hAnsi="Arial" w:cs="Arial"/>
                <w:b/>
                <w:sz w:val="22"/>
                <w:szCs w:val="22"/>
              </w:rPr>
            </w:pPr>
          </w:p>
        </w:tc>
      </w:tr>
      <w:tr w:rsidR="009A16A7" w:rsidRPr="00A406E5" w14:paraId="4BE36496" w14:textId="77777777" w:rsidTr="009A16A7">
        <w:tc>
          <w:tcPr>
            <w:tcW w:w="1588" w:type="dxa"/>
          </w:tcPr>
          <w:p w14:paraId="48220AA6"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Programme:</w:t>
            </w:r>
          </w:p>
        </w:tc>
        <w:tc>
          <w:tcPr>
            <w:tcW w:w="8334" w:type="dxa"/>
            <w:gridSpan w:val="3"/>
          </w:tcPr>
          <w:p w14:paraId="5CFF5EC4"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Master of Business Administration</w:t>
            </w:r>
          </w:p>
        </w:tc>
      </w:tr>
      <w:tr w:rsidR="009A16A7" w:rsidRPr="00A406E5" w14:paraId="41FEDDE5" w14:textId="77777777" w:rsidTr="009A16A7">
        <w:trPr>
          <w:trHeight w:val="440"/>
        </w:trPr>
        <w:tc>
          <w:tcPr>
            <w:tcW w:w="1588" w:type="dxa"/>
          </w:tcPr>
          <w:p w14:paraId="6D96B118"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Module:</w:t>
            </w:r>
          </w:p>
        </w:tc>
        <w:tc>
          <w:tcPr>
            <w:tcW w:w="8334" w:type="dxa"/>
            <w:gridSpan w:val="3"/>
          </w:tcPr>
          <w:p w14:paraId="4914E76B"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Human Capital Management</w:t>
            </w:r>
          </w:p>
        </w:tc>
      </w:tr>
      <w:tr w:rsidR="009A16A7" w:rsidRPr="00A406E5" w14:paraId="334E824A" w14:textId="77777777" w:rsidTr="009A16A7">
        <w:tc>
          <w:tcPr>
            <w:tcW w:w="1588" w:type="dxa"/>
          </w:tcPr>
          <w:p w14:paraId="699374DA"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Module code:</w:t>
            </w:r>
          </w:p>
        </w:tc>
        <w:tc>
          <w:tcPr>
            <w:tcW w:w="3955" w:type="dxa"/>
          </w:tcPr>
          <w:p w14:paraId="58F6C728"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LCMB7023</w:t>
            </w:r>
          </w:p>
        </w:tc>
        <w:tc>
          <w:tcPr>
            <w:tcW w:w="1998" w:type="dxa"/>
            <w:shd w:val="clear" w:color="auto" w:fill="D9D9D9" w:themeFill="background1" w:themeFillShade="D9"/>
          </w:tcPr>
          <w:p w14:paraId="0E431BF5" w14:textId="77777777" w:rsidR="009A16A7" w:rsidRPr="004D5E9B" w:rsidRDefault="009A16A7" w:rsidP="009A16A7">
            <w:pPr>
              <w:pStyle w:val="Heading2"/>
              <w:jc w:val="left"/>
              <w:rPr>
                <w:rFonts w:cs="Arial"/>
                <w:sz w:val="22"/>
                <w:szCs w:val="22"/>
              </w:rPr>
            </w:pPr>
            <w:r w:rsidRPr="00A406E5">
              <w:rPr>
                <w:rFonts w:cs="Arial"/>
                <w:sz w:val="22"/>
                <w:szCs w:val="22"/>
              </w:rPr>
              <w:t>Contribution to Overall Module Assessment (%):</w:t>
            </w:r>
          </w:p>
        </w:tc>
        <w:tc>
          <w:tcPr>
            <w:tcW w:w="2381" w:type="dxa"/>
          </w:tcPr>
          <w:p w14:paraId="3F9431FD"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50%</w:t>
            </w:r>
          </w:p>
        </w:tc>
      </w:tr>
      <w:tr w:rsidR="009A16A7" w:rsidRPr="00A406E5" w14:paraId="6D364D2F" w14:textId="77777777" w:rsidTr="009A16A7">
        <w:tc>
          <w:tcPr>
            <w:tcW w:w="1588" w:type="dxa"/>
          </w:tcPr>
          <w:p w14:paraId="65E92061"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Lecturer:</w:t>
            </w:r>
          </w:p>
        </w:tc>
        <w:tc>
          <w:tcPr>
            <w:tcW w:w="3955" w:type="dxa"/>
          </w:tcPr>
          <w:p w14:paraId="3B8C1EBA"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Ejike Udeogu (Birmingham)</w:t>
            </w:r>
          </w:p>
        </w:tc>
        <w:tc>
          <w:tcPr>
            <w:tcW w:w="1998" w:type="dxa"/>
            <w:shd w:val="clear" w:color="auto" w:fill="D9D9D9" w:themeFill="background1" w:themeFillShade="D9"/>
          </w:tcPr>
          <w:p w14:paraId="09839838"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Internal Verifier:</w:t>
            </w:r>
          </w:p>
        </w:tc>
        <w:tc>
          <w:tcPr>
            <w:tcW w:w="2381" w:type="dxa"/>
          </w:tcPr>
          <w:p w14:paraId="18735D3C" w14:textId="77777777" w:rsidR="009A16A7" w:rsidRDefault="009A16A7" w:rsidP="009A16A7">
            <w:pPr>
              <w:spacing w:before="120" w:after="120"/>
              <w:rPr>
                <w:rFonts w:ascii="Arial" w:hAnsi="Arial" w:cs="Arial"/>
                <w:b/>
                <w:sz w:val="22"/>
                <w:szCs w:val="22"/>
              </w:rPr>
            </w:pPr>
            <w:r>
              <w:rPr>
                <w:rFonts w:ascii="Arial" w:hAnsi="Arial" w:cs="Arial"/>
                <w:b/>
                <w:sz w:val="22"/>
                <w:szCs w:val="22"/>
              </w:rPr>
              <w:t xml:space="preserve">Vasilios Tavlaridis </w:t>
            </w:r>
          </w:p>
          <w:p w14:paraId="1CCC85D0"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Hoang Nguyen</w:t>
            </w:r>
          </w:p>
        </w:tc>
      </w:tr>
      <w:tr w:rsidR="009A16A7" w:rsidRPr="00A406E5" w14:paraId="7E6D3A4B" w14:textId="77777777" w:rsidTr="009A16A7">
        <w:tc>
          <w:tcPr>
            <w:tcW w:w="1588" w:type="dxa"/>
          </w:tcPr>
          <w:p w14:paraId="573BEEFF"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Assignment Title:</w:t>
            </w:r>
          </w:p>
        </w:tc>
        <w:tc>
          <w:tcPr>
            <w:tcW w:w="3955" w:type="dxa"/>
          </w:tcPr>
          <w:p w14:paraId="314C8E45" w14:textId="5F4DFD29" w:rsidR="009A16A7" w:rsidRDefault="009A16A7" w:rsidP="009A16A7">
            <w:pPr>
              <w:spacing w:before="120" w:after="120"/>
              <w:rPr>
                <w:rFonts w:ascii="Arial" w:hAnsi="Arial" w:cs="Arial"/>
                <w:b/>
                <w:sz w:val="22"/>
                <w:szCs w:val="22"/>
              </w:rPr>
            </w:pPr>
            <w:r>
              <w:rPr>
                <w:rFonts w:ascii="Arial" w:hAnsi="Arial" w:cs="Arial"/>
                <w:b/>
                <w:sz w:val="22"/>
                <w:szCs w:val="22"/>
              </w:rPr>
              <w:t xml:space="preserve">Assessment </w:t>
            </w:r>
            <w:r>
              <w:rPr>
                <w:rFonts w:ascii="Arial" w:hAnsi="Arial" w:cs="Arial"/>
                <w:b/>
                <w:sz w:val="22"/>
                <w:szCs w:val="22"/>
              </w:rPr>
              <w:t>component 1</w:t>
            </w:r>
            <w:r>
              <w:rPr>
                <w:rFonts w:ascii="Arial" w:hAnsi="Arial" w:cs="Arial"/>
                <w:b/>
                <w:sz w:val="22"/>
                <w:szCs w:val="22"/>
              </w:rPr>
              <w:t>:</w:t>
            </w:r>
          </w:p>
          <w:p w14:paraId="60FABA8A" w14:textId="77777777" w:rsidR="009A16A7" w:rsidRPr="00A406E5" w:rsidRDefault="009A16A7" w:rsidP="009A16A7">
            <w:pPr>
              <w:spacing w:before="120" w:after="120"/>
              <w:rPr>
                <w:rFonts w:ascii="Arial" w:hAnsi="Arial" w:cs="Arial"/>
                <w:b/>
                <w:sz w:val="22"/>
                <w:szCs w:val="22"/>
              </w:rPr>
            </w:pPr>
            <w:r w:rsidRPr="00FF5BC0">
              <w:rPr>
                <w:rFonts w:ascii="Arial" w:hAnsi="Arial" w:cs="Arial"/>
                <w:b/>
                <w:sz w:val="22"/>
                <w:szCs w:val="22"/>
              </w:rPr>
              <w:t>Individual report</w:t>
            </w:r>
          </w:p>
        </w:tc>
        <w:tc>
          <w:tcPr>
            <w:tcW w:w="1998" w:type="dxa"/>
          </w:tcPr>
          <w:p w14:paraId="0DD3394C"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Word count (or equivalent):</w:t>
            </w:r>
          </w:p>
        </w:tc>
        <w:tc>
          <w:tcPr>
            <w:tcW w:w="2381" w:type="dxa"/>
          </w:tcPr>
          <w:p w14:paraId="7B49C111" w14:textId="77777777" w:rsidR="009A16A7" w:rsidRDefault="009A16A7" w:rsidP="009A16A7">
            <w:pPr>
              <w:spacing w:before="120" w:after="120"/>
              <w:rPr>
                <w:rFonts w:ascii="Arial" w:hAnsi="Arial" w:cs="Arial"/>
                <w:b/>
                <w:sz w:val="22"/>
                <w:szCs w:val="22"/>
              </w:rPr>
            </w:pPr>
            <w:r>
              <w:rPr>
                <w:rFonts w:ascii="Arial" w:hAnsi="Arial" w:cs="Arial"/>
                <w:b/>
                <w:sz w:val="22"/>
                <w:szCs w:val="22"/>
              </w:rPr>
              <w:t>2,500 words</w:t>
            </w:r>
          </w:p>
          <w:p w14:paraId="5780ACAC" w14:textId="77777777" w:rsidR="009A16A7" w:rsidRPr="00A406E5" w:rsidRDefault="009A16A7" w:rsidP="009A16A7">
            <w:pPr>
              <w:spacing w:before="120" w:after="120"/>
              <w:rPr>
                <w:rFonts w:ascii="Arial" w:hAnsi="Arial" w:cs="Arial"/>
                <w:b/>
                <w:sz w:val="22"/>
                <w:szCs w:val="22"/>
              </w:rPr>
            </w:pPr>
            <w:r>
              <w:rPr>
                <w:rFonts w:ascii="Arial" w:hAnsi="Arial" w:cs="Arial"/>
                <w:b/>
                <w:sz w:val="22"/>
                <w:szCs w:val="22"/>
              </w:rPr>
              <w:t>(± 10%)</w:t>
            </w:r>
          </w:p>
        </w:tc>
      </w:tr>
      <w:tr w:rsidR="009A16A7" w:rsidRPr="00A406E5" w14:paraId="02F74CE8" w14:textId="77777777" w:rsidTr="009A16A7">
        <w:tc>
          <w:tcPr>
            <w:tcW w:w="1588" w:type="dxa"/>
          </w:tcPr>
          <w:p w14:paraId="3F623A18"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Submission deadline:</w:t>
            </w:r>
          </w:p>
        </w:tc>
        <w:tc>
          <w:tcPr>
            <w:tcW w:w="3955" w:type="dxa"/>
          </w:tcPr>
          <w:p w14:paraId="365B8575" w14:textId="54E56E03" w:rsidR="009A16A7" w:rsidRPr="00642235" w:rsidRDefault="009A16A7" w:rsidP="009A16A7">
            <w:pPr>
              <w:spacing w:before="120" w:after="120"/>
              <w:rPr>
                <w:rFonts w:ascii="Arial" w:hAnsi="Arial" w:cs="Arial"/>
                <w:b/>
                <w:color w:val="FF0000"/>
                <w:sz w:val="22"/>
                <w:szCs w:val="22"/>
              </w:rPr>
            </w:pPr>
            <w:r w:rsidRPr="009372F9">
              <w:rPr>
                <w:rFonts w:ascii="Arial" w:hAnsi="Arial" w:cs="Arial"/>
                <w:b/>
                <w:color w:val="000000" w:themeColor="text1"/>
                <w:sz w:val="22"/>
                <w:szCs w:val="22"/>
              </w:rPr>
              <w:t>Friday 17</w:t>
            </w:r>
            <w:r w:rsidRPr="009372F9">
              <w:rPr>
                <w:rFonts w:ascii="Arial" w:hAnsi="Arial" w:cs="Arial"/>
                <w:b/>
                <w:color w:val="000000" w:themeColor="text1"/>
                <w:sz w:val="22"/>
                <w:szCs w:val="22"/>
                <w:vertAlign w:val="superscript"/>
              </w:rPr>
              <w:t>th</w:t>
            </w:r>
            <w:r w:rsidRPr="009372F9">
              <w:rPr>
                <w:rFonts w:ascii="Arial" w:hAnsi="Arial" w:cs="Arial"/>
                <w:b/>
                <w:color w:val="000000" w:themeColor="text1"/>
                <w:sz w:val="22"/>
                <w:szCs w:val="22"/>
              </w:rPr>
              <w:t xml:space="preserve"> October 2025 by </w:t>
            </w:r>
            <w:r w:rsidR="002F3754">
              <w:rPr>
                <w:rFonts w:ascii="Arial" w:hAnsi="Arial" w:cs="Arial"/>
                <w:b/>
                <w:color w:val="000000" w:themeColor="text1"/>
                <w:sz w:val="22"/>
                <w:szCs w:val="22"/>
              </w:rPr>
              <w:t>2 pm</w:t>
            </w:r>
          </w:p>
        </w:tc>
        <w:tc>
          <w:tcPr>
            <w:tcW w:w="1998" w:type="dxa"/>
          </w:tcPr>
          <w:p w14:paraId="701BB211" w14:textId="77777777" w:rsidR="009A16A7" w:rsidRPr="00A406E5" w:rsidRDefault="009A16A7" w:rsidP="009A16A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718B2AD6" w14:textId="77777777" w:rsidR="009A16A7" w:rsidRPr="009B7DA5" w:rsidRDefault="009A16A7" w:rsidP="009A16A7">
            <w:pPr>
              <w:spacing w:before="120" w:after="120"/>
              <w:rPr>
                <w:rFonts w:ascii="Arial" w:hAnsi="Arial" w:cs="Arial"/>
                <w:b/>
                <w:color w:val="FF0000"/>
                <w:sz w:val="22"/>
                <w:szCs w:val="22"/>
              </w:rPr>
            </w:pPr>
            <w:r>
              <w:rPr>
                <w:rFonts w:ascii="Arial" w:hAnsi="Arial" w:cs="Arial"/>
                <w:b/>
                <w:sz w:val="22"/>
                <w:szCs w:val="22"/>
              </w:rPr>
              <w:t>14</w:t>
            </w:r>
            <w:r w:rsidRPr="009B7DA5">
              <w:rPr>
                <w:rFonts w:ascii="Arial" w:hAnsi="Arial" w:cs="Arial"/>
                <w:b/>
                <w:sz w:val="22"/>
                <w:szCs w:val="22"/>
                <w:vertAlign w:val="superscript"/>
              </w:rPr>
              <w:t>th</w:t>
            </w:r>
            <w:r>
              <w:rPr>
                <w:rFonts w:ascii="Arial" w:hAnsi="Arial" w:cs="Arial"/>
                <w:b/>
                <w:sz w:val="22"/>
                <w:szCs w:val="22"/>
              </w:rPr>
              <w:t xml:space="preserve"> November 2025</w:t>
            </w:r>
          </w:p>
        </w:tc>
      </w:tr>
    </w:tbl>
    <w:p w14:paraId="1F285565" w14:textId="77777777" w:rsidR="009A16A7" w:rsidRPr="00A406E5" w:rsidRDefault="009A16A7" w:rsidP="009A16A7">
      <w:pPr>
        <w:jc w:val="center"/>
        <w:rPr>
          <w:rFonts w:ascii="Arial" w:hAnsi="Arial" w:cs="Arial"/>
          <w:b/>
          <w:i/>
          <w:sz w:val="32"/>
        </w:rPr>
      </w:pPr>
    </w:p>
    <w:p w14:paraId="4F8A3E84" w14:textId="77777777" w:rsidR="009A16A7" w:rsidRDefault="009A16A7" w:rsidP="009A16A7"/>
    <w:p w14:paraId="16B1C097" w14:textId="77777777" w:rsidR="009A16A7" w:rsidRDefault="009A16A7">
      <w:pPr>
        <w:spacing w:after="160" w:line="278" w:lineRule="auto"/>
        <w:jc w:val="left"/>
      </w:pPr>
      <w:r>
        <w:br w:type="page"/>
      </w:r>
    </w:p>
    <w:sdt>
      <w:sdtPr>
        <w:rPr>
          <w:rFonts w:ascii="Times New Roman" w:eastAsiaTheme="minorEastAsia" w:hAnsi="Times New Roman" w:cstheme="minorBidi"/>
          <w:color w:val="auto"/>
          <w:kern w:val="2"/>
          <w:sz w:val="24"/>
          <w:szCs w:val="24"/>
          <w:lang w:eastAsia="zh-CN"/>
          <w14:ligatures w14:val="standardContextual"/>
        </w:rPr>
        <w:id w:val="288325500"/>
        <w:docPartObj>
          <w:docPartGallery w:val="Table of Contents"/>
          <w:docPartUnique/>
        </w:docPartObj>
      </w:sdtPr>
      <w:sdtEndPr>
        <w:rPr>
          <w:b/>
          <w:bCs/>
          <w:noProof/>
        </w:rPr>
      </w:sdtEndPr>
      <w:sdtContent>
        <w:p w14:paraId="6DA0E249" w14:textId="058D3EE0" w:rsidR="0068665A" w:rsidRPr="0068665A" w:rsidRDefault="0068665A" w:rsidP="0068665A">
          <w:pPr>
            <w:pStyle w:val="TOCHeading"/>
            <w:spacing w:before="0" w:after="240"/>
            <w:rPr>
              <w:b/>
              <w:bCs/>
              <w:color w:val="000000" w:themeColor="text1"/>
            </w:rPr>
          </w:pPr>
          <w:r w:rsidRPr="0068665A">
            <w:rPr>
              <w:b/>
              <w:bCs/>
              <w:color w:val="000000" w:themeColor="text1"/>
            </w:rPr>
            <w:t>Table of Contents</w:t>
          </w:r>
        </w:p>
        <w:p w14:paraId="424C0973" w14:textId="029E2BDD" w:rsidR="0068665A" w:rsidRDefault="0068665A">
          <w:pPr>
            <w:pStyle w:val="TOC1"/>
            <w:tabs>
              <w:tab w:val="right" w:leader="dot" w:pos="9350"/>
            </w:tabs>
            <w:rPr>
              <w:noProof/>
            </w:rPr>
          </w:pPr>
          <w:r>
            <w:fldChar w:fldCharType="begin"/>
          </w:r>
          <w:r>
            <w:instrText xml:space="preserve"> TOC \o "1-3" \h \z \u </w:instrText>
          </w:r>
          <w:r>
            <w:fldChar w:fldCharType="separate"/>
          </w:r>
          <w:hyperlink w:anchor="_Toc210589666" w:history="1">
            <w:r w:rsidRPr="007870BE">
              <w:rPr>
                <w:rStyle w:val="Hyperlink"/>
                <w:noProof/>
              </w:rPr>
              <w:t>1. Introduction</w:t>
            </w:r>
            <w:r>
              <w:rPr>
                <w:noProof/>
                <w:webHidden/>
              </w:rPr>
              <w:tab/>
            </w:r>
            <w:r>
              <w:rPr>
                <w:noProof/>
                <w:webHidden/>
              </w:rPr>
              <w:fldChar w:fldCharType="begin"/>
            </w:r>
            <w:r>
              <w:rPr>
                <w:noProof/>
                <w:webHidden/>
              </w:rPr>
              <w:instrText xml:space="preserve"> PAGEREF _Toc210589666 \h </w:instrText>
            </w:r>
            <w:r>
              <w:rPr>
                <w:noProof/>
                <w:webHidden/>
              </w:rPr>
            </w:r>
            <w:r>
              <w:rPr>
                <w:noProof/>
                <w:webHidden/>
              </w:rPr>
              <w:fldChar w:fldCharType="separate"/>
            </w:r>
            <w:r>
              <w:rPr>
                <w:noProof/>
                <w:webHidden/>
              </w:rPr>
              <w:t>1</w:t>
            </w:r>
            <w:r>
              <w:rPr>
                <w:noProof/>
                <w:webHidden/>
              </w:rPr>
              <w:fldChar w:fldCharType="end"/>
            </w:r>
          </w:hyperlink>
        </w:p>
        <w:p w14:paraId="7A135AB0" w14:textId="3ADA6B03" w:rsidR="0068665A" w:rsidRDefault="00000000">
          <w:pPr>
            <w:pStyle w:val="TOC1"/>
            <w:tabs>
              <w:tab w:val="right" w:leader="dot" w:pos="9350"/>
            </w:tabs>
            <w:rPr>
              <w:noProof/>
            </w:rPr>
          </w:pPr>
          <w:hyperlink w:anchor="_Toc210589667" w:history="1">
            <w:r w:rsidR="0068665A" w:rsidRPr="007870BE">
              <w:rPr>
                <w:rStyle w:val="Hyperlink"/>
                <w:noProof/>
                <w:lang w:val="en-GB"/>
              </w:rPr>
              <w:t>2. Technological Advancements and Their Impact on Labor Markets</w:t>
            </w:r>
            <w:r w:rsidR="0068665A">
              <w:rPr>
                <w:noProof/>
                <w:webHidden/>
              </w:rPr>
              <w:tab/>
            </w:r>
            <w:r w:rsidR="0068665A">
              <w:rPr>
                <w:noProof/>
                <w:webHidden/>
              </w:rPr>
              <w:fldChar w:fldCharType="begin"/>
            </w:r>
            <w:r w:rsidR="0068665A">
              <w:rPr>
                <w:noProof/>
                <w:webHidden/>
              </w:rPr>
              <w:instrText xml:space="preserve"> PAGEREF _Toc210589667 \h </w:instrText>
            </w:r>
            <w:r w:rsidR="0068665A">
              <w:rPr>
                <w:noProof/>
                <w:webHidden/>
              </w:rPr>
            </w:r>
            <w:r w:rsidR="0068665A">
              <w:rPr>
                <w:noProof/>
                <w:webHidden/>
              </w:rPr>
              <w:fldChar w:fldCharType="separate"/>
            </w:r>
            <w:r w:rsidR="0068665A">
              <w:rPr>
                <w:noProof/>
                <w:webHidden/>
              </w:rPr>
              <w:t>1</w:t>
            </w:r>
            <w:r w:rsidR="0068665A">
              <w:rPr>
                <w:noProof/>
                <w:webHidden/>
              </w:rPr>
              <w:fldChar w:fldCharType="end"/>
            </w:r>
          </w:hyperlink>
        </w:p>
        <w:p w14:paraId="538B10F1" w14:textId="4C29955A" w:rsidR="0068665A" w:rsidRDefault="00000000">
          <w:pPr>
            <w:pStyle w:val="TOC1"/>
            <w:tabs>
              <w:tab w:val="right" w:leader="dot" w:pos="9350"/>
            </w:tabs>
            <w:rPr>
              <w:noProof/>
            </w:rPr>
          </w:pPr>
          <w:hyperlink w:anchor="_Toc210589668" w:history="1">
            <w:r w:rsidR="0068665A" w:rsidRPr="007870BE">
              <w:rPr>
                <w:rStyle w:val="Hyperlink"/>
                <w:noProof/>
                <w:lang w:val="en-GB"/>
              </w:rPr>
              <w:t>3. Demographic and Geopolitical Factors Shaping Employment Markets</w:t>
            </w:r>
            <w:r w:rsidR="0068665A">
              <w:rPr>
                <w:noProof/>
                <w:webHidden/>
              </w:rPr>
              <w:tab/>
            </w:r>
            <w:r w:rsidR="0068665A">
              <w:rPr>
                <w:noProof/>
                <w:webHidden/>
              </w:rPr>
              <w:fldChar w:fldCharType="begin"/>
            </w:r>
            <w:r w:rsidR="0068665A">
              <w:rPr>
                <w:noProof/>
                <w:webHidden/>
              </w:rPr>
              <w:instrText xml:space="preserve"> PAGEREF _Toc210589668 \h </w:instrText>
            </w:r>
            <w:r w:rsidR="0068665A">
              <w:rPr>
                <w:noProof/>
                <w:webHidden/>
              </w:rPr>
            </w:r>
            <w:r w:rsidR="0068665A">
              <w:rPr>
                <w:noProof/>
                <w:webHidden/>
              </w:rPr>
              <w:fldChar w:fldCharType="separate"/>
            </w:r>
            <w:r w:rsidR="0068665A">
              <w:rPr>
                <w:noProof/>
                <w:webHidden/>
              </w:rPr>
              <w:t>3</w:t>
            </w:r>
            <w:r w:rsidR="0068665A">
              <w:rPr>
                <w:noProof/>
                <w:webHidden/>
              </w:rPr>
              <w:fldChar w:fldCharType="end"/>
            </w:r>
          </w:hyperlink>
        </w:p>
        <w:p w14:paraId="1915C2E6" w14:textId="2E29B2E2" w:rsidR="0068665A" w:rsidRDefault="00000000">
          <w:pPr>
            <w:pStyle w:val="TOC1"/>
            <w:tabs>
              <w:tab w:val="right" w:leader="dot" w:pos="9350"/>
            </w:tabs>
            <w:rPr>
              <w:noProof/>
            </w:rPr>
          </w:pPr>
          <w:hyperlink w:anchor="_Toc210589669" w:history="1">
            <w:r w:rsidR="0068665A" w:rsidRPr="007870BE">
              <w:rPr>
                <w:rStyle w:val="Hyperlink"/>
                <w:noProof/>
                <w:lang w:val="en-GB"/>
              </w:rPr>
              <w:t>4. Addressing Skills Gaps and Talent Shortages in Critical Sectors</w:t>
            </w:r>
            <w:r w:rsidR="0068665A">
              <w:rPr>
                <w:noProof/>
                <w:webHidden/>
              </w:rPr>
              <w:tab/>
            </w:r>
            <w:r w:rsidR="0068665A">
              <w:rPr>
                <w:noProof/>
                <w:webHidden/>
              </w:rPr>
              <w:fldChar w:fldCharType="begin"/>
            </w:r>
            <w:r w:rsidR="0068665A">
              <w:rPr>
                <w:noProof/>
                <w:webHidden/>
              </w:rPr>
              <w:instrText xml:space="preserve"> PAGEREF _Toc210589669 \h </w:instrText>
            </w:r>
            <w:r w:rsidR="0068665A">
              <w:rPr>
                <w:noProof/>
                <w:webHidden/>
              </w:rPr>
            </w:r>
            <w:r w:rsidR="0068665A">
              <w:rPr>
                <w:noProof/>
                <w:webHidden/>
              </w:rPr>
              <w:fldChar w:fldCharType="separate"/>
            </w:r>
            <w:r w:rsidR="0068665A">
              <w:rPr>
                <w:noProof/>
                <w:webHidden/>
              </w:rPr>
              <w:t>5</w:t>
            </w:r>
            <w:r w:rsidR="0068665A">
              <w:rPr>
                <w:noProof/>
                <w:webHidden/>
              </w:rPr>
              <w:fldChar w:fldCharType="end"/>
            </w:r>
          </w:hyperlink>
        </w:p>
        <w:p w14:paraId="72E2A0C2" w14:textId="7CF3EAA8" w:rsidR="0068665A" w:rsidRDefault="00000000">
          <w:pPr>
            <w:pStyle w:val="TOC1"/>
            <w:tabs>
              <w:tab w:val="right" w:leader="dot" w:pos="9350"/>
            </w:tabs>
            <w:rPr>
              <w:noProof/>
            </w:rPr>
          </w:pPr>
          <w:hyperlink w:anchor="_Toc210589670" w:history="1">
            <w:r w:rsidR="0068665A" w:rsidRPr="007870BE">
              <w:rPr>
                <w:rStyle w:val="Hyperlink"/>
                <w:noProof/>
                <w:lang w:val="en-GB"/>
              </w:rPr>
              <w:t>5. Reflective Report on My Preparedness for the Labor Market</w:t>
            </w:r>
            <w:r w:rsidR="0068665A">
              <w:rPr>
                <w:noProof/>
                <w:webHidden/>
              </w:rPr>
              <w:tab/>
            </w:r>
            <w:r w:rsidR="0068665A">
              <w:rPr>
                <w:noProof/>
                <w:webHidden/>
              </w:rPr>
              <w:fldChar w:fldCharType="begin"/>
            </w:r>
            <w:r w:rsidR="0068665A">
              <w:rPr>
                <w:noProof/>
                <w:webHidden/>
              </w:rPr>
              <w:instrText xml:space="preserve"> PAGEREF _Toc210589670 \h </w:instrText>
            </w:r>
            <w:r w:rsidR="0068665A">
              <w:rPr>
                <w:noProof/>
                <w:webHidden/>
              </w:rPr>
            </w:r>
            <w:r w:rsidR="0068665A">
              <w:rPr>
                <w:noProof/>
                <w:webHidden/>
              </w:rPr>
              <w:fldChar w:fldCharType="separate"/>
            </w:r>
            <w:r w:rsidR="0068665A">
              <w:rPr>
                <w:noProof/>
                <w:webHidden/>
              </w:rPr>
              <w:t>7</w:t>
            </w:r>
            <w:r w:rsidR="0068665A">
              <w:rPr>
                <w:noProof/>
                <w:webHidden/>
              </w:rPr>
              <w:fldChar w:fldCharType="end"/>
            </w:r>
          </w:hyperlink>
        </w:p>
        <w:p w14:paraId="7B3E1CF2" w14:textId="7E0186B2" w:rsidR="0068665A" w:rsidRDefault="00000000">
          <w:pPr>
            <w:pStyle w:val="TOC1"/>
            <w:tabs>
              <w:tab w:val="right" w:leader="dot" w:pos="9350"/>
            </w:tabs>
            <w:rPr>
              <w:noProof/>
            </w:rPr>
          </w:pPr>
          <w:hyperlink w:anchor="_Toc210589671" w:history="1">
            <w:r w:rsidR="0068665A" w:rsidRPr="007870BE">
              <w:rPr>
                <w:rStyle w:val="Hyperlink"/>
                <w:noProof/>
                <w:lang w:val="en-GB"/>
              </w:rPr>
              <w:t>6. Conclusion</w:t>
            </w:r>
            <w:r w:rsidR="0068665A">
              <w:rPr>
                <w:noProof/>
                <w:webHidden/>
              </w:rPr>
              <w:tab/>
            </w:r>
            <w:r w:rsidR="0068665A">
              <w:rPr>
                <w:noProof/>
                <w:webHidden/>
              </w:rPr>
              <w:fldChar w:fldCharType="begin"/>
            </w:r>
            <w:r w:rsidR="0068665A">
              <w:rPr>
                <w:noProof/>
                <w:webHidden/>
              </w:rPr>
              <w:instrText xml:space="preserve"> PAGEREF _Toc210589671 \h </w:instrText>
            </w:r>
            <w:r w:rsidR="0068665A">
              <w:rPr>
                <w:noProof/>
                <w:webHidden/>
              </w:rPr>
            </w:r>
            <w:r w:rsidR="0068665A">
              <w:rPr>
                <w:noProof/>
                <w:webHidden/>
              </w:rPr>
              <w:fldChar w:fldCharType="separate"/>
            </w:r>
            <w:r w:rsidR="0068665A">
              <w:rPr>
                <w:noProof/>
                <w:webHidden/>
              </w:rPr>
              <w:t>8</w:t>
            </w:r>
            <w:r w:rsidR="0068665A">
              <w:rPr>
                <w:noProof/>
                <w:webHidden/>
              </w:rPr>
              <w:fldChar w:fldCharType="end"/>
            </w:r>
          </w:hyperlink>
        </w:p>
        <w:p w14:paraId="18E97477" w14:textId="3D77653D" w:rsidR="0068665A" w:rsidRDefault="00000000">
          <w:pPr>
            <w:pStyle w:val="TOC1"/>
            <w:tabs>
              <w:tab w:val="right" w:leader="dot" w:pos="9350"/>
            </w:tabs>
            <w:rPr>
              <w:noProof/>
            </w:rPr>
          </w:pPr>
          <w:hyperlink w:anchor="_Toc210589672" w:history="1">
            <w:r w:rsidR="0068665A" w:rsidRPr="007870BE">
              <w:rPr>
                <w:rStyle w:val="Hyperlink"/>
                <w:noProof/>
              </w:rPr>
              <w:t>Bibliography</w:t>
            </w:r>
            <w:r w:rsidR="0068665A">
              <w:rPr>
                <w:noProof/>
                <w:webHidden/>
              </w:rPr>
              <w:tab/>
            </w:r>
            <w:r w:rsidR="0068665A">
              <w:rPr>
                <w:noProof/>
                <w:webHidden/>
              </w:rPr>
              <w:fldChar w:fldCharType="begin"/>
            </w:r>
            <w:r w:rsidR="0068665A">
              <w:rPr>
                <w:noProof/>
                <w:webHidden/>
              </w:rPr>
              <w:instrText xml:space="preserve"> PAGEREF _Toc210589672 \h </w:instrText>
            </w:r>
            <w:r w:rsidR="0068665A">
              <w:rPr>
                <w:noProof/>
                <w:webHidden/>
              </w:rPr>
            </w:r>
            <w:r w:rsidR="0068665A">
              <w:rPr>
                <w:noProof/>
                <w:webHidden/>
              </w:rPr>
              <w:fldChar w:fldCharType="separate"/>
            </w:r>
            <w:r w:rsidR="0068665A">
              <w:rPr>
                <w:noProof/>
                <w:webHidden/>
              </w:rPr>
              <w:t>9</w:t>
            </w:r>
            <w:r w:rsidR="0068665A">
              <w:rPr>
                <w:noProof/>
                <w:webHidden/>
              </w:rPr>
              <w:fldChar w:fldCharType="end"/>
            </w:r>
          </w:hyperlink>
        </w:p>
        <w:p w14:paraId="5015FAD6" w14:textId="287397C6" w:rsidR="0068665A" w:rsidRDefault="0068665A">
          <w:r>
            <w:rPr>
              <w:b/>
              <w:bCs/>
              <w:noProof/>
            </w:rPr>
            <w:fldChar w:fldCharType="end"/>
          </w:r>
        </w:p>
      </w:sdtContent>
    </w:sdt>
    <w:p w14:paraId="6E102135" w14:textId="77777777" w:rsidR="008072E2" w:rsidRDefault="008072E2" w:rsidP="008072E2"/>
    <w:p w14:paraId="7B7BFECE" w14:textId="77777777" w:rsidR="008072E2" w:rsidRDefault="008072E2">
      <w:pPr>
        <w:spacing w:after="160" w:line="278" w:lineRule="auto"/>
        <w:jc w:val="left"/>
        <w:rPr>
          <w:b/>
          <w:bCs/>
          <w:sz w:val="32"/>
          <w:szCs w:val="32"/>
        </w:rPr>
      </w:pPr>
      <w:r>
        <w:rPr>
          <w:b/>
          <w:bCs/>
          <w:sz w:val="32"/>
          <w:szCs w:val="32"/>
        </w:rPr>
        <w:br w:type="page"/>
      </w:r>
    </w:p>
    <w:p w14:paraId="41835449" w14:textId="77777777" w:rsidR="008072E2" w:rsidRDefault="008072E2" w:rsidP="007B3F8C">
      <w:pPr>
        <w:jc w:val="center"/>
        <w:rPr>
          <w:b/>
          <w:bCs/>
          <w:sz w:val="32"/>
          <w:szCs w:val="32"/>
        </w:rPr>
        <w:sectPr w:rsidR="008072E2" w:rsidSect="008072E2">
          <w:footerReference w:type="default" r:id="rId10"/>
          <w:pgSz w:w="12240" w:h="15840"/>
          <w:pgMar w:top="1440" w:right="1440" w:bottom="1440" w:left="1440" w:header="720" w:footer="720" w:gutter="0"/>
          <w:pgNumType w:fmt="lowerRoman"/>
          <w:cols w:space="720"/>
          <w:docGrid w:linePitch="360"/>
        </w:sectPr>
      </w:pPr>
    </w:p>
    <w:p w14:paraId="787B957F" w14:textId="7BD6D37B" w:rsidR="00E5051B" w:rsidRPr="007B3F8C" w:rsidRDefault="007B3F8C" w:rsidP="007B3F8C">
      <w:pPr>
        <w:jc w:val="center"/>
        <w:rPr>
          <w:b/>
          <w:bCs/>
          <w:sz w:val="32"/>
          <w:szCs w:val="32"/>
        </w:rPr>
      </w:pPr>
      <w:r w:rsidRPr="007B3F8C">
        <w:rPr>
          <w:b/>
          <w:bCs/>
          <w:sz w:val="32"/>
          <w:szCs w:val="32"/>
        </w:rPr>
        <w:lastRenderedPageBreak/>
        <w:t xml:space="preserve">The influence of national and international </w:t>
      </w:r>
      <w:r w:rsidRPr="007B3F8C">
        <w:rPr>
          <w:b/>
          <w:bCs/>
          <w:sz w:val="32"/>
          <w:szCs w:val="32"/>
          <w:lang w:val="en-GB"/>
        </w:rPr>
        <w:t>labour</w:t>
      </w:r>
      <w:r w:rsidRPr="007B3F8C">
        <w:rPr>
          <w:b/>
          <w:bCs/>
          <w:sz w:val="32"/>
          <w:szCs w:val="32"/>
        </w:rPr>
        <w:t xml:space="preserve"> markets on HRM and IHRM strategies</w:t>
      </w:r>
    </w:p>
    <w:p w14:paraId="7228FD77" w14:textId="77777777" w:rsidR="007B3F8C" w:rsidRDefault="007B3F8C"/>
    <w:p w14:paraId="1BFBC0DF" w14:textId="396982CC" w:rsidR="007B3F8C" w:rsidRDefault="007B3F8C" w:rsidP="007B3F8C">
      <w:pPr>
        <w:pStyle w:val="Heading1"/>
      </w:pPr>
      <w:bookmarkStart w:id="0" w:name="_Toc210589666"/>
      <w:r>
        <w:t>1. Introduction</w:t>
      </w:r>
      <w:bookmarkEnd w:id="0"/>
    </w:p>
    <w:p w14:paraId="4C4215A8" w14:textId="7DD0693A" w:rsidR="007B3F8C" w:rsidRDefault="007B3F8C" w:rsidP="007B3F8C">
      <w:r w:rsidRPr="007B3F8C">
        <w:t xml:space="preserve">Human Resource Management (HRM) and International Human Resource Management (IHRM) play pivotal roles in navigating the complexities of national and international labour markets. HRM focuses on managing people within an organization to maximize performance, while IHRM extends this to managing employees across multiple countries, addressing global workforce challenges. In today’s rapidly evolving landscape, driven by technological advancements, demographic shifts, and geopolitical changes, the strategies employed by HRM and IHRM must adapt to meet the dynamic needs of a diverse and geographically dispersed workforce. The national </w:t>
      </w:r>
      <w:r w:rsidRPr="008E4357">
        <w:rPr>
          <w:lang w:val="en-GB"/>
        </w:rPr>
        <w:t>labour</w:t>
      </w:r>
      <w:r w:rsidRPr="007B3F8C">
        <w:t xml:space="preserve"> market </w:t>
      </w:r>
      <w:r w:rsidR="00F402E6">
        <w:t>influences HRM practices, while the international context adds layers of complexity, including</w:t>
      </w:r>
      <w:r w:rsidRPr="007B3F8C">
        <w:t xml:space="preserve"> cultural differences, legal frameworks, and cross-border talent mobility. This report critically examines the influence of technological changes, demographic and geopolitical factors, and skills shortages on HRM and IHRM strategies. Additionally, it includes a reflective analysis of my preparedness to enter the global labour market, focusing on my strengths and areas for improvement.</w:t>
      </w:r>
    </w:p>
    <w:p w14:paraId="6B5EB099" w14:textId="77777777" w:rsidR="008E4357" w:rsidRDefault="008E4357" w:rsidP="007B3F8C"/>
    <w:p w14:paraId="5DA09635" w14:textId="6756B78C" w:rsidR="008E4357" w:rsidRPr="008E4357" w:rsidRDefault="008E4357" w:rsidP="008E4357">
      <w:pPr>
        <w:pStyle w:val="Heading1"/>
        <w:rPr>
          <w:lang w:val="en-GB"/>
        </w:rPr>
      </w:pPr>
      <w:bookmarkStart w:id="1" w:name="_Toc210589667"/>
      <w:r>
        <w:rPr>
          <w:lang w:val="en-GB"/>
        </w:rPr>
        <w:t xml:space="preserve">2. </w:t>
      </w:r>
      <w:r w:rsidRPr="008E4357">
        <w:rPr>
          <w:lang w:val="en-GB"/>
        </w:rPr>
        <w:t>Technological Advancements and Their Impact on Labor Markets</w:t>
      </w:r>
      <w:bookmarkEnd w:id="1"/>
    </w:p>
    <w:p w14:paraId="6A212226" w14:textId="6E11A261" w:rsidR="008E4357" w:rsidRPr="008E4357" w:rsidRDefault="008E4357" w:rsidP="008E4357">
      <w:pPr>
        <w:rPr>
          <w:lang w:val="en-GB"/>
        </w:rPr>
      </w:pPr>
      <w:r w:rsidRPr="008E4357">
        <w:rPr>
          <w:lang w:val="en-GB"/>
        </w:rPr>
        <w:t xml:space="preserve">Technological advancements, particularly in AI, automation, and digital platforms, have dramatically reshaped global labour markets. These innovations are redefining job roles, skills, and the way organizations approach workforce management. AI is automating routine tasks, making data-driven decisions, and enhancing productivity across sectors. Automation, particularly in manufacturing and logistics, has increased efficiency but also raised concerns about job displacement. Meanwhile, digital platforms, such as those used for freelancing or remote work, have transformed </w:t>
      </w:r>
      <w:r w:rsidR="00F402E6">
        <w:rPr>
          <w:lang w:val="en-GB"/>
        </w:rPr>
        <w:t>the distribution of work, enabled a global workforce</w:t>
      </w:r>
      <w:r w:rsidR="00740DD6">
        <w:rPr>
          <w:lang w:val="en-GB"/>
        </w:rPr>
        <w:t>,</w:t>
      </w:r>
      <w:r w:rsidR="00F402E6">
        <w:rPr>
          <w:lang w:val="en-GB"/>
        </w:rPr>
        <w:t xml:space="preserve"> and created new opportunities, while</w:t>
      </w:r>
      <w:r w:rsidRPr="008E4357">
        <w:rPr>
          <w:lang w:val="en-GB"/>
        </w:rPr>
        <w:t xml:space="preserve"> also intensifying competition.</w:t>
      </w:r>
    </w:p>
    <w:p w14:paraId="14280138" w14:textId="77777777" w:rsidR="008E4357" w:rsidRPr="008E4357" w:rsidRDefault="008E4357" w:rsidP="008E4357">
      <w:pPr>
        <w:rPr>
          <w:lang w:val="en-GB"/>
        </w:rPr>
      </w:pPr>
    </w:p>
    <w:p w14:paraId="5DC38D05" w14:textId="77777777" w:rsidR="008E4357" w:rsidRPr="008E4357" w:rsidRDefault="008E4357" w:rsidP="008E4357">
      <w:pPr>
        <w:rPr>
          <w:lang w:val="en-GB"/>
        </w:rPr>
      </w:pPr>
      <w:r w:rsidRPr="008E4357">
        <w:rPr>
          <w:lang w:val="en-GB"/>
        </w:rPr>
        <w:lastRenderedPageBreak/>
        <w:t>The impact of these advancements on HRM and IHRM strategies is profound. In HRM, organizations must rethink their recruitment, training, and employee engagement strategies to address both the opportunities and challenges posed by automation and AI. For example, HR professionals are increasingly focusing on reskilling and upskilling employees to equip them with the digital and cognitive skills needed in an AI-driven environment. In IHRM, the global nature of digital platforms requires a nuanced understanding of cross-cultural and legal considerations when managing a dispersed workforce. These platforms necessitate flexible HR policies that can accommodate diverse work styles and geographic disparities while fostering collaboration and inclusivity.</w:t>
      </w:r>
    </w:p>
    <w:p w14:paraId="3205E431" w14:textId="77777777" w:rsidR="008E4357" w:rsidRPr="008E4357" w:rsidRDefault="008E4357" w:rsidP="008E4357">
      <w:pPr>
        <w:rPr>
          <w:lang w:val="en-GB"/>
        </w:rPr>
      </w:pPr>
    </w:p>
    <w:p w14:paraId="270FEA71" w14:textId="6D3D06AD" w:rsidR="008E4357" w:rsidRPr="008E4357" w:rsidRDefault="008E4357" w:rsidP="008E4357">
      <w:pPr>
        <w:rPr>
          <w:lang w:val="en-GB"/>
        </w:rPr>
      </w:pPr>
      <w:r w:rsidRPr="008E4357">
        <w:rPr>
          <w:lang w:val="en-GB"/>
        </w:rPr>
        <w:t xml:space="preserve">The rise of AI and automation also calls for a shift in performance management strategies. Instead of traditional metrics, HRM and IHRM must adopt new ways to measure productivity and employee contribution, considering the potential for machines to perform tasks that </w:t>
      </w:r>
      <w:r w:rsidR="00F402E6">
        <w:rPr>
          <w:lang w:val="en-GB"/>
        </w:rPr>
        <w:t>humans previously did</w:t>
      </w:r>
      <w:r w:rsidRPr="008E4357">
        <w:rPr>
          <w:lang w:val="en-GB"/>
        </w:rPr>
        <w:t xml:space="preserve">. AI-powered tools are being </w:t>
      </w:r>
      <w:r w:rsidR="00F402E6">
        <w:rPr>
          <w:lang w:val="en-GB"/>
        </w:rPr>
        <w:t>utilized to enhance talent acquisition, improve employee development programs, and streamline administrative tasks, thereby enabling</w:t>
      </w:r>
      <w:r w:rsidRPr="008E4357">
        <w:rPr>
          <w:lang w:val="en-GB"/>
        </w:rPr>
        <w:t xml:space="preserve"> HR professionals to focus on more strategic initiatives.</w:t>
      </w:r>
    </w:p>
    <w:p w14:paraId="28A1C532" w14:textId="77777777" w:rsidR="008E4357" w:rsidRPr="008E4357" w:rsidRDefault="008E4357" w:rsidP="008E4357">
      <w:pPr>
        <w:rPr>
          <w:lang w:val="en-GB"/>
        </w:rPr>
      </w:pPr>
    </w:p>
    <w:p w14:paraId="6116E854" w14:textId="68A0F42E" w:rsidR="008E4357" w:rsidRPr="008E4357" w:rsidRDefault="008E4357" w:rsidP="008E4357">
      <w:pPr>
        <w:rPr>
          <w:lang w:val="en-GB"/>
        </w:rPr>
      </w:pPr>
      <w:r w:rsidRPr="008E4357">
        <w:rPr>
          <w:lang w:val="en-GB"/>
        </w:rPr>
        <w:t xml:space="preserve">A case study that exemplifies the impact of technology on HRM is the introduction of AI-based recruitment tools by companies like Unilever. Unilever has implemented AI and machine learning tools to assess applicants' potential through video interviews and psychometric testing, </w:t>
      </w:r>
      <w:r w:rsidR="00F402E6">
        <w:rPr>
          <w:lang w:val="en-GB"/>
        </w:rPr>
        <w:t>thereby eliminating bias and streamlining</w:t>
      </w:r>
      <w:r w:rsidRPr="008E4357">
        <w:rPr>
          <w:lang w:val="en-GB"/>
        </w:rPr>
        <w:t xml:space="preserve"> the hiring process. Similarly, automation in companies like Amazon has led to the creation of a highly efficient logistics system</w:t>
      </w:r>
      <w:r w:rsidR="00F402E6">
        <w:rPr>
          <w:lang w:val="en-GB"/>
        </w:rPr>
        <w:t>,</w:t>
      </w:r>
      <w:r w:rsidRPr="008E4357">
        <w:rPr>
          <w:lang w:val="en-GB"/>
        </w:rPr>
        <w:t xml:space="preserve"> but has also spurred debates on the working conditions of warehouse employees </w:t>
      </w:r>
      <w:sdt>
        <w:sdtPr>
          <w:rPr>
            <w:lang w:val="en-GB"/>
          </w:rPr>
          <w:id w:val="2037922428"/>
          <w:citation/>
        </w:sdtPr>
        <w:sdtContent>
          <w:r w:rsidR="006829EB">
            <w:rPr>
              <w:lang w:val="en-GB"/>
            </w:rPr>
            <w:fldChar w:fldCharType="begin"/>
          </w:r>
          <w:r w:rsidR="006829EB">
            <w:instrText xml:space="preserve"> CITATION Bas25 \l 1033 </w:instrText>
          </w:r>
          <w:r w:rsidR="006829EB">
            <w:rPr>
              <w:lang w:val="en-GB"/>
            </w:rPr>
            <w:fldChar w:fldCharType="separate"/>
          </w:r>
          <w:r w:rsidR="006829EB" w:rsidRPr="006829EB">
            <w:rPr>
              <w:noProof/>
            </w:rPr>
            <w:t>(Bastida, et al., 2025)</w:t>
          </w:r>
          <w:r w:rsidR="006829EB">
            <w:rPr>
              <w:lang w:val="en-GB"/>
            </w:rPr>
            <w:fldChar w:fldCharType="end"/>
          </w:r>
        </w:sdtContent>
      </w:sdt>
      <w:r w:rsidRPr="008E4357">
        <w:rPr>
          <w:lang w:val="en-GB"/>
        </w:rPr>
        <w:t>.</w:t>
      </w:r>
    </w:p>
    <w:p w14:paraId="46DBBE33" w14:textId="77777777" w:rsidR="008E4357" w:rsidRPr="008E4357" w:rsidRDefault="008E4357" w:rsidP="008E4357">
      <w:pPr>
        <w:rPr>
          <w:lang w:val="en-GB"/>
        </w:rPr>
      </w:pPr>
    </w:p>
    <w:p w14:paraId="4EB47C1D" w14:textId="27A49E1D" w:rsidR="008E4357" w:rsidRDefault="008E4357" w:rsidP="008E4357">
      <w:pPr>
        <w:rPr>
          <w:lang w:val="en-GB"/>
        </w:rPr>
      </w:pPr>
      <w:r w:rsidRPr="008E4357">
        <w:rPr>
          <w:lang w:val="en-GB"/>
        </w:rPr>
        <w:t xml:space="preserve">Another significant </w:t>
      </w:r>
      <w:r w:rsidR="00F402E6">
        <w:rPr>
          <w:lang w:val="en-GB"/>
        </w:rPr>
        <w:t>example is IBM, which has adopted AI and automation to manage</w:t>
      </w:r>
      <w:r w:rsidRPr="008E4357">
        <w:rPr>
          <w:lang w:val="en-GB"/>
        </w:rPr>
        <w:t xml:space="preserve"> its global workforce. IBM has deployed AI tools to assist with employee career development, matching employees to roles based on their skills, preferences, and career aspirations, which has increased employee engagement and retention </w:t>
      </w:r>
      <w:sdt>
        <w:sdtPr>
          <w:rPr>
            <w:lang w:val="en-GB"/>
          </w:rPr>
          <w:id w:val="716865927"/>
          <w:citation/>
        </w:sdtPr>
        <w:sdtContent>
          <w:r w:rsidR="00DC2C15">
            <w:rPr>
              <w:lang w:val="en-GB"/>
            </w:rPr>
            <w:fldChar w:fldCharType="begin"/>
          </w:r>
          <w:r w:rsidR="00DC2C15">
            <w:instrText xml:space="preserve"> CITATION Bry14 \l 1033 </w:instrText>
          </w:r>
          <w:r w:rsidR="00DC2C15">
            <w:rPr>
              <w:lang w:val="en-GB"/>
            </w:rPr>
            <w:fldChar w:fldCharType="separate"/>
          </w:r>
          <w:r w:rsidR="00DC2C15" w:rsidRPr="00DC2C15">
            <w:rPr>
              <w:noProof/>
            </w:rPr>
            <w:t>(Brynjolfsson &amp; McAfee, 2014)</w:t>
          </w:r>
          <w:r w:rsidR="00DC2C15">
            <w:rPr>
              <w:lang w:val="en-GB"/>
            </w:rPr>
            <w:fldChar w:fldCharType="end"/>
          </w:r>
        </w:sdtContent>
      </w:sdt>
      <w:r w:rsidRPr="008E4357">
        <w:rPr>
          <w:lang w:val="en-GB"/>
        </w:rPr>
        <w:t>.</w:t>
      </w:r>
    </w:p>
    <w:p w14:paraId="18C05D45" w14:textId="77777777" w:rsidR="008E4357" w:rsidRDefault="008E4357" w:rsidP="008E4357">
      <w:pPr>
        <w:rPr>
          <w:lang w:val="en-GB"/>
        </w:rPr>
      </w:pPr>
    </w:p>
    <w:p w14:paraId="07636A89" w14:textId="77777777" w:rsidR="008E4357" w:rsidRDefault="008E4357" w:rsidP="008E4357">
      <w:pPr>
        <w:rPr>
          <w:lang w:val="en-GB"/>
        </w:rPr>
      </w:pPr>
    </w:p>
    <w:p w14:paraId="2B6F0041" w14:textId="77777777" w:rsidR="008E4357" w:rsidRDefault="008E4357" w:rsidP="008E4357">
      <w:pPr>
        <w:rPr>
          <w:lang w:val="en-GB"/>
        </w:rPr>
      </w:pPr>
    </w:p>
    <w:p w14:paraId="55270563" w14:textId="70FB2508" w:rsidR="008E4357" w:rsidRDefault="000F0276" w:rsidP="000F0276">
      <w:pPr>
        <w:pStyle w:val="Caption"/>
        <w:rPr>
          <w:lang w:val="en-GB"/>
        </w:rPr>
      </w:pPr>
      <w:r>
        <w:lastRenderedPageBreak/>
        <w:t xml:space="preserve">Table 2. </w:t>
      </w:r>
      <w:r>
        <w:fldChar w:fldCharType="begin"/>
      </w:r>
      <w:r>
        <w:instrText xml:space="preserve"> SEQ Table_2. \* ARABIC </w:instrText>
      </w:r>
      <w:r>
        <w:fldChar w:fldCharType="separate"/>
      </w:r>
      <w:r>
        <w:rPr>
          <w:noProof/>
        </w:rPr>
        <w:t>1</w:t>
      </w:r>
      <w:r>
        <w:fldChar w:fldCharType="end"/>
      </w:r>
      <w:r>
        <w:t xml:space="preserve">: </w:t>
      </w:r>
      <w:r w:rsidRPr="000F0276">
        <w:t>Technological Advancements in HRM and IHRM – Case Studies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3"/>
        <w:gridCol w:w="2422"/>
        <w:gridCol w:w="3240"/>
        <w:gridCol w:w="2340"/>
      </w:tblGrid>
      <w:tr w:rsidR="000F0276" w14:paraId="149DF448" w14:textId="77777777" w:rsidTr="0061120B">
        <w:tc>
          <w:tcPr>
            <w:tcW w:w="1263" w:type="dxa"/>
            <w:tcBorders>
              <w:top w:val="single" w:sz="12" w:space="0" w:color="auto"/>
              <w:bottom w:val="single" w:sz="12" w:space="0" w:color="auto"/>
            </w:tcBorders>
          </w:tcPr>
          <w:p w14:paraId="280626B6" w14:textId="48758042" w:rsidR="000F0276" w:rsidRPr="000F0276" w:rsidRDefault="000F0276" w:rsidP="000F0276">
            <w:pPr>
              <w:jc w:val="center"/>
              <w:rPr>
                <w:b/>
                <w:bCs/>
                <w:lang w:val="en-GB"/>
              </w:rPr>
            </w:pPr>
            <w:r w:rsidRPr="000F0276">
              <w:rPr>
                <w:b/>
                <w:bCs/>
              </w:rPr>
              <w:t>Company</w:t>
            </w:r>
          </w:p>
        </w:tc>
        <w:tc>
          <w:tcPr>
            <w:tcW w:w="2422" w:type="dxa"/>
            <w:tcBorders>
              <w:top w:val="single" w:sz="12" w:space="0" w:color="auto"/>
              <w:bottom w:val="single" w:sz="12" w:space="0" w:color="auto"/>
            </w:tcBorders>
          </w:tcPr>
          <w:p w14:paraId="0F07E03F" w14:textId="2B508821" w:rsidR="000F0276" w:rsidRPr="000F0276" w:rsidRDefault="000F0276" w:rsidP="000F0276">
            <w:pPr>
              <w:jc w:val="center"/>
              <w:rPr>
                <w:b/>
                <w:bCs/>
                <w:lang w:val="en-GB"/>
              </w:rPr>
            </w:pPr>
            <w:r w:rsidRPr="000F0276">
              <w:rPr>
                <w:b/>
                <w:bCs/>
              </w:rPr>
              <w:t>Technological Advancement</w:t>
            </w:r>
          </w:p>
        </w:tc>
        <w:tc>
          <w:tcPr>
            <w:tcW w:w="3240" w:type="dxa"/>
            <w:tcBorders>
              <w:top w:val="single" w:sz="12" w:space="0" w:color="auto"/>
              <w:bottom w:val="single" w:sz="12" w:space="0" w:color="auto"/>
            </w:tcBorders>
          </w:tcPr>
          <w:p w14:paraId="3C329958" w14:textId="786ED360" w:rsidR="000F0276" w:rsidRPr="000F0276" w:rsidRDefault="000F0276" w:rsidP="000F0276">
            <w:pPr>
              <w:jc w:val="center"/>
              <w:rPr>
                <w:b/>
                <w:bCs/>
                <w:lang w:val="en-GB"/>
              </w:rPr>
            </w:pPr>
            <w:r w:rsidRPr="000F0276">
              <w:rPr>
                <w:b/>
                <w:bCs/>
              </w:rPr>
              <w:t>Impact on HRM/IHRM Strategies</w:t>
            </w:r>
          </w:p>
        </w:tc>
        <w:tc>
          <w:tcPr>
            <w:tcW w:w="2340" w:type="dxa"/>
            <w:tcBorders>
              <w:top w:val="single" w:sz="12" w:space="0" w:color="auto"/>
              <w:bottom w:val="single" w:sz="12" w:space="0" w:color="auto"/>
            </w:tcBorders>
          </w:tcPr>
          <w:p w14:paraId="7C31913E" w14:textId="4EB00BA6" w:rsidR="000F0276" w:rsidRPr="000F0276" w:rsidRDefault="000F0276" w:rsidP="000F0276">
            <w:pPr>
              <w:jc w:val="center"/>
              <w:rPr>
                <w:b/>
                <w:bCs/>
                <w:lang w:val="en-GB"/>
              </w:rPr>
            </w:pPr>
            <w:r w:rsidRPr="000F0276">
              <w:rPr>
                <w:b/>
                <w:bCs/>
              </w:rPr>
              <w:t>Source</w:t>
            </w:r>
          </w:p>
        </w:tc>
      </w:tr>
      <w:tr w:rsidR="000F0276" w14:paraId="1433B5E0" w14:textId="77777777" w:rsidTr="0061120B">
        <w:tc>
          <w:tcPr>
            <w:tcW w:w="1263" w:type="dxa"/>
            <w:tcBorders>
              <w:top w:val="single" w:sz="12" w:space="0" w:color="auto"/>
            </w:tcBorders>
          </w:tcPr>
          <w:p w14:paraId="0AB13245" w14:textId="52BBD039" w:rsidR="000F0276" w:rsidRDefault="000F0276" w:rsidP="008E4357">
            <w:pPr>
              <w:rPr>
                <w:lang w:val="en-GB"/>
              </w:rPr>
            </w:pPr>
            <w:r w:rsidRPr="00945560">
              <w:t>Unilever</w:t>
            </w:r>
          </w:p>
        </w:tc>
        <w:tc>
          <w:tcPr>
            <w:tcW w:w="2422" w:type="dxa"/>
            <w:tcBorders>
              <w:top w:val="single" w:sz="12" w:space="0" w:color="auto"/>
            </w:tcBorders>
          </w:tcPr>
          <w:p w14:paraId="4AE238D0" w14:textId="00B91C9A" w:rsidR="000F0276" w:rsidRDefault="000F0276" w:rsidP="008E4357">
            <w:pPr>
              <w:jc w:val="left"/>
              <w:rPr>
                <w:lang w:val="en-GB"/>
              </w:rPr>
            </w:pPr>
            <w:r w:rsidRPr="00945560">
              <w:t>AI-based recruitment tools</w:t>
            </w:r>
          </w:p>
        </w:tc>
        <w:tc>
          <w:tcPr>
            <w:tcW w:w="3240" w:type="dxa"/>
            <w:tcBorders>
              <w:top w:val="single" w:sz="12" w:space="0" w:color="auto"/>
            </w:tcBorders>
          </w:tcPr>
          <w:p w14:paraId="63AA62CB" w14:textId="6B3BA23F" w:rsidR="000F0276" w:rsidRDefault="000F0276" w:rsidP="008E4357">
            <w:pPr>
              <w:jc w:val="left"/>
              <w:rPr>
                <w:lang w:val="en-GB"/>
              </w:rPr>
            </w:pPr>
            <w:r w:rsidRPr="00945560">
              <w:t>Streamlined recruitment, reduced bias</w:t>
            </w:r>
          </w:p>
        </w:tc>
        <w:tc>
          <w:tcPr>
            <w:tcW w:w="2340" w:type="dxa"/>
            <w:tcBorders>
              <w:top w:val="single" w:sz="12" w:space="0" w:color="auto"/>
            </w:tcBorders>
          </w:tcPr>
          <w:p w14:paraId="1A9D00C8" w14:textId="4131604A" w:rsidR="000F0276" w:rsidRDefault="00DC2C15" w:rsidP="008E4357">
            <w:pPr>
              <w:jc w:val="left"/>
              <w:rPr>
                <w:lang w:val="en-GB"/>
              </w:rPr>
            </w:pPr>
            <w:r w:rsidRPr="00DC2C15">
              <w:t xml:space="preserve">(Bastida, et al., </w:t>
            </w:r>
            <w:r>
              <w:t>(</w:t>
            </w:r>
            <w:r w:rsidRPr="00DC2C15">
              <w:t>2025</w:t>
            </w:r>
            <w:r>
              <w:t>)</w:t>
            </w:r>
          </w:p>
        </w:tc>
      </w:tr>
      <w:tr w:rsidR="000F0276" w14:paraId="68AB020F" w14:textId="77777777" w:rsidTr="0061120B">
        <w:tc>
          <w:tcPr>
            <w:tcW w:w="1263" w:type="dxa"/>
          </w:tcPr>
          <w:p w14:paraId="1ED51537" w14:textId="5BB7768E" w:rsidR="000F0276" w:rsidRDefault="000F0276" w:rsidP="008E4357">
            <w:pPr>
              <w:rPr>
                <w:lang w:val="en-GB"/>
              </w:rPr>
            </w:pPr>
            <w:r w:rsidRPr="00945560">
              <w:t>Amazon</w:t>
            </w:r>
          </w:p>
        </w:tc>
        <w:tc>
          <w:tcPr>
            <w:tcW w:w="2422" w:type="dxa"/>
          </w:tcPr>
          <w:p w14:paraId="6F9B935A" w14:textId="63B7FE47" w:rsidR="000F0276" w:rsidRDefault="000F0276" w:rsidP="008E4357">
            <w:pPr>
              <w:jc w:val="left"/>
              <w:rPr>
                <w:lang w:val="en-GB"/>
              </w:rPr>
            </w:pPr>
            <w:r w:rsidRPr="00945560">
              <w:t>Warehouse automation</w:t>
            </w:r>
          </w:p>
        </w:tc>
        <w:tc>
          <w:tcPr>
            <w:tcW w:w="3240" w:type="dxa"/>
          </w:tcPr>
          <w:p w14:paraId="3E70E2A0" w14:textId="07C65C6F" w:rsidR="000F0276" w:rsidRDefault="000F0276" w:rsidP="008E4357">
            <w:pPr>
              <w:jc w:val="left"/>
              <w:rPr>
                <w:lang w:val="en-GB"/>
              </w:rPr>
            </w:pPr>
            <w:r w:rsidRPr="00945560">
              <w:t>Increased efficiency, workforce displacement</w:t>
            </w:r>
          </w:p>
        </w:tc>
        <w:tc>
          <w:tcPr>
            <w:tcW w:w="2340" w:type="dxa"/>
          </w:tcPr>
          <w:p w14:paraId="0BB2E294" w14:textId="5E16C937" w:rsidR="000F0276" w:rsidRDefault="00DC2C15" w:rsidP="008E4357">
            <w:pPr>
              <w:jc w:val="left"/>
              <w:rPr>
                <w:lang w:val="en-GB"/>
              </w:rPr>
            </w:pPr>
            <w:r w:rsidRPr="00DC2C15">
              <w:t xml:space="preserve">(Bastida, et al., </w:t>
            </w:r>
            <w:r>
              <w:t>(</w:t>
            </w:r>
            <w:r w:rsidRPr="00DC2C15">
              <w:t>2025</w:t>
            </w:r>
            <w:r>
              <w:t>)</w:t>
            </w:r>
          </w:p>
        </w:tc>
      </w:tr>
      <w:tr w:rsidR="000F0276" w14:paraId="12A5DDE4" w14:textId="77777777" w:rsidTr="0061120B">
        <w:tc>
          <w:tcPr>
            <w:tcW w:w="1263" w:type="dxa"/>
            <w:tcBorders>
              <w:bottom w:val="single" w:sz="12" w:space="0" w:color="auto"/>
            </w:tcBorders>
          </w:tcPr>
          <w:p w14:paraId="037ADF6E" w14:textId="02F2E66E" w:rsidR="000F0276" w:rsidRDefault="000F0276" w:rsidP="008E4357">
            <w:pPr>
              <w:rPr>
                <w:lang w:val="en-GB"/>
              </w:rPr>
            </w:pPr>
            <w:r w:rsidRPr="00945560">
              <w:t>IBM</w:t>
            </w:r>
          </w:p>
        </w:tc>
        <w:tc>
          <w:tcPr>
            <w:tcW w:w="2422" w:type="dxa"/>
            <w:tcBorders>
              <w:bottom w:val="single" w:sz="12" w:space="0" w:color="auto"/>
            </w:tcBorders>
          </w:tcPr>
          <w:p w14:paraId="1BDA3A9B" w14:textId="1839F5D9" w:rsidR="000F0276" w:rsidRDefault="000F0276" w:rsidP="008E4357">
            <w:pPr>
              <w:jc w:val="left"/>
              <w:rPr>
                <w:lang w:val="en-GB"/>
              </w:rPr>
            </w:pPr>
            <w:r w:rsidRPr="00945560">
              <w:t>AI for career development</w:t>
            </w:r>
          </w:p>
        </w:tc>
        <w:tc>
          <w:tcPr>
            <w:tcW w:w="3240" w:type="dxa"/>
            <w:tcBorders>
              <w:bottom w:val="single" w:sz="12" w:space="0" w:color="auto"/>
            </w:tcBorders>
          </w:tcPr>
          <w:p w14:paraId="1E071644" w14:textId="6B3490A0" w:rsidR="000F0276" w:rsidRDefault="000F0276" w:rsidP="008E4357">
            <w:pPr>
              <w:jc w:val="left"/>
              <w:rPr>
                <w:lang w:val="en-GB"/>
              </w:rPr>
            </w:pPr>
            <w:r w:rsidRPr="00945560">
              <w:t>Enhanced employee engagement</w:t>
            </w:r>
            <w:r w:rsidR="00F402E6">
              <w:t xml:space="preserve"> and</w:t>
            </w:r>
            <w:r w:rsidRPr="00945560">
              <w:t xml:space="preserve"> retention</w:t>
            </w:r>
          </w:p>
        </w:tc>
        <w:tc>
          <w:tcPr>
            <w:tcW w:w="2340" w:type="dxa"/>
            <w:tcBorders>
              <w:bottom w:val="single" w:sz="12" w:space="0" w:color="auto"/>
            </w:tcBorders>
          </w:tcPr>
          <w:p w14:paraId="10EDECE6" w14:textId="5C14F16B" w:rsidR="000F0276" w:rsidRDefault="000F0276" w:rsidP="008E4357">
            <w:pPr>
              <w:jc w:val="left"/>
              <w:rPr>
                <w:lang w:val="en-GB"/>
              </w:rPr>
            </w:pPr>
            <w:r w:rsidRPr="00945560">
              <w:t>Brynjolfsson, E., &amp; McAfee, A. (2014).</w:t>
            </w:r>
          </w:p>
        </w:tc>
      </w:tr>
    </w:tbl>
    <w:p w14:paraId="387141D8" w14:textId="77777777" w:rsidR="008E4357" w:rsidRDefault="008E4357" w:rsidP="008E4357">
      <w:pPr>
        <w:rPr>
          <w:lang w:val="en-GB"/>
        </w:rPr>
      </w:pPr>
    </w:p>
    <w:p w14:paraId="757D12BA" w14:textId="08824C4A" w:rsidR="000F0276" w:rsidRPr="000F0276" w:rsidRDefault="000F0276" w:rsidP="000F0276">
      <w:pPr>
        <w:rPr>
          <w:lang w:val="en-GB"/>
        </w:rPr>
      </w:pPr>
      <w:r w:rsidRPr="000F0276">
        <w:rPr>
          <w:lang w:val="en-GB"/>
        </w:rPr>
        <w:t xml:space="preserve">As seen in these case studies, the introduction of AI and automation in HRM practices offers both advantages, such as improved efficiency and reduced bias, and challenges, particularly in </w:t>
      </w:r>
      <w:r w:rsidR="00F402E6">
        <w:rPr>
          <w:lang w:val="en-GB"/>
        </w:rPr>
        <w:t>managing displaced workers and addressing</w:t>
      </w:r>
      <w:r w:rsidRPr="000F0276">
        <w:rPr>
          <w:lang w:val="en-GB"/>
        </w:rPr>
        <w:t xml:space="preserve"> evolving skill requirements. HRM strategies must adapt to ensure that employees are not only prepared for technological change but also supported through retraining initiatives and leadership that fosters a growth mindset.</w:t>
      </w:r>
    </w:p>
    <w:p w14:paraId="5A44722A" w14:textId="77777777" w:rsidR="000F0276" w:rsidRPr="000F0276" w:rsidRDefault="000F0276" w:rsidP="000F0276">
      <w:pPr>
        <w:rPr>
          <w:lang w:val="en-GB"/>
        </w:rPr>
      </w:pPr>
    </w:p>
    <w:p w14:paraId="6A9685B9" w14:textId="0EDC9432" w:rsidR="000F0276" w:rsidRDefault="000F0276" w:rsidP="000F0276">
      <w:pPr>
        <w:rPr>
          <w:lang w:val="en-GB"/>
        </w:rPr>
      </w:pPr>
      <w:r w:rsidRPr="000F0276">
        <w:rPr>
          <w:lang w:val="en-GB"/>
        </w:rPr>
        <w:t>The implications for IHRM strategies are even more pronounced, as organizations with a global workforce must consider local regulations, cultural norms, and the varying technological capabilities of different countries. In some countries, the integration of automation may be embraced, while in others, the shift may face resistance due to socio-economic concerns. Therefore, IHRM professionals must implement tailored strategies that account for these diverse needs and foster an inclusive and adaptive culture that promotes collaboration and innovation across borders.</w:t>
      </w:r>
    </w:p>
    <w:p w14:paraId="0D366CEB" w14:textId="6E27DCE0" w:rsidR="000F0276" w:rsidRDefault="000F0276" w:rsidP="008E4357">
      <w:pPr>
        <w:rPr>
          <w:lang w:val="en-GB"/>
        </w:rPr>
      </w:pPr>
    </w:p>
    <w:p w14:paraId="745F84D1" w14:textId="74A0BABD" w:rsidR="000F0276" w:rsidRPr="000F0276" w:rsidRDefault="000F0276" w:rsidP="000F0276">
      <w:pPr>
        <w:pStyle w:val="Heading1"/>
        <w:rPr>
          <w:lang w:val="en-GB"/>
        </w:rPr>
      </w:pPr>
      <w:bookmarkStart w:id="2" w:name="_Toc210589668"/>
      <w:r>
        <w:rPr>
          <w:lang w:val="en-GB"/>
        </w:rPr>
        <w:t xml:space="preserve">3. </w:t>
      </w:r>
      <w:r w:rsidRPr="000F0276">
        <w:rPr>
          <w:lang w:val="en-GB"/>
        </w:rPr>
        <w:t>Demographic and Geopolitical Factors Shaping Employment Markets</w:t>
      </w:r>
      <w:bookmarkEnd w:id="2"/>
    </w:p>
    <w:p w14:paraId="6378E9DB" w14:textId="465F718D" w:rsidR="00A96685" w:rsidRPr="00A96685" w:rsidRDefault="00A96685" w:rsidP="00A96685">
      <w:pPr>
        <w:rPr>
          <w:lang w:val="en-GB"/>
        </w:rPr>
      </w:pPr>
      <w:r w:rsidRPr="00A96685">
        <w:rPr>
          <w:lang w:val="en-GB"/>
        </w:rPr>
        <w:t xml:space="preserve">Demographic and geopolitical factors </w:t>
      </w:r>
      <w:r w:rsidR="00F402E6">
        <w:rPr>
          <w:lang w:val="en-GB"/>
        </w:rPr>
        <w:t>have a significant impact on</w:t>
      </w:r>
      <w:r w:rsidRPr="00A96685">
        <w:rPr>
          <w:lang w:val="en-GB"/>
        </w:rPr>
        <w:t xml:space="preserve"> employment markets and HRM strategies. Key demographic trends, such as aging populations, urbanization, and shifting workforce compositions, have profound implications for labour markets. In many developed countries, the aging population is leading to a shrinking workforce, with fewer young people entering the labour market. This has increased the demand for older workers and created challenges in maintaining workforce productivity. Additionally, the aging demographic often necessitates a </w:t>
      </w:r>
      <w:r w:rsidRPr="00A96685">
        <w:rPr>
          <w:lang w:val="en-GB"/>
        </w:rPr>
        <w:lastRenderedPageBreak/>
        <w:t xml:space="preserve">shift in HR strategies, focusing on flexible working conditions, health benefits, and workforce development to accommodate older employees </w:t>
      </w:r>
      <w:sdt>
        <w:sdtPr>
          <w:rPr>
            <w:lang w:val="en-GB"/>
          </w:rPr>
          <w:id w:val="1538935325"/>
          <w:citation/>
        </w:sdtPr>
        <w:sdtContent>
          <w:r w:rsidR="00C32CA3">
            <w:rPr>
              <w:lang w:val="en-GB"/>
            </w:rPr>
            <w:fldChar w:fldCharType="begin"/>
          </w:r>
          <w:r w:rsidR="00C32CA3">
            <w:instrText xml:space="preserve"> CITATION Dav08 \l 1033 </w:instrText>
          </w:r>
          <w:r w:rsidR="00C32CA3">
            <w:rPr>
              <w:lang w:val="en-GB"/>
            </w:rPr>
            <w:fldChar w:fldCharType="separate"/>
          </w:r>
          <w:r w:rsidR="00C32CA3" w:rsidRPr="00C32CA3">
            <w:rPr>
              <w:noProof/>
            </w:rPr>
            <w:t>(Bloom, et al., 2008)</w:t>
          </w:r>
          <w:r w:rsidR="00C32CA3">
            <w:rPr>
              <w:lang w:val="en-GB"/>
            </w:rPr>
            <w:fldChar w:fldCharType="end"/>
          </w:r>
        </w:sdtContent>
      </w:sdt>
      <w:r w:rsidRPr="00A96685">
        <w:rPr>
          <w:lang w:val="en-GB"/>
        </w:rPr>
        <w:t xml:space="preserve">. In contrast, in emerging economies with a younger demographic, there is a growing demand for skilled workers, particularly in sectors </w:t>
      </w:r>
      <w:r w:rsidR="00F402E6">
        <w:rPr>
          <w:lang w:val="en-GB"/>
        </w:rPr>
        <w:t>such as technology and healthcare, creating a distinct</w:t>
      </w:r>
      <w:r w:rsidRPr="00A96685">
        <w:rPr>
          <w:lang w:val="en-GB"/>
        </w:rPr>
        <w:t xml:space="preserve"> set of challenges for HR professionals </w:t>
      </w:r>
      <w:sdt>
        <w:sdtPr>
          <w:rPr>
            <w:lang w:val="en-GB"/>
          </w:rPr>
          <w:id w:val="876046110"/>
          <w:citation/>
        </w:sdtPr>
        <w:sdtContent>
          <w:r w:rsidR="00C32CA3">
            <w:rPr>
              <w:lang w:val="en-GB"/>
            </w:rPr>
            <w:fldChar w:fldCharType="begin"/>
          </w:r>
          <w:r w:rsidR="00C32CA3">
            <w:instrText xml:space="preserve"> CITATION Wor20 \l 1033 </w:instrText>
          </w:r>
          <w:r w:rsidR="00C32CA3">
            <w:rPr>
              <w:lang w:val="en-GB"/>
            </w:rPr>
            <w:fldChar w:fldCharType="separate"/>
          </w:r>
          <w:r w:rsidR="00C32CA3" w:rsidRPr="00C32CA3">
            <w:rPr>
              <w:noProof/>
            </w:rPr>
            <w:t>(World Bank, 2020)</w:t>
          </w:r>
          <w:r w:rsidR="00C32CA3">
            <w:rPr>
              <w:lang w:val="en-GB"/>
            </w:rPr>
            <w:fldChar w:fldCharType="end"/>
          </w:r>
        </w:sdtContent>
      </w:sdt>
      <w:r w:rsidRPr="00A96685">
        <w:rPr>
          <w:lang w:val="en-GB"/>
        </w:rPr>
        <w:t>.</w:t>
      </w:r>
    </w:p>
    <w:p w14:paraId="30B06D79" w14:textId="77777777" w:rsidR="00A96685" w:rsidRPr="00A96685" w:rsidRDefault="00A96685" w:rsidP="00A96685">
      <w:pPr>
        <w:rPr>
          <w:lang w:val="en-GB"/>
        </w:rPr>
      </w:pPr>
    </w:p>
    <w:p w14:paraId="7B64788B" w14:textId="049917FE" w:rsidR="00A96685" w:rsidRPr="00A96685" w:rsidRDefault="00A96685" w:rsidP="00A96685">
      <w:pPr>
        <w:rPr>
          <w:lang w:val="en-GB"/>
        </w:rPr>
      </w:pPr>
      <w:r w:rsidRPr="00A96685">
        <w:rPr>
          <w:lang w:val="en-GB"/>
        </w:rPr>
        <w:t xml:space="preserve">Urbanization is another significant trend, as more people move from rural areas to cities, creating densely packed labour markets. This shift increases competition for jobs, </w:t>
      </w:r>
      <w:r w:rsidR="00F402E6">
        <w:rPr>
          <w:lang w:val="en-GB"/>
        </w:rPr>
        <w:t>potentially leading to higher</w:t>
      </w:r>
      <w:r w:rsidRPr="00A96685">
        <w:rPr>
          <w:lang w:val="en-GB"/>
        </w:rPr>
        <w:t xml:space="preserve"> unemployment rates in metropolitan areas. However, it also creates opportunities for HR departments to tap into a larger and more diverse talent pool. As cities grow, companies must adapt their recruitment and retention strategies to cater to a more diverse workforce, often involving more focus on inclusive policies and digital skills training </w:t>
      </w:r>
      <w:sdt>
        <w:sdtPr>
          <w:rPr>
            <w:lang w:val="en-GB"/>
          </w:rPr>
          <w:id w:val="1514649107"/>
          <w:citation/>
        </w:sdtPr>
        <w:sdtContent>
          <w:r w:rsidR="00C32CA3">
            <w:rPr>
              <w:lang w:val="en-GB"/>
            </w:rPr>
            <w:fldChar w:fldCharType="begin"/>
          </w:r>
          <w:r w:rsidR="00C32CA3">
            <w:instrText xml:space="preserve"> CITATION Wor20 \l 1033 </w:instrText>
          </w:r>
          <w:r w:rsidR="00C32CA3">
            <w:rPr>
              <w:lang w:val="en-GB"/>
            </w:rPr>
            <w:fldChar w:fldCharType="separate"/>
          </w:r>
          <w:r w:rsidR="00C32CA3" w:rsidRPr="00C32CA3">
            <w:rPr>
              <w:noProof/>
            </w:rPr>
            <w:t>(World Bank, 2020)</w:t>
          </w:r>
          <w:r w:rsidR="00C32CA3">
            <w:rPr>
              <w:lang w:val="en-GB"/>
            </w:rPr>
            <w:fldChar w:fldCharType="end"/>
          </w:r>
        </w:sdtContent>
      </w:sdt>
      <w:r w:rsidRPr="00A96685">
        <w:rPr>
          <w:lang w:val="en-GB"/>
        </w:rPr>
        <w:t>.</w:t>
      </w:r>
    </w:p>
    <w:p w14:paraId="58717889" w14:textId="77777777" w:rsidR="00A96685" w:rsidRPr="00A96685" w:rsidRDefault="00A96685" w:rsidP="00A96685">
      <w:pPr>
        <w:rPr>
          <w:lang w:val="en-GB"/>
        </w:rPr>
      </w:pPr>
    </w:p>
    <w:p w14:paraId="142A0C58" w14:textId="542BFAEA" w:rsidR="00A96685" w:rsidRPr="00A96685" w:rsidRDefault="00A96685" w:rsidP="00A96685">
      <w:pPr>
        <w:rPr>
          <w:lang w:val="en-GB"/>
        </w:rPr>
      </w:pPr>
      <w:r w:rsidRPr="00A96685">
        <w:rPr>
          <w:lang w:val="en-GB"/>
        </w:rPr>
        <w:t xml:space="preserve">Geopolitical factors also play a crucial role in shaping labour markets. Trade policies, economic sanctions, and political stability impact cross-border labour mobility and employment opportunities. Global labour movements, driven by factors such as globalization and changes in trade relationships, have led to the migration of workers from low-wage to high-wage countries. These movements often shift the supply and demand dynamics in various regions, resulting in shortages of skilled labour in some areas and oversupply in others. Geopolitical tensions, such as Brexit, have also influenced migration flows and, consequently, the supply of talent in different countries. For instance, the UK's exit from the European Union created a significant reduction in the flow of EU workers into the UK, particularly in industries like healthcare and agriculture, leading to workforce shortages </w:t>
      </w:r>
      <w:sdt>
        <w:sdtPr>
          <w:rPr>
            <w:lang w:val="en-GB"/>
          </w:rPr>
          <w:id w:val="982502403"/>
          <w:citation/>
        </w:sdtPr>
        <w:sdtContent>
          <w:r w:rsidR="00C32CA3">
            <w:rPr>
              <w:lang w:val="en-GB"/>
            </w:rPr>
            <w:fldChar w:fldCharType="begin"/>
          </w:r>
          <w:r w:rsidR="00C32CA3">
            <w:instrText xml:space="preserve"> CITATION Chr13 \l 1033 </w:instrText>
          </w:r>
          <w:r w:rsidR="00C32CA3">
            <w:rPr>
              <w:lang w:val="en-GB"/>
            </w:rPr>
            <w:fldChar w:fldCharType="separate"/>
          </w:r>
          <w:r w:rsidR="00C32CA3" w:rsidRPr="00C32CA3">
            <w:rPr>
              <w:noProof/>
            </w:rPr>
            <w:t>(Dustmann, et al., 2013)</w:t>
          </w:r>
          <w:r w:rsidR="00C32CA3">
            <w:rPr>
              <w:lang w:val="en-GB"/>
            </w:rPr>
            <w:fldChar w:fldCharType="end"/>
          </w:r>
        </w:sdtContent>
      </w:sdt>
      <w:sdt>
        <w:sdtPr>
          <w:rPr>
            <w:lang w:val="en-GB"/>
          </w:rPr>
          <w:id w:val="587889756"/>
          <w:citation/>
        </w:sdtPr>
        <w:sdtContent>
          <w:r w:rsidR="00C32CA3">
            <w:rPr>
              <w:lang w:val="en-GB"/>
            </w:rPr>
            <w:fldChar w:fldCharType="begin"/>
          </w:r>
          <w:r w:rsidR="00C32CA3">
            <w:instrText xml:space="preserve"> CITATION Kri23 \l 1033 </w:instrText>
          </w:r>
          <w:r w:rsidR="00C32CA3">
            <w:rPr>
              <w:lang w:val="en-GB"/>
            </w:rPr>
            <w:fldChar w:fldCharType="separate"/>
          </w:r>
          <w:r w:rsidR="00C32CA3">
            <w:rPr>
              <w:noProof/>
            </w:rPr>
            <w:t xml:space="preserve"> </w:t>
          </w:r>
          <w:r w:rsidR="00C32CA3" w:rsidRPr="00C32CA3">
            <w:rPr>
              <w:noProof/>
            </w:rPr>
            <w:t>(Sargent, 2023)</w:t>
          </w:r>
          <w:r w:rsidR="00C32CA3">
            <w:rPr>
              <w:lang w:val="en-GB"/>
            </w:rPr>
            <w:fldChar w:fldCharType="end"/>
          </w:r>
        </w:sdtContent>
      </w:sdt>
      <w:r w:rsidRPr="00A96685">
        <w:rPr>
          <w:lang w:val="en-GB"/>
        </w:rPr>
        <w:t>.</w:t>
      </w:r>
    </w:p>
    <w:p w14:paraId="2C284704" w14:textId="77777777" w:rsidR="00A96685" w:rsidRPr="00A96685" w:rsidRDefault="00A96685" w:rsidP="00A96685">
      <w:pPr>
        <w:rPr>
          <w:lang w:val="en-GB"/>
        </w:rPr>
      </w:pPr>
    </w:p>
    <w:p w14:paraId="14992D4F" w14:textId="77777777" w:rsidR="00A96685" w:rsidRDefault="00A96685" w:rsidP="00A96685">
      <w:pPr>
        <w:rPr>
          <w:lang w:val="en-GB"/>
        </w:rPr>
      </w:pPr>
      <w:r w:rsidRPr="00A96685">
        <w:rPr>
          <w:lang w:val="en-GB"/>
        </w:rPr>
        <w:t xml:space="preserve">These demographic and geopolitical factors present a range of challenges for HR professionals. The shrinking workforce in aging populations forces HR to adopt strategies for attracting and retaining older employees, including offering more flexible work arrangements and tailored professional development opportunities. In areas with youth-driven labour markets, HR must address the challenge of engaging younger workers, ensuring that they are adequately skilled and motivated to remain in the workforce. Furthermore, HR professionals must navigate the complexities of managing a diverse, often multinational, workforce, balancing local labour laws, </w:t>
      </w:r>
      <w:r w:rsidRPr="00A96685">
        <w:rPr>
          <w:lang w:val="en-GB"/>
        </w:rPr>
        <w:lastRenderedPageBreak/>
        <w:t>cultural differences, and varying skill levels across regions. The increasing complexity of managing global talent necessitates HR departments to invest in technology that supports international recruitment, training, and performance management systems.</w:t>
      </w:r>
    </w:p>
    <w:p w14:paraId="6F0ACF17" w14:textId="77777777" w:rsidR="00A96685" w:rsidRDefault="00A96685" w:rsidP="00A96685">
      <w:pPr>
        <w:rPr>
          <w:lang w:val="en-GB"/>
        </w:rPr>
      </w:pPr>
    </w:p>
    <w:p w14:paraId="3521BE5C" w14:textId="3212B71D" w:rsidR="001A54EE" w:rsidRDefault="001A54EE" w:rsidP="001A54EE">
      <w:pPr>
        <w:pStyle w:val="Caption"/>
        <w:rPr>
          <w:lang w:val="en-GB"/>
        </w:rPr>
      </w:pPr>
      <w:r>
        <w:t xml:space="preserve">Table 3. </w:t>
      </w:r>
      <w:r>
        <w:fldChar w:fldCharType="begin"/>
      </w:r>
      <w:r>
        <w:instrText xml:space="preserve"> SEQ Table_3. \* ARABIC </w:instrText>
      </w:r>
      <w:r>
        <w:fldChar w:fldCharType="separate"/>
      </w:r>
      <w:r>
        <w:rPr>
          <w:noProof/>
        </w:rPr>
        <w:t>1</w:t>
      </w:r>
      <w:r>
        <w:fldChar w:fldCharType="end"/>
      </w:r>
      <w:r>
        <w:t xml:space="preserve">: </w:t>
      </w:r>
      <w:r w:rsidRPr="001A54EE">
        <w:t>Demographic and Geopolitical Factors Impacting Labour Markets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5665"/>
      </w:tblGrid>
      <w:tr w:rsidR="001A54EE" w14:paraId="380E6EEB" w14:textId="77777777" w:rsidTr="0061120B">
        <w:tc>
          <w:tcPr>
            <w:tcW w:w="3685" w:type="dxa"/>
            <w:tcBorders>
              <w:top w:val="single" w:sz="12" w:space="0" w:color="auto"/>
              <w:bottom w:val="single" w:sz="12" w:space="0" w:color="auto"/>
            </w:tcBorders>
          </w:tcPr>
          <w:p w14:paraId="4CDB9B64" w14:textId="2EA61E14" w:rsidR="001A54EE" w:rsidRPr="001A54EE" w:rsidRDefault="001A54EE" w:rsidP="001A54EE">
            <w:pPr>
              <w:jc w:val="center"/>
              <w:rPr>
                <w:b/>
                <w:bCs/>
                <w:lang w:val="en-GB"/>
              </w:rPr>
            </w:pPr>
            <w:r w:rsidRPr="001A54EE">
              <w:rPr>
                <w:b/>
                <w:bCs/>
              </w:rPr>
              <w:t>Factor</w:t>
            </w:r>
          </w:p>
        </w:tc>
        <w:tc>
          <w:tcPr>
            <w:tcW w:w="5665" w:type="dxa"/>
            <w:tcBorders>
              <w:top w:val="single" w:sz="12" w:space="0" w:color="auto"/>
              <w:bottom w:val="single" w:sz="12" w:space="0" w:color="auto"/>
            </w:tcBorders>
          </w:tcPr>
          <w:p w14:paraId="1FE53AD3" w14:textId="35DCB417" w:rsidR="001A54EE" w:rsidRPr="001A54EE" w:rsidRDefault="001A54EE" w:rsidP="001A54EE">
            <w:pPr>
              <w:jc w:val="center"/>
              <w:rPr>
                <w:b/>
                <w:bCs/>
                <w:lang w:val="en-GB"/>
              </w:rPr>
            </w:pPr>
            <w:r w:rsidRPr="001A54EE">
              <w:rPr>
                <w:b/>
                <w:bCs/>
              </w:rPr>
              <w:t>Impact on Labour Markets</w:t>
            </w:r>
          </w:p>
        </w:tc>
      </w:tr>
      <w:tr w:rsidR="001A54EE" w14:paraId="1ACF1572" w14:textId="77777777" w:rsidTr="0061120B">
        <w:tc>
          <w:tcPr>
            <w:tcW w:w="3685" w:type="dxa"/>
            <w:tcBorders>
              <w:top w:val="single" w:sz="12" w:space="0" w:color="auto"/>
            </w:tcBorders>
          </w:tcPr>
          <w:p w14:paraId="1CC2050A" w14:textId="6EF5B37D" w:rsidR="001A54EE" w:rsidRDefault="001A54EE" w:rsidP="001A54EE">
            <w:pPr>
              <w:rPr>
                <w:lang w:val="en-GB"/>
              </w:rPr>
            </w:pPr>
            <w:r w:rsidRPr="0066291C">
              <w:t>Aging Population</w:t>
            </w:r>
          </w:p>
        </w:tc>
        <w:tc>
          <w:tcPr>
            <w:tcW w:w="5665" w:type="dxa"/>
            <w:tcBorders>
              <w:top w:val="single" w:sz="12" w:space="0" w:color="auto"/>
            </w:tcBorders>
          </w:tcPr>
          <w:p w14:paraId="5A48180A" w14:textId="62F3BA25" w:rsidR="001A54EE" w:rsidRDefault="001A54EE" w:rsidP="001A54EE">
            <w:pPr>
              <w:rPr>
                <w:lang w:val="en-GB"/>
              </w:rPr>
            </w:pPr>
            <w:r w:rsidRPr="0066291C">
              <w:t>Shrinking workforce, increased demand for older workers</w:t>
            </w:r>
          </w:p>
        </w:tc>
      </w:tr>
      <w:tr w:rsidR="001A54EE" w14:paraId="6366B5B5" w14:textId="77777777" w:rsidTr="002F3754">
        <w:tc>
          <w:tcPr>
            <w:tcW w:w="3685" w:type="dxa"/>
          </w:tcPr>
          <w:p w14:paraId="157679C7" w14:textId="3B390179" w:rsidR="001A54EE" w:rsidRDefault="001A54EE" w:rsidP="001A54EE">
            <w:pPr>
              <w:rPr>
                <w:lang w:val="en-GB"/>
              </w:rPr>
            </w:pPr>
            <w:r w:rsidRPr="0066291C">
              <w:t>Urbanization</w:t>
            </w:r>
          </w:p>
        </w:tc>
        <w:tc>
          <w:tcPr>
            <w:tcW w:w="5665" w:type="dxa"/>
          </w:tcPr>
          <w:p w14:paraId="7D2A8614" w14:textId="44DFF0B3" w:rsidR="001A54EE" w:rsidRDefault="001A54EE" w:rsidP="001A54EE">
            <w:pPr>
              <w:rPr>
                <w:lang w:val="en-GB"/>
              </w:rPr>
            </w:pPr>
            <w:r w:rsidRPr="0066291C">
              <w:t xml:space="preserve">Higher competition in cities, </w:t>
            </w:r>
            <w:r w:rsidR="00F402E6">
              <w:t xml:space="preserve">a </w:t>
            </w:r>
            <w:r w:rsidRPr="0066291C">
              <w:t>more diverse talent pool</w:t>
            </w:r>
          </w:p>
        </w:tc>
      </w:tr>
      <w:tr w:rsidR="001A54EE" w14:paraId="71AD3F23" w14:textId="77777777" w:rsidTr="002F3754">
        <w:tc>
          <w:tcPr>
            <w:tcW w:w="3685" w:type="dxa"/>
          </w:tcPr>
          <w:p w14:paraId="7655D81D" w14:textId="603F1D89" w:rsidR="001A54EE" w:rsidRDefault="001A54EE" w:rsidP="001A54EE">
            <w:pPr>
              <w:rPr>
                <w:lang w:val="en-GB"/>
              </w:rPr>
            </w:pPr>
            <w:r w:rsidRPr="0066291C">
              <w:t>Global Labour Movements</w:t>
            </w:r>
          </w:p>
        </w:tc>
        <w:tc>
          <w:tcPr>
            <w:tcW w:w="5665" w:type="dxa"/>
          </w:tcPr>
          <w:p w14:paraId="5650B7EF" w14:textId="705CEB94" w:rsidR="001A54EE" w:rsidRDefault="001A54EE" w:rsidP="001A54EE">
            <w:pPr>
              <w:rPr>
                <w:lang w:val="en-GB"/>
              </w:rPr>
            </w:pPr>
            <w:r w:rsidRPr="0066291C">
              <w:t>Shifting supply and demand of workers across borders</w:t>
            </w:r>
          </w:p>
        </w:tc>
      </w:tr>
      <w:tr w:rsidR="001A54EE" w14:paraId="387A0C9A" w14:textId="77777777" w:rsidTr="0061120B">
        <w:tc>
          <w:tcPr>
            <w:tcW w:w="3685" w:type="dxa"/>
            <w:tcBorders>
              <w:bottom w:val="single" w:sz="12" w:space="0" w:color="auto"/>
            </w:tcBorders>
          </w:tcPr>
          <w:p w14:paraId="1E5C1076" w14:textId="37C692AA" w:rsidR="001A54EE" w:rsidRDefault="001A54EE" w:rsidP="001A54EE">
            <w:pPr>
              <w:rPr>
                <w:lang w:val="en-GB"/>
              </w:rPr>
            </w:pPr>
            <w:r w:rsidRPr="0066291C">
              <w:t>Brexit</w:t>
            </w:r>
          </w:p>
        </w:tc>
        <w:tc>
          <w:tcPr>
            <w:tcW w:w="5665" w:type="dxa"/>
            <w:tcBorders>
              <w:bottom w:val="single" w:sz="12" w:space="0" w:color="auto"/>
            </w:tcBorders>
          </w:tcPr>
          <w:p w14:paraId="4CF04453" w14:textId="780A4912" w:rsidR="001A54EE" w:rsidRDefault="001A54EE" w:rsidP="001A54EE">
            <w:pPr>
              <w:rPr>
                <w:lang w:val="en-GB"/>
              </w:rPr>
            </w:pPr>
            <w:r w:rsidRPr="0066291C">
              <w:t xml:space="preserve">Reduced EU migration to the UK, </w:t>
            </w:r>
            <w:r w:rsidR="00F402E6">
              <w:t xml:space="preserve">and </w:t>
            </w:r>
            <w:r w:rsidRPr="0066291C">
              <w:t>labour shortages</w:t>
            </w:r>
          </w:p>
        </w:tc>
      </w:tr>
    </w:tbl>
    <w:p w14:paraId="113A4CD5" w14:textId="77777777" w:rsidR="001A54EE" w:rsidRDefault="001A54EE" w:rsidP="00A96685">
      <w:pPr>
        <w:rPr>
          <w:i/>
          <w:iCs/>
          <w:sz w:val="22"/>
          <w:szCs w:val="22"/>
          <w:lang w:val="en-GB"/>
        </w:rPr>
      </w:pPr>
      <w:r w:rsidRPr="001A54EE">
        <w:rPr>
          <w:i/>
          <w:iCs/>
          <w:sz w:val="22"/>
          <w:szCs w:val="22"/>
          <w:lang w:val="en-GB"/>
        </w:rPr>
        <w:t>Source: Data based on general trends observed in labor markets and demographic studies (Bloom &amp; Canning, 2008; World Bank, 2020; Dustmann et al., 2019).</w:t>
      </w:r>
    </w:p>
    <w:p w14:paraId="60F79B5D" w14:textId="77777777" w:rsidR="001A54EE" w:rsidRDefault="001A54EE" w:rsidP="001A54EE">
      <w:pPr>
        <w:rPr>
          <w:lang w:val="en-GB"/>
        </w:rPr>
      </w:pPr>
    </w:p>
    <w:p w14:paraId="01E1ECA5" w14:textId="1713DEAD" w:rsidR="001A54EE" w:rsidRPr="001A54EE" w:rsidRDefault="001A54EE" w:rsidP="001A54EE">
      <w:pPr>
        <w:pStyle w:val="Heading1"/>
        <w:rPr>
          <w:lang w:val="en-GB"/>
        </w:rPr>
      </w:pPr>
      <w:bookmarkStart w:id="3" w:name="_Toc210589669"/>
      <w:r>
        <w:rPr>
          <w:lang w:val="en-GB"/>
        </w:rPr>
        <w:t xml:space="preserve">4. </w:t>
      </w:r>
      <w:r w:rsidRPr="001A54EE">
        <w:rPr>
          <w:lang w:val="en-GB"/>
        </w:rPr>
        <w:t>Addressing Skills Gaps and Talent Shortages in Critical Sectors</w:t>
      </w:r>
      <w:bookmarkEnd w:id="3"/>
    </w:p>
    <w:p w14:paraId="52E9FEB6" w14:textId="475CF12A" w:rsidR="000376CF" w:rsidRPr="000376CF" w:rsidRDefault="000376CF" w:rsidP="000376CF">
      <w:pPr>
        <w:rPr>
          <w:lang w:val="en-GB"/>
        </w:rPr>
      </w:pPr>
      <w:r w:rsidRPr="000376CF">
        <w:rPr>
          <w:lang w:val="en-GB"/>
        </w:rPr>
        <w:t xml:space="preserve">Talent shortages in critical sectors such as technology, healthcare, and hospitality have become pressing challenges for HR professionals. The rapid pace of technological change, an aging population, and evolving societal needs have exacerbated these gaps. In the technology sector, the demand for skilled professionals in fields such as artificial intelligence (AI), data science, and cybersecurity has outpaced the supply of qualified workers. This shortage is particularly acute in countries where technological advancement is central to economic growth </w:t>
      </w:r>
      <w:sdt>
        <w:sdtPr>
          <w:rPr>
            <w:lang w:val="en-GB"/>
          </w:rPr>
          <w:id w:val="655345980"/>
          <w:citation/>
        </w:sdtPr>
        <w:sdtContent>
          <w:r w:rsidR="001E5D68">
            <w:rPr>
              <w:lang w:val="en-GB"/>
            </w:rPr>
            <w:fldChar w:fldCharType="begin"/>
          </w:r>
          <w:r w:rsidR="001E5D68">
            <w:instrText xml:space="preserve"> CITATION Bry14 \l 1033 </w:instrText>
          </w:r>
          <w:r w:rsidR="001E5D68">
            <w:rPr>
              <w:lang w:val="en-GB"/>
            </w:rPr>
            <w:fldChar w:fldCharType="separate"/>
          </w:r>
          <w:r w:rsidR="001E5D68" w:rsidRPr="001E5D68">
            <w:rPr>
              <w:noProof/>
            </w:rPr>
            <w:t>(Brynjolfsson &amp; McAfee, 2014)</w:t>
          </w:r>
          <w:r w:rsidR="001E5D68">
            <w:rPr>
              <w:lang w:val="en-GB"/>
            </w:rPr>
            <w:fldChar w:fldCharType="end"/>
          </w:r>
        </w:sdtContent>
      </w:sdt>
      <w:sdt>
        <w:sdtPr>
          <w:rPr>
            <w:lang w:val="en-GB"/>
          </w:rPr>
          <w:id w:val="-436909240"/>
          <w:citation/>
        </w:sdtPr>
        <w:sdtContent>
          <w:r w:rsidR="001E5D68">
            <w:rPr>
              <w:lang w:val="en-GB"/>
            </w:rPr>
            <w:fldChar w:fldCharType="begin"/>
          </w:r>
          <w:r w:rsidR="001E5D68">
            <w:instrText xml:space="preserve"> CITATION Del20 \l 1033 </w:instrText>
          </w:r>
          <w:r w:rsidR="001E5D68">
            <w:rPr>
              <w:lang w:val="en-GB"/>
            </w:rPr>
            <w:fldChar w:fldCharType="separate"/>
          </w:r>
          <w:r w:rsidR="001E5D68">
            <w:rPr>
              <w:noProof/>
            </w:rPr>
            <w:t xml:space="preserve"> </w:t>
          </w:r>
          <w:r w:rsidR="001E5D68" w:rsidRPr="001E5D68">
            <w:rPr>
              <w:noProof/>
            </w:rPr>
            <w:t>(Deloitte, 2020)</w:t>
          </w:r>
          <w:r w:rsidR="001E5D68">
            <w:rPr>
              <w:lang w:val="en-GB"/>
            </w:rPr>
            <w:fldChar w:fldCharType="end"/>
          </w:r>
        </w:sdtContent>
      </w:sdt>
      <w:r w:rsidRPr="000376CF">
        <w:rPr>
          <w:lang w:val="en-GB"/>
        </w:rPr>
        <w:t xml:space="preserve">. The healthcare sector is also facing significant shortages, particularly in nursing, specialized medical professionals, and elderly care. The aging population in many developed nations has driven up the demand for healthcare services, intensifying the need for qualified staff </w:t>
      </w:r>
      <w:sdt>
        <w:sdtPr>
          <w:rPr>
            <w:lang w:val="en-GB"/>
          </w:rPr>
          <w:id w:val="-261991986"/>
          <w:citation/>
        </w:sdtPr>
        <w:sdtContent>
          <w:r w:rsidR="001E5D68">
            <w:rPr>
              <w:lang w:val="en-GB"/>
            </w:rPr>
            <w:fldChar w:fldCharType="begin"/>
          </w:r>
          <w:r w:rsidR="001E5D68">
            <w:instrText xml:space="preserve"> CITATION Wor201 \l 1033 </w:instrText>
          </w:r>
          <w:r w:rsidR="001E5D68">
            <w:rPr>
              <w:lang w:val="en-GB"/>
            </w:rPr>
            <w:fldChar w:fldCharType="separate"/>
          </w:r>
          <w:r w:rsidR="001E5D68" w:rsidRPr="001E5D68">
            <w:rPr>
              <w:noProof/>
            </w:rPr>
            <w:t>(World Health Organization, 2020)</w:t>
          </w:r>
          <w:r w:rsidR="001E5D68">
            <w:rPr>
              <w:lang w:val="en-GB"/>
            </w:rPr>
            <w:fldChar w:fldCharType="end"/>
          </w:r>
        </w:sdtContent>
      </w:sdt>
      <w:sdt>
        <w:sdtPr>
          <w:rPr>
            <w:lang w:val="en-GB"/>
          </w:rPr>
          <w:id w:val="865802068"/>
          <w:citation/>
        </w:sdtPr>
        <w:sdtContent>
          <w:r w:rsidR="00131222">
            <w:rPr>
              <w:lang w:val="en-GB"/>
            </w:rPr>
            <w:fldChar w:fldCharType="begin"/>
          </w:r>
          <w:r w:rsidR="00131222">
            <w:instrText xml:space="preserve"> CITATION Int20 \l 1033 </w:instrText>
          </w:r>
          <w:r w:rsidR="00131222">
            <w:rPr>
              <w:lang w:val="en-GB"/>
            </w:rPr>
            <w:fldChar w:fldCharType="separate"/>
          </w:r>
          <w:r w:rsidR="00131222">
            <w:rPr>
              <w:noProof/>
            </w:rPr>
            <w:t xml:space="preserve"> </w:t>
          </w:r>
          <w:r w:rsidR="00131222" w:rsidRPr="00131222">
            <w:rPr>
              <w:noProof/>
            </w:rPr>
            <w:t>(International Labour Organization, 2020)</w:t>
          </w:r>
          <w:r w:rsidR="00131222">
            <w:rPr>
              <w:lang w:val="en-GB"/>
            </w:rPr>
            <w:fldChar w:fldCharType="end"/>
          </w:r>
        </w:sdtContent>
      </w:sdt>
      <w:r w:rsidRPr="000376CF">
        <w:rPr>
          <w:lang w:val="en-GB"/>
        </w:rPr>
        <w:t xml:space="preserve">. Similarly, the hospitality sector is grappling with a shortage of skilled workers, exacerbated by factors such as low wages, seasonal work, and the effects of the COVID-19 pandemic, which led to large-scale layoffs and a shift in employee expectations </w:t>
      </w:r>
      <w:sdt>
        <w:sdtPr>
          <w:rPr>
            <w:lang w:val="en-GB"/>
          </w:rPr>
          <w:id w:val="-1509362468"/>
          <w:citation/>
        </w:sdtPr>
        <w:sdtContent>
          <w:r w:rsidR="00131222">
            <w:rPr>
              <w:lang w:val="en-GB"/>
            </w:rPr>
            <w:fldChar w:fldCharType="begin"/>
          </w:r>
          <w:r w:rsidR="00131222">
            <w:instrText xml:space="preserve"> CITATION Int20 \l 1033 </w:instrText>
          </w:r>
          <w:r w:rsidR="00131222">
            <w:rPr>
              <w:lang w:val="en-GB"/>
            </w:rPr>
            <w:fldChar w:fldCharType="separate"/>
          </w:r>
          <w:r w:rsidR="00131222" w:rsidRPr="00131222">
            <w:rPr>
              <w:noProof/>
            </w:rPr>
            <w:t>(International Labour Organization, 2020)</w:t>
          </w:r>
          <w:r w:rsidR="00131222">
            <w:rPr>
              <w:lang w:val="en-GB"/>
            </w:rPr>
            <w:fldChar w:fldCharType="end"/>
          </w:r>
        </w:sdtContent>
      </w:sdt>
      <w:sdt>
        <w:sdtPr>
          <w:rPr>
            <w:lang w:val="en-GB"/>
          </w:rPr>
          <w:id w:val="-1336685427"/>
          <w:citation/>
        </w:sdtPr>
        <w:sdtContent>
          <w:r w:rsidR="00131222">
            <w:rPr>
              <w:lang w:val="en-GB"/>
            </w:rPr>
            <w:fldChar w:fldCharType="begin"/>
          </w:r>
          <w:r w:rsidR="00131222">
            <w:instrText xml:space="preserve"> CITATION Bec23 \l 1033 </w:instrText>
          </w:r>
          <w:r w:rsidR="00131222">
            <w:rPr>
              <w:lang w:val="en-GB"/>
            </w:rPr>
            <w:fldChar w:fldCharType="separate"/>
          </w:r>
          <w:r w:rsidR="00131222">
            <w:rPr>
              <w:noProof/>
            </w:rPr>
            <w:t xml:space="preserve"> </w:t>
          </w:r>
          <w:r w:rsidR="00131222" w:rsidRPr="00131222">
            <w:rPr>
              <w:noProof/>
            </w:rPr>
            <w:t>(Liu-Lastres, et al., 2023)</w:t>
          </w:r>
          <w:r w:rsidR="00131222">
            <w:rPr>
              <w:lang w:val="en-GB"/>
            </w:rPr>
            <w:fldChar w:fldCharType="end"/>
          </w:r>
        </w:sdtContent>
      </w:sdt>
      <w:r w:rsidRPr="000376CF">
        <w:rPr>
          <w:lang w:val="en-GB"/>
        </w:rPr>
        <w:t>.</w:t>
      </w:r>
    </w:p>
    <w:p w14:paraId="75DD698D" w14:textId="77777777" w:rsidR="000376CF" w:rsidRPr="000376CF" w:rsidRDefault="000376CF" w:rsidP="000376CF">
      <w:pPr>
        <w:rPr>
          <w:lang w:val="en-GB"/>
        </w:rPr>
      </w:pPr>
    </w:p>
    <w:p w14:paraId="4A273378" w14:textId="42F50B01" w:rsidR="000376CF" w:rsidRPr="000376CF" w:rsidRDefault="000376CF" w:rsidP="000376CF">
      <w:pPr>
        <w:rPr>
          <w:lang w:val="en-GB"/>
        </w:rPr>
      </w:pPr>
      <w:r w:rsidRPr="000376CF">
        <w:rPr>
          <w:lang w:val="en-GB"/>
        </w:rPr>
        <w:lastRenderedPageBreak/>
        <w:t xml:space="preserve">To mitigate these skills gaps, strategic HRM solutions must focus on attracting, developing, and retaining talent. One of the most effective strategies is investing in workforce development through reskilling and upskilling programs. By offering continuous learning opportunities, companies can enhance the skill set of their current workforce and reduce reliance on external hiring </w:t>
      </w:r>
      <w:sdt>
        <w:sdtPr>
          <w:rPr>
            <w:lang w:val="en-GB"/>
          </w:rPr>
          <w:id w:val="1671750445"/>
          <w:citation/>
        </w:sdtPr>
        <w:sdtContent>
          <w:r w:rsidR="00A92CCD">
            <w:rPr>
              <w:lang w:val="en-GB"/>
            </w:rPr>
            <w:fldChar w:fldCharType="begin"/>
          </w:r>
          <w:r w:rsidR="00A92CCD">
            <w:instrText xml:space="preserve"> CITATION Jos19 \l 1033 </w:instrText>
          </w:r>
          <w:r w:rsidR="00A92CCD">
            <w:rPr>
              <w:lang w:val="en-GB"/>
            </w:rPr>
            <w:fldChar w:fldCharType="separate"/>
          </w:r>
          <w:r w:rsidR="00A92CCD" w:rsidRPr="00A92CCD">
            <w:rPr>
              <w:noProof/>
            </w:rPr>
            <w:t>(Bersin, 2019)</w:t>
          </w:r>
          <w:r w:rsidR="00A92CCD">
            <w:rPr>
              <w:lang w:val="en-GB"/>
            </w:rPr>
            <w:fldChar w:fldCharType="end"/>
          </w:r>
        </w:sdtContent>
      </w:sdt>
      <w:r w:rsidRPr="000376CF">
        <w:rPr>
          <w:lang w:val="en-GB"/>
        </w:rPr>
        <w:t xml:space="preserve">. Partnerships with educational institutions to create specialized training programs tailored to industry needs can also bridge these gaps </w:t>
      </w:r>
      <w:sdt>
        <w:sdtPr>
          <w:rPr>
            <w:lang w:val="en-GB"/>
          </w:rPr>
          <w:id w:val="-433287037"/>
          <w:citation/>
        </w:sdtPr>
        <w:sdtContent>
          <w:r w:rsidR="00A92CCD">
            <w:rPr>
              <w:lang w:val="en-GB"/>
            </w:rPr>
            <w:fldChar w:fldCharType="begin"/>
          </w:r>
          <w:r w:rsidR="00A92CCD">
            <w:instrText xml:space="preserve"> CITATION Pet15 \l 1033 </w:instrText>
          </w:r>
          <w:r w:rsidR="00A92CCD">
            <w:rPr>
              <w:lang w:val="en-GB"/>
            </w:rPr>
            <w:fldChar w:fldCharType="separate"/>
          </w:r>
          <w:r w:rsidR="00A92CCD" w:rsidRPr="00A92CCD">
            <w:rPr>
              <w:noProof/>
            </w:rPr>
            <w:t>(Cappelli, 2015)</w:t>
          </w:r>
          <w:r w:rsidR="00A92CCD">
            <w:rPr>
              <w:lang w:val="en-GB"/>
            </w:rPr>
            <w:fldChar w:fldCharType="end"/>
          </w:r>
        </w:sdtContent>
      </w:sdt>
      <w:r w:rsidRPr="000376CF">
        <w:rPr>
          <w:lang w:val="en-GB"/>
        </w:rPr>
        <w:t xml:space="preserve">. Additionally, promoting diversity and inclusion in recruitment efforts can expand the talent pool, ensuring that underrepresented groups are not overlooked </w:t>
      </w:r>
      <w:sdt>
        <w:sdtPr>
          <w:rPr>
            <w:lang w:val="en-GB"/>
          </w:rPr>
          <w:id w:val="-938683194"/>
          <w:citation/>
        </w:sdtPr>
        <w:sdtContent>
          <w:r w:rsidR="00A92CCD">
            <w:rPr>
              <w:lang w:val="en-GB"/>
            </w:rPr>
            <w:fldChar w:fldCharType="begin"/>
          </w:r>
          <w:r w:rsidR="00A92CCD">
            <w:instrText xml:space="preserve"> CITATION Cat20 \l 1033 </w:instrText>
          </w:r>
          <w:r w:rsidR="00A92CCD">
            <w:rPr>
              <w:lang w:val="en-GB"/>
            </w:rPr>
            <w:fldChar w:fldCharType="separate"/>
          </w:r>
          <w:r w:rsidR="00A92CCD" w:rsidRPr="00A92CCD">
            <w:rPr>
              <w:noProof/>
            </w:rPr>
            <w:t>(Catalyst, 2020)</w:t>
          </w:r>
          <w:r w:rsidR="00A92CCD">
            <w:rPr>
              <w:lang w:val="en-GB"/>
            </w:rPr>
            <w:fldChar w:fldCharType="end"/>
          </w:r>
        </w:sdtContent>
      </w:sdt>
      <w:r w:rsidRPr="000376CF">
        <w:rPr>
          <w:lang w:val="en-GB"/>
        </w:rPr>
        <w:t xml:space="preserve">. In the technology sector, companies like Google have implemented apprenticeship programs for individuals without formal computer science degrees, offering opportunities to gain skills through hands-on experience </w:t>
      </w:r>
      <w:sdt>
        <w:sdtPr>
          <w:rPr>
            <w:lang w:val="en-GB"/>
          </w:rPr>
          <w:id w:val="-1973434492"/>
          <w:citation/>
        </w:sdtPr>
        <w:sdtContent>
          <w:r w:rsidR="00C618B1">
            <w:rPr>
              <w:lang w:val="en-GB"/>
            </w:rPr>
            <w:fldChar w:fldCharType="begin"/>
          </w:r>
          <w:r w:rsidR="00C618B1">
            <w:instrText xml:space="preserve"> CITATION Goo20 \l 1033 </w:instrText>
          </w:r>
          <w:r w:rsidR="00C618B1">
            <w:rPr>
              <w:lang w:val="en-GB"/>
            </w:rPr>
            <w:fldChar w:fldCharType="separate"/>
          </w:r>
          <w:r w:rsidR="00C618B1" w:rsidRPr="00C618B1">
            <w:rPr>
              <w:noProof/>
            </w:rPr>
            <w:t>(Google, 2020)</w:t>
          </w:r>
          <w:r w:rsidR="00C618B1">
            <w:rPr>
              <w:lang w:val="en-GB"/>
            </w:rPr>
            <w:fldChar w:fldCharType="end"/>
          </w:r>
        </w:sdtContent>
      </w:sdt>
      <w:r w:rsidRPr="000376CF">
        <w:rPr>
          <w:lang w:val="en-GB"/>
        </w:rPr>
        <w:t xml:space="preserve">. In healthcare, organizations are increasingly investing in nurse training programs to ensure an adequate supply of qualified staff in response to growing demand </w:t>
      </w:r>
      <w:sdt>
        <w:sdtPr>
          <w:rPr>
            <w:lang w:val="en-GB"/>
          </w:rPr>
          <w:id w:val="419139965"/>
          <w:citation/>
        </w:sdtPr>
        <w:sdtContent>
          <w:r w:rsidR="00C618B1">
            <w:rPr>
              <w:lang w:val="en-GB"/>
            </w:rPr>
            <w:fldChar w:fldCharType="begin"/>
          </w:r>
          <w:r w:rsidR="00C618B1">
            <w:instrText xml:space="preserve"> CITATION Wor201 \l 1033 </w:instrText>
          </w:r>
          <w:r w:rsidR="00C618B1">
            <w:rPr>
              <w:lang w:val="en-GB"/>
            </w:rPr>
            <w:fldChar w:fldCharType="separate"/>
          </w:r>
          <w:r w:rsidR="00C618B1" w:rsidRPr="00C618B1">
            <w:rPr>
              <w:noProof/>
            </w:rPr>
            <w:t>(World Health Organization, 2020)</w:t>
          </w:r>
          <w:r w:rsidR="00C618B1">
            <w:rPr>
              <w:lang w:val="en-GB"/>
            </w:rPr>
            <w:fldChar w:fldCharType="end"/>
          </w:r>
        </w:sdtContent>
      </w:sdt>
      <w:r w:rsidRPr="000376CF">
        <w:rPr>
          <w:lang w:val="en-GB"/>
        </w:rPr>
        <w:t>.</w:t>
      </w:r>
    </w:p>
    <w:p w14:paraId="5CEE5623" w14:textId="77777777" w:rsidR="000376CF" w:rsidRPr="000376CF" w:rsidRDefault="000376CF" w:rsidP="000376CF">
      <w:pPr>
        <w:rPr>
          <w:lang w:val="en-GB"/>
        </w:rPr>
      </w:pPr>
    </w:p>
    <w:p w14:paraId="3E6B6ADC" w14:textId="7F24B866" w:rsidR="000376CF" w:rsidRPr="000376CF" w:rsidRDefault="000376CF" w:rsidP="000376CF">
      <w:pPr>
        <w:rPr>
          <w:lang w:val="en-GB"/>
        </w:rPr>
      </w:pPr>
      <w:r w:rsidRPr="000376CF">
        <w:rPr>
          <w:lang w:val="en-GB"/>
        </w:rPr>
        <w:t xml:space="preserve">Case studies from leading organizations demonstrate best practices in talent management. For instance, IBM has adopted a "New Collar" approach, focusing on skills rather than formal degrees. This strategy has been successful in filling critical roles in technology by training individuals with the necessary skills rather than requiring them to have traditional qualifications </w:t>
      </w:r>
      <w:sdt>
        <w:sdtPr>
          <w:rPr>
            <w:lang w:val="en-GB"/>
          </w:rPr>
          <w:id w:val="-901827341"/>
          <w:citation/>
        </w:sdtPr>
        <w:sdtContent>
          <w:r w:rsidR="00C618B1">
            <w:rPr>
              <w:lang w:val="en-GB"/>
            </w:rPr>
            <w:fldChar w:fldCharType="begin"/>
          </w:r>
          <w:r w:rsidR="00C618B1">
            <w:instrText xml:space="preserve"> CITATION Bry14 \l 1033 </w:instrText>
          </w:r>
          <w:r w:rsidR="00C618B1">
            <w:rPr>
              <w:lang w:val="en-GB"/>
            </w:rPr>
            <w:fldChar w:fldCharType="separate"/>
          </w:r>
          <w:r w:rsidR="00C618B1" w:rsidRPr="00C618B1">
            <w:rPr>
              <w:noProof/>
            </w:rPr>
            <w:t>(Brynjolfsson &amp; McAfee, 2014)</w:t>
          </w:r>
          <w:r w:rsidR="00C618B1">
            <w:rPr>
              <w:lang w:val="en-GB"/>
            </w:rPr>
            <w:fldChar w:fldCharType="end"/>
          </w:r>
        </w:sdtContent>
      </w:sdt>
      <w:sdt>
        <w:sdtPr>
          <w:rPr>
            <w:lang w:val="en-GB"/>
          </w:rPr>
          <w:id w:val="1475402982"/>
          <w:citation/>
        </w:sdtPr>
        <w:sdtContent>
          <w:r w:rsidR="00C618B1">
            <w:rPr>
              <w:lang w:val="en-GB"/>
            </w:rPr>
            <w:fldChar w:fldCharType="begin"/>
          </w:r>
          <w:r w:rsidR="00C618B1">
            <w:instrText xml:space="preserve"> CITATION IBM19 \l 1033 </w:instrText>
          </w:r>
          <w:r w:rsidR="00C618B1">
            <w:rPr>
              <w:lang w:val="en-GB"/>
            </w:rPr>
            <w:fldChar w:fldCharType="separate"/>
          </w:r>
          <w:r w:rsidR="00C618B1">
            <w:rPr>
              <w:noProof/>
            </w:rPr>
            <w:t xml:space="preserve"> </w:t>
          </w:r>
          <w:r w:rsidR="00C618B1" w:rsidRPr="00C618B1">
            <w:rPr>
              <w:noProof/>
            </w:rPr>
            <w:t>(IBM, 2019)</w:t>
          </w:r>
          <w:r w:rsidR="00C618B1">
            <w:rPr>
              <w:lang w:val="en-GB"/>
            </w:rPr>
            <w:fldChar w:fldCharType="end"/>
          </w:r>
        </w:sdtContent>
      </w:sdt>
      <w:r w:rsidRPr="000376CF">
        <w:rPr>
          <w:lang w:val="en-GB"/>
        </w:rPr>
        <w:t xml:space="preserve">. In healthcare, the Mayo Clinic has implemented workforce development programs aimed at training employees to meet the specific needs of their patients, which has proven effective in addressing staff shortages while ensuring high-quality care </w:t>
      </w:r>
      <w:sdt>
        <w:sdtPr>
          <w:rPr>
            <w:lang w:val="en-GB"/>
          </w:rPr>
          <w:id w:val="-81537671"/>
          <w:citation/>
        </w:sdtPr>
        <w:sdtContent>
          <w:r w:rsidR="00C618B1">
            <w:rPr>
              <w:lang w:val="en-GB"/>
            </w:rPr>
            <w:fldChar w:fldCharType="begin"/>
          </w:r>
          <w:r w:rsidR="00C618B1">
            <w:instrText xml:space="preserve"> CITATION May21 \l 1033 </w:instrText>
          </w:r>
          <w:r w:rsidR="00C618B1">
            <w:rPr>
              <w:lang w:val="en-GB"/>
            </w:rPr>
            <w:fldChar w:fldCharType="separate"/>
          </w:r>
          <w:r w:rsidR="00C618B1" w:rsidRPr="00C618B1">
            <w:rPr>
              <w:noProof/>
            </w:rPr>
            <w:t>(Mayo Clinic, 2021)</w:t>
          </w:r>
          <w:r w:rsidR="00C618B1">
            <w:rPr>
              <w:lang w:val="en-GB"/>
            </w:rPr>
            <w:fldChar w:fldCharType="end"/>
          </w:r>
        </w:sdtContent>
      </w:sdt>
      <w:r w:rsidRPr="000376CF">
        <w:rPr>
          <w:lang w:val="en-GB"/>
        </w:rPr>
        <w:t xml:space="preserve">. Similarly, Marriott International in the hospitality sector has introduced comprehensive training programs aimed at developing both hard and soft skills among its employees, ensuring that they are prepared to handle the fast-paced, customer-centric demands of the industry </w:t>
      </w:r>
      <w:sdt>
        <w:sdtPr>
          <w:rPr>
            <w:lang w:val="en-GB"/>
          </w:rPr>
          <w:id w:val="1232190186"/>
          <w:citation/>
        </w:sdtPr>
        <w:sdtContent>
          <w:r w:rsidR="004F5658">
            <w:rPr>
              <w:lang w:val="en-GB"/>
            </w:rPr>
            <w:fldChar w:fldCharType="begin"/>
          </w:r>
          <w:r w:rsidR="004F5658">
            <w:instrText xml:space="preserve"> CITATION Mar20 \l 1033 </w:instrText>
          </w:r>
          <w:r w:rsidR="004F5658">
            <w:rPr>
              <w:lang w:val="en-GB"/>
            </w:rPr>
            <w:fldChar w:fldCharType="separate"/>
          </w:r>
          <w:r w:rsidR="004F5658" w:rsidRPr="004F5658">
            <w:rPr>
              <w:noProof/>
            </w:rPr>
            <w:t>(Marriott International, 2020)</w:t>
          </w:r>
          <w:r w:rsidR="004F5658">
            <w:rPr>
              <w:lang w:val="en-GB"/>
            </w:rPr>
            <w:fldChar w:fldCharType="end"/>
          </w:r>
        </w:sdtContent>
      </w:sdt>
      <w:r w:rsidRPr="000376CF">
        <w:rPr>
          <w:lang w:val="en-GB"/>
        </w:rPr>
        <w:t>.</w:t>
      </w:r>
    </w:p>
    <w:p w14:paraId="39EF5436" w14:textId="77777777" w:rsidR="000376CF" w:rsidRPr="000376CF" w:rsidRDefault="000376CF" w:rsidP="000376CF">
      <w:pPr>
        <w:rPr>
          <w:lang w:val="en-GB"/>
        </w:rPr>
      </w:pPr>
    </w:p>
    <w:p w14:paraId="32CD17A0" w14:textId="0B44451D" w:rsidR="000376CF" w:rsidRDefault="000376CF" w:rsidP="000376CF">
      <w:pPr>
        <w:rPr>
          <w:lang w:val="en-GB"/>
        </w:rPr>
      </w:pPr>
      <w:r w:rsidRPr="000376CF">
        <w:rPr>
          <w:lang w:val="en-GB"/>
        </w:rPr>
        <w:t xml:space="preserve">As these case studies </w:t>
      </w:r>
      <w:r w:rsidR="00F402E6">
        <w:rPr>
          <w:lang w:val="en-GB"/>
        </w:rPr>
        <w:t>demonstrate, strategic HRM solutions must be tailored to the specific needs of each sector, while also prioritizing</w:t>
      </w:r>
      <w:r w:rsidRPr="000376CF">
        <w:rPr>
          <w:lang w:val="en-GB"/>
        </w:rPr>
        <w:t xml:space="preserve"> long-term workforce sustainability</w:t>
      </w:r>
      <w:r w:rsidR="00740DD6">
        <w:rPr>
          <w:lang w:val="en-GB"/>
        </w:rPr>
        <w:t xml:space="preserve"> and resilience</w:t>
      </w:r>
      <w:r w:rsidRPr="000376CF">
        <w:rPr>
          <w:lang w:val="en-GB"/>
        </w:rPr>
        <w:t xml:space="preserve">. By proactively addressing skill shortages, organizations can enhance their </w:t>
      </w:r>
      <w:r w:rsidR="00F402E6">
        <w:rPr>
          <w:lang w:val="en-GB"/>
        </w:rPr>
        <w:t>competitiveness in the global marketplace, improve employee satisfaction, and ensure sustained</w:t>
      </w:r>
      <w:r w:rsidRPr="000376CF">
        <w:rPr>
          <w:lang w:val="en-GB"/>
        </w:rPr>
        <w:t xml:space="preserve"> growth.</w:t>
      </w:r>
    </w:p>
    <w:p w14:paraId="655F45F8" w14:textId="77777777" w:rsidR="000376CF" w:rsidRDefault="000376CF" w:rsidP="000376CF">
      <w:pPr>
        <w:rPr>
          <w:lang w:val="en-GB"/>
        </w:rPr>
      </w:pPr>
    </w:p>
    <w:p w14:paraId="54495267" w14:textId="77777777" w:rsidR="000376CF" w:rsidRDefault="000376CF" w:rsidP="000376CF">
      <w:pPr>
        <w:rPr>
          <w:lang w:val="en-GB"/>
        </w:rPr>
      </w:pPr>
    </w:p>
    <w:p w14:paraId="31B4DCD9" w14:textId="21580293" w:rsidR="000376CF" w:rsidRDefault="000376CF" w:rsidP="000376CF">
      <w:pPr>
        <w:pStyle w:val="Caption"/>
        <w:rPr>
          <w:lang w:val="en-GB"/>
        </w:rPr>
      </w:pPr>
      <w:r>
        <w:lastRenderedPageBreak/>
        <w:t xml:space="preserve">Table 4. </w:t>
      </w:r>
      <w:r>
        <w:fldChar w:fldCharType="begin"/>
      </w:r>
      <w:r>
        <w:instrText xml:space="preserve"> SEQ Table_4. \* ARABIC </w:instrText>
      </w:r>
      <w:r>
        <w:fldChar w:fldCharType="separate"/>
      </w:r>
      <w:r>
        <w:rPr>
          <w:noProof/>
        </w:rPr>
        <w:t>1</w:t>
      </w:r>
      <w:r>
        <w:fldChar w:fldCharType="end"/>
      </w:r>
      <w:r>
        <w:t xml:space="preserve">: </w:t>
      </w:r>
      <w:r w:rsidRPr="000376CF">
        <w:t>Talent Shortages in Critical Sectors and HRM Solutions</w:t>
      </w:r>
    </w:p>
    <w:tbl>
      <w:tblPr>
        <w:tblStyle w:val="TableGrid"/>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060"/>
        <w:gridCol w:w="3240"/>
        <w:gridCol w:w="1980"/>
      </w:tblGrid>
      <w:tr w:rsidR="000376CF" w14:paraId="48F4D294" w14:textId="77777777" w:rsidTr="0061120B">
        <w:tc>
          <w:tcPr>
            <w:tcW w:w="1525" w:type="dxa"/>
            <w:tcBorders>
              <w:top w:val="single" w:sz="12" w:space="0" w:color="auto"/>
              <w:bottom w:val="single" w:sz="12" w:space="0" w:color="auto"/>
            </w:tcBorders>
          </w:tcPr>
          <w:p w14:paraId="50E3B3DB" w14:textId="48900AFE" w:rsidR="000376CF" w:rsidRPr="000376CF" w:rsidRDefault="000376CF" w:rsidP="000376CF">
            <w:pPr>
              <w:rPr>
                <w:b/>
                <w:bCs/>
                <w:lang w:val="en-GB"/>
              </w:rPr>
            </w:pPr>
            <w:r w:rsidRPr="000376CF">
              <w:rPr>
                <w:b/>
                <w:bCs/>
              </w:rPr>
              <w:t>Sector</w:t>
            </w:r>
          </w:p>
        </w:tc>
        <w:tc>
          <w:tcPr>
            <w:tcW w:w="3060" w:type="dxa"/>
            <w:tcBorders>
              <w:top w:val="single" w:sz="12" w:space="0" w:color="auto"/>
              <w:bottom w:val="single" w:sz="12" w:space="0" w:color="auto"/>
            </w:tcBorders>
          </w:tcPr>
          <w:p w14:paraId="4A77AA9B" w14:textId="59027AF4" w:rsidR="000376CF" w:rsidRPr="000376CF" w:rsidRDefault="000376CF" w:rsidP="000376CF">
            <w:pPr>
              <w:rPr>
                <w:b/>
                <w:bCs/>
                <w:lang w:val="en-GB"/>
              </w:rPr>
            </w:pPr>
            <w:r w:rsidRPr="000376CF">
              <w:rPr>
                <w:b/>
                <w:bCs/>
              </w:rPr>
              <w:t>Impact of Talent Shortages</w:t>
            </w:r>
          </w:p>
        </w:tc>
        <w:tc>
          <w:tcPr>
            <w:tcW w:w="3240" w:type="dxa"/>
            <w:tcBorders>
              <w:top w:val="single" w:sz="12" w:space="0" w:color="auto"/>
              <w:bottom w:val="single" w:sz="12" w:space="0" w:color="auto"/>
            </w:tcBorders>
          </w:tcPr>
          <w:p w14:paraId="6BD8D22D" w14:textId="4F33C3D2" w:rsidR="000376CF" w:rsidRPr="000376CF" w:rsidRDefault="000376CF" w:rsidP="000376CF">
            <w:pPr>
              <w:rPr>
                <w:b/>
                <w:bCs/>
                <w:lang w:val="en-GB"/>
              </w:rPr>
            </w:pPr>
            <w:r w:rsidRPr="000376CF">
              <w:rPr>
                <w:b/>
                <w:bCs/>
              </w:rPr>
              <w:t>HRM Solutions</w:t>
            </w:r>
          </w:p>
        </w:tc>
        <w:tc>
          <w:tcPr>
            <w:tcW w:w="1980" w:type="dxa"/>
            <w:tcBorders>
              <w:top w:val="single" w:sz="12" w:space="0" w:color="auto"/>
              <w:bottom w:val="single" w:sz="12" w:space="0" w:color="auto"/>
            </w:tcBorders>
          </w:tcPr>
          <w:p w14:paraId="7803E854" w14:textId="0FEC3FAF" w:rsidR="000376CF" w:rsidRPr="000376CF" w:rsidRDefault="000376CF" w:rsidP="000376CF">
            <w:pPr>
              <w:rPr>
                <w:b/>
                <w:bCs/>
                <w:lang w:val="en-GB"/>
              </w:rPr>
            </w:pPr>
            <w:r w:rsidRPr="000376CF">
              <w:rPr>
                <w:b/>
                <w:bCs/>
              </w:rPr>
              <w:t>Example</w:t>
            </w:r>
          </w:p>
        </w:tc>
      </w:tr>
      <w:tr w:rsidR="000376CF" w14:paraId="0A97C5E1" w14:textId="77777777" w:rsidTr="0061120B">
        <w:tc>
          <w:tcPr>
            <w:tcW w:w="1525" w:type="dxa"/>
            <w:tcBorders>
              <w:top w:val="single" w:sz="12" w:space="0" w:color="auto"/>
            </w:tcBorders>
          </w:tcPr>
          <w:p w14:paraId="733F5F8A" w14:textId="7553E1BB" w:rsidR="000376CF" w:rsidRDefault="000376CF" w:rsidP="000376CF">
            <w:pPr>
              <w:rPr>
                <w:lang w:val="en-GB"/>
              </w:rPr>
            </w:pPr>
            <w:r w:rsidRPr="00EE28E3">
              <w:t>Technology</w:t>
            </w:r>
          </w:p>
        </w:tc>
        <w:tc>
          <w:tcPr>
            <w:tcW w:w="3060" w:type="dxa"/>
            <w:tcBorders>
              <w:top w:val="single" w:sz="12" w:space="0" w:color="auto"/>
            </w:tcBorders>
          </w:tcPr>
          <w:p w14:paraId="614120ED" w14:textId="2E07B5E0" w:rsidR="000376CF" w:rsidRDefault="000376CF" w:rsidP="000376CF">
            <w:pPr>
              <w:jc w:val="left"/>
              <w:rPr>
                <w:lang w:val="en-GB"/>
              </w:rPr>
            </w:pPr>
            <w:r w:rsidRPr="00EE28E3">
              <w:t>High demand for AI, cybersecurity, and data science experts</w:t>
            </w:r>
          </w:p>
        </w:tc>
        <w:tc>
          <w:tcPr>
            <w:tcW w:w="3240" w:type="dxa"/>
            <w:tcBorders>
              <w:top w:val="single" w:sz="12" w:space="0" w:color="auto"/>
            </w:tcBorders>
          </w:tcPr>
          <w:p w14:paraId="1A98FE3D" w14:textId="78D91E6D" w:rsidR="000376CF" w:rsidRDefault="000376CF" w:rsidP="000376CF">
            <w:pPr>
              <w:jc w:val="left"/>
              <w:rPr>
                <w:lang w:val="en-GB"/>
              </w:rPr>
            </w:pPr>
            <w:r w:rsidRPr="00EE28E3">
              <w:t>Reskilling programs, partnerships with educational institutes</w:t>
            </w:r>
          </w:p>
        </w:tc>
        <w:tc>
          <w:tcPr>
            <w:tcW w:w="1980" w:type="dxa"/>
            <w:tcBorders>
              <w:top w:val="single" w:sz="12" w:space="0" w:color="auto"/>
            </w:tcBorders>
          </w:tcPr>
          <w:p w14:paraId="7A5E3157" w14:textId="3C712373" w:rsidR="000376CF" w:rsidRDefault="000376CF" w:rsidP="000376CF">
            <w:pPr>
              <w:jc w:val="left"/>
              <w:rPr>
                <w:lang w:val="en-GB"/>
              </w:rPr>
            </w:pPr>
            <w:r w:rsidRPr="00EE28E3">
              <w:t>Google's apprenticeship program</w:t>
            </w:r>
          </w:p>
        </w:tc>
      </w:tr>
      <w:tr w:rsidR="000376CF" w14:paraId="59B99D4E" w14:textId="77777777" w:rsidTr="0061120B">
        <w:tc>
          <w:tcPr>
            <w:tcW w:w="1525" w:type="dxa"/>
          </w:tcPr>
          <w:p w14:paraId="7B8EF22C" w14:textId="5B69C353" w:rsidR="000376CF" w:rsidRDefault="000376CF" w:rsidP="000376CF">
            <w:pPr>
              <w:rPr>
                <w:lang w:val="en-GB"/>
              </w:rPr>
            </w:pPr>
            <w:r w:rsidRPr="00EE28E3">
              <w:t>Healthcare</w:t>
            </w:r>
          </w:p>
        </w:tc>
        <w:tc>
          <w:tcPr>
            <w:tcW w:w="3060" w:type="dxa"/>
          </w:tcPr>
          <w:p w14:paraId="35ED6CFC" w14:textId="03772B1C" w:rsidR="000376CF" w:rsidRDefault="000376CF" w:rsidP="000376CF">
            <w:pPr>
              <w:jc w:val="left"/>
              <w:rPr>
                <w:lang w:val="en-GB"/>
              </w:rPr>
            </w:pPr>
            <w:r w:rsidRPr="00EE28E3">
              <w:t>Shortages in nursing and specialized medical roles</w:t>
            </w:r>
          </w:p>
        </w:tc>
        <w:tc>
          <w:tcPr>
            <w:tcW w:w="3240" w:type="dxa"/>
          </w:tcPr>
          <w:p w14:paraId="707AC1B5" w14:textId="0DBD907D" w:rsidR="000376CF" w:rsidRDefault="000376CF" w:rsidP="000376CF">
            <w:pPr>
              <w:jc w:val="left"/>
              <w:rPr>
                <w:lang w:val="en-GB"/>
              </w:rPr>
            </w:pPr>
            <w:r w:rsidRPr="00EE28E3">
              <w:t>Nurse training programs, investment in continuing education</w:t>
            </w:r>
          </w:p>
        </w:tc>
        <w:tc>
          <w:tcPr>
            <w:tcW w:w="1980" w:type="dxa"/>
          </w:tcPr>
          <w:p w14:paraId="30662581" w14:textId="3C5CD18B" w:rsidR="000376CF" w:rsidRDefault="000376CF" w:rsidP="000376CF">
            <w:pPr>
              <w:jc w:val="left"/>
              <w:rPr>
                <w:lang w:val="en-GB"/>
              </w:rPr>
            </w:pPr>
            <w:r w:rsidRPr="00EE28E3">
              <w:t>Mayo Clinic workforce development</w:t>
            </w:r>
          </w:p>
        </w:tc>
      </w:tr>
      <w:tr w:rsidR="000376CF" w14:paraId="730CA1A3" w14:textId="77777777" w:rsidTr="0061120B">
        <w:tc>
          <w:tcPr>
            <w:tcW w:w="1525" w:type="dxa"/>
            <w:tcBorders>
              <w:bottom w:val="single" w:sz="12" w:space="0" w:color="auto"/>
            </w:tcBorders>
          </w:tcPr>
          <w:p w14:paraId="40D49233" w14:textId="4FDF9BEF" w:rsidR="000376CF" w:rsidRDefault="000376CF" w:rsidP="000376CF">
            <w:pPr>
              <w:rPr>
                <w:lang w:val="en-GB"/>
              </w:rPr>
            </w:pPr>
            <w:r w:rsidRPr="00EE28E3">
              <w:t>Hospitality</w:t>
            </w:r>
          </w:p>
        </w:tc>
        <w:tc>
          <w:tcPr>
            <w:tcW w:w="3060" w:type="dxa"/>
            <w:tcBorders>
              <w:bottom w:val="single" w:sz="12" w:space="0" w:color="auto"/>
            </w:tcBorders>
          </w:tcPr>
          <w:p w14:paraId="35F998B4" w14:textId="506E02E1" w:rsidR="000376CF" w:rsidRDefault="000376CF" w:rsidP="000376CF">
            <w:pPr>
              <w:jc w:val="left"/>
              <w:rPr>
                <w:lang w:val="en-GB"/>
              </w:rPr>
            </w:pPr>
            <w:r w:rsidRPr="00EE28E3">
              <w:t>Lack of skilled workers, especially post-COVID-19</w:t>
            </w:r>
          </w:p>
        </w:tc>
        <w:tc>
          <w:tcPr>
            <w:tcW w:w="3240" w:type="dxa"/>
            <w:tcBorders>
              <w:bottom w:val="single" w:sz="12" w:space="0" w:color="auto"/>
            </w:tcBorders>
          </w:tcPr>
          <w:p w14:paraId="4363F3A1" w14:textId="27715086" w:rsidR="000376CF" w:rsidRDefault="000376CF" w:rsidP="000376CF">
            <w:pPr>
              <w:jc w:val="left"/>
              <w:rPr>
                <w:lang w:val="en-GB"/>
              </w:rPr>
            </w:pPr>
            <w:r w:rsidRPr="00EE28E3">
              <w:t>Employee training programs, offering career progression</w:t>
            </w:r>
          </w:p>
        </w:tc>
        <w:tc>
          <w:tcPr>
            <w:tcW w:w="1980" w:type="dxa"/>
            <w:tcBorders>
              <w:bottom w:val="single" w:sz="12" w:space="0" w:color="auto"/>
            </w:tcBorders>
          </w:tcPr>
          <w:p w14:paraId="6C8630D7" w14:textId="412AF5E7" w:rsidR="000376CF" w:rsidRDefault="000376CF" w:rsidP="000376CF">
            <w:pPr>
              <w:jc w:val="left"/>
              <w:rPr>
                <w:lang w:val="en-GB"/>
              </w:rPr>
            </w:pPr>
            <w:r w:rsidRPr="00EE28E3">
              <w:t>Marriott International training</w:t>
            </w:r>
          </w:p>
        </w:tc>
      </w:tr>
    </w:tbl>
    <w:p w14:paraId="37312C25" w14:textId="77777777" w:rsidR="000376CF" w:rsidRDefault="000376CF" w:rsidP="000376CF">
      <w:pPr>
        <w:rPr>
          <w:i/>
          <w:iCs/>
          <w:lang w:val="en-GB"/>
        </w:rPr>
      </w:pPr>
      <w:r w:rsidRPr="000376CF">
        <w:rPr>
          <w:i/>
          <w:iCs/>
          <w:sz w:val="22"/>
          <w:szCs w:val="22"/>
          <w:lang w:val="en-GB"/>
        </w:rPr>
        <w:t>Source: Data from ILO (2020), Brynjolfsson &amp; McAfee (2014), Deloitte (2020), Google (2020), IBM (2019), Mayo Clinic (2021), Marriott International (2020).</w:t>
      </w:r>
    </w:p>
    <w:p w14:paraId="7EE8B383" w14:textId="77777777" w:rsidR="000376CF" w:rsidRDefault="000376CF" w:rsidP="000376CF">
      <w:pPr>
        <w:rPr>
          <w:lang w:val="en-GB"/>
        </w:rPr>
      </w:pPr>
    </w:p>
    <w:p w14:paraId="36E90895" w14:textId="4990F58C" w:rsidR="000376CF" w:rsidRPr="000376CF" w:rsidRDefault="000376CF" w:rsidP="000376CF">
      <w:pPr>
        <w:pStyle w:val="Heading1"/>
        <w:rPr>
          <w:lang w:val="en-GB"/>
        </w:rPr>
      </w:pPr>
      <w:bookmarkStart w:id="4" w:name="_Toc210589670"/>
      <w:r>
        <w:rPr>
          <w:lang w:val="en-GB"/>
        </w:rPr>
        <w:t xml:space="preserve">5. </w:t>
      </w:r>
      <w:r w:rsidRPr="000376CF">
        <w:rPr>
          <w:lang w:val="en-GB"/>
        </w:rPr>
        <w:t>Reflective Report on My Preparedness for the Labor Market</w:t>
      </w:r>
      <w:bookmarkEnd w:id="4"/>
    </w:p>
    <w:p w14:paraId="2CCF121C" w14:textId="77777777" w:rsidR="000A43CA" w:rsidRPr="000A43CA" w:rsidRDefault="000A43CA" w:rsidP="000A43CA">
      <w:pPr>
        <w:rPr>
          <w:lang w:val="en-GB"/>
        </w:rPr>
      </w:pPr>
      <w:r w:rsidRPr="000A43CA">
        <w:rPr>
          <w:lang w:val="en-GB"/>
        </w:rPr>
        <w:t>In today’s globalized workplace, employees must be equipped to work effectively in diverse, dynamic environments. Reflecting on my capabilities, particularly through my experience at Ginlong Technologies in China, I can assess my strengths and areas for improvement in technology, communication, teamwork, leadership, and self-directed learning.</w:t>
      </w:r>
    </w:p>
    <w:p w14:paraId="1EF67F29" w14:textId="77777777" w:rsidR="000A43CA" w:rsidRPr="000A43CA" w:rsidRDefault="000A43CA" w:rsidP="000A43CA">
      <w:pPr>
        <w:rPr>
          <w:lang w:val="en-GB"/>
        </w:rPr>
      </w:pPr>
    </w:p>
    <w:p w14:paraId="71790A34" w14:textId="33D20890" w:rsidR="000A43CA" w:rsidRPr="000A43CA" w:rsidRDefault="000A43CA" w:rsidP="000A43CA">
      <w:pPr>
        <w:rPr>
          <w:lang w:val="en-GB"/>
        </w:rPr>
      </w:pPr>
      <w:r w:rsidRPr="000A43CA">
        <w:rPr>
          <w:lang w:val="en-GB"/>
        </w:rPr>
        <w:t xml:space="preserve">I have built a strong foundation in technology, particularly through my involvement with automation systems and renewable energy solutions at Ginlong Technologies. I worked with SCADA systems and industry-specific software, troubleshooting technical issues and optimizing operations. While </w:t>
      </w:r>
      <w:r w:rsidR="00F402E6">
        <w:rPr>
          <w:lang w:val="en-GB"/>
        </w:rPr>
        <w:t>I am confident in my technical abilities, I recognize the need to stay up-to-date on emerging trends,</w:t>
      </w:r>
      <w:r w:rsidRPr="000A43CA">
        <w:rPr>
          <w:lang w:val="en-GB"/>
        </w:rPr>
        <w:t xml:space="preserve"> such as AI and data analytics. I plan to pursue courses and certifications in these areas to remain competitive.</w:t>
      </w:r>
    </w:p>
    <w:p w14:paraId="4B896394" w14:textId="77777777" w:rsidR="000A43CA" w:rsidRPr="000A43CA" w:rsidRDefault="000A43CA" w:rsidP="000A43CA">
      <w:pPr>
        <w:rPr>
          <w:lang w:val="en-GB"/>
        </w:rPr>
      </w:pPr>
    </w:p>
    <w:p w14:paraId="70BDF3D0" w14:textId="14E7DB50" w:rsidR="000A43CA" w:rsidRPr="000A43CA" w:rsidRDefault="000A43CA" w:rsidP="000A43CA">
      <w:pPr>
        <w:rPr>
          <w:lang w:val="en-GB"/>
        </w:rPr>
      </w:pPr>
      <w:r w:rsidRPr="000A43CA">
        <w:rPr>
          <w:lang w:val="en-GB"/>
        </w:rPr>
        <w:t xml:space="preserve">Communication has been another strength, particularly in translating complex technical information for cross-functional teams. Working with diverse teams at Ginlong, I’ve learned to communicate clearly with both technical and non-technical stakeholders. However, challenges in </w:t>
      </w:r>
      <w:r w:rsidRPr="000A43CA">
        <w:rPr>
          <w:lang w:val="en-GB"/>
        </w:rPr>
        <w:lastRenderedPageBreak/>
        <w:t xml:space="preserve">multicultural communication </w:t>
      </w:r>
      <w:r w:rsidR="00F402E6">
        <w:rPr>
          <w:lang w:val="en-GB"/>
        </w:rPr>
        <w:t>persist, mainly due to</w:t>
      </w:r>
      <w:r w:rsidRPr="000A43CA">
        <w:rPr>
          <w:lang w:val="en-GB"/>
        </w:rPr>
        <w:t xml:space="preserve"> language barriers. I intend to improve this by participating in intercultural training and learning additional languages.</w:t>
      </w:r>
    </w:p>
    <w:p w14:paraId="423F649B" w14:textId="77777777" w:rsidR="000A43CA" w:rsidRPr="000A43CA" w:rsidRDefault="000A43CA" w:rsidP="000A43CA">
      <w:pPr>
        <w:rPr>
          <w:lang w:val="en-GB"/>
        </w:rPr>
      </w:pPr>
    </w:p>
    <w:p w14:paraId="15035378" w14:textId="77777777" w:rsidR="000A43CA" w:rsidRPr="000A43CA" w:rsidRDefault="000A43CA" w:rsidP="000A43CA">
      <w:pPr>
        <w:rPr>
          <w:lang w:val="en-GB"/>
        </w:rPr>
      </w:pPr>
      <w:r w:rsidRPr="000A43CA">
        <w:rPr>
          <w:lang w:val="en-GB"/>
        </w:rPr>
        <w:t>Teamwork is crucial in my work experience, where I collaborated with engineers and product managers. My strength lies in active listening and facilitating cooperation. However, I occasionally take on too much responsibility, which can lead to feeling overwhelmed. To improve, I will focus on delegating tasks and refining my project management skills.</w:t>
      </w:r>
    </w:p>
    <w:p w14:paraId="3BA5EF2C" w14:textId="77777777" w:rsidR="000A43CA" w:rsidRPr="000A43CA" w:rsidRDefault="000A43CA" w:rsidP="000A43CA">
      <w:pPr>
        <w:rPr>
          <w:lang w:val="en-GB"/>
        </w:rPr>
      </w:pPr>
    </w:p>
    <w:p w14:paraId="67D536E2" w14:textId="77777777" w:rsidR="000A43CA" w:rsidRPr="000A43CA" w:rsidRDefault="000A43CA" w:rsidP="000A43CA">
      <w:pPr>
        <w:rPr>
          <w:lang w:val="en-GB"/>
        </w:rPr>
      </w:pPr>
      <w:r w:rsidRPr="000A43CA">
        <w:rPr>
          <w:lang w:val="en-GB"/>
        </w:rPr>
        <w:t>In leadership, I led small teams on technical projects, ensuring deadlines were met and guiding team members through challenges. However, I need to improve in providing constructive feedback and empowering my team. I plan to attend leadership development programs to strengthen this skill.</w:t>
      </w:r>
    </w:p>
    <w:p w14:paraId="79A77C60" w14:textId="77777777" w:rsidR="000A43CA" w:rsidRPr="000A43CA" w:rsidRDefault="000A43CA" w:rsidP="000A43CA">
      <w:pPr>
        <w:rPr>
          <w:lang w:val="en-GB"/>
        </w:rPr>
      </w:pPr>
    </w:p>
    <w:p w14:paraId="295B6DE1" w14:textId="77777777" w:rsidR="000A43CA" w:rsidRPr="000A43CA" w:rsidRDefault="000A43CA" w:rsidP="000A43CA">
      <w:pPr>
        <w:rPr>
          <w:lang w:val="en-GB"/>
        </w:rPr>
      </w:pPr>
      <w:r w:rsidRPr="000A43CA">
        <w:rPr>
          <w:lang w:val="en-GB"/>
        </w:rPr>
        <w:t>Finally, in self-directed learning, I continuously seek new knowledge through online courses and industry resources. However, I recognize the need for a more focused approach, aligning my learning with career goals. By creating a structured learning plan, I aim to enhance my leadership and technical expertise.</w:t>
      </w:r>
    </w:p>
    <w:p w14:paraId="33932615" w14:textId="77777777" w:rsidR="000A43CA" w:rsidRPr="000A43CA" w:rsidRDefault="000A43CA" w:rsidP="000A43CA">
      <w:pPr>
        <w:rPr>
          <w:lang w:val="en-GB"/>
        </w:rPr>
      </w:pPr>
    </w:p>
    <w:p w14:paraId="1369E454" w14:textId="77777777" w:rsidR="000A43CA" w:rsidRDefault="000A43CA" w:rsidP="000A43CA">
      <w:pPr>
        <w:rPr>
          <w:lang w:val="en-GB"/>
        </w:rPr>
      </w:pPr>
      <w:r w:rsidRPr="000A43CA">
        <w:rPr>
          <w:lang w:val="en-GB"/>
        </w:rPr>
        <w:t>In conclusion, by leveraging my strengths and addressing areas for improvement, I aim to thrive in a global, technology-driven environment.</w:t>
      </w:r>
    </w:p>
    <w:p w14:paraId="3C7F61A2" w14:textId="77777777" w:rsidR="000A43CA" w:rsidRDefault="000A43CA" w:rsidP="000A43CA">
      <w:pPr>
        <w:rPr>
          <w:lang w:val="en-GB"/>
        </w:rPr>
      </w:pPr>
    </w:p>
    <w:p w14:paraId="1FE4DDC4" w14:textId="31E2580A" w:rsidR="000A43CA" w:rsidRPr="000A43CA" w:rsidRDefault="000A43CA" w:rsidP="000A43CA">
      <w:pPr>
        <w:pStyle w:val="Heading1"/>
        <w:rPr>
          <w:lang w:val="en-GB"/>
        </w:rPr>
      </w:pPr>
      <w:bookmarkStart w:id="5" w:name="_Toc210589671"/>
      <w:r>
        <w:rPr>
          <w:lang w:val="en-GB"/>
        </w:rPr>
        <w:t xml:space="preserve">6. </w:t>
      </w:r>
      <w:r w:rsidRPr="000A43CA">
        <w:rPr>
          <w:lang w:val="en-GB"/>
        </w:rPr>
        <w:t>Conclusion</w:t>
      </w:r>
      <w:bookmarkEnd w:id="5"/>
    </w:p>
    <w:p w14:paraId="0A516634" w14:textId="62A226C5" w:rsidR="000F0276" w:rsidRPr="000376CF" w:rsidRDefault="000A43CA" w:rsidP="000A43CA">
      <w:pPr>
        <w:rPr>
          <w:lang w:val="en-GB"/>
        </w:rPr>
      </w:pPr>
      <w:r w:rsidRPr="000A43CA">
        <w:rPr>
          <w:lang w:val="en-GB"/>
        </w:rPr>
        <w:t xml:space="preserve">In conclusion, this report has highlighted the significant impact of technological advancements, demographic shifts, and geopolitical factors on HRM and IHRM strategies. Key findings emphasize the growing demand for upskilling, diversity, and cross-cultural communication in response to global challenges. HRM must adapt by fostering continuous learning, </w:t>
      </w:r>
      <w:r w:rsidR="00F402E6">
        <w:rPr>
          <w:lang w:val="en-GB"/>
        </w:rPr>
        <w:t>promoting inclusive recruitment practices</w:t>
      </w:r>
      <w:r w:rsidRPr="000A43CA">
        <w:rPr>
          <w:lang w:val="en-GB"/>
        </w:rPr>
        <w:t xml:space="preserve">, and leveraging technology to optimize talent management. IHRM strategies must remain flexible to accommodate diverse global workforces, navigating legal, cultural, and technological barriers. Ultimately, organizations must prioritize workforce </w:t>
      </w:r>
      <w:r w:rsidRPr="000A43CA">
        <w:rPr>
          <w:lang w:val="en-GB"/>
        </w:rPr>
        <w:lastRenderedPageBreak/>
        <w:t xml:space="preserve">development to </w:t>
      </w:r>
      <w:r w:rsidR="00F402E6">
        <w:rPr>
          <w:lang w:val="en-GB"/>
        </w:rPr>
        <w:t>stay</w:t>
      </w:r>
      <w:r w:rsidRPr="000A43CA">
        <w:rPr>
          <w:lang w:val="en-GB"/>
        </w:rPr>
        <w:t xml:space="preserve"> competitive in an increasingly interconnected and rapidly evolving global labour market.</w:t>
      </w:r>
      <w:r w:rsidR="000F0276" w:rsidRPr="000376CF">
        <w:rPr>
          <w:lang w:val="en-GB"/>
        </w:rPr>
        <w:br w:type="page"/>
      </w:r>
    </w:p>
    <w:bookmarkStart w:id="6" w:name="_Toc210589672" w:displacedByCustomXml="next"/>
    <w:sdt>
      <w:sdtPr>
        <w:rPr>
          <w:rFonts w:eastAsiaTheme="minorEastAsia" w:cstheme="minorBidi"/>
          <w:b w:val="0"/>
          <w:color w:val="auto"/>
          <w:sz w:val="24"/>
          <w:szCs w:val="24"/>
        </w:rPr>
        <w:id w:val="1585876965"/>
        <w:docPartObj>
          <w:docPartGallery w:val="Bibliographies"/>
          <w:docPartUnique/>
        </w:docPartObj>
      </w:sdtPr>
      <w:sdtContent>
        <w:p w14:paraId="2153EFD1" w14:textId="281E58DA" w:rsidR="008072E2" w:rsidRDefault="008072E2">
          <w:pPr>
            <w:pStyle w:val="Heading1"/>
          </w:pPr>
          <w:r>
            <w:t>Bibliography</w:t>
          </w:r>
          <w:bookmarkEnd w:id="6"/>
        </w:p>
        <w:sdt>
          <w:sdtPr>
            <w:id w:val="111145805"/>
            <w:bibliography/>
          </w:sdtPr>
          <w:sdtContent>
            <w:p w14:paraId="36EEE4BE" w14:textId="1FC2A6BD" w:rsidR="008072E2" w:rsidRDefault="008072E2" w:rsidP="008072E2">
              <w:pPr>
                <w:pStyle w:val="Bibliography"/>
                <w:numPr>
                  <w:ilvl w:val="0"/>
                  <w:numId w:val="2"/>
                </w:numPr>
                <w:spacing w:before="240"/>
                <w:ind w:left="360"/>
                <w:jc w:val="left"/>
                <w:rPr>
                  <w:noProof/>
                  <w:kern w:val="0"/>
                  <w14:ligatures w14:val="none"/>
                </w:rPr>
              </w:pPr>
              <w:r>
                <w:fldChar w:fldCharType="begin"/>
              </w:r>
              <w:r>
                <w:instrText xml:space="preserve"> BIBLIOGRAPHY </w:instrText>
              </w:r>
              <w:r>
                <w:fldChar w:fldCharType="separate"/>
              </w:r>
              <w:r>
                <w:rPr>
                  <w:noProof/>
                </w:rPr>
                <w:t xml:space="preserve">Bastida, M., Vaquero García, A., Vazquez Taín, M. Á. &amp; Del Río Araujo, M., 2025. From automation to augmentation: Human </w:t>
              </w:r>
              <w:r w:rsidR="00740DD6">
                <w:rPr>
                  <w:noProof/>
                </w:rPr>
                <w:t>resources'</w:t>
              </w:r>
              <w:r>
                <w:rPr>
                  <w:noProof/>
                </w:rPr>
                <w:t xml:space="preserve"> journey with artificial intelligence. </w:t>
              </w:r>
              <w:r>
                <w:rPr>
                  <w:i/>
                  <w:iCs/>
                  <w:noProof/>
                </w:rPr>
                <w:t xml:space="preserve">Journal of Industrial Information Integration, </w:t>
              </w:r>
              <w:r>
                <w:rPr>
                  <w:noProof/>
                </w:rPr>
                <w:t>Volume 46, p. 100872.</w:t>
              </w:r>
            </w:p>
            <w:p w14:paraId="05CA13C2" w14:textId="77777777" w:rsidR="008072E2" w:rsidRDefault="008072E2" w:rsidP="008072E2">
              <w:pPr>
                <w:pStyle w:val="Bibliography"/>
                <w:numPr>
                  <w:ilvl w:val="0"/>
                  <w:numId w:val="2"/>
                </w:numPr>
                <w:spacing w:before="240"/>
                <w:ind w:left="360"/>
                <w:jc w:val="left"/>
                <w:rPr>
                  <w:noProof/>
                </w:rPr>
              </w:pPr>
              <w:r>
                <w:rPr>
                  <w:noProof/>
                </w:rPr>
                <w:t xml:space="preserve">Bersin, J., 2019. </w:t>
              </w:r>
              <w:r>
                <w:rPr>
                  <w:i/>
                  <w:iCs/>
                  <w:noProof/>
                </w:rPr>
                <w:t xml:space="preserve">Let’s Stop Talking About Soft Skills: They’re PowerSkills. </w:t>
              </w:r>
              <w:r>
                <w:rPr>
                  <w:noProof/>
                </w:rPr>
                <w:t xml:space="preserve">[Online] </w:t>
              </w:r>
              <w:r>
                <w:rPr>
                  <w:noProof/>
                </w:rPr>
                <w:br/>
                <w:t>[Accessed 2025].</w:t>
              </w:r>
            </w:p>
            <w:p w14:paraId="3464BEF0" w14:textId="77777777" w:rsidR="008072E2" w:rsidRDefault="008072E2" w:rsidP="008072E2">
              <w:pPr>
                <w:pStyle w:val="Bibliography"/>
                <w:numPr>
                  <w:ilvl w:val="0"/>
                  <w:numId w:val="2"/>
                </w:numPr>
                <w:spacing w:before="240"/>
                <w:ind w:left="360"/>
                <w:jc w:val="left"/>
                <w:rPr>
                  <w:noProof/>
                </w:rPr>
              </w:pPr>
              <w:r>
                <w:rPr>
                  <w:noProof/>
                </w:rPr>
                <w:t xml:space="preserve">Bloom, D. E., Canning, D. &amp; Fink, G., 2008. </w:t>
              </w:r>
              <w:r>
                <w:rPr>
                  <w:i/>
                  <w:iCs/>
                  <w:noProof/>
                </w:rPr>
                <w:t xml:space="preserve">Population Aging and Economic Growth. </w:t>
              </w:r>
              <w:r>
                <w:rPr>
                  <w:noProof/>
                </w:rPr>
                <w:t>Washington, D.C.: World Bank Publications.</w:t>
              </w:r>
            </w:p>
            <w:p w14:paraId="17FDBF47" w14:textId="77777777" w:rsidR="008072E2" w:rsidRDefault="008072E2" w:rsidP="008072E2">
              <w:pPr>
                <w:pStyle w:val="Bibliography"/>
                <w:numPr>
                  <w:ilvl w:val="0"/>
                  <w:numId w:val="2"/>
                </w:numPr>
                <w:spacing w:before="240"/>
                <w:ind w:left="360"/>
                <w:jc w:val="left"/>
                <w:rPr>
                  <w:noProof/>
                </w:rPr>
              </w:pPr>
              <w:r>
                <w:rPr>
                  <w:noProof/>
                </w:rPr>
                <w:t>Brynjolfsson, E. &amp; McAfee, A., 2014. The second machine age: Work, progress, and prosperity in a time of brilliant technologies.. In: s.l.:W.W. Norton &amp; Company.</w:t>
              </w:r>
            </w:p>
            <w:p w14:paraId="7C9FC235" w14:textId="77777777" w:rsidR="008072E2" w:rsidRDefault="008072E2" w:rsidP="008072E2">
              <w:pPr>
                <w:pStyle w:val="Bibliography"/>
                <w:numPr>
                  <w:ilvl w:val="0"/>
                  <w:numId w:val="2"/>
                </w:numPr>
                <w:spacing w:before="240"/>
                <w:ind w:left="360"/>
                <w:jc w:val="left"/>
                <w:rPr>
                  <w:noProof/>
                </w:rPr>
              </w:pPr>
              <w:r>
                <w:rPr>
                  <w:noProof/>
                </w:rPr>
                <w:t xml:space="preserve">Cappelli, P. H., 2015. Skill Gaps, Skill Shortages, and Skill Mismatches: Evidence and Arguments for the United States. </w:t>
              </w:r>
              <w:r>
                <w:rPr>
                  <w:i/>
                  <w:iCs/>
                  <w:noProof/>
                </w:rPr>
                <w:t xml:space="preserve">ILR Review, </w:t>
              </w:r>
              <w:r>
                <w:rPr>
                  <w:noProof/>
                </w:rPr>
                <w:t>68(2), p. 251–290.</w:t>
              </w:r>
            </w:p>
            <w:p w14:paraId="17EA6D08" w14:textId="77777777" w:rsidR="008072E2" w:rsidRDefault="008072E2" w:rsidP="008072E2">
              <w:pPr>
                <w:pStyle w:val="Bibliography"/>
                <w:numPr>
                  <w:ilvl w:val="0"/>
                  <w:numId w:val="2"/>
                </w:numPr>
                <w:spacing w:before="240"/>
                <w:ind w:left="360"/>
                <w:jc w:val="left"/>
                <w:rPr>
                  <w:noProof/>
                </w:rPr>
              </w:pPr>
              <w:r>
                <w:rPr>
                  <w:noProof/>
                </w:rPr>
                <w:t xml:space="preserve">Catalyst, 2020. </w:t>
              </w:r>
              <w:r>
                <w:rPr>
                  <w:i/>
                  <w:iCs/>
                  <w:noProof/>
                </w:rPr>
                <w:t xml:space="preserve">Why Diversity and Inclusion Matter. </w:t>
              </w:r>
              <w:r>
                <w:rPr>
                  <w:noProof/>
                </w:rPr>
                <w:t xml:space="preserve">[Online] </w:t>
              </w:r>
              <w:r>
                <w:rPr>
                  <w:noProof/>
                </w:rPr>
                <w:br/>
                <w:t>[Accessed 2025].</w:t>
              </w:r>
            </w:p>
            <w:p w14:paraId="17659676" w14:textId="77777777" w:rsidR="008072E2" w:rsidRDefault="008072E2" w:rsidP="008072E2">
              <w:pPr>
                <w:pStyle w:val="Bibliography"/>
                <w:numPr>
                  <w:ilvl w:val="0"/>
                  <w:numId w:val="2"/>
                </w:numPr>
                <w:spacing w:before="240"/>
                <w:ind w:left="360"/>
                <w:jc w:val="left"/>
                <w:rPr>
                  <w:noProof/>
                </w:rPr>
              </w:pPr>
              <w:r>
                <w:rPr>
                  <w:noProof/>
                </w:rPr>
                <w:t xml:space="preserve">Deloitte, 2020. </w:t>
              </w:r>
              <w:r>
                <w:rPr>
                  <w:i/>
                  <w:iCs/>
                  <w:noProof/>
                </w:rPr>
                <w:t xml:space="preserve">The Social Enterprise at Work: Paradox as a Path Forward, </w:t>
              </w:r>
              <w:r>
                <w:rPr>
                  <w:noProof/>
                </w:rPr>
                <w:t>s.l.: Deloitte.</w:t>
              </w:r>
            </w:p>
            <w:p w14:paraId="2F49FC71" w14:textId="77777777" w:rsidR="008072E2" w:rsidRDefault="008072E2" w:rsidP="008072E2">
              <w:pPr>
                <w:pStyle w:val="Bibliography"/>
                <w:numPr>
                  <w:ilvl w:val="0"/>
                  <w:numId w:val="2"/>
                </w:numPr>
                <w:spacing w:before="240"/>
                <w:ind w:left="360"/>
                <w:jc w:val="left"/>
                <w:rPr>
                  <w:noProof/>
                </w:rPr>
              </w:pPr>
              <w:r>
                <w:rPr>
                  <w:noProof/>
                </w:rPr>
                <w:t xml:space="preserve">Dustmann, C., Frattini, T. &amp; Preston, I. P., 2013. The Effect of Immigration along the Distribution of Wages. </w:t>
              </w:r>
              <w:r>
                <w:rPr>
                  <w:i/>
                  <w:iCs/>
                  <w:noProof/>
                </w:rPr>
                <w:t xml:space="preserve">Review of Economic Studies, </w:t>
              </w:r>
              <w:r>
                <w:rPr>
                  <w:noProof/>
                </w:rPr>
                <w:t>80(1), p. 145–173.</w:t>
              </w:r>
            </w:p>
            <w:p w14:paraId="44665125" w14:textId="77777777" w:rsidR="008072E2" w:rsidRDefault="008072E2" w:rsidP="008072E2">
              <w:pPr>
                <w:pStyle w:val="Bibliography"/>
                <w:numPr>
                  <w:ilvl w:val="0"/>
                  <w:numId w:val="2"/>
                </w:numPr>
                <w:spacing w:before="240"/>
                <w:ind w:left="360"/>
                <w:jc w:val="left"/>
                <w:rPr>
                  <w:noProof/>
                </w:rPr>
              </w:pPr>
              <w:r>
                <w:rPr>
                  <w:noProof/>
                </w:rPr>
                <w:t xml:space="preserve">Google, 2020. </w:t>
              </w:r>
              <w:r>
                <w:rPr>
                  <w:i/>
                  <w:iCs/>
                  <w:noProof/>
                </w:rPr>
                <w:t xml:space="preserve">Google Apprenticeships. </w:t>
              </w:r>
              <w:r>
                <w:rPr>
                  <w:noProof/>
                </w:rPr>
                <w:t xml:space="preserve">[Online] </w:t>
              </w:r>
              <w:r>
                <w:rPr>
                  <w:noProof/>
                </w:rPr>
                <w:br/>
                <w:t>[Accessed 2025].</w:t>
              </w:r>
            </w:p>
            <w:p w14:paraId="2443C6F8" w14:textId="77777777" w:rsidR="008072E2" w:rsidRDefault="008072E2" w:rsidP="008072E2">
              <w:pPr>
                <w:pStyle w:val="Bibliography"/>
                <w:numPr>
                  <w:ilvl w:val="0"/>
                  <w:numId w:val="2"/>
                </w:numPr>
                <w:spacing w:before="240"/>
                <w:ind w:left="360"/>
                <w:jc w:val="left"/>
                <w:rPr>
                  <w:noProof/>
                </w:rPr>
              </w:pPr>
              <w:r>
                <w:rPr>
                  <w:noProof/>
                </w:rPr>
                <w:t xml:space="preserve">IBM, 2019. </w:t>
              </w:r>
              <w:r>
                <w:rPr>
                  <w:i/>
                  <w:iCs/>
                  <w:noProof/>
                </w:rPr>
                <w:t xml:space="preserve">The IBM Apprenticeship Program: No degree? No problem!. </w:t>
              </w:r>
              <w:r>
                <w:rPr>
                  <w:noProof/>
                </w:rPr>
                <w:t xml:space="preserve">[Online] </w:t>
              </w:r>
              <w:r>
                <w:rPr>
                  <w:noProof/>
                </w:rPr>
                <w:br/>
                <w:t>[Accessed 2025].</w:t>
              </w:r>
            </w:p>
            <w:p w14:paraId="5734D95B" w14:textId="77777777" w:rsidR="008072E2" w:rsidRDefault="008072E2" w:rsidP="008072E2">
              <w:pPr>
                <w:pStyle w:val="Bibliography"/>
                <w:numPr>
                  <w:ilvl w:val="0"/>
                  <w:numId w:val="2"/>
                </w:numPr>
                <w:spacing w:before="240"/>
                <w:ind w:left="360"/>
                <w:jc w:val="left"/>
                <w:rPr>
                  <w:noProof/>
                </w:rPr>
              </w:pPr>
              <w:r>
                <w:rPr>
                  <w:noProof/>
                </w:rPr>
                <w:t xml:space="preserve">International Labour Organization, 2020. </w:t>
              </w:r>
              <w:r>
                <w:rPr>
                  <w:i/>
                  <w:iCs/>
                  <w:noProof/>
                </w:rPr>
                <w:t xml:space="preserve">World Employment and Social Outlook: Trends 2020, </w:t>
              </w:r>
              <w:r>
                <w:rPr>
                  <w:noProof/>
                </w:rPr>
                <w:t>s.l.: International Labour Organization.</w:t>
              </w:r>
            </w:p>
            <w:p w14:paraId="218359EB" w14:textId="77777777" w:rsidR="008072E2" w:rsidRDefault="008072E2" w:rsidP="008072E2">
              <w:pPr>
                <w:pStyle w:val="Bibliography"/>
                <w:numPr>
                  <w:ilvl w:val="0"/>
                  <w:numId w:val="2"/>
                </w:numPr>
                <w:spacing w:before="240"/>
                <w:ind w:left="360"/>
                <w:jc w:val="left"/>
                <w:rPr>
                  <w:noProof/>
                </w:rPr>
              </w:pPr>
              <w:r>
                <w:rPr>
                  <w:noProof/>
                </w:rPr>
                <w:lastRenderedPageBreak/>
                <w:t xml:space="preserve">Liu-Lastres, B., Huang, W.-j. &amp; Bao, H., 2023. Exploring Hospitality Workers' Career Choices in the Wake of COVID-19: Insights from A Phenomenological Inquiry. </w:t>
              </w:r>
              <w:r>
                <w:rPr>
                  <w:i/>
                  <w:iCs/>
                  <w:noProof/>
                </w:rPr>
                <w:t xml:space="preserve">International Journal of Hospitality Management, </w:t>
              </w:r>
              <w:r>
                <w:rPr>
                  <w:noProof/>
                </w:rPr>
                <w:t>111(8), p. 103485.</w:t>
              </w:r>
            </w:p>
            <w:p w14:paraId="471D4863" w14:textId="77777777" w:rsidR="008072E2" w:rsidRDefault="008072E2" w:rsidP="008072E2">
              <w:pPr>
                <w:pStyle w:val="Bibliography"/>
                <w:numPr>
                  <w:ilvl w:val="0"/>
                  <w:numId w:val="2"/>
                </w:numPr>
                <w:spacing w:before="240"/>
                <w:ind w:left="360"/>
                <w:jc w:val="left"/>
                <w:rPr>
                  <w:noProof/>
                </w:rPr>
              </w:pPr>
              <w:r>
                <w:rPr>
                  <w:noProof/>
                </w:rPr>
                <w:t xml:space="preserve">Marriott International, 2020. </w:t>
              </w:r>
              <w:r>
                <w:rPr>
                  <w:i/>
                  <w:iCs/>
                  <w:noProof/>
                </w:rPr>
                <w:t xml:space="preserve">2015 Update on Workforce Development. </w:t>
              </w:r>
              <w:r>
                <w:rPr>
                  <w:noProof/>
                </w:rPr>
                <w:t xml:space="preserve">[Online] </w:t>
              </w:r>
              <w:r>
                <w:rPr>
                  <w:noProof/>
                </w:rPr>
                <w:br/>
                <w:t>[Accessed 2025].</w:t>
              </w:r>
            </w:p>
            <w:p w14:paraId="496EEAC3" w14:textId="77777777" w:rsidR="008072E2" w:rsidRDefault="008072E2" w:rsidP="008072E2">
              <w:pPr>
                <w:pStyle w:val="Bibliography"/>
                <w:numPr>
                  <w:ilvl w:val="0"/>
                  <w:numId w:val="2"/>
                </w:numPr>
                <w:spacing w:before="240"/>
                <w:ind w:left="360"/>
                <w:jc w:val="left"/>
                <w:rPr>
                  <w:noProof/>
                </w:rPr>
              </w:pPr>
              <w:r>
                <w:rPr>
                  <w:noProof/>
                </w:rPr>
                <w:t xml:space="preserve">Mayo Clinic, 2021. </w:t>
              </w:r>
              <w:r>
                <w:rPr>
                  <w:i/>
                  <w:iCs/>
                  <w:noProof/>
                </w:rPr>
                <w:t xml:space="preserve">Workforce development programs at Mayo Clinic. </w:t>
              </w:r>
              <w:r>
                <w:rPr>
                  <w:noProof/>
                </w:rPr>
                <w:t xml:space="preserve">[Online] </w:t>
              </w:r>
              <w:r>
                <w:rPr>
                  <w:noProof/>
                </w:rPr>
                <w:br/>
                <w:t>[Accessed 2020].</w:t>
              </w:r>
            </w:p>
            <w:p w14:paraId="3F310ACA" w14:textId="77777777" w:rsidR="008072E2" w:rsidRDefault="008072E2" w:rsidP="008072E2">
              <w:pPr>
                <w:pStyle w:val="Bibliography"/>
                <w:numPr>
                  <w:ilvl w:val="0"/>
                  <w:numId w:val="2"/>
                </w:numPr>
                <w:spacing w:before="240"/>
                <w:ind w:left="360"/>
                <w:jc w:val="left"/>
                <w:rPr>
                  <w:noProof/>
                </w:rPr>
              </w:pPr>
              <w:r>
                <w:rPr>
                  <w:noProof/>
                </w:rPr>
                <w:t xml:space="preserve">Sargent, K., 2023. The Labor Market Impacts of Brexit: Migration and the European Union. </w:t>
              </w:r>
              <w:r>
                <w:rPr>
                  <w:i/>
                  <w:iCs/>
                  <w:noProof/>
                </w:rPr>
                <w:t xml:space="preserve">Economic Modelling, </w:t>
              </w:r>
              <w:r>
                <w:rPr>
                  <w:noProof/>
                </w:rPr>
                <w:t>Volume 121, p. 106196.</w:t>
              </w:r>
            </w:p>
            <w:p w14:paraId="5777B9F4" w14:textId="77777777" w:rsidR="008072E2" w:rsidRDefault="008072E2" w:rsidP="008072E2">
              <w:pPr>
                <w:pStyle w:val="Bibliography"/>
                <w:numPr>
                  <w:ilvl w:val="0"/>
                  <w:numId w:val="2"/>
                </w:numPr>
                <w:spacing w:before="240"/>
                <w:ind w:left="360"/>
                <w:jc w:val="left"/>
                <w:rPr>
                  <w:noProof/>
                </w:rPr>
              </w:pPr>
              <w:r>
                <w:rPr>
                  <w:noProof/>
                </w:rPr>
                <w:t xml:space="preserve">World Bank, 2020. </w:t>
              </w:r>
              <w:r>
                <w:rPr>
                  <w:i/>
                  <w:iCs/>
                  <w:noProof/>
                </w:rPr>
                <w:t xml:space="preserve">Global Economic Prospects: East Asia and Pacific. </w:t>
              </w:r>
              <w:r>
                <w:rPr>
                  <w:noProof/>
                </w:rPr>
                <w:t>Washington, D.C.: The World Bank.</w:t>
              </w:r>
            </w:p>
            <w:p w14:paraId="2725A5ED" w14:textId="77777777" w:rsidR="008072E2" w:rsidRDefault="008072E2" w:rsidP="008072E2">
              <w:pPr>
                <w:pStyle w:val="Bibliography"/>
                <w:numPr>
                  <w:ilvl w:val="0"/>
                  <w:numId w:val="2"/>
                </w:numPr>
                <w:spacing w:before="240"/>
                <w:ind w:left="360"/>
                <w:jc w:val="left"/>
                <w:rPr>
                  <w:noProof/>
                </w:rPr>
              </w:pPr>
              <w:r>
                <w:rPr>
                  <w:noProof/>
                </w:rPr>
                <w:t xml:space="preserve">World Health Organization, 2020. </w:t>
              </w:r>
              <w:r>
                <w:rPr>
                  <w:i/>
                  <w:iCs/>
                  <w:noProof/>
                </w:rPr>
                <w:t xml:space="preserve">Ageing and Health, </w:t>
              </w:r>
              <w:r>
                <w:rPr>
                  <w:noProof/>
                </w:rPr>
                <w:t>s.l.: World Health Organization.</w:t>
              </w:r>
            </w:p>
            <w:p w14:paraId="2C23F613" w14:textId="50856271" w:rsidR="008072E2" w:rsidRDefault="008072E2" w:rsidP="008072E2">
              <w:pPr>
                <w:spacing w:before="240"/>
                <w:jc w:val="left"/>
              </w:pPr>
              <w:r>
                <w:rPr>
                  <w:b/>
                  <w:bCs/>
                  <w:noProof/>
                </w:rPr>
                <w:fldChar w:fldCharType="end"/>
              </w:r>
            </w:p>
          </w:sdtContent>
        </w:sdt>
      </w:sdtContent>
    </w:sdt>
    <w:p w14:paraId="4DC6EE79" w14:textId="77777777" w:rsidR="000376CF" w:rsidRPr="008E4357" w:rsidRDefault="000376CF" w:rsidP="008E4357">
      <w:pPr>
        <w:rPr>
          <w:lang w:val="en-GB"/>
        </w:rPr>
      </w:pPr>
    </w:p>
    <w:sectPr w:rsidR="000376CF" w:rsidRPr="008E4357" w:rsidSect="008072E2">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292CE" w14:textId="77777777" w:rsidR="00660B02" w:rsidRDefault="00660B02" w:rsidP="008072E2">
      <w:pPr>
        <w:spacing w:line="240" w:lineRule="auto"/>
      </w:pPr>
      <w:r>
        <w:separator/>
      </w:r>
    </w:p>
  </w:endnote>
  <w:endnote w:type="continuationSeparator" w:id="0">
    <w:p w14:paraId="3642EFD1" w14:textId="77777777" w:rsidR="00660B02" w:rsidRDefault="00660B02" w:rsidP="008072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586194"/>
      <w:docPartObj>
        <w:docPartGallery w:val="Page Numbers (Bottom of Page)"/>
        <w:docPartUnique/>
      </w:docPartObj>
    </w:sdtPr>
    <w:sdtEndPr>
      <w:rPr>
        <w:noProof/>
      </w:rPr>
    </w:sdtEndPr>
    <w:sdtContent>
      <w:p w14:paraId="2EC95715" w14:textId="15645575" w:rsidR="008072E2" w:rsidRDefault="008072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6212A" w14:textId="77777777" w:rsidR="008072E2" w:rsidRDefault="008072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2315353"/>
      <w:docPartObj>
        <w:docPartGallery w:val="Page Numbers (Bottom of Page)"/>
        <w:docPartUnique/>
      </w:docPartObj>
    </w:sdtPr>
    <w:sdtContent>
      <w:p w14:paraId="3BA3ED20" w14:textId="41E98AD9" w:rsidR="008072E2" w:rsidRDefault="008072E2">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1A311AB5" wp14:editId="5A3BAE08">
                  <wp:simplePos x="0" y="0"/>
                  <wp:positionH relativeFrom="margin">
                    <wp:align>center</wp:align>
                  </wp:positionH>
                  <wp:positionV relativeFrom="bottomMargin">
                    <wp:align>center</wp:align>
                  </wp:positionV>
                  <wp:extent cx="1282700" cy="343535"/>
                  <wp:effectExtent l="28575" t="19050" r="22225" b="8890"/>
                  <wp:wrapNone/>
                  <wp:docPr id="1" name="Ribbon: Curved and Tilted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68DA3EEF" w14:textId="77777777" w:rsidR="008072E2" w:rsidRDefault="008072E2">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311AB5"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1" o:spid="_x0000_s1026" type="#_x0000_t107" style="position:absolute;left:0;text-align:left;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68DA3EEF" w14:textId="77777777" w:rsidR="008072E2" w:rsidRDefault="008072E2">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06776" w14:textId="77777777" w:rsidR="00660B02" w:rsidRDefault="00660B02" w:rsidP="008072E2">
      <w:pPr>
        <w:spacing w:line="240" w:lineRule="auto"/>
      </w:pPr>
      <w:r>
        <w:separator/>
      </w:r>
    </w:p>
  </w:footnote>
  <w:footnote w:type="continuationSeparator" w:id="0">
    <w:p w14:paraId="30DCDD53" w14:textId="77777777" w:rsidR="00660B02" w:rsidRDefault="00660B02" w:rsidP="008072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57C04"/>
    <w:multiLevelType w:val="hybridMultilevel"/>
    <w:tmpl w:val="E9421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638C4"/>
    <w:multiLevelType w:val="hybridMultilevel"/>
    <w:tmpl w:val="D5243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203550">
    <w:abstractNumId w:val="1"/>
  </w:num>
  <w:num w:numId="2" w16cid:durableId="963270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F8C"/>
    <w:rsid w:val="000376CF"/>
    <w:rsid w:val="0008472D"/>
    <w:rsid w:val="000A43CA"/>
    <w:rsid w:val="000C00B1"/>
    <w:rsid w:val="000D63E8"/>
    <w:rsid w:val="000F0276"/>
    <w:rsid w:val="00131222"/>
    <w:rsid w:val="001734A2"/>
    <w:rsid w:val="00186AA9"/>
    <w:rsid w:val="001A54EE"/>
    <w:rsid w:val="001E5D68"/>
    <w:rsid w:val="002055FD"/>
    <w:rsid w:val="002F3754"/>
    <w:rsid w:val="00377351"/>
    <w:rsid w:val="004F5658"/>
    <w:rsid w:val="005A6062"/>
    <w:rsid w:val="005D645E"/>
    <w:rsid w:val="005E35FC"/>
    <w:rsid w:val="0061120B"/>
    <w:rsid w:val="00642576"/>
    <w:rsid w:val="00646633"/>
    <w:rsid w:val="00660B02"/>
    <w:rsid w:val="006829EB"/>
    <w:rsid w:val="0068665A"/>
    <w:rsid w:val="00712D13"/>
    <w:rsid w:val="00740DD6"/>
    <w:rsid w:val="00761164"/>
    <w:rsid w:val="007B3F8C"/>
    <w:rsid w:val="008072E2"/>
    <w:rsid w:val="008E4357"/>
    <w:rsid w:val="009A16A7"/>
    <w:rsid w:val="00A92CCD"/>
    <w:rsid w:val="00A96685"/>
    <w:rsid w:val="00AE39B1"/>
    <w:rsid w:val="00C32CA3"/>
    <w:rsid w:val="00C618B1"/>
    <w:rsid w:val="00DC2C15"/>
    <w:rsid w:val="00E40E84"/>
    <w:rsid w:val="00E5051B"/>
    <w:rsid w:val="00EE21A7"/>
    <w:rsid w:val="00F402E6"/>
    <w:rsid w:val="00F5464F"/>
    <w:rsid w:val="00FF5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9BF027"/>
  <w15:chartTrackingRefBased/>
  <w15:docId w15:val="{C90CFE2E-EA40-4BD6-81AF-4A77A625A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A9"/>
    <w:pPr>
      <w:spacing w:after="0"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186AA9"/>
    <w:pPr>
      <w:keepNext/>
      <w:keepLines/>
      <w:spacing w:after="80" w:line="480" w:lineRule="auto"/>
      <w:outlineLvl w:val="0"/>
    </w:pPr>
    <w:rPr>
      <w:rFonts w:eastAsia="Times New Roman" w:cs="Times New Roman"/>
      <w:b/>
      <w:color w:val="000000" w:themeColor="text1"/>
      <w:sz w:val="30"/>
      <w:szCs w:val="28"/>
    </w:rPr>
  </w:style>
  <w:style w:type="paragraph" w:styleId="Heading2">
    <w:name w:val="heading 2"/>
    <w:basedOn w:val="Normal"/>
    <w:next w:val="Normal"/>
    <w:link w:val="Heading2Char"/>
    <w:autoRedefine/>
    <w:uiPriority w:val="9"/>
    <w:unhideWhenUsed/>
    <w:qFormat/>
    <w:rsid w:val="00646633"/>
    <w:pPr>
      <w:keepNext/>
      <w:keepLines/>
      <w:spacing w:before="160" w:after="80" w:line="480" w:lineRule="auto"/>
      <w:outlineLvl w:val="1"/>
    </w:pPr>
    <w:rPr>
      <w:rFonts w:eastAsia="Times New Roman" w:cs="Times New Roman"/>
      <w:b/>
      <w:bCs/>
      <w:color w:val="000000" w:themeColor="text1"/>
    </w:rPr>
  </w:style>
  <w:style w:type="paragraph" w:styleId="Heading3">
    <w:name w:val="heading 3"/>
    <w:basedOn w:val="Normal"/>
    <w:next w:val="Normal"/>
    <w:link w:val="Heading3Char"/>
    <w:autoRedefine/>
    <w:uiPriority w:val="9"/>
    <w:unhideWhenUsed/>
    <w:qFormat/>
    <w:rsid w:val="00186AA9"/>
    <w:pPr>
      <w:keepNext/>
      <w:keepLines/>
      <w:spacing w:before="160" w:after="80"/>
      <w:outlineLvl w:val="2"/>
    </w:pPr>
    <w:rPr>
      <w:rFonts w:eastAsia="Times New Roman" w:cs="Times New Roman"/>
      <w:b/>
      <w:bCs/>
      <w:color w:val="000000" w:themeColor="text1"/>
      <w:szCs w:val="28"/>
    </w:rPr>
  </w:style>
  <w:style w:type="paragraph" w:styleId="Heading4">
    <w:name w:val="heading 4"/>
    <w:basedOn w:val="Normal"/>
    <w:next w:val="Normal"/>
    <w:link w:val="Heading4Char"/>
    <w:uiPriority w:val="9"/>
    <w:semiHidden/>
    <w:unhideWhenUsed/>
    <w:qFormat/>
    <w:rsid w:val="007B3F8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B3F8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B3F8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B3F8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B3F8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B3F8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Heading3"/>
    <w:next w:val="Normal"/>
    <w:link w:val="SubtitleChar"/>
    <w:uiPriority w:val="11"/>
    <w:qFormat/>
    <w:rsid w:val="00646633"/>
    <w:pPr>
      <w:numPr>
        <w:ilvl w:val="1"/>
      </w:numPr>
    </w:pPr>
    <w:rPr>
      <w:spacing w:val="15"/>
    </w:rPr>
  </w:style>
  <w:style w:type="character" w:customStyle="1" w:styleId="SubtitleChar">
    <w:name w:val="Subtitle Char"/>
    <w:basedOn w:val="DefaultParagraphFont"/>
    <w:link w:val="Subtitle"/>
    <w:uiPriority w:val="11"/>
    <w:rsid w:val="00646633"/>
    <w:rPr>
      <w:rFonts w:ascii="Times New Roman" w:eastAsiaTheme="majorEastAsia" w:hAnsi="Times New Roman" w:cstheme="majorBidi"/>
      <w:color w:val="000000" w:themeColor="text1"/>
      <w:spacing w:val="15"/>
      <w:szCs w:val="28"/>
    </w:rPr>
  </w:style>
  <w:style w:type="character" w:customStyle="1" w:styleId="Heading3Char">
    <w:name w:val="Heading 3 Char"/>
    <w:basedOn w:val="DefaultParagraphFont"/>
    <w:link w:val="Heading3"/>
    <w:uiPriority w:val="9"/>
    <w:rsid w:val="00186AA9"/>
    <w:rPr>
      <w:rFonts w:ascii="Times New Roman" w:eastAsia="Times New Roman" w:hAnsi="Times New Roman" w:cs="Times New Roman"/>
      <w:b/>
      <w:bCs/>
      <w:color w:val="000000" w:themeColor="text1"/>
      <w:szCs w:val="28"/>
    </w:rPr>
  </w:style>
  <w:style w:type="character" w:styleId="Strong">
    <w:name w:val="Strong"/>
    <w:basedOn w:val="Heading3Char"/>
    <w:uiPriority w:val="22"/>
    <w:qFormat/>
    <w:rsid w:val="00646633"/>
    <w:rPr>
      <w:rFonts w:ascii="Times New Roman" w:eastAsia="Times New Roman" w:hAnsi="Times New Roman" w:cs="Times New Roman"/>
      <w:b w:val="0"/>
      <w:bCs w:val="0"/>
      <w:i w:val="0"/>
      <w:color w:val="000000" w:themeColor="text1"/>
      <w:sz w:val="24"/>
      <w:szCs w:val="28"/>
    </w:rPr>
  </w:style>
  <w:style w:type="character" w:customStyle="1" w:styleId="Heading1Char">
    <w:name w:val="Heading 1 Char"/>
    <w:basedOn w:val="DefaultParagraphFont"/>
    <w:link w:val="Heading1"/>
    <w:uiPriority w:val="9"/>
    <w:rsid w:val="00186AA9"/>
    <w:rPr>
      <w:rFonts w:ascii="Times New Roman" w:eastAsia="Times New Roman" w:hAnsi="Times New Roman" w:cs="Times New Roman"/>
      <w:b/>
      <w:color w:val="000000" w:themeColor="text1"/>
      <w:sz w:val="30"/>
      <w:szCs w:val="28"/>
    </w:rPr>
  </w:style>
  <w:style w:type="character" w:customStyle="1" w:styleId="Heading2Char">
    <w:name w:val="Heading 2 Char"/>
    <w:basedOn w:val="DefaultParagraphFont"/>
    <w:link w:val="Heading2"/>
    <w:uiPriority w:val="9"/>
    <w:rsid w:val="00646633"/>
    <w:rPr>
      <w:rFonts w:ascii="Times New Roman" w:eastAsia="Times New Roman" w:hAnsi="Times New Roman" w:cs="Times New Roman"/>
      <w:b/>
      <w:bCs/>
      <w:color w:val="000000" w:themeColor="text1"/>
    </w:rPr>
  </w:style>
  <w:style w:type="paragraph" w:styleId="Caption">
    <w:name w:val="caption"/>
    <w:basedOn w:val="Normal"/>
    <w:next w:val="Normal"/>
    <w:uiPriority w:val="35"/>
    <w:unhideWhenUsed/>
    <w:qFormat/>
    <w:rsid w:val="005A6062"/>
    <w:pPr>
      <w:widowControl w:val="0"/>
      <w:spacing w:after="200" w:line="240" w:lineRule="auto"/>
    </w:pPr>
    <w:rPr>
      <w:rFonts w:eastAsia="SimSun" w:cs="Times New Roman"/>
      <w:i/>
      <w:iCs/>
      <w:color w:val="000000" w:themeColor="text1"/>
      <w:sz w:val="21"/>
      <w:szCs w:val="18"/>
      <w14:ligatures w14:val="none"/>
    </w:rPr>
  </w:style>
  <w:style w:type="character" w:customStyle="1" w:styleId="Heading4Char">
    <w:name w:val="Heading 4 Char"/>
    <w:basedOn w:val="DefaultParagraphFont"/>
    <w:link w:val="Heading4"/>
    <w:uiPriority w:val="9"/>
    <w:semiHidden/>
    <w:rsid w:val="007B3F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F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F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F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F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F8C"/>
    <w:rPr>
      <w:rFonts w:eastAsiaTheme="majorEastAsia" w:cstheme="majorBidi"/>
      <w:color w:val="272727" w:themeColor="text1" w:themeTint="D8"/>
    </w:rPr>
  </w:style>
  <w:style w:type="paragraph" w:styleId="Title">
    <w:name w:val="Title"/>
    <w:basedOn w:val="Normal"/>
    <w:next w:val="Normal"/>
    <w:link w:val="TitleChar"/>
    <w:uiPriority w:val="10"/>
    <w:qFormat/>
    <w:rsid w:val="007B3F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F8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B3F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3F8C"/>
    <w:rPr>
      <w:rFonts w:ascii="Times New Roman" w:hAnsi="Times New Roman"/>
      <w:i/>
      <w:iCs/>
      <w:color w:val="404040" w:themeColor="text1" w:themeTint="BF"/>
    </w:rPr>
  </w:style>
  <w:style w:type="paragraph" w:styleId="ListParagraph">
    <w:name w:val="List Paragraph"/>
    <w:basedOn w:val="Normal"/>
    <w:uiPriority w:val="34"/>
    <w:qFormat/>
    <w:rsid w:val="007B3F8C"/>
    <w:pPr>
      <w:ind w:left="720"/>
      <w:contextualSpacing/>
    </w:pPr>
  </w:style>
  <w:style w:type="character" w:styleId="IntenseEmphasis">
    <w:name w:val="Intense Emphasis"/>
    <w:basedOn w:val="DefaultParagraphFont"/>
    <w:uiPriority w:val="21"/>
    <w:qFormat/>
    <w:rsid w:val="007B3F8C"/>
    <w:rPr>
      <w:i/>
      <w:iCs/>
      <w:color w:val="0F4761" w:themeColor="accent1" w:themeShade="BF"/>
    </w:rPr>
  </w:style>
  <w:style w:type="paragraph" w:styleId="IntenseQuote">
    <w:name w:val="Intense Quote"/>
    <w:basedOn w:val="Normal"/>
    <w:next w:val="Normal"/>
    <w:link w:val="IntenseQuoteChar"/>
    <w:uiPriority w:val="30"/>
    <w:qFormat/>
    <w:rsid w:val="007B3F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F8C"/>
    <w:rPr>
      <w:rFonts w:ascii="Times New Roman" w:hAnsi="Times New Roman"/>
      <w:i/>
      <w:iCs/>
      <w:color w:val="0F4761" w:themeColor="accent1" w:themeShade="BF"/>
    </w:rPr>
  </w:style>
  <w:style w:type="character" w:styleId="IntenseReference">
    <w:name w:val="Intense Reference"/>
    <w:basedOn w:val="DefaultParagraphFont"/>
    <w:uiPriority w:val="32"/>
    <w:qFormat/>
    <w:rsid w:val="007B3F8C"/>
    <w:rPr>
      <w:b/>
      <w:bCs/>
      <w:smallCaps/>
      <w:color w:val="0F4761" w:themeColor="accent1" w:themeShade="BF"/>
      <w:spacing w:val="5"/>
    </w:rPr>
  </w:style>
  <w:style w:type="table" w:styleId="TableGrid">
    <w:name w:val="Table Grid"/>
    <w:basedOn w:val="TableNormal"/>
    <w:uiPriority w:val="39"/>
    <w:rsid w:val="008E4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76CF"/>
    <w:rPr>
      <w:color w:val="467886" w:themeColor="hyperlink"/>
      <w:u w:val="single"/>
    </w:rPr>
  </w:style>
  <w:style w:type="character" w:styleId="UnresolvedMention">
    <w:name w:val="Unresolved Mention"/>
    <w:basedOn w:val="DefaultParagraphFont"/>
    <w:uiPriority w:val="99"/>
    <w:semiHidden/>
    <w:unhideWhenUsed/>
    <w:rsid w:val="000376CF"/>
    <w:rPr>
      <w:color w:val="605E5C"/>
      <w:shd w:val="clear" w:color="auto" w:fill="E1DFDD"/>
    </w:rPr>
  </w:style>
  <w:style w:type="paragraph" w:styleId="Bibliography">
    <w:name w:val="Bibliography"/>
    <w:basedOn w:val="Normal"/>
    <w:next w:val="Normal"/>
    <w:uiPriority w:val="37"/>
    <w:unhideWhenUsed/>
    <w:rsid w:val="008072E2"/>
  </w:style>
  <w:style w:type="paragraph" w:styleId="Header">
    <w:name w:val="header"/>
    <w:basedOn w:val="Normal"/>
    <w:link w:val="HeaderChar"/>
    <w:unhideWhenUsed/>
    <w:rsid w:val="008072E2"/>
    <w:pPr>
      <w:tabs>
        <w:tab w:val="center" w:pos="4680"/>
        <w:tab w:val="right" w:pos="9360"/>
      </w:tabs>
      <w:spacing w:line="240" w:lineRule="auto"/>
    </w:pPr>
  </w:style>
  <w:style w:type="character" w:customStyle="1" w:styleId="HeaderChar">
    <w:name w:val="Header Char"/>
    <w:basedOn w:val="DefaultParagraphFont"/>
    <w:link w:val="Header"/>
    <w:rsid w:val="008072E2"/>
    <w:rPr>
      <w:rFonts w:ascii="Times New Roman" w:hAnsi="Times New Roman"/>
    </w:rPr>
  </w:style>
  <w:style w:type="paragraph" w:styleId="Footer">
    <w:name w:val="footer"/>
    <w:basedOn w:val="Normal"/>
    <w:link w:val="FooterChar"/>
    <w:uiPriority w:val="99"/>
    <w:unhideWhenUsed/>
    <w:rsid w:val="008072E2"/>
    <w:pPr>
      <w:tabs>
        <w:tab w:val="center" w:pos="4680"/>
        <w:tab w:val="right" w:pos="9360"/>
      </w:tabs>
      <w:spacing w:line="240" w:lineRule="auto"/>
    </w:pPr>
  </w:style>
  <w:style w:type="character" w:customStyle="1" w:styleId="FooterChar">
    <w:name w:val="Footer Char"/>
    <w:basedOn w:val="DefaultParagraphFont"/>
    <w:link w:val="Footer"/>
    <w:uiPriority w:val="99"/>
    <w:rsid w:val="008072E2"/>
    <w:rPr>
      <w:rFonts w:ascii="Times New Roman" w:hAnsi="Times New Roman"/>
    </w:rPr>
  </w:style>
  <w:style w:type="paragraph" w:styleId="TOCHeading">
    <w:name w:val="TOC Heading"/>
    <w:basedOn w:val="Heading1"/>
    <w:next w:val="Normal"/>
    <w:uiPriority w:val="39"/>
    <w:unhideWhenUsed/>
    <w:qFormat/>
    <w:rsid w:val="0068665A"/>
    <w:pPr>
      <w:spacing w:before="240" w:after="0" w:line="259" w:lineRule="auto"/>
      <w:jc w:val="left"/>
      <w:outlineLvl w:val="9"/>
    </w:pPr>
    <w:rPr>
      <w:rFonts w:asciiTheme="majorHAnsi" w:eastAsiaTheme="majorEastAsia" w:hAnsiTheme="majorHAnsi" w:cstheme="majorBid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68665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2852">
      <w:bodyDiv w:val="1"/>
      <w:marLeft w:val="0"/>
      <w:marRight w:val="0"/>
      <w:marTop w:val="0"/>
      <w:marBottom w:val="0"/>
      <w:divBdr>
        <w:top w:val="none" w:sz="0" w:space="0" w:color="auto"/>
        <w:left w:val="none" w:sz="0" w:space="0" w:color="auto"/>
        <w:bottom w:val="none" w:sz="0" w:space="0" w:color="auto"/>
        <w:right w:val="none" w:sz="0" w:space="0" w:color="auto"/>
      </w:divBdr>
    </w:div>
    <w:div w:id="47535828">
      <w:bodyDiv w:val="1"/>
      <w:marLeft w:val="0"/>
      <w:marRight w:val="0"/>
      <w:marTop w:val="0"/>
      <w:marBottom w:val="0"/>
      <w:divBdr>
        <w:top w:val="none" w:sz="0" w:space="0" w:color="auto"/>
        <w:left w:val="none" w:sz="0" w:space="0" w:color="auto"/>
        <w:bottom w:val="none" w:sz="0" w:space="0" w:color="auto"/>
        <w:right w:val="none" w:sz="0" w:space="0" w:color="auto"/>
      </w:divBdr>
    </w:div>
    <w:div w:id="161093544">
      <w:bodyDiv w:val="1"/>
      <w:marLeft w:val="0"/>
      <w:marRight w:val="0"/>
      <w:marTop w:val="0"/>
      <w:marBottom w:val="0"/>
      <w:divBdr>
        <w:top w:val="none" w:sz="0" w:space="0" w:color="auto"/>
        <w:left w:val="none" w:sz="0" w:space="0" w:color="auto"/>
        <w:bottom w:val="none" w:sz="0" w:space="0" w:color="auto"/>
        <w:right w:val="none" w:sz="0" w:space="0" w:color="auto"/>
      </w:divBdr>
    </w:div>
    <w:div w:id="366562632">
      <w:bodyDiv w:val="1"/>
      <w:marLeft w:val="0"/>
      <w:marRight w:val="0"/>
      <w:marTop w:val="0"/>
      <w:marBottom w:val="0"/>
      <w:divBdr>
        <w:top w:val="none" w:sz="0" w:space="0" w:color="auto"/>
        <w:left w:val="none" w:sz="0" w:space="0" w:color="auto"/>
        <w:bottom w:val="none" w:sz="0" w:space="0" w:color="auto"/>
        <w:right w:val="none" w:sz="0" w:space="0" w:color="auto"/>
      </w:divBdr>
    </w:div>
    <w:div w:id="539244914">
      <w:bodyDiv w:val="1"/>
      <w:marLeft w:val="0"/>
      <w:marRight w:val="0"/>
      <w:marTop w:val="0"/>
      <w:marBottom w:val="0"/>
      <w:divBdr>
        <w:top w:val="none" w:sz="0" w:space="0" w:color="auto"/>
        <w:left w:val="none" w:sz="0" w:space="0" w:color="auto"/>
        <w:bottom w:val="none" w:sz="0" w:space="0" w:color="auto"/>
        <w:right w:val="none" w:sz="0" w:space="0" w:color="auto"/>
      </w:divBdr>
    </w:div>
    <w:div w:id="610357481">
      <w:bodyDiv w:val="1"/>
      <w:marLeft w:val="0"/>
      <w:marRight w:val="0"/>
      <w:marTop w:val="0"/>
      <w:marBottom w:val="0"/>
      <w:divBdr>
        <w:top w:val="none" w:sz="0" w:space="0" w:color="auto"/>
        <w:left w:val="none" w:sz="0" w:space="0" w:color="auto"/>
        <w:bottom w:val="none" w:sz="0" w:space="0" w:color="auto"/>
        <w:right w:val="none" w:sz="0" w:space="0" w:color="auto"/>
      </w:divBdr>
    </w:div>
    <w:div w:id="732237031">
      <w:bodyDiv w:val="1"/>
      <w:marLeft w:val="0"/>
      <w:marRight w:val="0"/>
      <w:marTop w:val="0"/>
      <w:marBottom w:val="0"/>
      <w:divBdr>
        <w:top w:val="none" w:sz="0" w:space="0" w:color="auto"/>
        <w:left w:val="none" w:sz="0" w:space="0" w:color="auto"/>
        <w:bottom w:val="none" w:sz="0" w:space="0" w:color="auto"/>
        <w:right w:val="none" w:sz="0" w:space="0" w:color="auto"/>
      </w:divBdr>
    </w:div>
    <w:div w:id="772818805">
      <w:bodyDiv w:val="1"/>
      <w:marLeft w:val="0"/>
      <w:marRight w:val="0"/>
      <w:marTop w:val="0"/>
      <w:marBottom w:val="0"/>
      <w:divBdr>
        <w:top w:val="none" w:sz="0" w:space="0" w:color="auto"/>
        <w:left w:val="none" w:sz="0" w:space="0" w:color="auto"/>
        <w:bottom w:val="none" w:sz="0" w:space="0" w:color="auto"/>
        <w:right w:val="none" w:sz="0" w:space="0" w:color="auto"/>
      </w:divBdr>
    </w:div>
    <w:div w:id="881482476">
      <w:bodyDiv w:val="1"/>
      <w:marLeft w:val="0"/>
      <w:marRight w:val="0"/>
      <w:marTop w:val="0"/>
      <w:marBottom w:val="0"/>
      <w:divBdr>
        <w:top w:val="none" w:sz="0" w:space="0" w:color="auto"/>
        <w:left w:val="none" w:sz="0" w:space="0" w:color="auto"/>
        <w:bottom w:val="none" w:sz="0" w:space="0" w:color="auto"/>
        <w:right w:val="none" w:sz="0" w:space="0" w:color="auto"/>
      </w:divBdr>
    </w:div>
    <w:div w:id="900603270">
      <w:bodyDiv w:val="1"/>
      <w:marLeft w:val="0"/>
      <w:marRight w:val="0"/>
      <w:marTop w:val="0"/>
      <w:marBottom w:val="0"/>
      <w:divBdr>
        <w:top w:val="none" w:sz="0" w:space="0" w:color="auto"/>
        <w:left w:val="none" w:sz="0" w:space="0" w:color="auto"/>
        <w:bottom w:val="none" w:sz="0" w:space="0" w:color="auto"/>
        <w:right w:val="none" w:sz="0" w:space="0" w:color="auto"/>
      </w:divBdr>
    </w:div>
    <w:div w:id="925268011">
      <w:bodyDiv w:val="1"/>
      <w:marLeft w:val="0"/>
      <w:marRight w:val="0"/>
      <w:marTop w:val="0"/>
      <w:marBottom w:val="0"/>
      <w:divBdr>
        <w:top w:val="none" w:sz="0" w:space="0" w:color="auto"/>
        <w:left w:val="none" w:sz="0" w:space="0" w:color="auto"/>
        <w:bottom w:val="none" w:sz="0" w:space="0" w:color="auto"/>
        <w:right w:val="none" w:sz="0" w:space="0" w:color="auto"/>
      </w:divBdr>
    </w:div>
    <w:div w:id="937758185">
      <w:bodyDiv w:val="1"/>
      <w:marLeft w:val="0"/>
      <w:marRight w:val="0"/>
      <w:marTop w:val="0"/>
      <w:marBottom w:val="0"/>
      <w:divBdr>
        <w:top w:val="none" w:sz="0" w:space="0" w:color="auto"/>
        <w:left w:val="none" w:sz="0" w:space="0" w:color="auto"/>
        <w:bottom w:val="none" w:sz="0" w:space="0" w:color="auto"/>
        <w:right w:val="none" w:sz="0" w:space="0" w:color="auto"/>
      </w:divBdr>
    </w:div>
    <w:div w:id="938755906">
      <w:bodyDiv w:val="1"/>
      <w:marLeft w:val="0"/>
      <w:marRight w:val="0"/>
      <w:marTop w:val="0"/>
      <w:marBottom w:val="0"/>
      <w:divBdr>
        <w:top w:val="none" w:sz="0" w:space="0" w:color="auto"/>
        <w:left w:val="none" w:sz="0" w:space="0" w:color="auto"/>
        <w:bottom w:val="none" w:sz="0" w:space="0" w:color="auto"/>
        <w:right w:val="none" w:sz="0" w:space="0" w:color="auto"/>
      </w:divBdr>
    </w:div>
    <w:div w:id="1051491549">
      <w:bodyDiv w:val="1"/>
      <w:marLeft w:val="0"/>
      <w:marRight w:val="0"/>
      <w:marTop w:val="0"/>
      <w:marBottom w:val="0"/>
      <w:divBdr>
        <w:top w:val="none" w:sz="0" w:space="0" w:color="auto"/>
        <w:left w:val="none" w:sz="0" w:space="0" w:color="auto"/>
        <w:bottom w:val="none" w:sz="0" w:space="0" w:color="auto"/>
        <w:right w:val="none" w:sz="0" w:space="0" w:color="auto"/>
      </w:divBdr>
    </w:div>
    <w:div w:id="1092433563">
      <w:bodyDiv w:val="1"/>
      <w:marLeft w:val="0"/>
      <w:marRight w:val="0"/>
      <w:marTop w:val="0"/>
      <w:marBottom w:val="0"/>
      <w:divBdr>
        <w:top w:val="none" w:sz="0" w:space="0" w:color="auto"/>
        <w:left w:val="none" w:sz="0" w:space="0" w:color="auto"/>
        <w:bottom w:val="none" w:sz="0" w:space="0" w:color="auto"/>
        <w:right w:val="none" w:sz="0" w:space="0" w:color="auto"/>
      </w:divBdr>
    </w:div>
    <w:div w:id="1112826886">
      <w:bodyDiv w:val="1"/>
      <w:marLeft w:val="0"/>
      <w:marRight w:val="0"/>
      <w:marTop w:val="0"/>
      <w:marBottom w:val="0"/>
      <w:divBdr>
        <w:top w:val="none" w:sz="0" w:space="0" w:color="auto"/>
        <w:left w:val="none" w:sz="0" w:space="0" w:color="auto"/>
        <w:bottom w:val="none" w:sz="0" w:space="0" w:color="auto"/>
        <w:right w:val="none" w:sz="0" w:space="0" w:color="auto"/>
      </w:divBdr>
    </w:div>
    <w:div w:id="1201359779">
      <w:bodyDiv w:val="1"/>
      <w:marLeft w:val="0"/>
      <w:marRight w:val="0"/>
      <w:marTop w:val="0"/>
      <w:marBottom w:val="0"/>
      <w:divBdr>
        <w:top w:val="none" w:sz="0" w:space="0" w:color="auto"/>
        <w:left w:val="none" w:sz="0" w:space="0" w:color="auto"/>
        <w:bottom w:val="none" w:sz="0" w:space="0" w:color="auto"/>
        <w:right w:val="none" w:sz="0" w:space="0" w:color="auto"/>
      </w:divBdr>
    </w:div>
    <w:div w:id="1272012059">
      <w:bodyDiv w:val="1"/>
      <w:marLeft w:val="0"/>
      <w:marRight w:val="0"/>
      <w:marTop w:val="0"/>
      <w:marBottom w:val="0"/>
      <w:divBdr>
        <w:top w:val="none" w:sz="0" w:space="0" w:color="auto"/>
        <w:left w:val="none" w:sz="0" w:space="0" w:color="auto"/>
        <w:bottom w:val="none" w:sz="0" w:space="0" w:color="auto"/>
        <w:right w:val="none" w:sz="0" w:space="0" w:color="auto"/>
      </w:divBdr>
    </w:div>
    <w:div w:id="1279946442">
      <w:bodyDiv w:val="1"/>
      <w:marLeft w:val="0"/>
      <w:marRight w:val="0"/>
      <w:marTop w:val="0"/>
      <w:marBottom w:val="0"/>
      <w:divBdr>
        <w:top w:val="none" w:sz="0" w:space="0" w:color="auto"/>
        <w:left w:val="none" w:sz="0" w:space="0" w:color="auto"/>
        <w:bottom w:val="none" w:sz="0" w:space="0" w:color="auto"/>
        <w:right w:val="none" w:sz="0" w:space="0" w:color="auto"/>
      </w:divBdr>
    </w:div>
    <w:div w:id="1388186302">
      <w:bodyDiv w:val="1"/>
      <w:marLeft w:val="0"/>
      <w:marRight w:val="0"/>
      <w:marTop w:val="0"/>
      <w:marBottom w:val="0"/>
      <w:divBdr>
        <w:top w:val="none" w:sz="0" w:space="0" w:color="auto"/>
        <w:left w:val="none" w:sz="0" w:space="0" w:color="auto"/>
        <w:bottom w:val="none" w:sz="0" w:space="0" w:color="auto"/>
        <w:right w:val="none" w:sz="0" w:space="0" w:color="auto"/>
      </w:divBdr>
    </w:div>
    <w:div w:id="1407612050">
      <w:bodyDiv w:val="1"/>
      <w:marLeft w:val="0"/>
      <w:marRight w:val="0"/>
      <w:marTop w:val="0"/>
      <w:marBottom w:val="0"/>
      <w:divBdr>
        <w:top w:val="none" w:sz="0" w:space="0" w:color="auto"/>
        <w:left w:val="none" w:sz="0" w:space="0" w:color="auto"/>
        <w:bottom w:val="none" w:sz="0" w:space="0" w:color="auto"/>
        <w:right w:val="none" w:sz="0" w:space="0" w:color="auto"/>
      </w:divBdr>
    </w:div>
    <w:div w:id="1445029854">
      <w:bodyDiv w:val="1"/>
      <w:marLeft w:val="0"/>
      <w:marRight w:val="0"/>
      <w:marTop w:val="0"/>
      <w:marBottom w:val="0"/>
      <w:divBdr>
        <w:top w:val="none" w:sz="0" w:space="0" w:color="auto"/>
        <w:left w:val="none" w:sz="0" w:space="0" w:color="auto"/>
        <w:bottom w:val="none" w:sz="0" w:space="0" w:color="auto"/>
        <w:right w:val="none" w:sz="0" w:space="0" w:color="auto"/>
      </w:divBdr>
    </w:div>
    <w:div w:id="1707216253">
      <w:bodyDiv w:val="1"/>
      <w:marLeft w:val="0"/>
      <w:marRight w:val="0"/>
      <w:marTop w:val="0"/>
      <w:marBottom w:val="0"/>
      <w:divBdr>
        <w:top w:val="none" w:sz="0" w:space="0" w:color="auto"/>
        <w:left w:val="none" w:sz="0" w:space="0" w:color="auto"/>
        <w:bottom w:val="none" w:sz="0" w:space="0" w:color="auto"/>
        <w:right w:val="none" w:sz="0" w:space="0" w:color="auto"/>
      </w:divBdr>
    </w:div>
    <w:div w:id="1707218604">
      <w:bodyDiv w:val="1"/>
      <w:marLeft w:val="0"/>
      <w:marRight w:val="0"/>
      <w:marTop w:val="0"/>
      <w:marBottom w:val="0"/>
      <w:divBdr>
        <w:top w:val="none" w:sz="0" w:space="0" w:color="auto"/>
        <w:left w:val="none" w:sz="0" w:space="0" w:color="auto"/>
        <w:bottom w:val="none" w:sz="0" w:space="0" w:color="auto"/>
        <w:right w:val="none" w:sz="0" w:space="0" w:color="auto"/>
      </w:divBdr>
    </w:div>
    <w:div w:id="1891258253">
      <w:bodyDiv w:val="1"/>
      <w:marLeft w:val="0"/>
      <w:marRight w:val="0"/>
      <w:marTop w:val="0"/>
      <w:marBottom w:val="0"/>
      <w:divBdr>
        <w:top w:val="none" w:sz="0" w:space="0" w:color="auto"/>
        <w:left w:val="none" w:sz="0" w:space="0" w:color="auto"/>
        <w:bottom w:val="none" w:sz="0" w:space="0" w:color="auto"/>
        <w:right w:val="none" w:sz="0" w:space="0" w:color="auto"/>
      </w:divBdr>
    </w:div>
    <w:div w:id="2026663487">
      <w:bodyDiv w:val="1"/>
      <w:marLeft w:val="0"/>
      <w:marRight w:val="0"/>
      <w:marTop w:val="0"/>
      <w:marBottom w:val="0"/>
      <w:divBdr>
        <w:top w:val="none" w:sz="0" w:space="0" w:color="auto"/>
        <w:left w:val="none" w:sz="0" w:space="0" w:color="auto"/>
        <w:bottom w:val="none" w:sz="0" w:space="0" w:color="auto"/>
        <w:right w:val="none" w:sz="0" w:space="0" w:color="auto"/>
      </w:divBdr>
    </w:div>
    <w:div w:id="2039115601">
      <w:bodyDiv w:val="1"/>
      <w:marLeft w:val="0"/>
      <w:marRight w:val="0"/>
      <w:marTop w:val="0"/>
      <w:marBottom w:val="0"/>
      <w:divBdr>
        <w:top w:val="none" w:sz="0" w:space="0" w:color="auto"/>
        <w:left w:val="none" w:sz="0" w:space="0" w:color="auto"/>
        <w:bottom w:val="none" w:sz="0" w:space="0" w:color="auto"/>
        <w:right w:val="none" w:sz="0" w:space="0" w:color="auto"/>
      </w:divBdr>
    </w:div>
    <w:div w:id="2093700955">
      <w:bodyDiv w:val="1"/>
      <w:marLeft w:val="0"/>
      <w:marRight w:val="0"/>
      <w:marTop w:val="0"/>
      <w:marBottom w:val="0"/>
      <w:divBdr>
        <w:top w:val="none" w:sz="0" w:space="0" w:color="auto"/>
        <w:left w:val="none" w:sz="0" w:space="0" w:color="auto"/>
        <w:bottom w:val="none" w:sz="0" w:space="0" w:color="auto"/>
        <w:right w:val="none" w:sz="0" w:space="0" w:color="auto"/>
      </w:divBdr>
    </w:div>
    <w:div w:id="212869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Bas25</b:Tag>
    <b:SourceType>JournalArticle</b:SourceType>
    <b:Guid>{F40608F0-27CF-4E73-8499-482C1EE889B7}</b:Guid>
    <b:Author>
      <b:Author>
        <b:NameList>
          <b:Person>
            <b:Last>Bastida</b:Last>
            <b:First>M.</b:First>
          </b:Person>
          <b:Person>
            <b:Last>Vaquero García</b:Last>
            <b:First>A.</b:First>
          </b:Person>
          <b:Person>
            <b:Last>Vazquez Taín</b:Last>
            <b:First>M.</b:First>
            <b:Middle>Á.</b:Middle>
          </b:Person>
          <b:Person>
            <b:Last>Del Río Araujo</b:Last>
            <b:First>M.</b:First>
          </b:Person>
        </b:NameList>
      </b:Author>
    </b:Author>
    <b:Title>From automation to augmentation: Human resource's journey with artificial intelligence</b:Title>
    <b:JournalName>Journal of Industrial Information Integration</b:JournalName>
    <b:Year>2025</b:Year>
    <b:Pages>100872</b:Pages>
    <b:Volume>46</b:Volume>
    <b:RefOrder>1</b:RefOrder>
  </b:Source>
  <b:Source>
    <b:Tag>Bry14</b:Tag>
    <b:SourceType>BookSection</b:SourceType>
    <b:Guid>{7B5D5051-9CC8-4740-A688-B3FFEA59DEB1}</b:Guid>
    <b:Title>The second machine age: Work, progress, and prosperity in a time of brilliant technologies.</b:Title>
    <b:Year>2014</b:Year>
    <b:Author>
      <b:Author>
        <b:NameList>
          <b:Person>
            <b:Last>Brynjolfsson</b:Last>
            <b:First>E.</b:First>
          </b:Person>
          <b:Person>
            <b:Last>McAfee</b:Last>
            <b:First>A.</b:First>
          </b:Person>
        </b:NameList>
      </b:Author>
    </b:Author>
    <b:Publisher>W.W. Norton &amp; Company</b:Publisher>
    <b:RefOrder>2</b:RefOrder>
  </b:Source>
  <b:Source>
    <b:Tag>Dav08</b:Tag>
    <b:SourceType>Book</b:SourceType>
    <b:Guid>{7CD9A79D-CEB2-4425-9FB8-44E3DF501B05}</b:Guid>
    <b:Title>Population Aging and Economic Growth</b:Title>
    <b:Year>2008</b:Year>
    <b:City>Washington, D.C.</b:City>
    <b:Publisher>World Bank Publications</b:Publisher>
    <b:Author>
      <b:Author>
        <b:NameList>
          <b:Person>
            <b:Last>Bloom</b:Last>
            <b:First>David</b:First>
            <b:Middle>E.</b:Middle>
          </b:Person>
          <b:Person>
            <b:Last>Canning</b:Last>
            <b:First>David</b:First>
          </b:Person>
          <b:Person>
            <b:Last>Fink</b:Last>
            <b:First>Günther</b:First>
          </b:Person>
        </b:NameList>
      </b:Author>
    </b:Author>
    <b:RefOrder>3</b:RefOrder>
  </b:Source>
  <b:Source>
    <b:Tag>Wor20</b:Tag>
    <b:SourceType>Book</b:SourceType>
    <b:Guid>{10B13E89-DAE7-48FF-A04C-2F556889A430}</b:Guid>
    <b:Author>
      <b:Author>
        <b:Corporate>World Bank</b:Corporate>
      </b:Author>
    </b:Author>
    <b:Title>Global Economic Prospects: East Asia and Pacific</b:Title>
    <b:Year>2020</b:Year>
    <b:City>Washington, D.C.</b:City>
    <b:Publisher>The World Bank</b:Publisher>
    <b:RefOrder>4</b:RefOrder>
  </b:Source>
  <b:Source>
    <b:Tag>Chr13</b:Tag>
    <b:SourceType>JournalArticle</b:SourceType>
    <b:Guid>{E6D22F5E-B88F-4CDA-A047-97009164FD4D}</b:Guid>
    <b:Title>The Effect of Immigration along the Distribution of Wages</b:Title>
    <b:Year>2013</b:Year>
    <b:Author>
      <b:Author>
        <b:NameList>
          <b:Person>
            <b:Last>Dustmann</b:Last>
            <b:First>Christian</b:First>
          </b:Person>
          <b:Person>
            <b:Last>Frattini</b:Last>
            <b:First>Tommaso</b:First>
          </b:Person>
          <b:Person>
            <b:Last>Preston</b:Last>
            <b:First>Ian</b:First>
            <b:Middle>P.</b:Middle>
          </b:Person>
        </b:NameList>
      </b:Author>
    </b:Author>
    <b:JournalName>Review of Economic Studies</b:JournalName>
    <b:Pages>145–173</b:Pages>
    <b:Volume>80</b:Volume>
    <b:Issue>1</b:Issue>
    <b:RefOrder>5</b:RefOrder>
  </b:Source>
  <b:Source>
    <b:Tag>Kri23</b:Tag>
    <b:SourceType>JournalArticle</b:SourceType>
    <b:Guid>{32051908-6EBF-4599-88CD-EF453781937F}</b:Guid>
    <b:Author>
      <b:Author>
        <b:NameList>
          <b:Person>
            <b:Last>Sargent</b:Last>
            <b:First>Kristina</b:First>
          </b:Person>
        </b:NameList>
      </b:Author>
    </b:Author>
    <b:Title>The Labor Market Impacts of Brexit: Migration and the European Union</b:Title>
    <b:JournalName>Economic Modelling</b:JournalName>
    <b:Year>2023</b:Year>
    <b:Pages>106196</b:Pages>
    <b:Volume>121</b:Volume>
    <b:RefOrder>6</b:RefOrder>
  </b:Source>
  <b:Source>
    <b:Tag>Del20</b:Tag>
    <b:SourceType>Report</b:SourceType>
    <b:Guid>{CF52A62F-84A6-4D85-A779-4E7536905A1B}</b:Guid>
    <b:Title>The Social Enterprise at Work: Paradox as a Path Forward</b:Title>
    <b:Year>2020</b:Year>
    <b:Author>
      <b:Author>
        <b:NameList>
          <b:Person>
            <b:Last>Deloitte</b:Last>
          </b:Person>
        </b:NameList>
      </b:Author>
    </b:Author>
    <b:Publisher>Deloitte</b:Publisher>
    <b:RefOrder>7</b:RefOrder>
  </b:Source>
  <b:Source>
    <b:Tag>Wor201</b:Tag>
    <b:SourceType>Report</b:SourceType>
    <b:Guid>{5434341F-C1C8-46AD-A705-30727CA30301}</b:Guid>
    <b:Author>
      <b:Author>
        <b:Corporate>World Health Organization</b:Corporate>
      </b:Author>
    </b:Author>
    <b:Title>Ageing and Health</b:Title>
    <b:Year>2020</b:Year>
    <b:Publisher>World Health Organization</b:Publisher>
    <b:RefOrder>8</b:RefOrder>
  </b:Source>
  <b:Source>
    <b:Tag>Int20</b:Tag>
    <b:SourceType>Report</b:SourceType>
    <b:Guid>{1D7F68D5-5E87-4288-95A9-2D47E2EAA63A}</b:Guid>
    <b:Author>
      <b:Author>
        <b:Corporate>International Labour Organization</b:Corporate>
      </b:Author>
    </b:Author>
    <b:Title>World Employment and Social Outlook: Trends 2020</b:Title>
    <b:Year>2020</b:Year>
    <b:Publisher>International Labour Organization</b:Publisher>
    <b:RefOrder>9</b:RefOrder>
  </b:Source>
  <b:Source>
    <b:Tag>Bec23</b:Tag>
    <b:SourceType>JournalArticle</b:SourceType>
    <b:Guid>{51948903-BEA9-4E92-B9E1-BC377276EB07}</b:Guid>
    <b:Title>Exploring Hospitality Workers' Career Choices in the Wake of COVID-19: Insights from A Phenomenological Inquiry</b:Title>
    <b:Year>2023</b:Year>
    <b:Author>
      <b:Author>
        <b:NameList>
          <b:Person>
            <b:Last>Liu-Lastres</b:Last>
            <b:First>Becky</b:First>
          </b:Person>
          <b:Person>
            <b:Last>Huang</b:Last>
            <b:First>Wei-jue</b:First>
          </b:Person>
          <b:Person>
            <b:Last>Bao</b:Last>
            <b:First>Huilin</b:First>
          </b:Person>
        </b:NameList>
      </b:Author>
    </b:Author>
    <b:JournalName>International Journal of Hospitality Management</b:JournalName>
    <b:Pages>103485</b:Pages>
    <b:Volume>111</b:Volume>
    <b:Issue>8</b:Issue>
    <b:RefOrder>10</b:RefOrder>
  </b:Source>
  <b:Source>
    <b:Tag>Jos19</b:Tag>
    <b:SourceType>InternetSite</b:SourceType>
    <b:Guid>{1EB65862-665E-42A1-9EB0-CDEB670B494B}</b:Guid>
    <b:Title>Let’s Stop Talking About Soft Skills: They’re PowerSkills</b:Title>
    <b:Year>2019</b:Year>
    <b:Author>
      <b:Author>
        <b:NameList>
          <b:Person>
            <b:Last>Bersin</b:Last>
            <b:First>Josh</b:First>
          </b:Person>
        </b:NameList>
      </b:Author>
    </b:Author>
    <b:YearAccessed>2025</b:YearAccessed>
    <b:RefOrder>11</b:RefOrder>
  </b:Source>
  <b:Source>
    <b:Tag>Pet15</b:Tag>
    <b:SourceType>JournalArticle</b:SourceType>
    <b:Guid>{56367452-DC6D-42E4-B2DA-21B1C2F01DDE}</b:Guid>
    <b:Title>Skill Gaps, Skill Shortages, and Skill Mismatches: Evidence and Arguments for the United States</b:Title>
    <b:Year>2015</b:Year>
    <b:Author>
      <b:Author>
        <b:NameList>
          <b:Person>
            <b:Last>Cappelli</b:Last>
            <b:First>Peter</b:First>
            <b:Middle>H.</b:Middle>
          </b:Person>
        </b:NameList>
      </b:Author>
    </b:Author>
    <b:JournalName>ILR Review</b:JournalName>
    <b:Pages>251–290</b:Pages>
    <b:Volume>68</b:Volume>
    <b:Issue>2</b:Issue>
    <b:RefOrder>12</b:RefOrder>
  </b:Source>
  <b:Source>
    <b:Tag>Cat20</b:Tag>
    <b:SourceType>InternetSite</b:SourceType>
    <b:Guid>{79195E07-FCD7-47CB-A6AA-E6CF9D7AA5AC}</b:Guid>
    <b:Title>Why Diversity and Inclusion Matter</b:Title>
    <b:Year>2020</b:Year>
    <b:Author>
      <b:Author>
        <b:NameList>
          <b:Person>
            <b:Last>Catalyst</b:Last>
          </b:Person>
        </b:NameList>
      </b:Author>
    </b:Author>
    <b:YearAccessed>2025</b:YearAccessed>
    <b:ProductionCompany>Catalyst</b:ProductionCompany>
    <b:RefOrder>13</b:RefOrder>
  </b:Source>
  <b:Source>
    <b:Tag>Goo20</b:Tag>
    <b:SourceType>InternetSite</b:SourceType>
    <b:Guid>{D24C19FE-A0DE-4B51-90DD-84D960C6DBCE}</b:Guid>
    <b:Author>
      <b:Author>
        <b:NameList>
          <b:Person>
            <b:Last>Google</b:Last>
          </b:Person>
        </b:NameList>
      </b:Author>
    </b:Author>
    <b:Title>Google Apprenticeships</b:Title>
    <b:Year>2020</b:Year>
    <b:YearAccessed>2025</b:YearAccessed>
    <b:RefOrder>14</b:RefOrder>
  </b:Source>
  <b:Source>
    <b:Tag>IBM19</b:Tag>
    <b:SourceType>InternetSite</b:SourceType>
    <b:Guid>{EFBA67AE-60E0-435F-AD13-9958B2AB643D}</b:Guid>
    <b:Author>
      <b:Author>
        <b:NameList>
          <b:Person>
            <b:Last>IBM</b:Last>
          </b:Person>
        </b:NameList>
      </b:Author>
    </b:Author>
    <b:Title>The IBM Apprenticeship Program: No degree? No problem!</b:Title>
    <b:Year>2019</b:Year>
    <b:YearAccessed>2025</b:YearAccessed>
    <b:RefOrder>15</b:RefOrder>
  </b:Source>
  <b:Source>
    <b:Tag>May21</b:Tag>
    <b:SourceType>InternetSite</b:SourceType>
    <b:Guid>{AFDE8365-8E43-4EC6-8443-96E8832FAF35}</b:Guid>
    <b:Author>
      <b:Author>
        <b:Corporate>Mayo Clinic</b:Corporate>
      </b:Author>
    </b:Author>
    <b:Title>Workforce development programs at Mayo Clinic</b:Title>
    <b:Year>2021</b:Year>
    <b:YearAccessed>2020</b:YearAccessed>
    <b:RefOrder>16</b:RefOrder>
  </b:Source>
  <b:Source>
    <b:Tag>Mar20</b:Tag>
    <b:SourceType>InternetSite</b:SourceType>
    <b:Guid>{B2C677F0-A051-42CD-BE63-2FE34FFF1C7E}</b:Guid>
    <b:Author>
      <b:Author>
        <b:Corporate>Marriott International</b:Corporate>
      </b:Author>
    </b:Author>
    <b:Title>2015 Update on Workforce Development</b:Title>
    <b:Year>2020</b:Year>
    <b:YearAccessed>2025</b:YearAccessed>
    <b:RefOrder>17</b:RefOrder>
  </b:Source>
</b:Sources>
</file>

<file path=customXml/itemProps1.xml><?xml version="1.0" encoding="utf-8"?>
<ds:datastoreItem xmlns:ds="http://schemas.openxmlformats.org/officeDocument/2006/customXml" ds:itemID="{D6B66FF8-BFDF-43A9-908A-9717C39DA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13</Pages>
  <Words>2996</Words>
  <Characters>18756</Characters>
  <Application>Microsoft Office Word</Application>
  <DocSecurity>0</DocSecurity>
  <Lines>407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STARK.</dc:creator>
  <cp:keywords/>
  <dc:description/>
  <cp:lastModifiedBy>TONY- STARK.</cp:lastModifiedBy>
  <cp:revision>4</cp:revision>
  <dcterms:created xsi:type="dcterms:W3CDTF">2025-10-05T09:28:00Z</dcterms:created>
  <dcterms:modified xsi:type="dcterms:W3CDTF">2025-10-06T13:04:00Z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6703a525-7d5a-4453-8b7a-3c02c2446a46</vt:lpwstr>
  </property>
</Properties>
</file>