
<file path=[Content_Types].xml><?xml version="1.0" encoding="utf-8"?>
<Types xmlns="http://schemas.openxmlformats.org/package/2006/content-types">
  <Default Extension="bin" ContentType="application/vnd.openxmlformats-officedocument.oleObject"/>
  <Default Extension="docx" ContentType="application/vnd.openxmlformats-officedocument.wordprocessingml.document"/>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7167C8" w14:textId="4635DC85" w:rsidR="00831C18" w:rsidRPr="00C001AD" w:rsidRDefault="00831C18" w:rsidP="00434644">
      <w:pPr>
        <w:pStyle w:val="Header"/>
        <w:spacing w:line="360" w:lineRule="auto"/>
        <w:jc w:val="center"/>
        <w:rPr>
          <w:rFonts w:ascii="Calibri" w:hAnsi="Calibri" w:cs="Calibri"/>
          <w:b/>
          <w:bCs/>
          <w:caps/>
          <w:sz w:val="72"/>
          <w:szCs w:val="72"/>
          <w:u w:val="single"/>
        </w:rPr>
      </w:pPr>
      <w:r w:rsidRPr="00C001AD">
        <w:rPr>
          <w:rFonts w:asciiTheme="majorHAnsi" w:eastAsiaTheme="majorEastAsia" w:hAnsiTheme="majorHAnsi" w:cstheme="majorBidi"/>
          <w:caps/>
          <w:noProof/>
          <w:lang w:eastAsia="en-GB"/>
        </w:rPr>
        <w:drawing>
          <wp:inline distT="0" distB="0" distL="0" distR="0" wp14:anchorId="1B59A4CC" wp14:editId="2348AADE">
            <wp:extent cx="4388485" cy="1948813"/>
            <wp:effectExtent l="0" t="0" r="0" b="0"/>
            <wp:docPr id="12" name="Picture 12" descr="Image result for university of wales trinity saint david ba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versity of wales trinity saint david bad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40471" cy="1971898"/>
                    </a:xfrm>
                    <a:prstGeom prst="rect">
                      <a:avLst/>
                    </a:prstGeom>
                    <a:noFill/>
                    <a:ln>
                      <a:noFill/>
                    </a:ln>
                  </pic:spPr>
                </pic:pic>
              </a:graphicData>
            </a:graphic>
          </wp:inline>
        </w:drawing>
      </w:r>
    </w:p>
    <w:p w14:paraId="5D3A3549" w14:textId="55E32C8B" w:rsidR="0085635D" w:rsidRPr="0013596E" w:rsidRDefault="0085635D" w:rsidP="00434644">
      <w:pPr>
        <w:pStyle w:val="Header"/>
        <w:spacing w:line="360" w:lineRule="auto"/>
        <w:jc w:val="center"/>
        <w:rPr>
          <w:caps/>
          <w:szCs w:val="24"/>
        </w:rPr>
      </w:pPr>
      <w:r w:rsidRPr="0013596E">
        <w:rPr>
          <w:b/>
          <w:bCs/>
          <w:szCs w:val="24"/>
        </w:rPr>
        <w:t xml:space="preserve">Future Proofing Local Government: </w:t>
      </w:r>
      <w:r w:rsidRPr="0013596E">
        <w:rPr>
          <w:szCs w:val="24"/>
        </w:rPr>
        <w:t xml:space="preserve">A Case Study of </w:t>
      </w:r>
      <w:r w:rsidR="0017563B">
        <w:rPr>
          <w:szCs w:val="24"/>
        </w:rPr>
        <w:t>Gen Z</w:t>
      </w:r>
      <w:r w:rsidRPr="0013596E">
        <w:rPr>
          <w:szCs w:val="24"/>
        </w:rPr>
        <w:t xml:space="preserve"> and Talent Management at Newport City Council</w:t>
      </w:r>
    </w:p>
    <w:p w14:paraId="114B55B1" w14:textId="043856E2" w:rsidR="00831C18" w:rsidRPr="00C001AD" w:rsidRDefault="00831C18" w:rsidP="00434644">
      <w:pPr>
        <w:pStyle w:val="Header"/>
        <w:spacing w:line="360" w:lineRule="auto"/>
        <w:jc w:val="center"/>
        <w:rPr>
          <w:b/>
          <w:bCs/>
          <w:caps/>
          <w:sz w:val="72"/>
          <w:szCs w:val="72"/>
          <w:u w:val="single"/>
        </w:rPr>
      </w:pPr>
    </w:p>
    <w:p w14:paraId="622E0990" w14:textId="12EE8168" w:rsidR="0085635D" w:rsidRPr="0085635D" w:rsidRDefault="0085635D" w:rsidP="00434644">
      <w:pPr>
        <w:pStyle w:val="Header"/>
        <w:spacing w:line="360" w:lineRule="auto"/>
        <w:jc w:val="center"/>
        <w:rPr>
          <w:caps/>
          <w:szCs w:val="24"/>
        </w:rPr>
      </w:pPr>
      <w:r w:rsidRPr="0085635D">
        <w:rPr>
          <w:caps/>
          <w:szCs w:val="24"/>
        </w:rPr>
        <w:t>A</w:t>
      </w:r>
      <w:r w:rsidRPr="0085635D">
        <w:rPr>
          <w:szCs w:val="24"/>
        </w:rPr>
        <w:t xml:space="preserve"> dissertation submitted </w:t>
      </w:r>
    </w:p>
    <w:p w14:paraId="7BA9522B" w14:textId="59547C68" w:rsidR="00831C18" w:rsidRPr="0085635D" w:rsidRDefault="0085635D" w:rsidP="00434644">
      <w:pPr>
        <w:pStyle w:val="Header"/>
        <w:spacing w:line="360" w:lineRule="auto"/>
        <w:jc w:val="center"/>
        <w:rPr>
          <w:caps/>
          <w:szCs w:val="24"/>
        </w:rPr>
      </w:pPr>
      <w:r>
        <w:rPr>
          <w:szCs w:val="24"/>
        </w:rPr>
        <w:t>b</w:t>
      </w:r>
      <w:r w:rsidRPr="0085635D">
        <w:rPr>
          <w:szCs w:val="24"/>
        </w:rPr>
        <w:t xml:space="preserve">y </w:t>
      </w:r>
    </w:p>
    <w:p w14:paraId="3AE084B6" w14:textId="77777777" w:rsidR="00831C18" w:rsidRPr="00C001AD" w:rsidRDefault="00831C18" w:rsidP="00434644">
      <w:pPr>
        <w:pStyle w:val="Header"/>
        <w:spacing w:line="360" w:lineRule="auto"/>
        <w:rPr>
          <w:b/>
          <w:bCs/>
          <w:caps/>
          <w:sz w:val="44"/>
          <w:szCs w:val="44"/>
        </w:rPr>
      </w:pPr>
    </w:p>
    <w:p w14:paraId="29C2365B" w14:textId="33AC163F" w:rsidR="00831C18" w:rsidRDefault="00831C18" w:rsidP="00434644">
      <w:pPr>
        <w:pStyle w:val="Header"/>
        <w:spacing w:line="360" w:lineRule="auto"/>
        <w:jc w:val="center"/>
        <w:rPr>
          <w:szCs w:val="24"/>
        </w:rPr>
      </w:pPr>
      <w:r w:rsidRPr="00434644">
        <w:rPr>
          <w:b/>
          <w:bCs/>
          <w:szCs w:val="24"/>
        </w:rPr>
        <w:t>Paige Grey</w:t>
      </w:r>
      <w:r w:rsidRPr="008A6847">
        <w:rPr>
          <w:szCs w:val="24"/>
        </w:rPr>
        <w:br/>
      </w:r>
      <w:r w:rsidR="0085635D">
        <w:rPr>
          <w:szCs w:val="24"/>
        </w:rPr>
        <w:t>231695</w:t>
      </w:r>
    </w:p>
    <w:p w14:paraId="7900F072" w14:textId="5230EF60" w:rsidR="0085635D" w:rsidRDefault="00D029DC" w:rsidP="00434644">
      <w:pPr>
        <w:pStyle w:val="Header"/>
        <w:spacing w:line="360" w:lineRule="auto"/>
        <w:jc w:val="center"/>
        <w:rPr>
          <w:szCs w:val="24"/>
        </w:rPr>
      </w:pPr>
      <w:r>
        <w:rPr>
          <w:szCs w:val="24"/>
        </w:rPr>
        <w:t>June</w:t>
      </w:r>
      <w:r w:rsidR="0085635D">
        <w:rPr>
          <w:szCs w:val="24"/>
        </w:rPr>
        <w:t xml:space="preserve"> </w:t>
      </w:r>
      <w:r w:rsidR="0085635D" w:rsidRPr="008A6847">
        <w:rPr>
          <w:szCs w:val="24"/>
        </w:rPr>
        <w:t>202</w:t>
      </w:r>
      <w:r w:rsidR="0085635D">
        <w:rPr>
          <w:szCs w:val="24"/>
        </w:rPr>
        <w:t>6</w:t>
      </w:r>
    </w:p>
    <w:p w14:paraId="5DFE0782" w14:textId="77777777" w:rsidR="0085635D" w:rsidRDefault="0085635D" w:rsidP="00434644">
      <w:pPr>
        <w:pStyle w:val="Header"/>
        <w:spacing w:line="360" w:lineRule="auto"/>
        <w:jc w:val="center"/>
        <w:rPr>
          <w:szCs w:val="24"/>
        </w:rPr>
      </w:pPr>
    </w:p>
    <w:p w14:paraId="2345C60C" w14:textId="77777777" w:rsidR="0085635D" w:rsidRDefault="0085635D" w:rsidP="00434644">
      <w:pPr>
        <w:pStyle w:val="Header"/>
        <w:spacing w:line="360" w:lineRule="auto"/>
        <w:jc w:val="center"/>
        <w:rPr>
          <w:szCs w:val="24"/>
        </w:rPr>
      </w:pPr>
    </w:p>
    <w:p w14:paraId="08D3934B" w14:textId="5ED138AD" w:rsidR="0085635D" w:rsidRPr="008A6847" w:rsidRDefault="0085635D" w:rsidP="00434644">
      <w:pPr>
        <w:pStyle w:val="Header"/>
        <w:spacing w:line="360" w:lineRule="auto"/>
        <w:jc w:val="center"/>
        <w:rPr>
          <w:szCs w:val="24"/>
        </w:rPr>
      </w:pPr>
      <w:r w:rsidRPr="008A6847">
        <w:rPr>
          <w:szCs w:val="24"/>
        </w:rPr>
        <w:t>UNIVERSITY OF WALES TRINITY SAINT DAVID</w:t>
      </w:r>
    </w:p>
    <w:p w14:paraId="5CC537DC" w14:textId="4FE1B2EC" w:rsidR="00B20335" w:rsidRPr="008A6847" w:rsidRDefault="00A459AB" w:rsidP="00434644">
      <w:pPr>
        <w:pStyle w:val="Header"/>
        <w:spacing w:line="360" w:lineRule="auto"/>
        <w:jc w:val="center"/>
        <w:rPr>
          <w:szCs w:val="24"/>
        </w:rPr>
      </w:pPr>
      <w:r w:rsidRPr="008A6847">
        <w:rPr>
          <w:szCs w:val="24"/>
        </w:rPr>
        <w:t>Master</w:t>
      </w:r>
      <w:r>
        <w:rPr>
          <w:szCs w:val="24"/>
        </w:rPr>
        <w:t>’s in business administration</w:t>
      </w:r>
    </w:p>
    <w:p w14:paraId="7A497068" w14:textId="77777777" w:rsidR="007C1441" w:rsidRPr="00831C18" w:rsidRDefault="007C1441" w:rsidP="00434644">
      <w:pPr>
        <w:pStyle w:val="Header"/>
        <w:spacing w:line="360" w:lineRule="auto"/>
        <w:jc w:val="center"/>
        <w:rPr>
          <w:caps/>
          <w:sz w:val="44"/>
          <w:szCs w:val="44"/>
        </w:rPr>
      </w:pPr>
    </w:p>
    <w:p w14:paraId="1D1A6424" w14:textId="1204E5CB" w:rsidR="00446609" w:rsidRDefault="00446609" w:rsidP="00434644">
      <w:pPr>
        <w:pStyle w:val="Header"/>
        <w:spacing w:line="360" w:lineRule="auto"/>
        <w:rPr>
          <w:caps/>
          <w:sz w:val="28"/>
          <w:szCs w:val="28"/>
        </w:rPr>
      </w:pPr>
    </w:p>
    <w:p w14:paraId="188076D2" w14:textId="14FC04DA" w:rsidR="00446609" w:rsidRPr="00C70DF9" w:rsidRDefault="00446609" w:rsidP="00434644">
      <w:pPr>
        <w:pStyle w:val="Header"/>
        <w:spacing w:line="360" w:lineRule="auto"/>
        <w:jc w:val="center"/>
        <w:rPr>
          <w:caps/>
          <w:sz w:val="36"/>
          <w:szCs w:val="36"/>
        </w:rPr>
      </w:pPr>
    </w:p>
    <w:p w14:paraId="099759B5" w14:textId="77777777" w:rsidR="00C97842" w:rsidRPr="00C70DF9" w:rsidRDefault="00C97842" w:rsidP="00434644">
      <w:pPr>
        <w:pStyle w:val="Header"/>
        <w:spacing w:line="360" w:lineRule="auto"/>
        <w:jc w:val="center"/>
        <w:rPr>
          <w:caps/>
          <w:sz w:val="44"/>
          <w:szCs w:val="44"/>
          <w:u w:val="single"/>
        </w:rPr>
      </w:pPr>
    </w:p>
    <w:p w14:paraId="3508DF79" w14:textId="4DCEF239" w:rsidR="00831C18" w:rsidRPr="00C70DF9" w:rsidRDefault="00831C18" w:rsidP="00434644">
      <w:pPr>
        <w:spacing w:line="360" w:lineRule="auto"/>
        <w:rPr>
          <w:b/>
          <w:sz w:val="28"/>
          <w:szCs w:val="28"/>
        </w:rPr>
      </w:pPr>
    </w:p>
    <w:p w14:paraId="13B5F580" w14:textId="77777777" w:rsidR="005D0994" w:rsidRDefault="005D0994" w:rsidP="00434644">
      <w:pPr>
        <w:spacing w:line="360" w:lineRule="auto"/>
        <w:rPr>
          <w:b/>
          <w:bCs/>
        </w:rPr>
      </w:pPr>
      <w:bookmarkStart w:id="0" w:name="_Toc205278457"/>
      <w:bookmarkStart w:id="1" w:name="_Hlk199252407"/>
      <w:bookmarkStart w:id="2" w:name="_Hlk201323402"/>
      <w:bookmarkStart w:id="3" w:name="_Hlk201743055"/>
      <w:bookmarkStart w:id="4" w:name="_Hlk202779016"/>
    </w:p>
    <w:p w14:paraId="28E7EA50" w14:textId="77777777" w:rsidR="009F0C2C" w:rsidRDefault="009F0C2C" w:rsidP="00434644">
      <w:pPr>
        <w:spacing w:line="360" w:lineRule="auto"/>
        <w:jc w:val="both"/>
        <w:rPr>
          <w:b/>
          <w:bCs/>
        </w:rPr>
      </w:pPr>
    </w:p>
    <w:tbl>
      <w:tblPr>
        <w:tblW w:w="9812" w:type="dxa"/>
        <w:tblLayout w:type="fixed"/>
        <w:tblCellMar>
          <w:left w:w="120" w:type="dxa"/>
          <w:right w:w="120" w:type="dxa"/>
        </w:tblCellMar>
        <w:tblLook w:val="0000" w:firstRow="0" w:lastRow="0" w:firstColumn="0" w:lastColumn="0" w:noHBand="0" w:noVBand="0"/>
      </w:tblPr>
      <w:tblGrid>
        <w:gridCol w:w="9812"/>
      </w:tblGrid>
      <w:tr w:rsidR="00843B8E" w:rsidRPr="00E913B3" w14:paraId="0983F135" w14:textId="77777777" w:rsidTr="00AD7224">
        <w:trPr>
          <w:cantSplit/>
          <w:trHeight w:val="1134"/>
        </w:trPr>
        <w:tc>
          <w:tcPr>
            <w:tcW w:w="9812" w:type="dxa"/>
            <w:tcBorders>
              <w:top w:val="double" w:sz="6" w:space="0" w:color="auto"/>
              <w:left w:val="double" w:sz="6" w:space="0" w:color="auto"/>
              <w:bottom w:val="double" w:sz="6" w:space="0" w:color="auto"/>
              <w:right w:val="double" w:sz="6" w:space="0" w:color="auto"/>
            </w:tcBorders>
          </w:tcPr>
          <w:p w14:paraId="1D56740D" w14:textId="77777777" w:rsidR="00843B8E" w:rsidRPr="006A5985" w:rsidRDefault="00843B8E" w:rsidP="00AD7224">
            <w:pPr>
              <w:tabs>
                <w:tab w:val="left" w:pos="-720"/>
              </w:tabs>
              <w:suppressAutoHyphens/>
              <w:spacing w:after="0" w:line="240" w:lineRule="auto"/>
              <w:rPr>
                <w:rFonts w:ascii="Arial" w:hAnsi="Arial" w:cs="Arial"/>
                <w:b/>
                <w:spacing w:val="-2"/>
              </w:rPr>
            </w:pPr>
            <w:r w:rsidRPr="006A5985">
              <w:rPr>
                <w:rFonts w:ascii="Arial" w:hAnsi="Arial" w:cs="Arial"/>
              </w:rPr>
              <w:lastRenderedPageBreak/>
              <w:br w:type="page"/>
            </w:r>
          </w:p>
          <w:p w14:paraId="18AEC747" w14:textId="77777777" w:rsidR="00843B8E" w:rsidRPr="006A5985" w:rsidRDefault="00843B8E" w:rsidP="00AD7224">
            <w:pPr>
              <w:tabs>
                <w:tab w:val="center" w:pos="4786"/>
              </w:tabs>
              <w:suppressAutoHyphens/>
              <w:spacing w:after="0" w:line="240" w:lineRule="auto"/>
              <w:jc w:val="center"/>
              <w:rPr>
                <w:rFonts w:ascii="Arial" w:hAnsi="Arial" w:cs="Arial"/>
                <w:b/>
                <w:spacing w:val="-2"/>
              </w:rPr>
            </w:pPr>
            <w:r w:rsidRPr="006A5985">
              <w:rPr>
                <w:rFonts w:ascii="Arial" w:hAnsi="Arial" w:cs="Arial"/>
                <w:b/>
                <w:spacing w:val="-2"/>
              </w:rPr>
              <w:t xml:space="preserve">EXAMINATION OF TAUGHT MASTER'S DEGREE DISSERTATION: </w:t>
            </w:r>
            <w:r w:rsidRPr="006A5985">
              <w:rPr>
                <w:rFonts w:ascii="Arial" w:hAnsi="Arial" w:cs="Arial"/>
                <w:b/>
                <w:spacing w:val="-2"/>
              </w:rPr>
              <w:br w:type="textWrapping" w:clear="all"/>
            </w:r>
          </w:p>
          <w:p w14:paraId="041FBD3F" w14:textId="77777777" w:rsidR="00843B8E" w:rsidRPr="006A5985" w:rsidRDefault="00843B8E" w:rsidP="00AD7224">
            <w:pPr>
              <w:spacing w:after="0" w:line="240" w:lineRule="auto"/>
              <w:jc w:val="center"/>
              <w:rPr>
                <w:rFonts w:ascii="Arial" w:hAnsi="Arial" w:cs="Arial"/>
              </w:rPr>
            </w:pPr>
            <w:r w:rsidRPr="006A5985">
              <w:rPr>
                <w:rFonts w:ascii="Arial" w:hAnsi="Arial" w:cs="Arial"/>
                <w:b/>
                <w:spacing w:val="-2"/>
              </w:rPr>
              <w:t>NOTICE OF CANDIDATURE FORM</w:t>
            </w:r>
          </w:p>
          <w:p w14:paraId="50ABD42E" w14:textId="77777777" w:rsidR="00843B8E" w:rsidRPr="006A5985" w:rsidRDefault="00843B8E" w:rsidP="00AD7224">
            <w:pPr>
              <w:pStyle w:val="Caption"/>
              <w:pBdr>
                <w:top w:val="double" w:sz="6" w:space="12" w:color="auto"/>
                <w:left w:val="double" w:sz="6" w:space="12" w:color="auto"/>
                <w:bottom w:val="double" w:sz="6" w:space="12" w:color="auto"/>
                <w:right w:val="double" w:sz="6" w:space="12" w:color="auto"/>
              </w:pBdr>
              <w:tabs>
                <w:tab w:val="left" w:pos="-720"/>
                <w:tab w:val="left" w:pos="0"/>
                <w:tab w:val="left" w:pos="720"/>
                <w:tab w:val="left" w:pos="1440"/>
              </w:tabs>
              <w:suppressAutoHyphens/>
              <w:ind w:right="1456"/>
              <w:jc w:val="both"/>
              <w:rPr>
                <w:rFonts w:ascii="Arial" w:hAnsi="Arial" w:cs="Arial"/>
                <w:vanish/>
                <w:spacing w:val="-2"/>
                <w:sz w:val="22"/>
                <w:szCs w:val="22"/>
              </w:rPr>
            </w:pPr>
            <w:r w:rsidRPr="006A5985">
              <w:rPr>
                <w:rFonts w:ascii="Arial" w:hAnsi="Arial" w:cs="Arial"/>
                <w:vanish/>
                <w:spacing w:val="-2"/>
                <w:sz w:val="22"/>
                <w:szCs w:val="22"/>
              </w:rPr>
              <w:fldChar w:fldCharType="begin"/>
            </w:r>
            <w:r w:rsidRPr="006A5985">
              <w:rPr>
                <w:rFonts w:ascii="Arial" w:hAnsi="Arial" w:cs="Arial"/>
                <w:vanish/>
                <w:spacing w:val="-2"/>
                <w:sz w:val="22"/>
                <w:szCs w:val="22"/>
              </w:rPr>
              <w:instrText>seq Text_Box  \* Arabic</w:instrText>
            </w:r>
            <w:r w:rsidRPr="006A5985">
              <w:rPr>
                <w:rFonts w:ascii="Arial" w:hAnsi="Arial" w:cs="Arial"/>
                <w:vanish/>
                <w:spacing w:val="-2"/>
                <w:sz w:val="22"/>
                <w:szCs w:val="22"/>
              </w:rPr>
              <w:fldChar w:fldCharType="separate"/>
            </w:r>
            <w:r w:rsidRPr="006A5985">
              <w:rPr>
                <w:rFonts w:ascii="Arial" w:hAnsi="Arial" w:cs="Arial"/>
                <w:noProof/>
                <w:vanish/>
                <w:spacing w:val="-2"/>
                <w:sz w:val="22"/>
                <w:szCs w:val="22"/>
              </w:rPr>
              <w:t>1</w:t>
            </w:r>
            <w:r w:rsidRPr="006A5985">
              <w:rPr>
                <w:rFonts w:ascii="Arial" w:hAnsi="Arial" w:cs="Arial"/>
                <w:vanish/>
                <w:spacing w:val="-2"/>
                <w:sz w:val="22"/>
                <w:szCs w:val="22"/>
              </w:rPr>
              <w:fldChar w:fldCharType="end"/>
            </w:r>
          </w:p>
          <w:p w14:paraId="6AF7CEB0" w14:textId="77777777" w:rsidR="00843B8E" w:rsidRPr="006A5985" w:rsidRDefault="00843B8E" w:rsidP="00AD7224">
            <w:pPr>
              <w:tabs>
                <w:tab w:val="left" w:pos="-720"/>
              </w:tabs>
              <w:suppressAutoHyphens/>
              <w:spacing w:after="0" w:line="240" w:lineRule="auto"/>
              <w:rPr>
                <w:rFonts w:ascii="Arial" w:hAnsi="Arial" w:cs="Arial"/>
                <w:spacing w:val="-2"/>
              </w:rPr>
            </w:pPr>
          </w:p>
          <w:p w14:paraId="3FC117F2" w14:textId="77777777" w:rsidR="00843B8E" w:rsidRPr="006A5985" w:rsidRDefault="00843B8E" w:rsidP="00AD7224">
            <w:pPr>
              <w:tabs>
                <w:tab w:val="left" w:pos="-720"/>
              </w:tabs>
              <w:suppressAutoHyphens/>
              <w:spacing w:after="0" w:line="240" w:lineRule="auto"/>
              <w:jc w:val="both"/>
              <w:rPr>
                <w:rFonts w:ascii="Arial" w:hAnsi="Arial" w:cs="Arial"/>
                <w:spacing w:val="-2"/>
              </w:rPr>
            </w:pPr>
            <w:r w:rsidRPr="006A5985">
              <w:rPr>
                <w:rFonts w:ascii="Arial" w:hAnsi="Arial" w:cs="Arial"/>
                <w:spacing w:val="-2"/>
              </w:rPr>
              <w:t xml:space="preserve">Please complete this form when your dissertation is ready to be submitted for examination.  </w:t>
            </w:r>
          </w:p>
          <w:p w14:paraId="6DC068DE" w14:textId="77777777" w:rsidR="00843B8E" w:rsidRPr="006A5985" w:rsidRDefault="00843B8E" w:rsidP="00AD7224">
            <w:pPr>
              <w:tabs>
                <w:tab w:val="center" w:pos="4786"/>
              </w:tabs>
              <w:suppressAutoHyphens/>
              <w:spacing w:after="0" w:line="240" w:lineRule="auto"/>
              <w:rPr>
                <w:rFonts w:ascii="Arial" w:hAnsi="Arial" w:cs="Arial"/>
                <w:spacing w:val="-2"/>
              </w:rPr>
            </w:pPr>
          </w:p>
        </w:tc>
      </w:tr>
      <w:tr w:rsidR="00843B8E" w:rsidRPr="00E913B3" w14:paraId="4FCDB5A5" w14:textId="77777777" w:rsidTr="00AD7224">
        <w:tc>
          <w:tcPr>
            <w:tcW w:w="9812" w:type="dxa"/>
            <w:tcBorders>
              <w:top w:val="double" w:sz="6" w:space="0" w:color="auto"/>
              <w:left w:val="double" w:sz="6" w:space="0" w:color="auto"/>
              <w:bottom w:val="single" w:sz="4" w:space="0" w:color="auto"/>
              <w:right w:val="double" w:sz="6" w:space="0" w:color="auto"/>
            </w:tcBorders>
          </w:tcPr>
          <w:p w14:paraId="25C928BD" w14:textId="77777777" w:rsidR="00843B8E" w:rsidRPr="006A5985" w:rsidRDefault="00843B8E" w:rsidP="00AD7224">
            <w:pPr>
              <w:tabs>
                <w:tab w:val="right" w:leader="dot" w:pos="7200"/>
                <w:tab w:val="right" w:leader="dot" w:pos="9571"/>
              </w:tabs>
              <w:suppressAutoHyphens/>
              <w:spacing w:after="0" w:line="240" w:lineRule="auto"/>
              <w:rPr>
                <w:rFonts w:ascii="Arial" w:hAnsi="Arial" w:cs="Arial"/>
                <w:spacing w:val="-2"/>
              </w:rPr>
            </w:pPr>
          </w:p>
          <w:p w14:paraId="312CB420" w14:textId="65AB3C1F" w:rsidR="00843B8E" w:rsidRPr="006A5985" w:rsidRDefault="00843B8E" w:rsidP="00843B8E">
            <w:pPr>
              <w:tabs>
                <w:tab w:val="left" w:pos="3805"/>
                <w:tab w:val="right" w:leader="dot" w:pos="7200"/>
                <w:tab w:val="right" w:leader="dot" w:pos="9571"/>
              </w:tabs>
              <w:suppressAutoHyphens/>
              <w:spacing w:after="0" w:line="240" w:lineRule="auto"/>
              <w:rPr>
                <w:rFonts w:ascii="Arial" w:hAnsi="Arial" w:cs="Arial"/>
                <w:b/>
                <w:bCs/>
                <w:spacing w:val="-2"/>
              </w:rPr>
            </w:pPr>
            <w:r w:rsidRPr="006A5985">
              <w:rPr>
                <w:rFonts w:ascii="Arial" w:hAnsi="Arial" w:cs="Arial"/>
                <w:spacing w:val="-2"/>
              </w:rPr>
              <w:t xml:space="preserve">Surname/Family Name- </w:t>
            </w:r>
            <w:r w:rsidRPr="006A5985">
              <w:rPr>
                <w:rFonts w:ascii="Arial" w:hAnsi="Arial" w:cs="Arial"/>
                <w:b/>
                <w:bCs/>
                <w:spacing w:val="-2"/>
              </w:rPr>
              <w:t xml:space="preserve">Grey        </w:t>
            </w:r>
            <w:r w:rsidRPr="006A5985">
              <w:rPr>
                <w:rFonts w:ascii="Arial" w:hAnsi="Arial" w:cs="Arial"/>
                <w:spacing w:val="-2"/>
              </w:rPr>
              <w:t xml:space="preserve">                              Date of Birth </w:t>
            </w:r>
            <w:r w:rsidRPr="006A5985">
              <w:rPr>
                <w:rFonts w:ascii="Arial" w:hAnsi="Arial" w:cs="Arial"/>
                <w:b/>
                <w:bCs/>
                <w:spacing w:val="-2"/>
              </w:rPr>
              <w:t xml:space="preserve">14.05.96 </w:t>
            </w:r>
          </w:p>
          <w:p w14:paraId="1B0704D2" w14:textId="6C88BDE6" w:rsidR="00843B8E" w:rsidRPr="006A5985" w:rsidRDefault="00843B8E" w:rsidP="00AD7224">
            <w:pPr>
              <w:tabs>
                <w:tab w:val="right" w:leader="dot" w:pos="7200"/>
                <w:tab w:val="right" w:leader="dot" w:pos="9571"/>
              </w:tabs>
              <w:suppressAutoHyphens/>
              <w:spacing w:after="0" w:line="240" w:lineRule="auto"/>
              <w:rPr>
                <w:rFonts w:ascii="Arial" w:hAnsi="Arial" w:cs="Arial"/>
                <w:spacing w:val="-2"/>
              </w:rPr>
            </w:pPr>
            <w:r w:rsidRPr="006A5985">
              <w:rPr>
                <w:rFonts w:ascii="Arial" w:hAnsi="Arial" w:cs="Arial"/>
                <w:spacing w:val="-2"/>
              </w:rPr>
              <w:t xml:space="preserve">Forenames (in full) </w:t>
            </w:r>
            <w:r w:rsidRPr="006A5985">
              <w:rPr>
                <w:rFonts w:ascii="Arial" w:hAnsi="Arial" w:cs="Arial"/>
                <w:b/>
                <w:bCs/>
                <w:spacing w:val="-2"/>
              </w:rPr>
              <w:t>Paige Leanne</w:t>
            </w:r>
            <w:r w:rsidRPr="006A5985">
              <w:rPr>
                <w:rFonts w:ascii="Arial" w:hAnsi="Arial" w:cs="Arial"/>
                <w:spacing w:val="-2"/>
              </w:rPr>
              <w:t xml:space="preserve">                                                   Title </w:t>
            </w:r>
            <w:r w:rsidRPr="006A5985">
              <w:rPr>
                <w:rFonts w:ascii="Arial" w:hAnsi="Arial" w:cs="Arial"/>
                <w:b/>
                <w:bCs/>
                <w:spacing w:val="-2"/>
              </w:rPr>
              <w:t xml:space="preserve">Mrs       </w:t>
            </w:r>
          </w:p>
          <w:p w14:paraId="7750B3EB" w14:textId="392F0159" w:rsidR="00843B8E" w:rsidRPr="006A5985" w:rsidRDefault="00843B8E" w:rsidP="00AD7224">
            <w:pPr>
              <w:tabs>
                <w:tab w:val="right" w:leader="dot" w:pos="9571"/>
              </w:tabs>
              <w:suppressAutoHyphens/>
              <w:spacing w:after="0" w:line="240" w:lineRule="auto"/>
              <w:rPr>
                <w:rFonts w:ascii="Arial" w:hAnsi="Arial" w:cs="Arial"/>
                <w:spacing w:val="-2"/>
              </w:rPr>
            </w:pPr>
            <w:r w:rsidRPr="006A5985">
              <w:rPr>
                <w:rFonts w:ascii="Arial" w:hAnsi="Arial" w:cs="Arial"/>
                <w:spacing w:val="-2"/>
              </w:rPr>
              <w:t>Institution Number (if known)</w:t>
            </w:r>
            <w:r w:rsidR="006A5985">
              <w:rPr>
                <w:rFonts w:ascii="Arial" w:hAnsi="Arial" w:cs="Arial"/>
                <w:spacing w:val="-2"/>
              </w:rPr>
              <w:t xml:space="preserve">- </w:t>
            </w:r>
            <w:r w:rsidR="006A5985" w:rsidRPr="006A5985">
              <w:rPr>
                <w:rFonts w:ascii="Arial" w:hAnsi="Arial" w:cs="Arial"/>
                <w:b/>
                <w:bCs/>
                <w:spacing w:val="-2"/>
              </w:rPr>
              <w:t>N/A</w:t>
            </w:r>
          </w:p>
          <w:p w14:paraId="6E133115" w14:textId="2A7AD9B0" w:rsidR="00843B8E" w:rsidRPr="006A5985" w:rsidRDefault="00843B8E" w:rsidP="00AD7224">
            <w:pPr>
              <w:tabs>
                <w:tab w:val="right" w:leader="dot" w:pos="9571"/>
              </w:tabs>
              <w:suppressAutoHyphens/>
              <w:spacing w:after="0" w:line="240" w:lineRule="auto"/>
              <w:rPr>
                <w:rFonts w:ascii="Arial" w:hAnsi="Arial" w:cs="Arial"/>
                <w:spacing w:val="-2"/>
              </w:rPr>
            </w:pPr>
            <w:r w:rsidRPr="006A5985">
              <w:rPr>
                <w:rFonts w:ascii="Arial" w:hAnsi="Arial" w:cs="Arial"/>
                <w:spacing w:val="-2"/>
              </w:rPr>
              <w:t>Title of Degree (</w:t>
            </w:r>
            <w:proofErr w:type="spellStart"/>
            <w:r w:rsidRPr="006A5985">
              <w:rPr>
                <w:rFonts w:ascii="Arial" w:hAnsi="Arial" w:cs="Arial"/>
                <w:spacing w:val="-2"/>
              </w:rPr>
              <w:t>eg</w:t>
            </w:r>
            <w:proofErr w:type="spellEnd"/>
            <w:r w:rsidRPr="006A5985">
              <w:rPr>
                <w:rFonts w:ascii="Arial" w:hAnsi="Arial" w:cs="Arial"/>
                <w:spacing w:val="-2"/>
              </w:rPr>
              <w:t xml:space="preserve"> MA, MSc, MBA etc).- </w:t>
            </w:r>
            <w:r w:rsidRPr="006A5985">
              <w:rPr>
                <w:rFonts w:ascii="Arial" w:hAnsi="Arial" w:cs="Arial"/>
                <w:b/>
                <w:bCs/>
                <w:spacing w:val="-2"/>
              </w:rPr>
              <w:t>MBA</w:t>
            </w:r>
          </w:p>
          <w:p w14:paraId="7D50A0EA" w14:textId="773F8FBB" w:rsidR="00843B8E" w:rsidRPr="006A5985" w:rsidRDefault="00843B8E" w:rsidP="006A5985">
            <w:pPr>
              <w:tabs>
                <w:tab w:val="right" w:leader="dot" w:pos="10528"/>
              </w:tabs>
              <w:suppressAutoHyphens/>
              <w:spacing w:after="0" w:line="240" w:lineRule="auto"/>
              <w:rPr>
                <w:rFonts w:ascii="Arial" w:hAnsi="Arial" w:cs="Arial"/>
                <w:b/>
                <w:bCs/>
                <w:spacing w:val="-2"/>
              </w:rPr>
            </w:pPr>
            <w:r w:rsidRPr="006A5985">
              <w:rPr>
                <w:rFonts w:ascii="Arial" w:hAnsi="Arial" w:cs="Arial"/>
                <w:spacing w:val="-2"/>
              </w:rPr>
              <w:t>Title of Taught Master's degree scheme followed (</w:t>
            </w:r>
            <w:proofErr w:type="spellStart"/>
            <w:r w:rsidRPr="006A5985">
              <w:rPr>
                <w:rFonts w:ascii="Arial" w:hAnsi="Arial" w:cs="Arial"/>
                <w:spacing w:val="-2"/>
              </w:rPr>
              <w:t>eg</w:t>
            </w:r>
            <w:proofErr w:type="spellEnd"/>
            <w:r w:rsidRPr="006A5985">
              <w:rPr>
                <w:rFonts w:ascii="Arial" w:hAnsi="Arial" w:cs="Arial"/>
                <w:spacing w:val="-2"/>
              </w:rPr>
              <w:t xml:space="preserve"> Equine Studies) </w:t>
            </w:r>
            <w:r w:rsidR="006A5985" w:rsidRPr="006A5985">
              <w:rPr>
                <w:rFonts w:ascii="Arial" w:hAnsi="Arial" w:cs="Arial"/>
                <w:b/>
                <w:bCs/>
                <w:spacing w:val="-2"/>
              </w:rPr>
              <w:t>N/A</w:t>
            </w:r>
          </w:p>
          <w:p w14:paraId="193A31D0" w14:textId="1E669C70" w:rsidR="00843B8E" w:rsidRPr="006A5985" w:rsidRDefault="00843B8E" w:rsidP="00AD7224">
            <w:pPr>
              <w:tabs>
                <w:tab w:val="right" w:leader="dot" w:pos="9571"/>
              </w:tabs>
              <w:suppressAutoHyphens/>
              <w:spacing w:after="0" w:line="240" w:lineRule="auto"/>
              <w:rPr>
                <w:rFonts w:ascii="Arial" w:hAnsi="Arial" w:cs="Arial"/>
                <w:spacing w:val="-2"/>
              </w:rPr>
            </w:pPr>
            <w:r w:rsidRPr="006A5985">
              <w:rPr>
                <w:rFonts w:ascii="Arial" w:hAnsi="Arial" w:cs="Arial"/>
                <w:spacing w:val="-2"/>
              </w:rPr>
              <w:t>Department/School in which study pursued</w:t>
            </w:r>
            <w:r w:rsidR="006A5985" w:rsidRPr="006A5985">
              <w:rPr>
                <w:rFonts w:ascii="Arial" w:hAnsi="Arial" w:cs="Arial"/>
                <w:spacing w:val="-2"/>
              </w:rPr>
              <w:t xml:space="preserve">- </w:t>
            </w:r>
            <w:r w:rsidR="006A5985" w:rsidRPr="006A5985">
              <w:rPr>
                <w:rFonts w:ascii="Arial" w:hAnsi="Arial" w:cs="Arial"/>
                <w:b/>
                <w:bCs/>
                <w:spacing w:val="-2"/>
              </w:rPr>
              <w:t>Distance Learning</w:t>
            </w:r>
          </w:p>
          <w:p w14:paraId="6895B554" w14:textId="309BF388" w:rsidR="00843B8E" w:rsidRPr="006A5985" w:rsidRDefault="00843B8E" w:rsidP="00AD7224">
            <w:pPr>
              <w:tabs>
                <w:tab w:val="right" w:leader="dot" w:pos="9571"/>
              </w:tabs>
              <w:suppressAutoHyphens/>
              <w:spacing w:after="0" w:line="240" w:lineRule="auto"/>
              <w:rPr>
                <w:rFonts w:ascii="Arial" w:hAnsi="Arial" w:cs="Arial"/>
                <w:spacing w:val="-2"/>
              </w:rPr>
            </w:pPr>
            <w:r w:rsidRPr="006A5985">
              <w:rPr>
                <w:rFonts w:ascii="Arial" w:hAnsi="Arial" w:cs="Arial"/>
                <w:spacing w:val="-2"/>
              </w:rPr>
              <w:t>Name of your Supervisor</w:t>
            </w:r>
            <w:r w:rsidR="006A5985" w:rsidRPr="006A5985">
              <w:rPr>
                <w:rFonts w:ascii="Arial" w:hAnsi="Arial" w:cs="Arial"/>
                <w:spacing w:val="-2"/>
              </w:rPr>
              <w:t xml:space="preserve">- </w:t>
            </w:r>
            <w:r w:rsidR="006A5985" w:rsidRPr="006A5985">
              <w:rPr>
                <w:rFonts w:ascii="Arial" w:hAnsi="Arial" w:cs="Arial"/>
                <w:b/>
                <w:bCs/>
                <w:spacing w:val="-2"/>
              </w:rPr>
              <w:t>Helen Evans</w:t>
            </w:r>
          </w:p>
          <w:p w14:paraId="2CB640F1" w14:textId="5C7B18BC" w:rsidR="00843B8E" w:rsidRDefault="00843B8E" w:rsidP="006A5985">
            <w:pPr>
              <w:pStyle w:val="Header"/>
              <w:rPr>
                <w:rFonts w:ascii="Arial" w:hAnsi="Arial" w:cs="Arial"/>
                <w:b/>
                <w:bCs/>
                <w:szCs w:val="24"/>
              </w:rPr>
            </w:pPr>
            <w:r w:rsidRPr="006A5985">
              <w:rPr>
                <w:rFonts w:ascii="Arial" w:hAnsi="Arial" w:cs="Arial"/>
                <w:spacing w:val="-2"/>
              </w:rPr>
              <w:t>Full Title of dissertation submitted</w:t>
            </w:r>
            <w:r w:rsidR="006A5985" w:rsidRPr="006A5985">
              <w:rPr>
                <w:rFonts w:ascii="Arial" w:hAnsi="Arial" w:cs="Arial"/>
                <w:spacing w:val="-2"/>
              </w:rPr>
              <w:t xml:space="preserve">- </w:t>
            </w:r>
            <w:r w:rsidR="006A5985" w:rsidRPr="006A5985">
              <w:rPr>
                <w:rFonts w:ascii="Arial" w:hAnsi="Arial" w:cs="Arial"/>
                <w:b/>
                <w:bCs/>
                <w:szCs w:val="24"/>
              </w:rPr>
              <w:t>Future Proofing Local Government: A Case Study of</w:t>
            </w:r>
            <w:r w:rsidR="006A5985" w:rsidRPr="006A5985">
              <w:rPr>
                <w:rFonts w:ascii="Arial" w:hAnsi="Arial" w:cs="Arial"/>
                <w:b/>
                <w:bCs/>
                <w:szCs w:val="24"/>
              </w:rPr>
              <w:t xml:space="preserve"> </w:t>
            </w:r>
            <w:r w:rsidR="006A5985" w:rsidRPr="006A5985">
              <w:rPr>
                <w:rFonts w:ascii="Arial" w:hAnsi="Arial" w:cs="Arial"/>
                <w:b/>
                <w:bCs/>
                <w:szCs w:val="24"/>
              </w:rPr>
              <w:t>Gen Z and Talent Management at Newport City Council</w:t>
            </w:r>
          </w:p>
          <w:p w14:paraId="515C9934" w14:textId="77777777" w:rsidR="006A5985" w:rsidRPr="006A5985" w:rsidRDefault="006A5985" w:rsidP="006A5985">
            <w:pPr>
              <w:pStyle w:val="Header"/>
              <w:rPr>
                <w:rFonts w:ascii="Arial" w:hAnsi="Arial" w:cs="Arial"/>
                <w:caps/>
                <w:szCs w:val="24"/>
              </w:rPr>
            </w:pPr>
          </w:p>
          <w:p w14:paraId="66E61A9E" w14:textId="77777777" w:rsidR="00843B8E" w:rsidRPr="006A5985" w:rsidRDefault="00843B8E" w:rsidP="00AD7224">
            <w:pPr>
              <w:tabs>
                <w:tab w:val="left" w:pos="-720"/>
              </w:tabs>
              <w:suppressAutoHyphens/>
              <w:spacing w:after="0" w:line="240" w:lineRule="auto"/>
              <w:rPr>
                <w:rFonts w:ascii="Arial" w:hAnsi="Arial" w:cs="Arial"/>
                <w:spacing w:val="-2"/>
              </w:rPr>
            </w:pPr>
            <w:r w:rsidRPr="006A5985">
              <w:rPr>
                <w:rFonts w:ascii="Arial" w:hAnsi="Arial" w:cs="Arial"/>
                <w:spacing w:val="-2"/>
              </w:rPr>
              <w:t>Please indicate that the following will all be submitted along with this form:</w:t>
            </w:r>
          </w:p>
          <w:p w14:paraId="2497FAAA" w14:textId="6D222276" w:rsidR="00843B8E" w:rsidRPr="006A5985" w:rsidRDefault="00843B8E" w:rsidP="00AD7224">
            <w:pPr>
              <w:tabs>
                <w:tab w:val="left" w:pos="-720"/>
                <w:tab w:val="left" w:pos="330"/>
              </w:tabs>
              <w:suppressAutoHyphens/>
              <w:spacing w:after="0" w:line="240" w:lineRule="auto"/>
              <w:rPr>
                <w:rFonts w:ascii="Arial" w:hAnsi="Arial" w:cs="Arial"/>
                <w:spacing w:val="-2"/>
              </w:rPr>
            </w:pPr>
            <w:r w:rsidRPr="006A5985">
              <w:rPr>
                <w:rFonts w:ascii="Arial" w:hAnsi="Arial" w:cs="Arial"/>
                <w:spacing w:val="-2"/>
              </w:rPr>
              <w:t xml:space="preserve"> 1 electronic copy submitted via Turnitin;</w:t>
            </w:r>
          </w:p>
          <w:p w14:paraId="7578085F" w14:textId="2DFCF26F" w:rsidR="00843B8E" w:rsidRPr="006A5985" w:rsidRDefault="006A5985" w:rsidP="00AD7224">
            <w:pPr>
              <w:tabs>
                <w:tab w:val="left" w:pos="-720"/>
              </w:tabs>
              <w:suppressAutoHyphens/>
              <w:spacing w:after="0" w:line="240" w:lineRule="auto"/>
              <w:rPr>
                <w:rFonts w:ascii="Arial" w:hAnsi="Arial" w:cs="Arial"/>
                <w:spacing w:val="-2"/>
              </w:rPr>
            </w:pPr>
            <w:r>
              <w:rPr>
                <w:rFonts w:ascii="Arial" w:hAnsi="Arial" w:cs="Arial"/>
                <w:noProof/>
                <w:lang w:eastAsia="en-GB"/>
              </w:rPr>
              <mc:AlternateContent>
                <mc:Choice Requires="wpc">
                  <w:drawing>
                    <wp:inline distT="0" distB="0" distL="0" distR="0" wp14:anchorId="5BED69C2" wp14:editId="648E1427">
                      <wp:extent cx="0" cy="0"/>
                      <wp:effectExtent l="0" t="0" r="0" b="0"/>
                      <wp:docPr id="715551733" name="Canvas 2"/>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c:wpc>
                        </a:graphicData>
                      </a:graphic>
                    </wp:inline>
                  </w:drawing>
                </mc:Choice>
                <mc:Fallback>
                  <w:pict>
                    <v:group w14:anchorId="502C0522" id="Canvas 2" o:spid="_x0000_s1026" editas="canvas" style="width:0;height:0;mso-position-horizontal-relative:char;mso-position-vertical-relative:line" coordsize="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0;height:0;visibility:visible;mso-wrap-style:square" filled="t">
                        <v:fill o:detectmouseclick="t"/>
                        <v:path o:connecttype="none"/>
                      </v:shape>
                      <w10:anchorlock/>
                    </v:group>
                  </w:pict>
                </mc:Fallback>
              </mc:AlternateContent>
            </w:r>
            <w:r w:rsidR="00843B8E" w:rsidRPr="006A5985">
              <w:rPr>
                <w:rFonts w:ascii="Arial" w:hAnsi="Arial" w:cs="Arial"/>
                <w:noProof/>
                <w:lang w:eastAsia="en-GB"/>
              </w:rPr>
              <mc:AlternateContent>
                <mc:Choice Requires="wps">
                  <w:drawing>
                    <wp:anchor distT="0" distB="0" distL="114300" distR="114300" simplePos="0" relativeHeight="251662336" behindDoc="0" locked="0" layoutInCell="1" allowOverlap="1" wp14:anchorId="21BE5083" wp14:editId="25F5FF8D">
                      <wp:simplePos x="0" y="0"/>
                      <wp:positionH relativeFrom="column">
                        <wp:posOffset>42545</wp:posOffset>
                      </wp:positionH>
                      <wp:positionV relativeFrom="paragraph">
                        <wp:posOffset>-109855</wp:posOffset>
                      </wp:positionV>
                      <wp:extent cx="152400" cy="113665"/>
                      <wp:effectExtent l="0" t="0" r="19050" b="1968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3665"/>
                              </a:xfrm>
                              <a:prstGeom prst="rect">
                                <a:avLst/>
                              </a:prstGeom>
                              <a:solidFill>
                                <a:srgbClr val="FFFFFF"/>
                              </a:solidFill>
                              <a:ln w="9525">
                                <a:solidFill>
                                  <a:srgbClr val="000000"/>
                                </a:solidFill>
                                <a:miter lim="800000"/>
                                <a:headEnd/>
                                <a:tailEnd/>
                              </a:ln>
                            </wps:spPr>
                            <wps:txbx>
                              <w:txbxContent>
                                <w:p w14:paraId="02C39868" w14:textId="77777777" w:rsidR="006A5985" w:rsidRPr="006A5985" w:rsidRDefault="006A5985" w:rsidP="006A5985">
                                  <w:pPr>
                                    <w:tabs>
                                      <w:tab w:val="left" w:pos="-720"/>
                                    </w:tabs>
                                    <w:suppressAutoHyphens/>
                                    <w:spacing w:after="0" w:line="240" w:lineRule="auto"/>
                                    <w:rPr>
                                      <w:rFonts w:ascii="Arial" w:hAnsi="Arial" w:cs="Arial"/>
                                      <w:spacing w:val="-2"/>
                                    </w:rPr>
                                  </w:pPr>
                                </w:p>
                                <w:p w14:paraId="1491BD36" w14:textId="77777777" w:rsidR="006A5985" w:rsidRPr="006A5985" w:rsidRDefault="006A5985" w:rsidP="006A5985">
                                  <w:pPr>
                                    <w:tabs>
                                      <w:tab w:val="left" w:pos="-720"/>
                                    </w:tabs>
                                    <w:suppressAutoHyphens/>
                                    <w:spacing w:after="0" w:line="240" w:lineRule="auto"/>
                                    <w:rPr>
                                      <w:rFonts w:ascii="Arial" w:hAnsi="Arial" w:cs="Arial"/>
                                      <w:spacing w:val="-2"/>
                                    </w:rPr>
                                  </w:pPr>
                                  <w:r w:rsidRPr="006A5985">
                                    <w:rPr>
                                      <w:rFonts w:ascii="Arial" w:hAnsi="Arial" w:cs="Arial"/>
                                      <w:spacing w:val="-2"/>
                                    </w:rPr>
                                    <w:tab/>
                                  </w:r>
                                </w:p>
                                <w:p w14:paraId="4916ED5F" w14:textId="69598149" w:rsidR="00843B8E" w:rsidRDefault="006A5985" w:rsidP="006A5985">
                                  <w:pPr>
                                    <w:tabs>
                                      <w:tab w:val="left" w:pos="-720"/>
                                      <w:tab w:val="left" w:pos="330"/>
                                    </w:tabs>
                                    <w:suppressAutoHyphens/>
                                    <w:rPr>
                                      <w:spacing w:val="-2"/>
                                      <w:sz w:val="40"/>
                                    </w:rPr>
                                  </w:pPr>
                                  <w:r w:rsidRPr="006A5985">
                                    <w:rPr>
                                      <w:rFonts w:ascii="Arial" w:hAnsi="Arial" w:cs="Arial"/>
                                      <w:spacing w:val="-2"/>
                                    </w:rPr>
                                    <w:tab/>
                                  </w:r>
                                  <w:r>
                                    <w:rPr>
                                      <w:rFonts w:ascii="Arial" w:hAnsi="Arial" w:cs="Arial"/>
                                      <w:spacing w:val="-2"/>
                                    </w:rPr>
                                    <w:sym w:font="Wingdings 2" w:char="F050"/>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BE5083" id="_x0000_t202" coordsize="21600,21600" o:spt="202" path="m,l,21600r21600,l21600,xe">
                      <v:stroke joinstyle="miter"/>
                      <v:path gradientshapeok="t" o:connecttype="rect"/>
                    </v:shapetype>
                    <v:shape id="Text Box 2" o:spid="_x0000_s1026" type="#_x0000_t202" style="position:absolute;margin-left:3.35pt;margin-top:-8.65pt;width:12pt;height:8.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">
                      <v:textbox>
                        <w:txbxContent>
                          <w:p w14:paraId="02C39868" w14:textId="77777777" w:rsidR="006A5985" w:rsidRPr="006A5985" w:rsidRDefault="006A5985" w:rsidP="006A5985">
                            <w:pPr>
                              <w:tabs>
                                <w:tab w:val="left" w:pos="-720"/>
                              </w:tabs>
                              <w:suppressAutoHyphens/>
                              <w:spacing w:after="0" w:line="240" w:lineRule="auto"/>
                              <w:rPr>
                                <w:rFonts w:ascii="Arial" w:hAnsi="Arial" w:cs="Arial"/>
                                <w:spacing w:val="-2"/>
                              </w:rPr>
                            </w:pPr>
                          </w:p>
                          <w:p w14:paraId="1491BD36" w14:textId="77777777" w:rsidR="006A5985" w:rsidRPr="006A5985" w:rsidRDefault="006A5985" w:rsidP="006A5985">
                            <w:pPr>
                              <w:tabs>
                                <w:tab w:val="left" w:pos="-720"/>
                              </w:tabs>
                              <w:suppressAutoHyphens/>
                              <w:spacing w:after="0" w:line="240" w:lineRule="auto"/>
                              <w:rPr>
                                <w:rFonts w:ascii="Arial" w:hAnsi="Arial" w:cs="Arial"/>
                                <w:spacing w:val="-2"/>
                              </w:rPr>
                            </w:pPr>
                            <w:r w:rsidRPr="006A5985">
                              <w:rPr>
                                <w:rFonts w:ascii="Arial" w:hAnsi="Arial" w:cs="Arial"/>
                                <w:spacing w:val="-2"/>
                              </w:rPr>
                              <w:tab/>
                            </w:r>
                          </w:p>
                          <w:p w14:paraId="4916ED5F" w14:textId="69598149" w:rsidR="00843B8E" w:rsidRDefault="006A5985" w:rsidP="006A5985">
                            <w:pPr>
                              <w:tabs>
                                <w:tab w:val="left" w:pos="-720"/>
                                <w:tab w:val="left" w:pos="330"/>
                              </w:tabs>
                              <w:suppressAutoHyphens/>
                              <w:rPr>
                                <w:spacing w:val="-2"/>
                                <w:sz w:val="40"/>
                              </w:rPr>
                            </w:pPr>
                            <w:r w:rsidRPr="006A5985">
                              <w:rPr>
                                <w:rFonts w:ascii="Arial" w:hAnsi="Arial" w:cs="Arial"/>
                                <w:spacing w:val="-2"/>
                              </w:rPr>
                              <w:tab/>
                            </w:r>
                            <w:r>
                              <w:rPr>
                                <w:rFonts w:ascii="Arial" w:hAnsi="Arial" w:cs="Arial"/>
                                <w:spacing w:val="-2"/>
                              </w:rPr>
                              <w:sym w:font="Wingdings 2" w:char="F050"/>
                            </w:r>
                          </w:p>
                        </w:txbxContent>
                      </v:textbox>
                      <w10:wrap type="square"/>
                    </v:shape>
                  </w:pict>
                </mc:Fallback>
              </mc:AlternateContent>
            </w:r>
          </w:p>
          <w:p w14:paraId="18E622B2" w14:textId="77777777" w:rsidR="00843B8E" w:rsidRPr="006A5985" w:rsidRDefault="00843B8E" w:rsidP="00AD7224">
            <w:pPr>
              <w:tabs>
                <w:tab w:val="left" w:pos="-720"/>
              </w:tabs>
              <w:suppressAutoHyphens/>
              <w:spacing w:after="0" w:line="240" w:lineRule="auto"/>
              <w:rPr>
                <w:rFonts w:ascii="Arial" w:hAnsi="Arial" w:cs="Arial"/>
                <w:spacing w:val="-2"/>
              </w:rPr>
            </w:pPr>
            <w:r w:rsidRPr="006A5985">
              <w:rPr>
                <w:rFonts w:ascii="Arial" w:hAnsi="Arial" w:cs="Arial"/>
                <w:spacing w:val="-2"/>
              </w:rPr>
              <w:tab/>
              <w:t xml:space="preserve"> </w:t>
            </w:r>
          </w:p>
        </w:tc>
      </w:tr>
    </w:tbl>
    <w:p w14:paraId="26675760" w14:textId="77777777" w:rsidR="00843B8E" w:rsidRDefault="00843B8E" w:rsidP="00434644">
      <w:pPr>
        <w:spacing w:line="360" w:lineRule="auto"/>
        <w:jc w:val="both"/>
        <w:rPr>
          <w:b/>
          <w:bCs/>
        </w:rPr>
      </w:pPr>
    </w:p>
    <w:p w14:paraId="5682D953" w14:textId="77777777" w:rsidR="00843B8E" w:rsidRDefault="00843B8E" w:rsidP="00434644">
      <w:pPr>
        <w:spacing w:line="360" w:lineRule="auto"/>
        <w:jc w:val="both"/>
        <w:rPr>
          <w:b/>
          <w:bCs/>
        </w:rPr>
      </w:pPr>
    </w:p>
    <w:p w14:paraId="140C33B4" w14:textId="77777777" w:rsidR="00843B8E" w:rsidRDefault="00843B8E" w:rsidP="00434644">
      <w:pPr>
        <w:spacing w:line="360" w:lineRule="auto"/>
        <w:jc w:val="both"/>
        <w:rPr>
          <w:b/>
          <w:bCs/>
        </w:rPr>
      </w:pPr>
    </w:p>
    <w:p w14:paraId="47477241" w14:textId="77777777" w:rsidR="00843B8E" w:rsidRDefault="00843B8E" w:rsidP="00434644">
      <w:pPr>
        <w:spacing w:line="360" w:lineRule="auto"/>
        <w:jc w:val="both"/>
        <w:rPr>
          <w:b/>
          <w:bCs/>
        </w:rPr>
      </w:pPr>
    </w:p>
    <w:p w14:paraId="6CF6FBE8" w14:textId="77777777" w:rsidR="00843B8E" w:rsidRDefault="00843B8E" w:rsidP="00434644">
      <w:pPr>
        <w:spacing w:line="360" w:lineRule="auto"/>
        <w:jc w:val="both"/>
        <w:rPr>
          <w:b/>
          <w:bCs/>
        </w:rPr>
      </w:pPr>
    </w:p>
    <w:p w14:paraId="6721E1CB" w14:textId="77777777" w:rsidR="00843B8E" w:rsidRDefault="00843B8E" w:rsidP="00434644">
      <w:pPr>
        <w:spacing w:line="360" w:lineRule="auto"/>
        <w:jc w:val="both"/>
        <w:rPr>
          <w:b/>
          <w:bCs/>
        </w:rPr>
      </w:pPr>
    </w:p>
    <w:p w14:paraId="188C0A6D" w14:textId="77777777" w:rsidR="00843B8E" w:rsidRDefault="00843B8E" w:rsidP="00434644">
      <w:pPr>
        <w:spacing w:line="360" w:lineRule="auto"/>
        <w:jc w:val="both"/>
        <w:rPr>
          <w:b/>
          <w:bCs/>
        </w:rPr>
      </w:pPr>
    </w:p>
    <w:p w14:paraId="7692A80B" w14:textId="77777777" w:rsidR="00843B8E" w:rsidRDefault="00843B8E" w:rsidP="00434644">
      <w:pPr>
        <w:spacing w:line="360" w:lineRule="auto"/>
        <w:jc w:val="both"/>
        <w:rPr>
          <w:b/>
          <w:bCs/>
        </w:rPr>
      </w:pPr>
    </w:p>
    <w:p w14:paraId="0574D5D1" w14:textId="77777777" w:rsidR="00843B8E" w:rsidRDefault="00843B8E" w:rsidP="00434644">
      <w:pPr>
        <w:spacing w:line="360" w:lineRule="auto"/>
        <w:jc w:val="both"/>
        <w:rPr>
          <w:b/>
          <w:bCs/>
        </w:rPr>
      </w:pPr>
    </w:p>
    <w:p w14:paraId="79EDD533" w14:textId="77777777" w:rsidR="00843B8E" w:rsidRDefault="00843B8E" w:rsidP="00434644">
      <w:pPr>
        <w:spacing w:line="360" w:lineRule="auto"/>
        <w:jc w:val="both"/>
        <w:rPr>
          <w:b/>
          <w:bCs/>
        </w:rPr>
      </w:pPr>
    </w:p>
    <w:p w14:paraId="2F03FB30" w14:textId="77777777" w:rsidR="00843B8E" w:rsidRDefault="00843B8E" w:rsidP="00434644">
      <w:pPr>
        <w:spacing w:line="360" w:lineRule="auto"/>
        <w:jc w:val="both"/>
        <w:rPr>
          <w:b/>
          <w:bCs/>
        </w:rPr>
      </w:pPr>
    </w:p>
    <w:p w14:paraId="106002E3" w14:textId="77777777" w:rsidR="00843B8E" w:rsidRDefault="00843B8E" w:rsidP="00434644">
      <w:pPr>
        <w:spacing w:line="360" w:lineRule="auto"/>
        <w:jc w:val="both"/>
        <w:rPr>
          <w:b/>
          <w:bCs/>
        </w:rPr>
      </w:pPr>
    </w:p>
    <w:p w14:paraId="7CE2FBC8" w14:textId="77777777" w:rsidR="006A5985" w:rsidRDefault="006A5985" w:rsidP="00843B8E">
      <w:pPr>
        <w:tabs>
          <w:tab w:val="left" w:pos="7020"/>
          <w:tab w:val="right" w:pos="10826"/>
        </w:tabs>
        <w:suppressAutoHyphens/>
        <w:spacing w:after="0" w:line="240" w:lineRule="auto"/>
        <w:jc w:val="both"/>
        <w:rPr>
          <w:rFonts w:ascii="Arial" w:hAnsi="Arial" w:cs="Arial"/>
          <w:spacing w:val="-2"/>
        </w:rPr>
      </w:pPr>
    </w:p>
    <w:p w14:paraId="3DB05C3E" w14:textId="77777777" w:rsidR="006A5985" w:rsidRDefault="006A5985" w:rsidP="00843B8E">
      <w:pPr>
        <w:tabs>
          <w:tab w:val="left" w:pos="7020"/>
          <w:tab w:val="right" w:pos="10826"/>
        </w:tabs>
        <w:suppressAutoHyphens/>
        <w:spacing w:after="0" w:line="240" w:lineRule="auto"/>
        <w:jc w:val="both"/>
        <w:rPr>
          <w:rFonts w:ascii="Arial" w:hAnsi="Arial" w:cs="Arial"/>
          <w:spacing w:val="-2"/>
        </w:rPr>
      </w:pPr>
    </w:p>
    <w:p w14:paraId="7F56277D" w14:textId="77777777" w:rsidR="00A459AB" w:rsidRDefault="00843B8E" w:rsidP="00843B8E">
      <w:pPr>
        <w:tabs>
          <w:tab w:val="left" w:pos="7020"/>
          <w:tab w:val="right" w:pos="10826"/>
        </w:tabs>
        <w:suppressAutoHyphens/>
        <w:spacing w:after="0" w:line="240" w:lineRule="auto"/>
        <w:jc w:val="both"/>
        <w:rPr>
          <w:rFonts w:ascii="Arial" w:hAnsi="Arial" w:cs="Arial"/>
          <w:b/>
          <w:spacing w:val="-2"/>
        </w:rPr>
      </w:pPr>
      <w:r w:rsidRPr="00E913B3">
        <w:rPr>
          <w:rFonts w:ascii="Arial" w:hAnsi="Arial" w:cs="Arial"/>
          <w:spacing w:val="-2"/>
        </w:rPr>
        <w:tab/>
      </w:r>
    </w:p>
    <w:p w14:paraId="4A287E90" w14:textId="1D05B750" w:rsidR="00843B8E" w:rsidRPr="00843B8E" w:rsidRDefault="00843B8E" w:rsidP="00843B8E">
      <w:pPr>
        <w:tabs>
          <w:tab w:val="left" w:pos="7020"/>
          <w:tab w:val="right" w:pos="10826"/>
        </w:tabs>
        <w:suppressAutoHyphens/>
        <w:spacing w:after="0" w:line="240" w:lineRule="auto"/>
        <w:jc w:val="both"/>
        <w:rPr>
          <w:rFonts w:ascii="Arial" w:hAnsi="Arial" w:cs="Arial"/>
          <w:b/>
          <w:spacing w:val="-2"/>
        </w:rPr>
      </w:pPr>
      <w:r w:rsidRPr="00E913B3">
        <w:rPr>
          <w:rFonts w:ascii="Arial" w:hAnsi="Arial" w:cs="Arial"/>
          <w:spacing w:val="-2"/>
        </w:rPr>
        <w:lastRenderedPageBreak/>
        <w:t>DECLARATION</w:t>
      </w:r>
    </w:p>
    <w:p w14:paraId="0E8C2DA3" w14:textId="77777777" w:rsidR="00843B8E" w:rsidRPr="00E913B3" w:rsidRDefault="00843B8E" w:rsidP="00843B8E">
      <w:pPr>
        <w:spacing w:after="0" w:line="240" w:lineRule="auto"/>
        <w:ind w:left="720" w:hanging="630"/>
        <w:jc w:val="both"/>
        <w:rPr>
          <w:rFonts w:ascii="Arial" w:hAnsi="Arial" w:cs="Arial"/>
          <w:spacing w:val="-2"/>
        </w:rPr>
      </w:pPr>
      <w:r w:rsidRPr="00E913B3">
        <w:rPr>
          <w:rFonts w:ascii="Arial" w:hAnsi="Arial" w:cs="Arial"/>
          <w:spacing w:val="-2"/>
        </w:rPr>
        <w:tab/>
      </w:r>
    </w:p>
    <w:p w14:paraId="32BF7918" w14:textId="77777777" w:rsidR="00843B8E" w:rsidRPr="00E913B3" w:rsidRDefault="00843B8E" w:rsidP="00843B8E">
      <w:pPr>
        <w:spacing w:after="0" w:line="240" w:lineRule="auto"/>
        <w:ind w:left="720"/>
        <w:jc w:val="both"/>
        <w:rPr>
          <w:rFonts w:ascii="Arial" w:hAnsi="Arial" w:cs="Arial"/>
          <w:spacing w:val="-2"/>
        </w:rPr>
      </w:pPr>
      <w:r w:rsidRPr="00E913B3">
        <w:rPr>
          <w:rFonts w:ascii="Arial" w:hAnsi="Arial" w:cs="Arial"/>
          <w:spacing w:val="-2"/>
        </w:rPr>
        <w:t>This work has not previously been accepted in substance for any degree and is not being concurrently submitted in candidature for any degree.</w:t>
      </w:r>
      <w:r w:rsidRPr="00E913B3">
        <w:rPr>
          <w:rFonts w:ascii="Arial" w:hAnsi="Arial" w:cs="Arial"/>
          <w:spacing w:val="-2"/>
        </w:rPr>
        <w:tab/>
      </w:r>
    </w:p>
    <w:p w14:paraId="58DE76B8" w14:textId="77777777" w:rsidR="00843B8E" w:rsidRPr="00E913B3" w:rsidRDefault="00843B8E" w:rsidP="006A5985">
      <w:pPr>
        <w:spacing w:after="0" w:line="240" w:lineRule="auto"/>
        <w:jc w:val="both"/>
        <w:rPr>
          <w:rFonts w:ascii="Arial" w:hAnsi="Arial" w:cs="Arial"/>
          <w:spacing w:val="-2"/>
        </w:rPr>
      </w:pPr>
    </w:p>
    <w:p w14:paraId="697D6282" w14:textId="0BFC81FA" w:rsidR="00843B8E" w:rsidRPr="00E913B3" w:rsidRDefault="00843B8E" w:rsidP="00843B8E">
      <w:pPr>
        <w:spacing w:after="0" w:line="240" w:lineRule="auto"/>
        <w:ind w:left="720"/>
        <w:jc w:val="both"/>
        <w:rPr>
          <w:rFonts w:ascii="Arial" w:hAnsi="Arial" w:cs="Arial"/>
          <w:spacing w:val="-2"/>
        </w:rPr>
      </w:pPr>
      <w:r w:rsidRPr="00E913B3">
        <w:rPr>
          <w:rFonts w:ascii="Arial" w:hAnsi="Arial" w:cs="Arial"/>
          <w:spacing w:val="-2"/>
        </w:rPr>
        <w:t>Signed</w:t>
      </w:r>
      <w:r w:rsidR="006A5985">
        <w:rPr>
          <w:rFonts w:ascii="Arial" w:hAnsi="Arial" w:cs="Arial"/>
          <w:spacing w:val="-2"/>
        </w:rPr>
        <w:t xml:space="preserve">- </w:t>
      </w:r>
      <w:r w:rsidR="006A5985" w:rsidRPr="006A5985">
        <w:rPr>
          <w:rFonts w:ascii="Rastanty Cortez" w:hAnsi="Rastanty Cortez" w:cs="Arial"/>
          <w:spacing w:val="-2"/>
          <w:sz w:val="40"/>
          <w:szCs w:val="40"/>
        </w:rPr>
        <w:t>Paige Grey</w:t>
      </w:r>
      <w:r w:rsidRPr="00E913B3">
        <w:rPr>
          <w:rFonts w:ascii="Arial" w:hAnsi="Arial" w:cs="Arial"/>
          <w:spacing w:val="-2"/>
        </w:rPr>
        <w:t xml:space="preserve"> (candidate)</w:t>
      </w:r>
      <w:r w:rsidRPr="00E913B3">
        <w:rPr>
          <w:rFonts w:ascii="Arial" w:hAnsi="Arial" w:cs="Arial"/>
          <w:spacing w:val="-2"/>
        </w:rPr>
        <w:tab/>
      </w:r>
    </w:p>
    <w:p w14:paraId="0A390420" w14:textId="77777777" w:rsidR="00843B8E" w:rsidRPr="00E913B3" w:rsidRDefault="00843B8E" w:rsidP="00843B8E">
      <w:pPr>
        <w:spacing w:after="0" w:line="240" w:lineRule="auto"/>
        <w:ind w:left="720"/>
        <w:jc w:val="both"/>
        <w:rPr>
          <w:rFonts w:ascii="Arial" w:hAnsi="Arial" w:cs="Arial"/>
          <w:spacing w:val="-2"/>
        </w:rPr>
      </w:pPr>
    </w:p>
    <w:p w14:paraId="485FEC82" w14:textId="593DAA49" w:rsidR="00843B8E" w:rsidRPr="00E913B3" w:rsidRDefault="00843B8E" w:rsidP="00843B8E">
      <w:pPr>
        <w:spacing w:after="0" w:line="240" w:lineRule="auto"/>
        <w:ind w:left="720"/>
        <w:jc w:val="both"/>
        <w:rPr>
          <w:rFonts w:ascii="Arial" w:hAnsi="Arial" w:cs="Arial"/>
          <w:spacing w:val="-2"/>
        </w:rPr>
      </w:pPr>
      <w:r w:rsidRPr="00E913B3">
        <w:rPr>
          <w:rFonts w:ascii="Arial" w:hAnsi="Arial" w:cs="Arial"/>
          <w:spacing w:val="-2"/>
        </w:rPr>
        <w:t>Date</w:t>
      </w:r>
      <w:r w:rsidR="006A5985">
        <w:rPr>
          <w:rFonts w:ascii="Arial" w:hAnsi="Arial" w:cs="Arial"/>
          <w:spacing w:val="-2"/>
        </w:rPr>
        <w:t>- 22/06/2026</w:t>
      </w:r>
      <w:r w:rsidRPr="00E913B3">
        <w:rPr>
          <w:rFonts w:ascii="Arial" w:hAnsi="Arial" w:cs="Arial"/>
          <w:spacing w:val="-2"/>
        </w:rPr>
        <w:tab/>
      </w:r>
    </w:p>
    <w:p w14:paraId="23010980" w14:textId="77777777" w:rsidR="00843B8E" w:rsidRPr="00E913B3" w:rsidRDefault="00843B8E" w:rsidP="00843B8E">
      <w:pPr>
        <w:spacing w:after="0" w:line="240" w:lineRule="auto"/>
        <w:ind w:left="720"/>
        <w:jc w:val="both"/>
        <w:rPr>
          <w:rFonts w:ascii="Arial" w:hAnsi="Arial" w:cs="Arial"/>
          <w:spacing w:val="-2"/>
        </w:rPr>
      </w:pPr>
    </w:p>
    <w:p w14:paraId="79D637E8" w14:textId="77777777" w:rsidR="00843B8E" w:rsidRPr="00E913B3" w:rsidRDefault="00843B8E" w:rsidP="00843B8E">
      <w:pPr>
        <w:spacing w:after="0" w:line="240" w:lineRule="auto"/>
        <w:ind w:left="720"/>
        <w:jc w:val="both"/>
        <w:rPr>
          <w:rFonts w:ascii="Arial" w:hAnsi="Arial" w:cs="Arial"/>
          <w:spacing w:val="-2"/>
        </w:rPr>
      </w:pPr>
    </w:p>
    <w:p w14:paraId="2A2BB944" w14:textId="77777777" w:rsidR="00843B8E" w:rsidRPr="00E913B3" w:rsidRDefault="00843B8E" w:rsidP="00843B8E">
      <w:pPr>
        <w:spacing w:after="0" w:line="240" w:lineRule="auto"/>
        <w:ind w:left="720"/>
        <w:jc w:val="both"/>
        <w:rPr>
          <w:rFonts w:ascii="Arial" w:hAnsi="Arial" w:cs="Arial"/>
          <w:spacing w:val="-2"/>
        </w:rPr>
      </w:pPr>
      <w:r w:rsidRPr="00E913B3">
        <w:rPr>
          <w:rFonts w:ascii="Arial" w:hAnsi="Arial" w:cs="Arial"/>
          <w:spacing w:val="-2"/>
        </w:rPr>
        <w:t>STATEMENT 1</w:t>
      </w:r>
      <w:r w:rsidRPr="00E913B3">
        <w:rPr>
          <w:rFonts w:ascii="Arial" w:hAnsi="Arial" w:cs="Arial"/>
          <w:spacing w:val="-2"/>
        </w:rPr>
        <w:tab/>
      </w:r>
    </w:p>
    <w:p w14:paraId="6A6F3473" w14:textId="77777777" w:rsidR="00843B8E" w:rsidRPr="00E913B3" w:rsidRDefault="00843B8E" w:rsidP="00843B8E">
      <w:pPr>
        <w:spacing w:after="0" w:line="240" w:lineRule="auto"/>
        <w:ind w:left="720"/>
        <w:jc w:val="both"/>
        <w:rPr>
          <w:rFonts w:ascii="Arial" w:hAnsi="Arial" w:cs="Arial"/>
          <w:spacing w:val="-2"/>
        </w:rPr>
      </w:pPr>
    </w:p>
    <w:p w14:paraId="473C1C4F" w14:textId="77777777" w:rsidR="00843B8E" w:rsidRPr="00E913B3" w:rsidRDefault="00843B8E" w:rsidP="00843B8E">
      <w:pPr>
        <w:spacing w:after="0" w:line="240" w:lineRule="auto"/>
        <w:ind w:left="720"/>
        <w:jc w:val="both"/>
        <w:rPr>
          <w:rFonts w:ascii="Arial" w:hAnsi="Arial" w:cs="Arial"/>
          <w:spacing w:val="-2"/>
        </w:rPr>
      </w:pPr>
      <w:r w:rsidRPr="00E913B3">
        <w:rPr>
          <w:rFonts w:ascii="Arial" w:hAnsi="Arial" w:cs="Arial"/>
          <w:spacing w:val="-2"/>
        </w:rPr>
        <w:t xml:space="preserve">This work is the result of my own investigations, except where otherwise stated. </w:t>
      </w:r>
    </w:p>
    <w:p w14:paraId="6816D831" w14:textId="77777777" w:rsidR="00843B8E" w:rsidRPr="00E913B3" w:rsidRDefault="00843B8E" w:rsidP="00843B8E">
      <w:pPr>
        <w:spacing w:after="0" w:line="240" w:lineRule="auto"/>
        <w:ind w:left="720"/>
        <w:jc w:val="both"/>
        <w:rPr>
          <w:rFonts w:ascii="Arial" w:hAnsi="Arial" w:cs="Arial"/>
          <w:spacing w:val="-2"/>
        </w:rPr>
      </w:pPr>
    </w:p>
    <w:p w14:paraId="319B9991" w14:textId="30E8321D" w:rsidR="00843B8E" w:rsidRPr="00E913B3" w:rsidRDefault="00843B8E" w:rsidP="00A459AB">
      <w:pPr>
        <w:spacing w:after="0" w:line="240" w:lineRule="auto"/>
        <w:ind w:left="720"/>
        <w:jc w:val="both"/>
        <w:rPr>
          <w:rFonts w:ascii="Arial" w:hAnsi="Arial" w:cs="Arial"/>
          <w:spacing w:val="-2"/>
        </w:rPr>
      </w:pPr>
      <w:r w:rsidRPr="00E913B3">
        <w:rPr>
          <w:rFonts w:ascii="Arial" w:hAnsi="Arial" w:cs="Arial"/>
          <w:spacing w:val="-2"/>
        </w:rPr>
        <w:t>Other sources are acknowledged by footnotes giving explicit references.  A bibliography is appended.</w:t>
      </w:r>
    </w:p>
    <w:p w14:paraId="395F2E89" w14:textId="77777777" w:rsidR="00843B8E" w:rsidRPr="00E913B3" w:rsidRDefault="00843B8E" w:rsidP="00843B8E">
      <w:pPr>
        <w:spacing w:after="0" w:line="240" w:lineRule="auto"/>
        <w:ind w:left="720"/>
        <w:jc w:val="both"/>
        <w:rPr>
          <w:rFonts w:ascii="Arial" w:hAnsi="Arial" w:cs="Arial"/>
          <w:spacing w:val="-2"/>
        </w:rPr>
      </w:pPr>
    </w:p>
    <w:p w14:paraId="138915F7" w14:textId="4E90A29C" w:rsidR="00843B8E" w:rsidRPr="00E913B3" w:rsidRDefault="00843B8E" w:rsidP="00843B8E">
      <w:pPr>
        <w:spacing w:after="0" w:line="240" w:lineRule="auto"/>
        <w:ind w:left="720"/>
        <w:jc w:val="both"/>
        <w:rPr>
          <w:rFonts w:ascii="Arial" w:hAnsi="Arial" w:cs="Arial"/>
          <w:spacing w:val="-2"/>
        </w:rPr>
      </w:pPr>
      <w:r w:rsidRPr="00E913B3">
        <w:rPr>
          <w:rFonts w:ascii="Arial" w:hAnsi="Arial" w:cs="Arial"/>
          <w:spacing w:val="-2"/>
        </w:rPr>
        <w:t xml:space="preserve">Signed </w:t>
      </w:r>
      <w:r w:rsidR="006A5985" w:rsidRPr="006A5985">
        <w:rPr>
          <w:rFonts w:ascii="Rastanty Cortez" w:hAnsi="Rastanty Cortez" w:cs="Arial"/>
          <w:spacing w:val="-2"/>
          <w:sz w:val="40"/>
          <w:szCs w:val="40"/>
        </w:rPr>
        <w:t>Paige Grey</w:t>
      </w:r>
      <w:r w:rsidRPr="00E913B3">
        <w:rPr>
          <w:rFonts w:ascii="Arial" w:hAnsi="Arial" w:cs="Arial"/>
          <w:spacing w:val="-2"/>
        </w:rPr>
        <w:t xml:space="preserve"> (candidate)</w:t>
      </w:r>
      <w:r w:rsidRPr="00E913B3">
        <w:rPr>
          <w:rFonts w:ascii="Arial" w:hAnsi="Arial" w:cs="Arial"/>
          <w:spacing w:val="-2"/>
        </w:rPr>
        <w:tab/>
      </w:r>
    </w:p>
    <w:p w14:paraId="0D1C5031" w14:textId="77777777" w:rsidR="00843B8E" w:rsidRPr="00E913B3" w:rsidRDefault="00843B8E" w:rsidP="00843B8E">
      <w:pPr>
        <w:spacing w:after="0" w:line="240" w:lineRule="auto"/>
        <w:ind w:left="720"/>
        <w:jc w:val="both"/>
        <w:rPr>
          <w:rFonts w:ascii="Arial" w:hAnsi="Arial" w:cs="Arial"/>
          <w:spacing w:val="-2"/>
        </w:rPr>
      </w:pPr>
    </w:p>
    <w:p w14:paraId="4F51AD2F" w14:textId="107C79D0" w:rsidR="00843B8E" w:rsidRPr="00E913B3" w:rsidRDefault="006A5985" w:rsidP="00843B8E">
      <w:pPr>
        <w:spacing w:after="0" w:line="240" w:lineRule="auto"/>
        <w:ind w:left="720"/>
        <w:jc w:val="both"/>
        <w:rPr>
          <w:rFonts w:ascii="Arial" w:hAnsi="Arial" w:cs="Arial"/>
          <w:spacing w:val="-2"/>
        </w:rPr>
      </w:pPr>
      <w:r w:rsidRPr="00E913B3">
        <w:rPr>
          <w:rFonts w:ascii="Arial" w:hAnsi="Arial" w:cs="Arial"/>
          <w:spacing w:val="-2"/>
        </w:rPr>
        <w:t>Date</w:t>
      </w:r>
      <w:r>
        <w:rPr>
          <w:rFonts w:ascii="Arial" w:hAnsi="Arial" w:cs="Arial"/>
          <w:spacing w:val="-2"/>
        </w:rPr>
        <w:t>- 22/06/2026</w:t>
      </w:r>
    </w:p>
    <w:p w14:paraId="0B6DD6F1" w14:textId="77777777" w:rsidR="00843B8E" w:rsidRPr="00E913B3" w:rsidRDefault="00843B8E" w:rsidP="00843B8E">
      <w:pPr>
        <w:spacing w:after="0" w:line="240" w:lineRule="auto"/>
        <w:ind w:left="720"/>
        <w:jc w:val="both"/>
        <w:rPr>
          <w:rFonts w:ascii="Arial" w:hAnsi="Arial" w:cs="Arial"/>
          <w:spacing w:val="-2"/>
        </w:rPr>
      </w:pPr>
    </w:p>
    <w:p w14:paraId="0FDBA07D" w14:textId="77777777" w:rsidR="00843B8E" w:rsidRPr="00E913B3" w:rsidRDefault="00843B8E" w:rsidP="00843B8E">
      <w:pPr>
        <w:spacing w:after="0" w:line="240" w:lineRule="auto"/>
        <w:ind w:left="720"/>
        <w:jc w:val="both"/>
        <w:rPr>
          <w:rFonts w:ascii="Arial" w:hAnsi="Arial" w:cs="Arial"/>
          <w:spacing w:val="-2"/>
        </w:rPr>
      </w:pPr>
      <w:r w:rsidRPr="00E913B3">
        <w:rPr>
          <w:rFonts w:ascii="Arial" w:hAnsi="Arial" w:cs="Arial"/>
          <w:spacing w:val="-2"/>
        </w:rPr>
        <w:t>STATEMENT 2</w:t>
      </w:r>
      <w:r w:rsidRPr="00E913B3">
        <w:rPr>
          <w:rFonts w:ascii="Arial" w:hAnsi="Arial" w:cs="Arial"/>
          <w:spacing w:val="-2"/>
        </w:rPr>
        <w:tab/>
      </w:r>
    </w:p>
    <w:p w14:paraId="77A89314" w14:textId="77777777" w:rsidR="00843B8E" w:rsidRPr="00E913B3" w:rsidRDefault="00843B8E" w:rsidP="00843B8E">
      <w:pPr>
        <w:spacing w:after="0" w:line="240" w:lineRule="auto"/>
        <w:ind w:left="720"/>
        <w:jc w:val="both"/>
        <w:rPr>
          <w:rFonts w:ascii="Arial" w:hAnsi="Arial" w:cs="Arial"/>
          <w:spacing w:val="-2"/>
        </w:rPr>
      </w:pPr>
    </w:p>
    <w:p w14:paraId="191F64E6" w14:textId="77777777" w:rsidR="00843B8E" w:rsidRPr="00E913B3" w:rsidRDefault="00843B8E" w:rsidP="00843B8E">
      <w:pPr>
        <w:spacing w:after="0" w:line="240" w:lineRule="auto"/>
        <w:ind w:left="720"/>
        <w:jc w:val="both"/>
        <w:rPr>
          <w:rFonts w:ascii="Arial" w:hAnsi="Arial" w:cs="Arial"/>
          <w:spacing w:val="-2"/>
        </w:rPr>
      </w:pPr>
      <w:r w:rsidRPr="00E913B3">
        <w:rPr>
          <w:rFonts w:ascii="Arial" w:hAnsi="Arial" w:cs="Arial"/>
          <w:spacing w:val="-2"/>
        </w:rPr>
        <w:t>I hereby give consent for my work, if accepted, to be available for photocopying and for inter-library loan, and for the title and summary to be made available to outside organisations.</w:t>
      </w:r>
      <w:r w:rsidRPr="00E913B3">
        <w:rPr>
          <w:rFonts w:ascii="Arial" w:hAnsi="Arial" w:cs="Arial"/>
          <w:spacing w:val="-2"/>
        </w:rPr>
        <w:tab/>
      </w:r>
    </w:p>
    <w:p w14:paraId="646E7E21" w14:textId="77777777" w:rsidR="00843B8E" w:rsidRPr="00E913B3" w:rsidRDefault="00843B8E" w:rsidP="00843B8E">
      <w:pPr>
        <w:spacing w:after="0" w:line="240" w:lineRule="auto"/>
        <w:ind w:left="720"/>
        <w:jc w:val="both"/>
        <w:rPr>
          <w:rFonts w:ascii="Arial" w:hAnsi="Arial" w:cs="Arial"/>
          <w:spacing w:val="-2"/>
        </w:rPr>
      </w:pPr>
    </w:p>
    <w:p w14:paraId="7DE9A920" w14:textId="77777777" w:rsidR="00843B8E" w:rsidRPr="00E913B3" w:rsidRDefault="00843B8E" w:rsidP="00843B8E">
      <w:pPr>
        <w:spacing w:after="0" w:line="240" w:lineRule="auto"/>
        <w:ind w:left="720"/>
        <w:jc w:val="both"/>
        <w:rPr>
          <w:rFonts w:ascii="Arial" w:hAnsi="Arial" w:cs="Arial"/>
          <w:spacing w:val="-2"/>
        </w:rPr>
      </w:pPr>
    </w:p>
    <w:p w14:paraId="080A3B79" w14:textId="77777777" w:rsidR="00843B8E" w:rsidRPr="00E913B3" w:rsidRDefault="00843B8E" w:rsidP="00843B8E">
      <w:pPr>
        <w:spacing w:after="0" w:line="240" w:lineRule="auto"/>
        <w:ind w:left="720"/>
        <w:jc w:val="both"/>
        <w:rPr>
          <w:rFonts w:ascii="Arial" w:hAnsi="Arial" w:cs="Arial"/>
          <w:spacing w:val="-2"/>
        </w:rPr>
      </w:pPr>
      <w:r w:rsidRPr="00E913B3">
        <w:rPr>
          <w:rFonts w:ascii="Arial" w:hAnsi="Arial" w:cs="Arial"/>
          <w:spacing w:val="-2"/>
        </w:rPr>
        <w:t>Signed ..................................................................... (candidate)</w:t>
      </w:r>
      <w:r w:rsidRPr="00E913B3">
        <w:rPr>
          <w:rFonts w:ascii="Arial" w:hAnsi="Arial" w:cs="Arial"/>
          <w:spacing w:val="-2"/>
        </w:rPr>
        <w:tab/>
      </w:r>
    </w:p>
    <w:p w14:paraId="0B983467" w14:textId="77777777" w:rsidR="00843B8E" w:rsidRPr="00E913B3" w:rsidRDefault="00843B8E" w:rsidP="00843B8E">
      <w:pPr>
        <w:spacing w:after="0" w:line="240" w:lineRule="auto"/>
        <w:ind w:left="720"/>
        <w:jc w:val="both"/>
        <w:rPr>
          <w:rFonts w:ascii="Arial" w:hAnsi="Arial" w:cs="Arial"/>
          <w:spacing w:val="-2"/>
        </w:rPr>
      </w:pPr>
    </w:p>
    <w:p w14:paraId="691F03AB" w14:textId="77777777" w:rsidR="00843B8E" w:rsidRPr="00E913B3" w:rsidRDefault="00843B8E" w:rsidP="00843B8E">
      <w:pPr>
        <w:spacing w:after="0" w:line="240" w:lineRule="auto"/>
        <w:ind w:left="720"/>
        <w:jc w:val="both"/>
        <w:rPr>
          <w:rFonts w:ascii="Arial" w:hAnsi="Arial" w:cs="Arial"/>
          <w:spacing w:val="-2"/>
        </w:rPr>
      </w:pPr>
      <w:r w:rsidRPr="00E913B3">
        <w:rPr>
          <w:rFonts w:ascii="Arial" w:hAnsi="Arial" w:cs="Arial"/>
          <w:spacing w:val="-2"/>
        </w:rPr>
        <w:t>Date ........................................................................</w:t>
      </w:r>
    </w:p>
    <w:p w14:paraId="65DCB66C" w14:textId="77777777" w:rsidR="00843B8E" w:rsidRPr="00E913B3" w:rsidRDefault="00843B8E" w:rsidP="00843B8E">
      <w:pPr>
        <w:spacing w:after="0" w:line="240" w:lineRule="auto"/>
        <w:ind w:left="720"/>
        <w:jc w:val="both"/>
        <w:rPr>
          <w:rFonts w:ascii="Arial" w:hAnsi="Arial" w:cs="Arial"/>
          <w:spacing w:val="-2"/>
        </w:rPr>
      </w:pPr>
    </w:p>
    <w:p w14:paraId="5F4F3E60" w14:textId="77777777" w:rsidR="00843B8E" w:rsidRPr="00E913B3" w:rsidRDefault="00843B8E" w:rsidP="00843B8E">
      <w:pPr>
        <w:spacing w:after="0" w:line="240" w:lineRule="auto"/>
        <w:ind w:left="720"/>
        <w:jc w:val="both"/>
        <w:rPr>
          <w:rFonts w:ascii="Arial" w:hAnsi="Arial" w:cs="Arial"/>
          <w:spacing w:val="-2"/>
        </w:rPr>
      </w:pPr>
    </w:p>
    <w:p w14:paraId="7E18CD5A" w14:textId="77777777" w:rsidR="00843B8E" w:rsidRPr="00E913B3" w:rsidRDefault="00843B8E" w:rsidP="00843B8E">
      <w:pPr>
        <w:spacing w:after="0" w:line="240" w:lineRule="auto"/>
        <w:ind w:left="720" w:hanging="720"/>
        <w:jc w:val="both"/>
        <w:rPr>
          <w:rFonts w:ascii="Arial" w:hAnsi="Arial" w:cs="Arial"/>
          <w:spacing w:val="-2"/>
        </w:rPr>
      </w:pPr>
      <w:r w:rsidRPr="00E913B3">
        <w:rPr>
          <w:rFonts w:ascii="Arial" w:hAnsi="Arial" w:cs="Arial"/>
          <w:b/>
          <w:spacing w:val="-2"/>
        </w:rPr>
        <w:t>NB:</w:t>
      </w:r>
      <w:r w:rsidRPr="00E913B3">
        <w:rPr>
          <w:rFonts w:ascii="Arial" w:hAnsi="Arial" w:cs="Arial"/>
          <w:i/>
          <w:spacing w:val="-2"/>
        </w:rPr>
        <w:tab/>
        <w:t>Candidates on whose behalf a bar on access has been approved by the University (see Note 1), should use the following version of Statement 2:</w:t>
      </w:r>
      <w:r w:rsidRPr="00E913B3">
        <w:rPr>
          <w:rFonts w:ascii="Arial" w:hAnsi="Arial" w:cs="Arial"/>
          <w:spacing w:val="-2"/>
        </w:rPr>
        <w:tab/>
      </w:r>
    </w:p>
    <w:p w14:paraId="188AE5CA" w14:textId="77777777" w:rsidR="00843B8E" w:rsidRPr="00E913B3" w:rsidRDefault="00843B8E" w:rsidP="00843B8E">
      <w:pPr>
        <w:spacing w:after="0" w:line="240" w:lineRule="auto"/>
        <w:ind w:left="720"/>
        <w:jc w:val="both"/>
        <w:rPr>
          <w:rFonts w:ascii="Arial" w:hAnsi="Arial" w:cs="Arial"/>
          <w:spacing w:val="-2"/>
        </w:rPr>
      </w:pPr>
    </w:p>
    <w:p w14:paraId="239E4609" w14:textId="77777777" w:rsidR="00843B8E" w:rsidRPr="00E913B3" w:rsidRDefault="00843B8E" w:rsidP="00843B8E">
      <w:pPr>
        <w:spacing w:after="0" w:line="240" w:lineRule="auto"/>
        <w:ind w:left="720"/>
        <w:jc w:val="both"/>
        <w:rPr>
          <w:rFonts w:ascii="Arial" w:hAnsi="Arial" w:cs="Arial"/>
          <w:b/>
          <w:spacing w:val="-2"/>
        </w:rPr>
      </w:pPr>
      <w:r w:rsidRPr="00E913B3">
        <w:rPr>
          <w:rFonts w:ascii="Arial" w:hAnsi="Arial" w:cs="Arial"/>
          <w:spacing w:val="-2"/>
        </w:rPr>
        <w:t xml:space="preserve">I hereby give consent for my work, if accepted, to be available for photocopying and for inter-library loans </w:t>
      </w:r>
      <w:r w:rsidRPr="00E913B3">
        <w:rPr>
          <w:rFonts w:ascii="Arial" w:hAnsi="Arial" w:cs="Arial"/>
          <w:b/>
          <w:spacing w:val="-2"/>
        </w:rPr>
        <w:t>after expiry of a bar on access approved by the University.</w:t>
      </w:r>
    </w:p>
    <w:p w14:paraId="09F17DF9" w14:textId="77777777" w:rsidR="00843B8E" w:rsidRPr="00E913B3" w:rsidRDefault="00843B8E" w:rsidP="00843B8E">
      <w:pPr>
        <w:spacing w:after="0" w:line="240" w:lineRule="auto"/>
        <w:ind w:left="1440"/>
        <w:jc w:val="both"/>
        <w:rPr>
          <w:rFonts w:ascii="Arial" w:hAnsi="Arial" w:cs="Arial"/>
          <w:b/>
          <w:spacing w:val="-2"/>
        </w:rPr>
      </w:pPr>
    </w:p>
    <w:p w14:paraId="107A5D80" w14:textId="77777777" w:rsidR="00843B8E" w:rsidRPr="00E913B3" w:rsidRDefault="00843B8E" w:rsidP="00843B8E">
      <w:pPr>
        <w:spacing w:after="0" w:line="240" w:lineRule="auto"/>
        <w:ind w:left="1440"/>
        <w:jc w:val="both"/>
        <w:rPr>
          <w:rFonts w:ascii="Arial" w:hAnsi="Arial" w:cs="Arial"/>
          <w:b/>
          <w:spacing w:val="-2"/>
        </w:rPr>
      </w:pPr>
    </w:p>
    <w:p w14:paraId="4161B923" w14:textId="77777777" w:rsidR="00843B8E" w:rsidRPr="00E913B3" w:rsidRDefault="00843B8E" w:rsidP="00843B8E">
      <w:pPr>
        <w:spacing w:after="0" w:line="240" w:lineRule="auto"/>
        <w:ind w:left="720"/>
        <w:jc w:val="both"/>
        <w:rPr>
          <w:rFonts w:ascii="Arial" w:hAnsi="Arial" w:cs="Arial"/>
          <w:spacing w:val="-2"/>
        </w:rPr>
      </w:pPr>
      <w:r w:rsidRPr="00E913B3">
        <w:rPr>
          <w:rFonts w:ascii="Arial" w:hAnsi="Arial" w:cs="Arial"/>
          <w:spacing w:val="-2"/>
        </w:rPr>
        <w:t>Signed ..................................................................... (candidate)</w:t>
      </w:r>
    </w:p>
    <w:p w14:paraId="5D08520C" w14:textId="77777777" w:rsidR="00843B8E" w:rsidRPr="00E913B3" w:rsidRDefault="00843B8E" w:rsidP="00843B8E">
      <w:pPr>
        <w:tabs>
          <w:tab w:val="left" w:pos="-720"/>
        </w:tabs>
        <w:suppressAutoHyphens/>
        <w:spacing w:after="0" w:line="240" w:lineRule="auto"/>
        <w:jc w:val="both"/>
        <w:rPr>
          <w:rFonts w:ascii="Arial" w:hAnsi="Arial" w:cs="Arial"/>
          <w:spacing w:val="-2"/>
        </w:rPr>
      </w:pPr>
    </w:p>
    <w:p w14:paraId="23408A80" w14:textId="77777777" w:rsidR="00843B8E" w:rsidRPr="00E913B3" w:rsidRDefault="00843B8E" w:rsidP="00843B8E">
      <w:pPr>
        <w:tabs>
          <w:tab w:val="left" w:pos="-720"/>
        </w:tabs>
        <w:suppressAutoHyphens/>
        <w:spacing w:after="0" w:line="240" w:lineRule="auto"/>
        <w:jc w:val="both"/>
        <w:rPr>
          <w:rFonts w:ascii="Arial" w:hAnsi="Arial" w:cs="Arial"/>
          <w:spacing w:val="-2"/>
        </w:rPr>
      </w:pPr>
      <w:r w:rsidRPr="00E913B3">
        <w:rPr>
          <w:rFonts w:ascii="Arial" w:hAnsi="Arial" w:cs="Arial"/>
          <w:spacing w:val="-2"/>
        </w:rPr>
        <w:tab/>
        <w:t>Date ........................................................................</w:t>
      </w:r>
    </w:p>
    <w:p w14:paraId="7E0E18CD" w14:textId="77777777" w:rsidR="00843B8E" w:rsidRPr="00E913B3" w:rsidRDefault="00843B8E" w:rsidP="00843B8E">
      <w:pPr>
        <w:tabs>
          <w:tab w:val="left" w:pos="-720"/>
        </w:tabs>
        <w:suppressAutoHyphens/>
        <w:spacing w:after="0" w:line="240" w:lineRule="auto"/>
        <w:jc w:val="both"/>
        <w:rPr>
          <w:rFonts w:ascii="Arial" w:hAnsi="Arial" w:cs="Arial"/>
          <w:spacing w:val="-2"/>
        </w:rPr>
      </w:pPr>
    </w:p>
    <w:p w14:paraId="7DDA7B89" w14:textId="77777777" w:rsidR="00843B8E" w:rsidRPr="00E913B3" w:rsidRDefault="00843B8E" w:rsidP="00843B8E">
      <w:pPr>
        <w:tabs>
          <w:tab w:val="left" w:pos="-720"/>
        </w:tabs>
        <w:suppressAutoHyphens/>
        <w:spacing w:after="0" w:line="240" w:lineRule="auto"/>
        <w:jc w:val="both"/>
        <w:rPr>
          <w:rFonts w:ascii="Arial" w:hAnsi="Arial" w:cs="Arial"/>
          <w:spacing w:val="-2"/>
        </w:rPr>
      </w:pPr>
      <w:r w:rsidRPr="0017749A">
        <w:rPr>
          <w:rFonts w:ascii="Arial" w:hAnsi="Arial" w:cs="Arial"/>
          <w:spacing w:val="-2"/>
        </w:rPr>
        <w:t xml:space="preserve">         </w:t>
      </w:r>
      <w:r>
        <w:rPr>
          <w:rFonts w:ascii="Arial" w:hAnsi="Arial" w:cs="Arial"/>
          <w:spacing w:val="-2"/>
        </w:rPr>
        <w:tab/>
        <w:t>Candidate’s</w:t>
      </w:r>
      <w:r w:rsidRPr="00E913B3">
        <w:rPr>
          <w:rFonts w:ascii="Arial" w:hAnsi="Arial" w:cs="Arial"/>
          <w:spacing w:val="-2"/>
        </w:rPr>
        <w:t xml:space="preserve"> signature ...........................................................................   Date .........................................</w:t>
      </w:r>
    </w:p>
    <w:p w14:paraId="701C8C20" w14:textId="77777777" w:rsidR="00A459AB" w:rsidRDefault="00A459AB" w:rsidP="00434644">
      <w:pPr>
        <w:spacing w:line="360" w:lineRule="auto"/>
        <w:jc w:val="both"/>
        <w:rPr>
          <w:b/>
          <w:bCs/>
        </w:rPr>
      </w:pPr>
    </w:p>
    <w:p w14:paraId="34BC8211" w14:textId="76568440" w:rsidR="005D0994" w:rsidRDefault="0085635D" w:rsidP="00434644">
      <w:pPr>
        <w:spacing w:line="360" w:lineRule="auto"/>
        <w:jc w:val="both"/>
        <w:rPr>
          <w:b/>
          <w:bCs/>
        </w:rPr>
      </w:pPr>
      <w:r w:rsidRPr="00B415F0">
        <w:rPr>
          <w:b/>
          <w:bCs/>
        </w:rPr>
        <w:lastRenderedPageBreak/>
        <w:t>Abstract</w:t>
      </w:r>
    </w:p>
    <w:p w14:paraId="2E3A990E" w14:textId="51F9B87D" w:rsidR="008A1883" w:rsidRPr="008A1883" w:rsidRDefault="008A1883" w:rsidP="008A1883">
      <w:pPr>
        <w:pStyle w:val="Uni-Normal"/>
      </w:pPr>
      <w:r w:rsidRPr="008A1883">
        <w:t>This dissertation investigates how talent management practices influence the experiences, engagement and retention of Gen Z employees within UK local government, using Newport City Council (NCC) as a case study. The study is informed by increasing workforce pressures, including an ageing workforce, rising service demand and challenges attracting younger employees to the public sector. A primarily quantitative approach was adopted, using an online survey distributed to all Gen Z employees within NCC. Responses were analysed using descriptive statistics, supported by thematic analysis of open-ended questions to provide additional contextual insight. The findings suggest that career progression, work–life balance and job security are the most significant factors influencing attraction and retention. While organisational culture, flexibility and managerial support were generally viewed positively, awareness of formal talent management strategies was limited</w:t>
      </w:r>
      <w:r w:rsidR="00152EF2">
        <w:t xml:space="preserve"> </w:t>
      </w:r>
      <w:r w:rsidRPr="008A1883">
        <w:t>and respondents highlighted challenges relating to unclear progression pathways, inconsistent visibility of development opportunities and perceptions of local government as slow moving or outdated. The study identifies a mismatch between formal talent management provision and the employee experience of Gen Z staff. It concludes that improving the visibility of talent management practices, strengthening structured career pathways, aligning development with progression outcomes and modernising the employee value proposition are critical to supporting retention and long-term workforce sustainability.</w:t>
      </w:r>
    </w:p>
    <w:p w14:paraId="13DF8144" w14:textId="77777777" w:rsidR="0085635D" w:rsidRDefault="0085635D" w:rsidP="00434644">
      <w:pPr>
        <w:spacing w:line="360" w:lineRule="auto"/>
        <w:rPr>
          <w:b/>
          <w:bCs/>
        </w:rPr>
      </w:pPr>
    </w:p>
    <w:p w14:paraId="465A816F" w14:textId="77777777" w:rsidR="008A1883" w:rsidRDefault="008A1883" w:rsidP="00434644">
      <w:pPr>
        <w:spacing w:line="360" w:lineRule="auto"/>
        <w:rPr>
          <w:b/>
          <w:bCs/>
        </w:rPr>
      </w:pPr>
    </w:p>
    <w:p w14:paraId="1FCB90F8" w14:textId="77777777" w:rsidR="008A1883" w:rsidRDefault="008A1883" w:rsidP="00434644">
      <w:pPr>
        <w:spacing w:line="360" w:lineRule="auto"/>
        <w:rPr>
          <w:b/>
          <w:bCs/>
        </w:rPr>
      </w:pPr>
    </w:p>
    <w:p w14:paraId="179E98C2" w14:textId="77777777" w:rsidR="008A1883" w:rsidRDefault="008A1883" w:rsidP="00434644">
      <w:pPr>
        <w:spacing w:line="360" w:lineRule="auto"/>
        <w:rPr>
          <w:b/>
          <w:bCs/>
        </w:rPr>
      </w:pPr>
    </w:p>
    <w:p w14:paraId="3A2A9F58" w14:textId="77777777" w:rsidR="008A1883" w:rsidRDefault="008A1883" w:rsidP="00434644">
      <w:pPr>
        <w:spacing w:line="360" w:lineRule="auto"/>
        <w:rPr>
          <w:b/>
          <w:bCs/>
        </w:rPr>
      </w:pPr>
    </w:p>
    <w:p w14:paraId="11BD564F" w14:textId="77777777" w:rsidR="008A1883" w:rsidRDefault="008A1883" w:rsidP="00434644">
      <w:pPr>
        <w:spacing w:line="360" w:lineRule="auto"/>
        <w:rPr>
          <w:b/>
          <w:bCs/>
        </w:rPr>
      </w:pPr>
    </w:p>
    <w:p w14:paraId="7A0D1C15" w14:textId="77777777" w:rsidR="008A1883" w:rsidRDefault="008A1883" w:rsidP="00434644">
      <w:pPr>
        <w:spacing w:line="360" w:lineRule="auto"/>
        <w:rPr>
          <w:b/>
          <w:bCs/>
        </w:rPr>
      </w:pPr>
    </w:p>
    <w:p w14:paraId="3A42F85A" w14:textId="77777777" w:rsidR="008A1883" w:rsidRDefault="008A1883" w:rsidP="00434644">
      <w:pPr>
        <w:spacing w:line="360" w:lineRule="auto"/>
        <w:rPr>
          <w:b/>
          <w:bCs/>
        </w:rPr>
      </w:pPr>
    </w:p>
    <w:p w14:paraId="140F305A" w14:textId="77777777" w:rsidR="008A1883" w:rsidRDefault="008A1883" w:rsidP="00434644">
      <w:pPr>
        <w:spacing w:line="360" w:lineRule="auto"/>
        <w:rPr>
          <w:b/>
          <w:bCs/>
        </w:rPr>
      </w:pPr>
    </w:p>
    <w:p w14:paraId="1B953ADC" w14:textId="77777777" w:rsidR="008A1883" w:rsidRDefault="008A1883" w:rsidP="00434644">
      <w:pPr>
        <w:spacing w:line="360" w:lineRule="auto"/>
        <w:rPr>
          <w:b/>
          <w:bCs/>
        </w:rPr>
      </w:pPr>
    </w:p>
    <w:p w14:paraId="69857677" w14:textId="77777777" w:rsidR="00E878B0" w:rsidRPr="00E878B0" w:rsidRDefault="00E878B0" w:rsidP="00434644">
      <w:pPr>
        <w:spacing w:line="360" w:lineRule="auto"/>
        <w:rPr>
          <w:b/>
          <w:bCs/>
        </w:rPr>
      </w:pPr>
      <w:r w:rsidRPr="00E878B0">
        <w:rPr>
          <w:b/>
          <w:bCs/>
        </w:rPr>
        <w:lastRenderedPageBreak/>
        <w:t>Abbreviations</w:t>
      </w:r>
    </w:p>
    <w:p w14:paraId="4FAE7D3F" w14:textId="757383A8" w:rsidR="00F62304" w:rsidRPr="00E878B0" w:rsidRDefault="00F62304" w:rsidP="00434644">
      <w:pPr>
        <w:numPr>
          <w:ilvl w:val="0"/>
          <w:numId w:val="19"/>
        </w:numPr>
        <w:spacing w:line="360" w:lineRule="auto"/>
      </w:pPr>
      <w:r w:rsidRPr="00E878B0">
        <w:t xml:space="preserve">DEI – Diversity, </w:t>
      </w:r>
      <w:r w:rsidR="00413EDB" w:rsidRPr="00E878B0">
        <w:t>Equity</w:t>
      </w:r>
      <w:r w:rsidR="00413EDB">
        <w:t xml:space="preserve"> and</w:t>
      </w:r>
      <w:r w:rsidRPr="00E878B0">
        <w:t xml:space="preserve"> Inclusion </w:t>
      </w:r>
    </w:p>
    <w:p w14:paraId="7407AF9A" w14:textId="77777777" w:rsidR="00F62304" w:rsidRPr="00E878B0" w:rsidRDefault="00F62304" w:rsidP="00434644">
      <w:pPr>
        <w:numPr>
          <w:ilvl w:val="0"/>
          <w:numId w:val="19"/>
        </w:numPr>
        <w:spacing w:line="360" w:lineRule="auto"/>
      </w:pPr>
      <w:r w:rsidRPr="00E878B0">
        <w:t xml:space="preserve">EVP – Employee Value Proposition </w:t>
      </w:r>
    </w:p>
    <w:p w14:paraId="65E89F5A" w14:textId="1549E6BA" w:rsidR="00F62304" w:rsidRPr="00E878B0" w:rsidRDefault="00F62304" w:rsidP="00434644">
      <w:pPr>
        <w:numPr>
          <w:ilvl w:val="0"/>
          <w:numId w:val="19"/>
        </w:numPr>
        <w:spacing w:line="360" w:lineRule="auto"/>
      </w:pPr>
      <w:r w:rsidRPr="00E878B0">
        <w:t xml:space="preserve">Gen Z – Generation Z </w:t>
      </w:r>
    </w:p>
    <w:p w14:paraId="28363C01" w14:textId="77777777" w:rsidR="00F62304" w:rsidRPr="00E878B0" w:rsidRDefault="00F62304" w:rsidP="00434644">
      <w:pPr>
        <w:numPr>
          <w:ilvl w:val="0"/>
          <w:numId w:val="19"/>
        </w:numPr>
        <w:spacing w:line="360" w:lineRule="auto"/>
      </w:pPr>
      <w:r w:rsidRPr="00E878B0">
        <w:t xml:space="preserve">HR – Human Resources </w:t>
      </w:r>
    </w:p>
    <w:p w14:paraId="43A8B2F4" w14:textId="77777777" w:rsidR="00F62304" w:rsidRPr="00E878B0" w:rsidRDefault="00F62304" w:rsidP="00434644">
      <w:pPr>
        <w:numPr>
          <w:ilvl w:val="0"/>
          <w:numId w:val="19"/>
        </w:numPr>
        <w:spacing w:line="360" w:lineRule="auto"/>
      </w:pPr>
      <w:r w:rsidRPr="00E878B0">
        <w:t xml:space="preserve">NCC – Newport City Council </w:t>
      </w:r>
    </w:p>
    <w:p w14:paraId="77F858F7" w14:textId="13B4CA89" w:rsidR="00C6518D" w:rsidRDefault="00F62304" w:rsidP="00434644">
      <w:pPr>
        <w:numPr>
          <w:ilvl w:val="0"/>
          <w:numId w:val="19"/>
        </w:numPr>
        <w:spacing w:line="360" w:lineRule="auto"/>
      </w:pPr>
      <w:r w:rsidRPr="00E878B0">
        <w:t xml:space="preserve">NPS – Net Promoter Score </w:t>
      </w:r>
    </w:p>
    <w:p w14:paraId="0BE3A959" w14:textId="77777777" w:rsidR="009F0C2C" w:rsidRDefault="009F0C2C" w:rsidP="009F0C2C">
      <w:pPr>
        <w:spacing w:line="360" w:lineRule="auto"/>
      </w:pPr>
    </w:p>
    <w:p w14:paraId="51A12B30" w14:textId="77777777" w:rsidR="009F0C2C" w:rsidRPr="00434644" w:rsidRDefault="009F0C2C" w:rsidP="009F0C2C">
      <w:pPr>
        <w:spacing w:line="360" w:lineRule="auto"/>
      </w:pPr>
    </w:p>
    <w:sdt>
      <w:sdtPr>
        <w:rPr>
          <w:rFonts w:ascii="Times New Roman" w:eastAsiaTheme="minorHAnsi" w:hAnsi="Times New Roman" w:cs="Times New Roman"/>
          <w:color w:val="auto"/>
          <w:sz w:val="24"/>
          <w:szCs w:val="22"/>
          <w:lang w:val="en-GB"/>
        </w:rPr>
        <w:id w:val="551349689"/>
        <w:docPartObj>
          <w:docPartGallery w:val="Table of Contents"/>
          <w:docPartUnique/>
        </w:docPartObj>
      </w:sdtPr>
      <w:sdtEndPr>
        <w:rPr>
          <w:b/>
          <w:bCs/>
        </w:rPr>
      </w:sdtEndPr>
      <w:sdtContent>
        <w:p w14:paraId="3EDD552F" w14:textId="6118D348" w:rsidR="005B6FE1" w:rsidRDefault="005B6FE1" w:rsidP="009C2A86">
          <w:pPr>
            <w:pStyle w:val="TOCHeading"/>
            <w:spacing w:line="360" w:lineRule="auto"/>
            <w:jc w:val="both"/>
          </w:pPr>
          <w:r>
            <w:rPr>
              <w:lang w:val="en-GB"/>
            </w:rPr>
            <w:t>Table of Contents</w:t>
          </w:r>
        </w:p>
        <w:p w14:paraId="145FAC2E" w14:textId="63585832" w:rsidR="006A5985" w:rsidRDefault="005B6FE1">
          <w:pPr>
            <w:pStyle w:val="TOC1"/>
            <w:rPr>
              <w:rFonts w:asciiTheme="minorHAnsi" w:hAnsiTheme="minorHAnsi" w:cstheme="minorBidi"/>
              <w:noProof/>
              <w:kern w:val="2"/>
              <w:szCs w:val="24"/>
              <w:lang w:val="en-GB" w:eastAsia="en-GB"/>
              <w14:ligatures w14:val="standardContextual"/>
            </w:rPr>
          </w:pPr>
          <w:r>
            <w:fldChar w:fldCharType="begin"/>
          </w:r>
          <w:r>
            <w:instrText xml:space="preserve"> TOC \o "1-3" \h \z \u </w:instrText>
          </w:r>
          <w:r>
            <w:fldChar w:fldCharType="separate"/>
          </w:r>
          <w:hyperlink w:anchor="_Toc233030632" w:history="1">
            <w:r w:rsidR="006A5985" w:rsidRPr="007A4982">
              <w:rPr>
                <w:rStyle w:val="Hyperlink"/>
                <w:noProof/>
              </w:rPr>
              <w:t>CHAPTER 1</w:t>
            </w:r>
            <w:r w:rsidR="006A5985">
              <w:rPr>
                <w:noProof/>
                <w:webHidden/>
              </w:rPr>
              <w:tab/>
            </w:r>
            <w:r w:rsidR="006A5985">
              <w:rPr>
                <w:noProof/>
                <w:webHidden/>
              </w:rPr>
              <w:fldChar w:fldCharType="begin"/>
            </w:r>
            <w:r w:rsidR="006A5985">
              <w:rPr>
                <w:noProof/>
                <w:webHidden/>
              </w:rPr>
              <w:instrText xml:space="preserve"> PAGEREF _Toc233030632 \h </w:instrText>
            </w:r>
            <w:r w:rsidR="006A5985">
              <w:rPr>
                <w:noProof/>
                <w:webHidden/>
              </w:rPr>
            </w:r>
            <w:r w:rsidR="006A5985">
              <w:rPr>
                <w:noProof/>
                <w:webHidden/>
              </w:rPr>
              <w:fldChar w:fldCharType="separate"/>
            </w:r>
            <w:r w:rsidR="006A5985">
              <w:rPr>
                <w:noProof/>
                <w:webHidden/>
              </w:rPr>
              <w:t>9</w:t>
            </w:r>
            <w:r w:rsidR="006A5985">
              <w:rPr>
                <w:noProof/>
                <w:webHidden/>
              </w:rPr>
              <w:fldChar w:fldCharType="end"/>
            </w:r>
          </w:hyperlink>
        </w:p>
        <w:p w14:paraId="355D0C18" w14:textId="5AC16669" w:rsidR="006A5985" w:rsidRDefault="006A5985">
          <w:pPr>
            <w:pStyle w:val="TOC1"/>
            <w:rPr>
              <w:rFonts w:asciiTheme="minorHAnsi" w:hAnsiTheme="minorHAnsi" w:cstheme="minorBidi"/>
              <w:noProof/>
              <w:kern w:val="2"/>
              <w:szCs w:val="24"/>
              <w:lang w:val="en-GB" w:eastAsia="en-GB"/>
              <w14:ligatures w14:val="standardContextual"/>
            </w:rPr>
          </w:pPr>
          <w:hyperlink w:anchor="_Toc233030633" w:history="1">
            <w:r w:rsidRPr="007A4982">
              <w:rPr>
                <w:rStyle w:val="Hyperlink"/>
                <w:noProof/>
              </w:rPr>
              <w:t>INTRODUCTION</w:t>
            </w:r>
            <w:r>
              <w:rPr>
                <w:noProof/>
                <w:webHidden/>
              </w:rPr>
              <w:tab/>
            </w:r>
            <w:r>
              <w:rPr>
                <w:noProof/>
                <w:webHidden/>
              </w:rPr>
              <w:fldChar w:fldCharType="begin"/>
            </w:r>
            <w:r>
              <w:rPr>
                <w:noProof/>
                <w:webHidden/>
              </w:rPr>
              <w:instrText xml:space="preserve"> PAGEREF _Toc233030633 \h </w:instrText>
            </w:r>
            <w:r>
              <w:rPr>
                <w:noProof/>
                <w:webHidden/>
              </w:rPr>
            </w:r>
            <w:r>
              <w:rPr>
                <w:noProof/>
                <w:webHidden/>
              </w:rPr>
              <w:fldChar w:fldCharType="separate"/>
            </w:r>
            <w:r>
              <w:rPr>
                <w:noProof/>
                <w:webHidden/>
              </w:rPr>
              <w:t>9</w:t>
            </w:r>
            <w:r>
              <w:rPr>
                <w:noProof/>
                <w:webHidden/>
              </w:rPr>
              <w:fldChar w:fldCharType="end"/>
            </w:r>
          </w:hyperlink>
        </w:p>
        <w:p w14:paraId="4DA5D513" w14:textId="57300856" w:rsidR="006A5985" w:rsidRDefault="006A5985">
          <w:pPr>
            <w:pStyle w:val="TOC2"/>
            <w:tabs>
              <w:tab w:val="right" w:leader="dot" w:pos="9016"/>
            </w:tabs>
            <w:rPr>
              <w:rFonts w:asciiTheme="minorHAnsi" w:hAnsiTheme="minorHAnsi" w:cstheme="minorBidi"/>
              <w:noProof/>
              <w:kern w:val="2"/>
              <w:szCs w:val="24"/>
              <w:lang w:val="en-GB" w:eastAsia="en-GB"/>
              <w14:ligatures w14:val="standardContextual"/>
            </w:rPr>
          </w:pPr>
          <w:hyperlink w:anchor="_Toc233030634" w:history="1">
            <w:r w:rsidRPr="007A4982">
              <w:rPr>
                <w:rStyle w:val="Hyperlink"/>
                <w:noProof/>
              </w:rPr>
              <w:t>1.1 Chapter Introduction</w:t>
            </w:r>
            <w:r>
              <w:rPr>
                <w:noProof/>
                <w:webHidden/>
              </w:rPr>
              <w:tab/>
            </w:r>
            <w:r>
              <w:rPr>
                <w:noProof/>
                <w:webHidden/>
              </w:rPr>
              <w:fldChar w:fldCharType="begin"/>
            </w:r>
            <w:r>
              <w:rPr>
                <w:noProof/>
                <w:webHidden/>
              </w:rPr>
              <w:instrText xml:space="preserve"> PAGEREF _Toc233030634 \h </w:instrText>
            </w:r>
            <w:r>
              <w:rPr>
                <w:noProof/>
                <w:webHidden/>
              </w:rPr>
            </w:r>
            <w:r>
              <w:rPr>
                <w:noProof/>
                <w:webHidden/>
              </w:rPr>
              <w:fldChar w:fldCharType="separate"/>
            </w:r>
            <w:r>
              <w:rPr>
                <w:noProof/>
                <w:webHidden/>
              </w:rPr>
              <w:t>9</w:t>
            </w:r>
            <w:r>
              <w:rPr>
                <w:noProof/>
                <w:webHidden/>
              </w:rPr>
              <w:fldChar w:fldCharType="end"/>
            </w:r>
          </w:hyperlink>
        </w:p>
        <w:p w14:paraId="6DEC2A5E" w14:textId="2C7CB59B" w:rsidR="006A5985" w:rsidRDefault="006A5985">
          <w:pPr>
            <w:pStyle w:val="TOC2"/>
            <w:tabs>
              <w:tab w:val="right" w:leader="dot" w:pos="9016"/>
            </w:tabs>
            <w:rPr>
              <w:rFonts w:asciiTheme="minorHAnsi" w:hAnsiTheme="minorHAnsi" w:cstheme="minorBidi"/>
              <w:noProof/>
              <w:kern w:val="2"/>
              <w:szCs w:val="24"/>
              <w:lang w:val="en-GB" w:eastAsia="en-GB"/>
              <w14:ligatures w14:val="standardContextual"/>
            </w:rPr>
          </w:pPr>
          <w:hyperlink w:anchor="_Toc233030635" w:history="1">
            <w:r w:rsidRPr="007A4982">
              <w:rPr>
                <w:rStyle w:val="Hyperlink"/>
                <w:noProof/>
              </w:rPr>
              <w:t>1.2 Background and Context</w:t>
            </w:r>
            <w:r>
              <w:rPr>
                <w:noProof/>
                <w:webHidden/>
              </w:rPr>
              <w:tab/>
            </w:r>
            <w:r>
              <w:rPr>
                <w:noProof/>
                <w:webHidden/>
              </w:rPr>
              <w:fldChar w:fldCharType="begin"/>
            </w:r>
            <w:r>
              <w:rPr>
                <w:noProof/>
                <w:webHidden/>
              </w:rPr>
              <w:instrText xml:space="preserve"> PAGEREF _Toc233030635 \h </w:instrText>
            </w:r>
            <w:r>
              <w:rPr>
                <w:noProof/>
                <w:webHidden/>
              </w:rPr>
            </w:r>
            <w:r>
              <w:rPr>
                <w:noProof/>
                <w:webHidden/>
              </w:rPr>
              <w:fldChar w:fldCharType="separate"/>
            </w:r>
            <w:r>
              <w:rPr>
                <w:noProof/>
                <w:webHidden/>
              </w:rPr>
              <w:t>9</w:t>
            </w:r>
            <w:r>
              <w:rPr>
                <w:noProof/>
                <w:webHidden/>
              </w:rPr>
              <w:fldChar w:fldCharType="end"/>
            </w:r>
          </w:hyperlink>
        </w:p>
        <w:p w14:paraId="18224AA4" w14:textId="5BFEAC7E" w:rsidR="006A5985" w:rsidRDefault="006A5985">
          <w:pPr>
            <w:pStyle w:val="TOC2"/>
            <w:tabs>
              <w:tab w:val="right" w:leader="dot" w:pos="9016"/>
            </w:tabs>
            <w:rPr>
              <w:rFonts w:asciiTheme="minorHAnsi" w:hAnsiTheme="minorHAnsi" w:cstheme="minorBidi"/>
              <w:noProof/>
              <w:kern w:val="2"/>
              <w:szCs w:val="24"/>
              <w:lang w:val="en-GB" w:eastAsia="en-GB"/>
              <w14:ligatures w14:val="standardContextual"/>
            </w:rPr>
          </w:pPr>
          <w:hyperlink w:anchor="_Toc233030636" w:history="1">
            <w:r w:rsidRPr="007A4982">
              <w:rPr>
                <w:rStyle w:val="Hyperlink"/>
                <w:noProof/>
              </w:rPr>
              <w:t>1.3 Case Study Organisation – NCC</w:t>
            </w:r>
            <w:r>
              <w:rPr>
                <w:noProof/>
                <w:webHidden/>
              </w:rPr>
              <w:tab/>
            </w:r>
            <w:r>
              <w:rPr>
                <w:noProof/>
                <w:webHidden/>
              </w:rPr>
              <w:fldChar w:fldCharType="begin"/>
            </w:r>
            <w:r>
              <w:rPr>
                <w:noProof/>
                <w:webHidden/>
              </w:rPr>
              <w:instrText xml:space="preserve"> PAGEREF _Toc233030636 \h </w:instrText>
            </w:r>
            <w:r>
              <w:rPr>
                <w:noProof/>
                <w:webHidden/>
              </w:rPr>
            </w:r>
            <w:r>
              <w:rPr>
                <w:noProof/>
                <w:webHidden/>
              </w:rPr>
              <w:fldChar w:fldCharType="separate"/>
            </w:r>
            <w:r>
              <w:rPr>
                <w:noProof/>
                <w:webHidden/>
              </w:rPr>
              <w:t>10</w:t>
            </w:r>
            <w:r>
              <w:rPr>
                <w:noProof/>
                <w:webHidden/>
              </w:rPr>
              <w:fldChar w:fldCharType="end"/>
            </w:r>
          </w:hyperlink>
        </w:p>
        <w:p w14:paraId="76963E08" w14:textId="4318A8C5" w:rsidR="006A5985" w:rsidRDefault="006A5985">
          <w:pPr>
            <w:pStyle w:val="TOC2"/>
            <w:tabs>
              <w:tab w:val="right" w:leader="dot" w:pos="9016"/>
            </w:tabs>
            <w:rPr>
              <w:rFonts w:asciiTheme="minorHAnsi" w:hAnsiTheme="minorHAnsi" w:cstheme="minorBidi"/>
              <w:noProof/>
              <w:kern w:val="2"/>
              <w:szCs w:val="24"/>
              <w:lang w:val="en-GB" w:eastAsia="en-GB"/>
              <w14:ligatures w14:val="standardContextual"/>
            </w:rPr>
          </w:pPr>
          <w:hyperlink w:anchor="_Toc233030637" w:history="1">
            <w:r w:rsidRPr="007A4982">
              <w:rPr>
                <w:rStyle w:val="Hyperlink"/>
                <w:noProof/>
              </w:rPr>
              <w:t>1.4 The Research Problem</w:t>
            </w:r>
            <w:r>
              <w:rPr>
                <w:noProof/>
                <w:webHidden/>
              </w:rPr>
              <w:tab/>
            </w:r>
            <w:r>
              <w:rPr>
                <w:noProof/>
                <w:webHidden/>
              </w:rPr>
              <w:fldChar w:fldCharType="begin"/>
            </w:r>
            <w:r>
              <w:rPr>
                <w:noProof/>
                <w:webHidden/>
              </w:rPr>
              <w:instrText xml:space="preserve"> PAGEREF _Toc233030637 \h </w:instrText>
            </w:r>
            <w:r>
              <w:rPr>
                <w:noProof/>
                <w:webHidden/>
              </w:rPr>
            </w:r>
            <w:r>
              <w:rPr>
                <w:noProof/>
                <w:webHidden/>
              </w:rPr>
              <w:fldChar w:fldCharType="separate"/>
            </w:r>
            <w:r>
              <w:rPr>
                <w:noProof/>
                <w:webHidden/>
              </w:rPr>
              <w:t>11</w:t>
            </w:r>
            <w:r>
              <w:rPr>
                <w:noProof/>
                <w:webHidden/>
              </w:rPr>
              <w:fldChar w:fldCharType="end"/>
            </w:r>
          </w:hyperlink>
        </w:p>
        <w:p w14:paraId="7CD6AB8B" w14:textId="7FDBFCFB" w:rsidR="006A5985" w:rsidRDefault="006A5985">
          <w:pPr>
            <w:pStyle w:val="TOC2"/>
            <w:tabs>
              <w:tab w:val="right" w:leader="dot" w:pos="9016"/>
            </w:tabs>
            <w:rPr>
              <w:rFonts w:asciiTheme="minorHAnsi" w:hAnsiTheme="minorHAnsi" w:cstheme="minorBidi"/>
              <w:noProof/>
              <w:kern w:val="2"/>
              <w:szCs w:val="24"/>
              <w:lang w:val="en-GB" w:eastAsia="en-GB"/>
              <w14:ligatures w14:val="standardContextual"/>
            </w:rPr>
          </w:pPr>
          <w:hyperlink w:anchor="_Toc233030638" w:history="1">
            <w:r w:rsidRPr="007A4982">
              <w:rPr>
                <w:rStyle w:val="Hyperlink"/>
                <w:noProof/>
                <w:lang w:eastAsia="en-GB"/>
              </w:rPr>
              <w:t>1.5 Research</w:t>
            </w:r>
            <w:r w:rsidRPr="007A4982">
              <w:rPr>
                <w:rStyle w:val="Hyperlink"/>
                <w:noProof/>
              </w:rPr>
              <w:t xml:space="preserve"> Aims, Objectives and Questions</w:t>
            </w:r>
            <w:r>
              <w:rPr>
                <w:noProof/>
                <w:webHidden/>
              </w:rPr>
              <w:tab/>
            </w:r>
            <w:r>
              <w:rPr>
                <w:noProof/>
                <w:webHidden/>
              </w:rPr>
              <w:fldChar w:fldCharType="begin"/>
            </w:r>
            <w:r>
              <w:rPr>
                <w:noProof/>
                <w:webHidden/>
              </w:rPr>
              <w:instrText xml:space="preserve"> PAGEREF _Toc233030638 \h </w:instrText>
            </w:r>
            <w:r>
              <w:rPr>
                <w:noProof/>
                <w:webHidden/>
              </w:rPr>
            </w:r>
            <w:r>
              <w:rPr>
                <w:noProof/>
                <w:webHidden/>
              </w:rPr>
              <w:fldChar w:fldCharType="separate"/>
            </w:r>
            <w:r>
              <w:rPr>
                <w:noProof/>
                <w:webHidden/>
              </w:rPr>
              <w:t>11</w:t>
            </w:r>
            <w:r>
              <w:rPr>
                <w:noProof/>
                <w:webHidden/>
              </w:rPr>
              <w:fldChar w:fldCharType="end"/>
            </w:r>
          </w:hyperlink>
        </w:p>
        <w:p w14:paraId="527FF067" w14:textId="5177825D" w:rsidR="006A5985" w:rsidRDefault="006A5985">
          <w:pPr>
            <w:pStyle w:val="TOC2"/>
            <w:tabs>
              <w:tab w:val="right" w:leader="dot" w:pos="9016"/>
            </w:tabs>
            <w:rPr>
              <w:rFonts w:asciiTheme="minorHAnsi" w:hAnsiTheme="minorHAnsi" w:cstheme="minorBidi"/>
              <w:noProof/>
              <w:kern w:val="2"/>
              <w:szCs w:val="24"/>
              <w:lang w:val="en-GB" w:eastAsia="en-GB"/>
              <w14:ligatures w14:val="standardContextual"/>
            </w:rPr>
          </w:pPr>
          <w:hyperlink w:anchor="_Toc233030639" w:history="1">
            <w:r w:rsidRPr="007A4982">
              <w:rPr>
                <w:rStyle w:val="Hyperlink"/>
                <w:noProof/>
              </w:rPr>
              <w:t>1.6 Research Scope</w:t>
            </w:r>
            <w:r>
              <w:rPr>
                <w:noProof/>
                <w:webHidden/>
              </w:rPr>
              <w:tab/>
            </w:r>
            <w:r>
              <w:rPr>
                <w:noProof/>
                <w:webHidden/>
              </w:rPr>
              <w:fldChar w:fldCharType="begin"/>
            </w:r>
            <w:r>
              <w:rPr>
                <w:noProof/>
                <w:webHidden/>
              </w:rPr>
              <w:instrText xml:space="preserve"> PAGEREF _Toc233030639 \h </w:instrText>
            </w:r>
            <w:r>
              <w:rPr>
                <w:noProof/>
                <w:webHidden/>
              </w:rPr>
            </w:r>
            <w:r>
              <w:rPr>
                <w:noProof/>
                <w:webHidden/>
              </w:rPr>
              <w:fldChar w:fldCharType="separate"/>
            </w:r>
            <w:r>
              <w:rPr>
                <w:noProof/>
                <w:webHidden/>
              </w:rPr>
              <w:t>13</w:t>
            </w:r>
            <w:r>
              <w:rPr>
                <w:noProof/>
                <w:webHidden/>
              </w:rPr>
              <w:fldChar w:fldCharType="end"/>
            </w:r>
          </w:hyperlink>
        </w:p>
        <w:p w14:paraId="11367178" w14:textId="20D4DCA6" w:rsidR="006A5985" w:rsidRDefault="006A5985">
          <w:pPr>
            <w:pStyle w:val="TOC2"/>
            <w:tabs>
              <w:tab w:val="right" w:leader="dot" w:pos="9016"/>
            </w:tabs>
            <w:rPr>
              <w:rFonts w:asciiTheme="minorHAnsi" w:hAnsiTheme="minorHAnsi" w:cstheme="minorBidi"/>
              <w:noProof/>
              <w:kern w:val="2"/>
              <w:szCs w:val="24"/>
              <w:lang w:val="en-GB" w:eastAsia="en-GB"/>
              <w14:ligatures w14:val="standardContextual"/>
            </w:rPr>
          </w:pPr>
          <w:hyperlink w:anchor="_Toc233030640" w:history="1">
            <w:r w:rsidRPr="007A4982">
              <w:rPr>
                <w:rStyle w:val="Hyperlink"/>
                <w:noProof/>
              </w:rPr>
              <w:t>1.7 Justification</w:t>
            </w:r>
            <w:r>
              <w:rPr>
                <w:noProof/>
                <w:webHidden/>
              </w:rPr>
              <w:tab/>
            </w:r>
            <w:r>
              <w:rPr>
                <w:noProof/>
                <w:webHidden/>
              </w:rPr>
              <w:fldChar w:fldCharType="begin"/>
            </w:r>
            <w:r>
              <w:rPr>
                <w:noProof/>
                <w:webHidden/>
              </w:rPr>
              <w:instrText xml:space="preserve"> PAGEREF _Toc233030640 \h </w:instrText>
            </w:r>
            <w:r>
              <w:rPr>
                <w:noProof/>
                <w:webHidden/>
              </w:rPr>
            </w:r>
            <w:r>
              <w:rPr>
                <w:noProof/>
                <w:webHidden/>
              </w:rPr>
              <w:fldChar w:fldCharType="separate"/>
            </w:r>
            <w:r>
              <w:rPr>
                <w:noProof/>
                <w:webHidden/>
              </w:rPr>
              <w:t>13</w:t>
            </w:r>
            <w:r>
              <w:rPr>
                <w:noProof/>
                <w:webHidden/>
              </w:rPr>
              <w:fldChar w:fldCharType="end"/>
            </w:r>
          </w:hyperlink>
        </w:p>
        <w:p w14:paraId="70ABB818" w14:textId="1EEA996A" w:rsidR="006A5985" w:rsidRDefault="006A5985">
          <w:pPr>
            <w:pStyle w:val="TOC2"/>
            <w:tabs>
              <w:tab w:val="right" w:leader="dot" w:pos="9016"/>
            </w:tabs>
            <w:rPr>
              <w:rFonts w:asciiTheme="minorHAnsi" w:hAnsiTheme="minorHAnsi" w:cstheme="minorBidi"/>
              <w:noProof/>
              <w:kern w:val="2"/>
              <w:szCs w:val="24"/>
              <w:lang w:val="en-GB" w:eastAsia="en-GB"/>
              <w14:ligatures w14:val="standardContextual"/>
            </w:rPr>
          </w:pPr>
          <w:hyperlink w:anchor="_Toc233030641" w:history="1">
            <w:r w:rsidRPr="007A4982">
              <w:rPr>
                <w:rStyle w:val="Hyperlink"/>
                <w:noProof/>
              </w:rPr>
              <w:t>1.8 Structure of the study</w:t>
            </w:r>
            <w:r>
              <w:rPr>
                <w:noProof/>
                <w:webHidden/>
              </w:rPr>
              <w:tab/>
            </w:r>
            <w:r>
              <w:rPr>
                <w:noProof/>
                <w:webHidden/>
              </w:rPr>
              <w:fldChar w:fldCharType="begin"/>
            </w:r>
            <w:r>
              <w:rPr>
                <w:noProof/>
                <w:webHidden/>
              </w:rPr>
              <w:instrText xml:space="preserve"> PAGEREF _Toc233030641 \h </w:instrText>
            </w:r>
            <w:r>
              <w:rPr>
                <w:noProof/>
                <w:webHidden/>
              </w:rPr>
            </w:r>
            <w:r>
              <w:rPr>
                <w:noProof/>
                <w:webHidden/>
              </w:rPr>
              <w:fldChar w:fldCharType="separate"/>
            </w:r>
            <w:r>
              <w:rPr>
                <w:noProof/>
                <w:webHidden/>
              </w:rPr>
              <w:t>14</w:t>
            </w:r>
            <w:r>
              <w:rPr>
                <w:noProof/>
                <w:webHidden/>
              </w:rPr>
              <w:fldChar w:fldCharType="end"/>
            </w:r>
          </w:hyperlink>
        </w:p>
        <w:p w14:paraId="06C27712" w14:textId="556939BB" w:rsidR="006A5985" w:rsidRDefault="006A5985">
          <w:pPr>
            <w:pStyle w:val="TOC2"/>
            <w:tabs>
              <w:tab w:val="right" w:leader="dot" w:pos="9016"/>
            </w:tabs>
            <w:rPr>
              <w:rFonts w:asciiTheme="minorHAnsi" w:hAnsiTheme="minorHAnsi" w:cstheme="minorBidi"/>
              <w:noProof/>
              <w:kern w:val="2"/>
              <w:szCs w:val="24"/>
              <w:lang w:val="en-GB" w:eastAsia="en-GB"/>
              <w14:ligatures w14:val="standardContextual"/>
            </w:rPr>
          </w:pPr>
          <w:hyperlink w:anchor="_Toc233030642" w:history="1">
            <w:r w:rsidRPr="007A4982">
              <w:rPr>
                <w:rStyle w:val="Hyperlink"/>
                <w:noProof/>
              </w:rPr>
              <w:t>1.9 Chapter Summary</w:t>
            </w:r>
            <w:r>
              <w:rPr>
                <w:noProof/>
                <w:webHidden/>
              </w:rPr>
              <w:tab/>
            </w:r>
            <w:r>
              <w:rPr>
                <w:noProof/>
                <w:webHidden/>
              </w:rPr>
              <w:fldChar w:fldCharType="begin"/>
            </w:r>
            <w:r>
              <w:rPr>
                <w:noProof/>
                <w:webHidden/>
              </w:rPr>
              <w:instrText xml:space="preserve"> PAGEREF _Toc233030642 \h </w:instrText>
            </w:r>
            <w:r>
              <w:rPr>
                <w:noProof/>
                <w:webHidden/>
              </w:rPr>
            </w:r>
            <w:r>
              <w:rPr>
                <w:noProof/>
                <w:webHidden/>
              </w:rPr>
              <w:fldChar w:fldCharType="separate"/>
            </w:r>
            <w:r>
              <w:rPr>
                <w:noProof/>
                <w:webHidden/>
              </w:rPr>
              <w:t>15</w:t>
            </w:r>
            <w:r>
              <w:rPr>
                <w:noProof/>
                <w:webHidden/>
              </w:rPr>
              <w:fldChar w:fldCharType="end"/>
            </w:r>
          </w:hyperlink>
        </w:p>
        <w:p w14:paraId="6D5E94E0" w14:textId="52AA60C0" w:rsidR="006A5985" w:rsidRDefault="006A5985">
          <w:pPr>
            <w:pStyle w:val="TOC1"/>
            <w:rPr>
              <w:rFonts w:asciiTheme="minorHAnsi" w:hAnsiTheme="minorHAnsi" w:cstheme="minorBidi"/>
              <w:noProof/>
              <w:kern w:val="2"/>
              <w:szCs w:val="24"/>
              <w:lang w:val="en-GB" w:eastAsia="en-GB"/>
              <w14:ligatures w14:val="standardContextual"/>
            </w:rPr>
          </w:pPr>
          <w:hyperlink w:anchor="_Toc233030643" w:history="1">
            <w:r w:rsidRPr="007A4982">
              <w:rPr>
                <w:rStyle w:val="Hyperlink"/>
                <w:noProof/>
              </w:rPr>
              <w:t>CHAPTER 2</w:t>
            </w:r>
            <w:r>
              <w:rPr>
                <w:noProof/>
                <w:webHidden/>
              </w:rPr>
              <w:tab/>
            </w:r>
            <w:r>
              <w:rPr>
                <w:noProof/>
                <w:webHidden/>
              </w:rPr>
              <w:fldChar w:fldCharType="begin"/>
            </w:r>
            <w:r>
              <w:rPr>
                <w:noProof/>
                <w:webHidden/>
              </w:rPr>
              <w:instrText xml:space="preserve"> PAGEREF _Toc233030643 \h </w:instrText>
            </w:r>
            <w:r>
              <w:rPr>
                <w:noProof/>
                <w:webHidden/>
              </w:rPr>
            </w:r>
            <w:r>
              <w:rPr>
                <w:noProof/>
                <w:webHidden/>
              </w:rPr>
              <w:fldChar w:fldCharType="separate"/>
            </w:r>
            <w:r>
              <w:rPr>
                <w:noProof/>
                <w:webHidden/>
              </w:rPr>
              <w:t>15</w:t>
            </w:r>
            <w:r>
              <w:rPr>
                <w:noProof/>
                <w:webHidden/>
              </w:rPr>
              <w:fldChar w:fldCharType="end"/>
            </w:r>
          </w:hyperlink>
        </w:p>
        <w:p w14:paraId="60823D13" w14:textId="7B8C66F7" w:rsidR="006A5985" w:rsidRDefault="006A5985">
          <w:pPr>
            <w:pStyle w:val="TOC1"/>
            <w:rPr>
              <w:rFonts w:asciiTheme="minorHAnsi" w:hAnsiTheme="minorHAnsi" w:cstheme="minorBidi"/>
              <w:noProof/>
              <w:kern w:val="2"/>
              <w:szCs w:val="24"/>
              <w:lang w:val="en-GB" w:eastAsia="en-GB"/>
              <w14:ligatures w14:val="standardContextual"/>
            </w:rPr>
          </w:pPr>
          <w:hyperlink w:anchor="_Toc233030644" w:history="1">
            <w:r w:rsidRPr="007A4982">
              <w:rPr>
                <w:rStyle w:val="Hyperlink"/>
                <w:noProof/>
              </w:rPr>
              <w:t>LITERATURE REVIEW</w:t>
            </w:r>
            <w:r>
              <w:rPr>
                <w:noProof/>
                <w:webHidden/>
              </w:rPr>
              <w:tab/>
            </w:r>
            <w:r>
              <w:rPr>
                <w:noProof/>
                <w:webHidden/>
              </w:rPr>
              <w:fldChar w:fldCharType="begin"/>
            </w:r>
            <w:r>
              <w:rPr>
                <w:noProof/>
                <w:webHidden/>
              </w:rPr>
              <w:instrText xml:space="preserve"> PAGEREF _Toc233030644 \h </w:instrText>
            </w:r>
            <w:r>
              <w:rPr>
                <w:noProof/>
                <w:webHidden/>
              </w:rPr>
            </w:r>
            <w:r>
              <w:rPr>
                <w:noProof/>
                <w:webHidden/>
              </w:rPr>
              <w:fldChar w:fldCharType="separate"/>
            </w:r>
            <w:r>
              <w:rPr>
                <w:noProof/>
                <w:webHidden/>
              </w:rPr>
              <w:t>15</w:t>
            </w:r>
            <w:r>
              <w:rPr>
                <w:noProof/>
                <w:webHidden/>
              </w:rPr>
              <w:fldChar w:fldCharType="end"/>
            </w:r>
          </w:hyperlink>
        </w:p>
        <w:p w14:paraId="7F6DEAB9" w14:textId="2D2F3A5D" w:rsidR="006A5985" w:rsidRDefault="006A5985">
          <w:pPr>
            <w:pStyle w:val="TOC2"/>
            <w:tabs>
              <w:tab w:val="right" w:leader="dot" w:pos="9016"/>
            </w:tabs>
            <w:rPr>
              <w:rFonts w:asciiTheme="minorHAnsi" w:hAnsiTheme="minorHAnsi" w:cstheme="minorBidi"/>
              <w:noProof/>
              <w:kern w:val="2"/>
              <w:szCs w:val="24"/>
              <w:lang w:val="en-GB" w:eastAsia="en-GB"/>
              <w14:ligatures w14:val="standardContextual"/>
            </w:rPr>
          </w:pPr>
          <w:hyperlink w:anchor="_Toc233030645" w:history="1">
            <w:r w:rsidRPr="007A4982">
              <w:rPr>
                <w:rStyle w:val="Hyperlink"/>
                <w:noProof/>
              </w:rPr>
              <w:t>2.1 Chapter Introduction</w:t>
            </w:r>
            <w:r>
              <w:rPr>
                <w:noProof/>
                <w:webHidden/>
              </w:rPr>
              <w:tab/>
            </w:r>
            <w:r>
              <w:rPr>
                <w:noProof/>
                <w:webHidden/>
              </w:rPr>
              <w:fldChar w:fldCharType="begin"/>
            </w:r>
            <w:r>
              <w:rPr>
                <w:noProof/>
                <w:webHidden/>
              </w:rPr>
              <w:instrText xml:space="preserve"> PAGEREF _Toc233030645 \h </w:instrText>
            </w:r>
            <w:r>
              <w:rPr>
                <w:noProof/>
                <w:webHidden/>
              </w:rPr>
            </w:r>
            <w:r>
              <w:rPr>
                <w:noProof/>
                <w:webHidden/>
              </w:rPr>
              <w:fldChar w:fldCharType="separate"/>
            </w:r>
            <w:r>
              <w:rPr>
                <w:noProof/>
                <w:webHidden/>
              </w:rPr>
              <w:t>15</w:t>
            </w:r>
            <w:r>
              <w:rPr>
                <w:noProof/>
                <w:webHidden/>
              </w:rPr>
              <w:fldChar w:fldCharType="end"/>
            </w:r>
          </w:hyperlink>
        </w:p>
        <w:p w14:paraId="36D2BFD5" w14:textId="090A186B" w:rsidR="006A5985" w:rsidRDefault="006A5985">
          <w:pPr>
            <w:pStyle w:val="TOC2"/>
            <w:tabs>
              <w:tab w:val="right" w:leader="dot" w:pos="9016"/>
            </w:tabs>
            <w:rPr>
              <w:rFonts w:asciiTheme="minorHAnsi" w:hAnsiTheme="minorHAnsi" w:cstheme="minorBidi"/>
              <w:noProof/>
              <w:kern w:val="2"/>
              <w:szCs w:val="24"/>
              <w:lang w:val="en-GB" w:eastAsia="en-GB"/>
              <w14:ligatures w14:val="standardContextual"/>
            </w:rPr>
          </w:pPr>
          <w:hyperlink w:anchor="_Toc233030646" w:history="1">
            <w:r w:rsidRPr="007A4982">
              <w:rPr>
                <w:rStyle w:val="Hyperlink"/>
                <w:noProof/>
              </w:rPr>
              <w:t>2.2 Foundations and Evolution of Talent Management</w:t>
            </w:r>
            <w:r>
              <w:rPr>
                <w:noProof/>
                <w:webHidden/>
              </w:rPr>
              <w:tab/>
            </w:r>
            <w:r>
              <w:rPr>
                <w:noProof/>
                <w:webHidden/>
              </w:rPr>
              <w:fldChar w:fldCharType="begin"/>
            </w:r>
            <w:r>
              <w:rPr>
                <w:noProof/>
                <w:webHidden/>
              </w:rPr>
              <w:instrText xml:space="preserve"> PAGEREF _Toc233030646 \h </w:instrText>
            </w:r>
            <w:r>
              <w:rPr>
                <w:noProof/>
                <w:webHidden/>
              </w:rPr>
            </w:r>
            <w:r>
              <w:rPr>
                <w:noProof/>
                <w:webHidden/>
              </w:rPr>
              <w:fldChar w:fldCharType="separate"/>
            </w:r>
            <w:r>
              <w:rPr>
                <w:noProof/>
                <w:webHidden/>
              </w:rPr>
              <w:t>15</w:t>
            </w:r>
            <w:r>
              <w:rPr>
                <w:noProof/>
                <w:webHidden/>
              </w:rPr>
              <w:fldChar w:fldCharType="end"/>
            </w:r>
          </w:hyperlink>
        </w:p>
        <w:p w14:paraId="4E161556" w14:textId="2AB8C74B" w:rsidR="006A5985" w:rsidRDefault="006A5985">
          <w:pPr>
            <w:pStyle w:val="TOC2"/>
            <w:tabs>
              <w:tab w:val="right" w:leader="dot" w:pos="9016"/>
            </w:tabs>
            <w:rPr>
              <w:rFonts w:asciiTheme="minorHAnsi" w:hAnsiTheme="minorHAnsi" w:cstheme="minorBidi"/>
              <w:noProof/>
              <w:kern w:val="2"/>
              <w:szCs w:val="24"/>
              <w:lang w:val="en-GB" w:eastAsia="en-GB"/>
              <w14:ligatures w14:val="standardContextual"/>
            </w:rPr>
          </w:pPr>
          <w:hyperlink w:anchor="_Toc233030647" w:history="1">
            <w:r w:rsidRPr="007A4982">
              <w:rPr>
                <w:rStyle w:val="Hyperlink"/>
                <w:noProof/>
              </w:rPr>
              <w:t>2.3 Talent Management in the Public Sector</w:t>
            </w:r>
            <w:r>
              <w:rPr>
                <w:noProof/>
                <w:webHidden/>
              </w:rPr>
              <w:tab/>
            </w:r>
            <w:r>
              <w:rPr>
                <w:noProof/>
                <w:webHidden/>
              </w:rPr>
              <w:fldChar w:fldCharType="begin"/>
            </w:r>
            <w:r>
              <w:rPr>
                <w:noProof/>
                <w:webHidden/>
              </w:rPr>
              <w:instrText xml:space="preserve"> PAGEREF _Toc233030647 \h </w:instrText>
            </w:r>
            <w:r>
              <w:rPr>
                <w:noProof/>
                <w:webHidden/>
              </w:rPr>
            </w:r>
            <w:r>
              <w:rPr>
                <w:noProof/>
                <w:webHidden/>
              </w:rPr>
              <w:fldChar w:fldCharType="separate"/>
            </w:r>
            <w:r>
              <w:rPr>
                <w:noProof/>
                <w:webHidden/>
              </w:rPr>
              <w:t>17</w:t>
            </w:r>
            <w:r>
              <w:rPr>
                <w:noProof/>
                <w:webHidden/>
              </w:rPr>
              <w:fldChar w:fldCharType="end"/>
            </w:r>
          </w:hyperlink>
        </w:p>
        <w:p w14:paraId="403D5E9B" w14:textId="733CEE8D" w:rsidR="006A5985" w:rsidRDefault="006A5985">
          <w:pPr>
            <w:pStyle w:val="TOC2"/>
            <w:tabs>
              <w:tab w:val="right" w:leader="dot" w:pos="9016"/>
            </w:tabs>
            <w:rPr>
              <w:rFonts w:asciiTheme="minorHAnsi" w:hAnsiTheme="minorHAnsi" w:cstheme="minorBidi"/>
              <w:noProof/>
              <w:kern w:val="2"/>
              <w:szCs w:val="24"/>
              <w:lang w:val="en-GB" w:eastAsia="en-GB"/>
              <w14:ligatures w14:val="standardContextual"/>
            </w:rPr>
          </w:pPr>
          <w:hyperlink w:anchor="_Toc233030648" w:history="1">
            <w:r w:rsidRPr="007A4982">
              <w:rPr>
                <w:rStyle w:val="Hyperlink"/>
                <w:noProof/>
              </w:rPr>
              <w:t>2.4 Workforce Ageing and Talent Management Pressures in Wales</w:t>
            </w:r>
            <w:r>
              <w:rPr>
                <w:noProof/>
                <w:webHidden/>
              </w:rPr>
              <w:tab/>
            </w:r>
            <w:r>
              <w:rPr>
                <w:noProof/>
                <w:webHidden/>
              </w:rPr>
              <w:fldChar w:fldCharType="begin"/>
            </w:r>
            <w:r>
              <w:rPr>
                <w:noProof/>
                <w:webHidden/>
              </w:rPr>
              <w:instrText xml:space="preserve"> PAGEREF _Toc233030648 \h </w:instrText>
            </w:r>
            <w:r>
              <w:rPr>
                <w:noProof/>
                <w:webHidden/>
              </w:rPr>
            </w:r>
            <w:r>
              <w:rPr>
                <w:noProof/>
                <w:webHidden/>
              </w:rPr>
              <w:fldChar w:fldCharType="separate"/>
            </w:r>
            <w:r>
              <w:rPr>
                <w:noProof/>
                <w:webHidden/>
              </w:rPr>
              <w:t>20</w:t>
            </w:r>
            <w:r>
              <w:rPr>
                <w:noProof/>
                <w:webHidden/>
              </w:rPr>
              <w:fldChar w:fldCharType="end"/>
            </w:r>
          </w:hyperlink>
        </w:p>
        <w:p w14:paraId="0D633C66" w14:textId="0FF8E225" w:rsidR="006A5985" w:rsidRDefault="006A5985">
          <w:pPr>
            <w:pStyle w:val="TOC2"/>
            <w:tabs>
              <w:tab w:val="right" w:leader="dot" w:pos="9016"/>
            </w:tabs>
            <w:rPr>
              <w:rFonts w:asciiTheme="minorHAnsi" w:hAnsiTheme="minorHAnsi" w:cstheme="minorBidi"/>
              <w:noProof/>
              <w:kern w:val="2"/>
              <w:szCs w:val="24"/>
              <w:lang w:val="en-GB" w:eastAsia="en-GB"/>
              <w14:ligatures w14:val="standardContextual"/>
            </w:rPr>
          </w:pPr>
          <w:hyperlink w:anchor="_Toc233030649" w:history="1">
            <w:r w:rsidRPr="007A4982">
              <w:rPr>
                <w:rStyle w:val="Hyperlink"/>
                <w:noProof/>
              </w:rPr>
              <w:t>2.5 Understanding Gen Z: Workplace Expectations, Preferences and Behaviours</w:t>
            </w:r>
            <w:r>
              <w:rPr>
                <w:noProof/>
                <w:webHidden/>
              </w:rPr>
              <w:tab/>
            </w:r>
            <w:r>
              <w:rPr>
                <w:noProof/>
                <w:webHidden/>
              </w:rPr>
              <w:fldChar w:fldCharType="begin"/>
            </w:r>
            <w:r>
              <w:rPr>
                <w:noProof/>
                <w:webHidden/>
              </w:rPr>
              <w:instrText xml:space="preserve"> PAGEREF _Toc233030649 \h </w:instrText>
            </w:r>
            <w:r>
              <w:rPr>
                <w:noProof/>
                <w:webHidden/>
              </w:rPr>
            </w:r>
            <w:r>
              <w:rPr>
                <w:noProof/>
                <w:webHidden/>
              </w:rPr>
              <w:fldChar w:fldCharType="separate"/>
            </w:r>
            <w:r>
              <w:rPr>
                <w:noProof/>
                <w:webHidden/>
              </w:rPr>
              <w:t>21</w:t>
            </w:r>
            <w:r>
              <w:rPr>
                <w:noProof/>
                <w:webHidden/>
              </w:rPr>
              <w:fldChar w:fldCharType="end"/>
            </w:r>
          </w:hyperlink>
        </w:p>
        <w:p w14:paraId="3310D199" w14:textId="0C98A8EF" w:rsidR="006A5985" w:rsidRDefault="006A5985">
          <w:pPr>
            <w:pStyle w:val="TOC2"/>
            <w:tabs>
              <w:tab w:val="right" w:leader="dot" w:pos="9016"/>
            </w:tabs>
            <w:rPr>
              <w:rFonts w:asciiTheme="minorHAnsi" w:hAnsiTheme="minorHAnsi" w:cstheme="minorBidi"/>
              <w:noProof/>
              <w:kern w:val="2"/>
              <w:szCs w:val="24"/>
              <w:lang w:val="en-GB" w:eastAsia="en-GB"/>
              <w14:ligatures w14:val="standardContextual"/>
            </w:rPr>
          </w:pPr>
          <w:hyperlink w:anchor="_Toc233030650" w:history="1">
            <w:r w:rsidRPr="007A4982">
              <w:rPr>
                <w:rStyle w:val="Hyperlink"/>
                <w:noProof/>
              </w:rPr>
              <w:t>2.6 Gen Z in the Public Sector</w:t>
            </w:r>
            <w:r>
              <w:rPr>
                <w:noProof/>
                <w:webHidden/>
              </w:rPr>
              <w:tab/>
            </w:r>
            <w:r>
              <w:rPr>
                <w:noProof/>
                <w:webHidden/>
              </w:rPr>
              <w:fldChar w:fldCharType="begin"/>
            </w:r>
            <w:r>
              <w:rPr>
                <w:noProof/>
                <w:webHidden/>
              </w:rPr>
              <w:instrText xml:space="preserve"> PAGEREF _Toc233030650 \h </w:instrText>
            </w:r>
            <w:r>
              <w:rPr>
                <w:noProof/>
                <w:webHidden/>
              </w:rPr>
            </w:r>
            <w:r>
              <w:rPr>
                <w:noProof/>
                <w:webHidden/>
              </w:rPr>
              <w:fldChar w:fldCharType="separate"/>
            </w:r>
            <w:r>
              <w:rPr>
                <w:noProof/>
                <w:webHidden/>
              </w:rPr>
              <w:t>25</w:t>
            </w:r>
            <w:r>
              <w:rPr>
                <w:noProof/>
                <w:webHidden/>
              </w:rPr>
              <w:fldChar w:fldCharType="end"/>
            </w:r>
          </w:hyperlink>
        </w:p>
        <w:p w14:paraId="2745AB6E" w14:textId="225073D3" w:rsidR="006A5985" w:rsidRDefault="006A5985">
          <w:pPr>
            <w:pStyle w:val="TOC2"/>
            <w:tabs>
              <w:tab w:val="right" w:leader="dot" w:pos="9016"/>
            </w:tabs>
            <w:rPr>
              <w:rFonts w:asciiTheme="minorHAnsi" w:hAnsiTheme="minorHAnsi" w:cstheme="minorBidi"/>
              <w:noProof/>
              <w:kern w:val="2"/>
              <w:szCs w:val="24"/>
              <w:lang w:val="en-GB" w:eastAsia="en-GB"/>
              <w14:ligatures w14:val="standardContextual"/>
            </w:rPr>
          </w:pPr>
          <w:hyperlink w:anchor="_Toc233030651" w:history="1">
            <w:r w:rsidRPr="007A4982">
              <w:rPr>
                <w:rStyle w:val="Hyperlink"/>
                <w:noProof/>
              </w:rPr>
              <w:t>2.7 Literature gaps</w:t>
            </w:r>
            <w:r>
              <w:rPr>
                <w:noProof/>
                <w:webHidden/>
              </w:rPr>
              <w:tab/>
            </w:r>
            <w:r>
              <w:rPr>
                <w:noProof/>
                <w:webHidden/>
              </w:rPr>
              <w:fldChar w:fldCharType="begin"/>
            </w:r>
            <w:r>
              <w:rPr>
                <w:noProof/>
                <w:webHidden/>
              </w:rPr>
              <w:instrText xml:space="preserve"> PAGEREF _Toc233030651 \h </w:instrText>
            </w:r>
            <w:r>
              <w:rPr>
                <w:noProof/>
                <w:webHidden/>
              </w:rPr>
            </w:r>
            <w:r>
              <w:rPr>
                <w:noProof/>
                <w:webHidden/>
              </w:rPr>
              <w:fldChar w:fldCharType="separate"/>
            </w:r>
            <w:r>
              <w:rPr>
                <w:noProof/>
                <w:webHidden/>
              </w:rPr>
              <w:t>28</w:t>
            </w:r>
            <w:r>
              <w:rPr>
                <w:noProof/>
                <w:webHidden/>
              </w:rPr>
              <w:fldChar w:fldCharType="end"/>
            </w:r>
          </w:hyperlink>
        </w:p>
        <w:p w14:paraId="36CE746D" w14:textId="32BEE945" w:rsidR="006A5985" w:rsidRDefault="006A5985">
          <w:pPr>
            <w:pStyle w:val="TOC2"/>
            <w:tabs>
              <w:tab w:val="right" w:leader="dot" w:pos="9016"/>
            </w:tabs>
            <w:rPr>
              <w:rFonts w:asciiTheme="minorHAnsi" w:hAnsiTheme="minorHAnsi" w:cstheme="minorBidi"/>
              <w:noProof/>
              <w:kern w:val="2"/>
              <w:szCs w:val="24"/>
              <w:lang w:val="en-GB" w:eastAsia="en-GB"/>
              <w14:ligatures w14:val="standardContextual"/>
            </w:rPr>
          </w:pPr>
          <w:hyperlink w:anchor="_Toc233030652" w:history="1">
            <w:r w:rsidRPr="007A4982">
              <w:rPr>
                <w:rStyle w:val="Hyperlink"/>
                <w:noProof/>
              </w:rPr>
              <w:t>2.8 Chapter Summary</w:t>
            </w:r>
            <w:r>
              <w:rPr>
                <w:noProof/>
                <w:webHidden/>
              </w:rPr>
              <w:tab/>
            </w:r>
            <w:r>
              <w:rPr>
                <w:noProof/>
                <w:webHidden/>
              </w:rPr>
              <w:fldChar w:fldCharType="begin"/>
            </w:r>
            <w:r>
              <w:rPr>
                <w:noProof/>
                <w:webHidden/>
              </w:rPr>
              <w:instrText xml:space="preserve"> PAGEREF _Toc233030652 \h </w:instrText>
            </w:r>
            <w:r>
              <w:rPr>
                <w:noProof/>
                <w:webHidden/>
              </w:rPr>
            </w:r>
            <w:r>
              <w:rPr>
                <w:noProof/>
                <w:webHidden/>
              </w:rPr>
              <w:fldChar w:fldCharType="separate"/>
            </w:r>
            <w:r>
              <w:rPr>
                <w:noProof/>
                <w:webHidden/>
              </w:rPr>
              <w:t>29</w:t>
            </w:r>
            <w:r>
              <w:rPr>
                <w:noProof/>
                <w:webHidden/>
              </w:rPr>
              <w:fldChar w:fldCharType="end"/>
            </w:r>
          </w:hyperlink>
        </w:p>
        <w:p w14:paraId="29554ECB" w14:textId="05D3C961" w:rsidR="006A5985" w:rsidRDefault="006A5985">
          <w:pPr>
            <w:pStyle w:val="TOC2"/>
            <w:tabs>
              <w:tab w:val="right" w:leader="dot" w:pos="9016"/>
            </w:tabs>
            <w:rPr>
              <w:rFonts w:asciiTheme="minorHAnsi" w:hAnsiTheme="minorHAnsi" w:cstheme="minorBidi"/>
              <w:noProof/>
              <w:kern w:val="2"/>
              <w:szCs w:val="24"/>
              <w:lang w:val="en-GB" w:eastAsia="en-GB"/>
              <w14:ligatures w14:val="standardContextual"/>
            </w:rPr>
          </w:pPr>
          <w:hyperlink w:anchor="_Toc233030653" w:history="1">
            <w:r w:rsidRPr="007A4982">
              <w:rPr>
                <w:rStyle w:val="Hyperlink"/>
                <w:noProof/>
              </w:rPr>
              <w:t>CHAPTER 3</w:t>
            </w:r>
            <w:r>
              <w:rPr>
                <w:noProof/>
                <w:webHidden/>
              </w:rPr>
              <w:tab/>
            </w:r>
            <w:r>
              <w:rPr>
                <w:noProof/>
                <w:webHidden/>
              </w:rPr>
              <w:fldChar w:fldCharType="begin"/>
            </w:r>
            <w:r>
              <w:rPr>
                <w:noProof/>
                <w:webHidden/>
              </w:rPr>
              <w:instrText xml:space="preserve"> PAGEREF _Toc233030653 \h </w:instrText>
            </w:r>
            <w:r>
              <w:rPr>
                <w:noProof/>
                <w:webHidden/>
              </w:rPr>
            </w:r>
            <w:r>
              <w:rPr>
                <w:noProof/>
                <w:webHidden/>
              </w:rPr>
              <w:fldChar w:fldCharType="separate"/>
            </w:r>
            <w:r>
              <w:rPr>
                <w:noProof/>
                <w:webHidden/>
              </w:rPr>
              <w:t>29</w:t>
            </w:r>
            <w:r>
              <w:rPr>
                <w:noProof/>
                <w:webHidden/>
              </w:rPr>
              <w:fldChar w:fldCharType="end"/>
            </w:r>
          </w:hyperlink>
        </w:p>
        <w:p w14:paraId="48BC8961" w14:textId="62F68E6C" w:rsidR="006A5985" w:rsidRDefault="006A5985">
          <w:pPr>
            <w:pStyle w:val="TOC1"/>
            <w:rPr>
              <w:rFonts w:asciiTheme="minorHAnsi" w:hAnsiTheme="minorHAnsi" w:cstheme="minorBidi"/>
              <w:noProof/>
              <w:kern w:val="2"/>
              <w:szCs w:val="24"/>
              <w:lang w:val="en-GB" w:eastAsia="en-GB"/>
              <w14:ligatures w14:val="standardContextual"/>
            </w:rPr>
          </w:pPr>
          <w:hyperlink w:anchor="_Toc233030654" w:history="1">
            <w:r w:rsidRPr="007A4982">
              <w:rPr>
                <w:rStyle w:val="Hyperlink"/>
                <w:noProof/>
              </w:rPr>
              <w:t>RESEARCH METHODOLOGY</w:t>
            </w:r>
            <w:r>
              <w:rPr>
                <w:noProof/>
                <w:webHidden/>
              </w:rPr>
              <w:tab/>
            </w:r>
            <w:r>
              <w:rPr>
                <w:noProof/>
                <w:webHidden/>
              </w:rPr>
              <w:fldChar w:fldCharType="begin"/>
            </w:r>
            <w:r>
              <w:rPr>
                <w:noProof/>
                <w:webHidden/>
              </w:rPr>
              <w:instrText xml:space="preserve"> PAGEREF _Toc233030654 \h </w:instrText>
            </w:r>
            <w:r>
              <w:rPr>
                <w:noProof/>
                <w:webHidden/>
              </w:rPr>
            </w:r>
            <w:r>
              <w:rPr>
                <w:noProof/>
                <w:webHidden/>
              </w:rPr>
              <w:fldChar w:fldCharType="separate"/>
            </w:r>
            <w:r>
              <w:rPr>
                <w:noProof/>
                <w:webHidden/>
              </w:rPr>
              <w:t>29</w:t>
            </w:r>
            <w:r>
              <w:rPr>
                <w:noProof/>
                <w:webHidden/>
              </w:rPr>
              <w:fldChar w:fldCharType="end"/>
            </w:r>
          </w:hyperlink>
        </w:p>
        <w:p w14:paraId="03EF1A98" w14:textId="7054CDF6" w:rsidR="006A5985" w:rsidRDefault="006A5985">
          <w:pPr>
            <w:pStyle w:val="TOC2"/>
            <w:tabs>
              <w:tab w:val="right" w:leader="dot" w:pos="9016"/>
            </w:tabs>
            <w:rPr>
              <w:rFonts w:asciiTheme="minorHAnsi" w:hAnsiTheme="minorHAnsi" w:cstheme="minorBidi"/>
              <w:noProof/>
              <w:kern w:val="2"/>
              <w:szCs w:val="24"/>
              <w:lang w:val="en-GB" w:eastAsia="en-GB"/>
              <w14:ligatures w14:val="standardContextual"/>
            </w:rPr>
          </w:pPr>
          <w:hyperlink w:anchor="_Toc233030655" w:history="1">
            <w:r w:rsidRPr="007A4982">
              <w:rPr>
                <w:rStyle w:val="Hyperlink"/>
                <w:noProof/>
              </w:rPr>
              <w:t>3.1 Chapter Introduction</w:t>
            </w:r>
            <w:r>
              <w:rPr>
                <w:noProof/>
                <w:webHidden/>
              </w:rPr>
              <w:tab/>
            </w:r>
            <w:r>
              <w:rPr>
                <w:noProof/>
                <w:webHidden/>
              </w:rPr>
              <w:fldChar w:fldCharType="begin"/>
            </w:r>
            <w:r>
              <w:rPr>
                <w:noProof/>
                <w:webHidden/>
              </w:rPr>
              <w:instrText xml:space="preserve"> PAGEREF _Toc233030655 \h </w:instrText>
            </w:r>
            <w:r>
              <w:rPr>
                <w:noProof/>
                <w:webHidden/>
              </w:rPr>
            </w:r>
            <w:r>
              <w:rPr>
                <w:noProof/>
                <w:webHidden/>
              </w:rPr>
              <w:fldChar w:fldCharType="separate"/>
            </w:r>
            <w:r>
              <w:rPr>
                <w:noProof/>
                <w:webHidden/>
              </w:rPr>
              <w:t>29</w:t>
            </w:r>
            <w:r>
              <w:rPr>
                <w:noProof/>
                <w:webHidden/>
              </w:rPr>
              <w:fldChar w:fldCharType="end"/>
            </w:r>
          </w:hyperlink>
        </w:p>
        <w:p w14:paraId="06DBF038" w14:textId="20053E84" w:rsidR="006A5985" w:rsidRDefault="006A5985">
          <w:pPr>
            <w:pStyle w:val="TOC2"/>
            <w:tabs>
              <w:tab w:val="right" w:leader="dot" w:pos="9016"/>
            </w:tabs>
            <w:rPr>
              <w:rFonts w:asciiTheme="minorHAnsi" w:hAnsiTheme="minorHAnsi" w:cstheme="minorBidi"/>
              <w:noProof/>
              <w:kern w:val="2"/>
              <w:szCs w:val="24"/>
              <w:lang w:val="en-GB" w:eastAsia="en-GB"/>
              <w14:ligatures w14:val="standardContextual"/>
            </w:rPr>
          </w:pPr>
          <w:hyperlink w:anchor="_Toc233030656" w:history="1">
            <w:r w:rsidRPr="007A4982">
              <w:rPr>
                <w:rStyle w:val="Hyperlink"/>
                <w:noProof/>
              </w:rPr>
              <w:t>3.2 Research Philosophy</w:t>
            </w:r>
            <w:r>
              <w:rPr>
                <w:noProof/>
                <w:webHidden/>
              </w:rPr>
              <w:tab/>
            </w:r>
            <w:r>
              <w:rPr>
                <w:noProof/>
                <w:webHidden/>
              </w:rPr>
              <w:fldChar w:fldCharType="begin"/>
            </w:r>
            <w:r>
              <w:rPr>
                <w:noProof/>
                <w:webHidden/>
              </w:rPr>
              <w:instrText xml:space="preserve"> PAGEREF _Toc233030656 \h </w:instrText>
            </w:r>
            <w:r>
              <w:rPr>
                <w:noProof/>
                <w:webHidden/>
              </w:rPr>
            </w:r>
            <w:r>
              <w:rPr>
                <w:noProof/>
                <w:webHidden/>
              </w:rPr>
              <w:fldChar w:fldCharType="separate"/>
            </w:r>
            <w:r>
              <w:rPr>
                <w:noProof/>
                <w:webHidden/>
              </w:rPr>
              <w:t>29</w:t>
            </w:r>
            <w:r>
              <w:rPr>
                <w:noProof/>
                <w:webHidden/>
              </w:rPr>
              <w:fldChar w:fldCharType="end"/>
            </w:r>
          </w:hyperlink>
        </w:p>
        <w:p w14:paraId="3E9B5442" w14:textId="0E9F4429" w:rsidR="006A5985" w:rsidRDefault="006A5985">
          <w:pPr>
            <w:pStyle w:val="TOC2"/>
            <w:tabs>
              <w:tab w:val="right" w:leader="dot" w:pos="9016"/>
            </w:tabs>
            <w:rPr>
              <w:rFonts w:asciiTheme="minorHAnsi" w:hAnsiTheme="minorHAnsi" w:cstheme="minorBidi"/>
              <w:noProof/>
              <w:kern w:val="2"/>
              <w:szCs w:val="24"/>
              <w:lang w:val="en-GB" w:eastAsia="en-GB"/>
              <w14:ligatures w14:val="standardContextual"/>
            </w:rPr>
          </w:pPr>
          <w:hyperlink w:anchor="_Toc233030657" w:history="1">
            <w:r w:rsidRPr="007A4982">
              <w:rPr>
                <w:rStyle w:val="Hyperlink"/>
                <w:noProof/>
              </w:rPr>
              <w:t>3.3 Research approach</w:t>
            </w:r>
            <w:r>
              <w:rPr>
                <w:noProof/>
                <w:webHidden/>
              </w:rPr>
              <w:tab/>
            </w:r>
            <w:r>
              <w:rPr>
                <w:noProof/>
                <w:webHidden/>
              </w:rPr>
              <w:fldChar w:fldCharType="begin"/>
            </w:r>
            <w:r>
              <w:rPr>
                <w:noProof/>
                <w:webHidden/>
              </w:rPr>
              <w:instrText xml:space="preserve"> PAGEREF _Toc233030657 \h </w:instrText>
            </w:r>
            <w:r>
              <w:rPr>
                <w:noProof/>
                <w:webHidden/>
              </w:rPr>
            </w:r>
            <w:r>
              <w:rPr>
                <w:noProof/>
                <w:webHidden/>
              </w:rPr>
              <w:fldChar w:fldCharType="separate"/>
            </w:r>
            <w:r>
              <w:rPr>
                <w:noProof/>
                <w:webHidden/>
              </w:rPr>
              <w:t>30</w:t>
            </w:r>
            <w:r>
              <w:rPr>
                <w:noProof/>
                <w:webHidden/>
              </w:rPr>
              <w:fldChar w:fldCharType="end"/>
            </w:r>
          </w:hyperlink>
        </w:p>
        <w:p w14:paraId="67FC3F7E" w14:textId="0BC93D27" w:rsidR="006A5985" w:rsidRDefault="006A5985">
          <w:pPr>
            <w:pStyle w:val="TOC2"/>
            <w:tabs>
              <w:tab w:val="right" w:leader="dot" w:pos="9016"/>
            </w:tabs>
            <w:rPr>
              <w:rFonts w:asciiTheme="minorHAnsi" w:hAnsiTheme="minorHAnsi" w:cstheme="minorBidi"/>
              <w:noProof/>
              <w:kern w:val="2"/>
              <w:szCs w:val="24"/>
              <w:lang w:val="en-GB" w:eastAsia="en-GB"/>
              <w14:ligatures w14:val="standardContextual"/>
            </w:rPr>
          </w:pPr>
          <w:hyperlink w:anchor="_Toc233030658" w:history="1">
            <w:r w:rsidRPr="007A4982">
              <w:rPr>
                <w:rStyle w:val="Hyperlink"/>
                <w:noProof/>
              </w:rPr>
              <w:t>3.4 Methodological choice</w:t>
            </w:r>
            <w:r>
              <w:rPr>
                <w:noProof/>
                <w:webHidden/>
              </w:rPr>
              <w:tab/>
            </w:r>
            <w:r>
              <w:rPr>
                <w:noProof/>
                <w:webHidden/>
              </w:rPr>
              <w:fldChar w:fldCharType="begin"/>
            </w:r>
            <w:r>
              <w:rPr>
                <w:noProof/>
                <w:webHidden/>
              </w:rPr>
              <w:instrText xml:space="preserve"> PAGEREF _Toc233030658 \h </w:instrText>
            </w:r>
            <w:r>
              <w:rPr>
                <w:noProof/>
                <w:webHidden/>
              </w:rPr>
            </w:r>
            <w:r>
              <w:rPr>
                <w:noProof/>
                <w:webHidden/>
              </w:rPr>
              <w:fldChar w:fldCharType="separate"/>
            </w:r>
            <w:r>
              <w:rPr>
                <w:noProof/>
                <w:webHidden/>
              </w:rPr>
              <w:t>31</w:t>
            </w:r>
            <w:r>
              <w:rPr>
                <w:noProof/>
                <w:webHidden/>
              </w:rPr>
              <w:fldChar w:fldCharType="end"/>
            </w:r>
          </w:hyperlink>
        </w:p>
        <w:p w14:paraId="531CA49B" w14:textId="09B186FB" w:rsidR="006A5985" w:rsidRDefault="006A5985">
          <w:pPr>
            <w:pStyle w:val="TOC2"/>
            <w:tabs>
              <w:tab w:val="right" w:leader="dot" w:pos="9016"/>
            </w:tabs>
            <w:rPr>
              <w:rFonts w:asciiTheme="minorHAnsi" w:hAnsiTheme="minorHAnsi" w:cstheme="minorBidi"/>
              <w:noProof/>
              <w:kern w:val="2"/>
              <w:szCs w:val="24"/>
              <w:lang w:val="en-GB" w:eastAsia="en-GB"/>
              <w14:ligatures w14:val="standardContextual"/>
            </w:rPr>
          </w:pPr>
          <w:hyperlink w:anchor="_Toc233030659" w:history="1">
            <w:r w:rsidRPr="007A4982">
              <w:rPr>
                <w:rStyle w:val="Hyperlink"/>
                <w:noProof/>
              </w:rPr>
              <w:t>3.5 Research Strategy</w:t>
            </w:r>
            <w:r>
              <w:rPr>
                <w:noProof/>
                <w:webHidden/>
              </w:rPr>
              <w:tab/>
            </w:r>
            <w:r>
              <w:rPr>
                <w:noProof/>
                <w:webHidden/>
              </w:rPr>
              <w:fldChar w:fldCharType="begin"/>
            </w:r>
            <w:r>
              <w:rPr>
                <w:noProof/>
                <w:webHidden/>
              </w:rPr>
              <w:instrText xml:space="preserve"> PAGEREF _Toc233030659 \h </w:instrText>
            </w:r>
            <w:r>
              <w:rPr>
                <w:noProof/>
                <w:webHidden/>
              </w:rPr>
            </w:r>
            <w:r>
              <w:rPr>
                <w:noProof/>
                <w:webHidden/>
              </w:rPr>
              <w:fldChar w:fldCharType="separate"/>
            </w:r>
            <w:r>
              <w:rPr>
                <w:noProof/>
                <w:webHidden/>
              </w:rPr>
              <w:t>32</w:t>
            </w:r>
            <w:r>
              <w:rPr>
                <w:noProof/>
                <w:webHidden/>
              </w:rPr>
              <w:fldChar w:fldCharType="end"/>
            </w:r>
          </w:hyperlink>
        </w:p>
        <w:p w14:paraId="0CE3B45D" w14:textId="1AC2C963" w:rsidR="006A5985" w:rsidRDefault="006A5985">
          <w:pPr>
            <w:pStyle w:val="TOC2"/>
            <w:tabs>
              <w:tab w:val="right" w:leader="dot" w:pos="9016"/>
            </w:tabs>
            <w:rPr>
              <w:rFonts w:asciiTheme="minorHAnsi" w:hAnsiTheme="minorHAnsi" w:cstheme="minorBidi"/>
              <w:noProof/>
              <w:kern w:val="2"/>
              <w:szCs w:val="24"/>
              <w:lang w:val="en-GB" w:eastAsia="en-GB"/>
              <w14:ligatures w14:val="standardContextual"/>
            </w:rPr>
          </w:pPr>
          <w:hyperlink w:anchor="_Toc233030660" w:history="1">
            <w:r w:rsidRPr="007A4982">
              <w:rPr>
                <w:rStyle w:val="Hyperlink"/>
                <w:noProof/>
              </w:rPr>
              <w:t>3.6 Population, Sampling and Sample Size</w:t>
            </w:r>
            <w:r>
              <w:rPr>
                <w:noProof/>
                <w:webHidden/>
              </w:rPr>
              <w:tab/>
            </w:r>
            <w:r>
              <w:rPr>
                <w:noProof/>
                <w:webHidden/>
              </w:rPr>
              <w:fldChar w:fldCharType="begin"/>
            </w:r>
            <w:r>
              <w:rPr>
                <w:noProof/>
                <w:webHidden/>
              </w:rPr>
              <w:instrText xml:space="preserve"> PAGEREF _Toc233030660 \h </w:instrText>
            </w:r>
            <w:r>
              <w:rPr>
                <w:noProof/>
                <w:webHidden/>
              </w:rPr>
            </w:r>
            <w:r>
              <w:rPr>
                <w:noProof/>
                <w:webHidden/>
              </w:rPr>
              <w:fldChar w:fldCharType="separate"/>
            </w:r>
            <w:r>
              <w:rPr>
                <w:noProof/>
                <w:webHidden/>
              </w:rPr>
              <w:t>33</w:t>
            </w:r>
            <w:r>
              <w:rPr>
                <w:noProof/>
                <w:webHidden/>
              </w:rPr>
              <w:fldChar w:fldCharType="end"/>
            </w:r>
          </w:hyperlink>
        </w:p>
        <w:p w14:paraId="168B1666" w14:textId="56332F68" w:rsidR="006A5985" w:rsidRDefault="006A5985">
          <w:pPr>
            <w:pStyle w:val="TOC2"/>
            <w:tabs>
              <w:tab w:val="right" w:leader="dot" w:pos="9016"/>
            </w:tabs>
            <w:rPr>
              <w:rFonts w:asciiTheme="minorHAnsi" w:hAnsiTheme="minorHAnsi" w:cstheme="minorBidi"/>
              <w:noProof/>
              <w:kern w:val="2"/>
              <w:szCs w:val="24"/>
              <w:lang w:val="en-GB" w:eastAsia="en-GB"/>
              <w14:ligatures w14:val="standardContextual"/>
            </w:rPr>
          </w:pPr>
          <w:hyperlink w:anchor="_Toc233030661" w:history="1">
            <w:r w:rsidRPr="007A4982">
              <w:rPr>
                <w:rStyle w:val="Hyperlink"/>
                <w:noProof/>
              </w:rPr>
              <w:t>3.7 Time Horizons</w:t>
            </w:r>
            <w:r>
              <w:rPr>
                <w:noProof/>
                <w:webHidden/>
              </w:rPr>
              <w:tab/>
            </w:r>
            <w:r>
              <w:rPr>
                <w:noProof/>
                <w:webHidden/>
              </w:rPr>
              <w:fldChar w:fldCharType="begin"/>
            </w:r>
            <w:r>
              <w:rPr>
                <w:noProof/>
                <w:webHidden/>
              </w:rPr>
              <w:instrText xml:space="preserve"> PAGEREF _Toc233030661 \h </w:instrText>
            </w:r>
            <w:r>
              <w:rPr>
                <w:noProof/>
                <w:webHidden/>
              </w:rPr>
            </w:r>
            <w:r>
              <w:rPr>
                <w:noProof/>
                <w:webHidden/>
              </w:rPr>
              <w:fldChar w:fldCharType="separate"/>
            </w:r>
            <w:r>
              <w:rPr>
                <w:noProof/>
                <w:webHidden/>
              </w:rPr>
              <w:t>34</w:t>
            </w:r>
            <w:r>
              <w:rPr>
                <w:noProof/>
                <w:webHidden/>
              </w:rPr>
              <w:fldChar w:fldCharType="end"/>
            </w:r>
          </w:hyperlink>
        </w:p>
        <w:p w14:paraId="70E70CE3" w14:textId="37BE8973" w:rsidR="006A5985" w:rsidRDefault="006A5985">
          <w:pPr>
            <w:pStyle w:val="TOC2"/>
            <w:tabs>
              <w:tab w:val="right" w:leader="dot" w:pos="9016"/>
            </w:tabs>
            <w:rPr>
              <w:rFonts w:asciiTheme="minorHAnsi" w:hAnsiTheme="minorHAnsi" w:cstheme="minorBidi"/>
              <w:noProof/>
              <w:kern w:val="2"/>
              <w:szCs w:val="24"/>
              <w:lang w:val="en-GB" w:eastAsia="en-GB"/>
              <w14:ligatures w14:val="standardContextual"/>
            </w:rPr>
          </w:pPr>
          <w:hyperlink w:anchor="_Toc233030662" w:history="1">
            <w:r w:rsidRPr="007A4982">
              <w:rPr>
                <w:rStyle w:val="Hyperlink"/>
                <w:noProof/>
              </w:rPr>
              <w:t>3.8 Data collection</w:t>
            </w:r>
            <w:r>
              <w:rPr>
                <w:noProof/>
                <w:webHidden/>
              </w:rPr>
              <w:tab/>
            </w:r>
            <w:r>
              <w:rPr>
                <w:noProof/>
                <w:webHidden/>
              </w:rPr>
              <w:fldChar w:fldCharType="begin"/>
            </w:r>
            <w:r>
              <w:rPr>
                <w:noProof/>
                <w:webHidden/>
              </w:rPr>
              <w:instrText xml:space="preserve"> PAGEREF _Toc233030662 \h </w:instrText>
            </w:r>
            <w:r>
              <w:rPr>
                <w:noProof/>
                <w:webHidden/>
              </w:rPr>
            </w:r>
            <w:r>
              <w:rPr>
                <w:noProof/>
                <w:webHidden/>
              </w:rPr>
              <w:fldChar w:fldCharType="separate"/>
            </w:r>
            <w:r>
              <w:rPr>
                <w:noProof/>
                <w:webHidden/>
              </w:rPr>
              <w:t>34</w:t>
            </w:r>
            <w:r>
              <w:rPr>
                <w:noProof/>
                <w:webHidden/>
              </w:rPr>
              <w:fldChar w:fldCharType="end"/>
            </w:r>
          </w:hyperlink>
        </w:p>
        <w:p w14:paraId="6AE64564" w14:textId="115C432E" w:rsidR="006A5985" w:rsidRDefault="006A5985">
          <w:pPr>
            <w:pStyle w:val="TOC2"/>
            <w:tabs>
              <w:tab w:val="right" w:leader="dot" w:pos="9016"/>
            </w:tabs>
            <w:rPr>
              <w:rFonts w:asciiTheme="minorHAnsi" w:hAnsiTheme="minorHAnsi" w:cstheme="minorBidi"/>
              <w:noProof/>
              <w:kern w:val="2"/>
              <w:szCs w:val="24"/>
              <w:lang w:val="en-GB" w:eastAsia="en-GB"/>
              <w14:ligatures w14:val="standardContextual"/>
            </w:rPr>
          </w:pPr>
          <w:hyperlink w:anchor="_Toc233030663" w:history="1">
            <w:r w:rsidRPr="007A4982">
              <w:rPr>
                <w:rStyle w:val="Hyperlink"/>
                <w:noProof/>
              </w:rPr>
              <w:t>3.9 Data Analysis</w:t>
            </w:r>
            <w:r>
              <w:rPr>
                <w:noProof/>
                <w:webHidden/>
              </w:rPr>
              <w:tab/>
            </w:r>
            <w:r>
              <w:rPr>
                <w:noProof/>
                <w:webHidden/>
              </w:rPr>
              <w:fldChar w:fldCharType="begin"/>
            </w:r>
            <w:r>
              <w:rPr>
                <w:noProof/>
                <w:webHidden/>
              </w:rPr>
              <w:instrText xml:space="preserve"> PAGEREF _Toc233030663 \h </w:instrText>
            </w:r>
            <w:r>
              <w:rPr>
                <w:noProof/>
                <w:webHidden/>
              </w:rPr>
            </w:r>
            <w:r>
              <w:rPr>
                <w:noProof/>
                <w:webHidden/>
              </w:rPr>
              <w:fldChar w:fldCharType="separate"/>
            </w:r>
            <w:r>
              <w:rPr>
                <w:noProof/>
                <w:webHidden/>
              </w:rPr>
              <w:t>35</w:t>
            </w:r>
            <w:r>
              <w:rPr>
                <w:noProof/>
                <w:webHidden/>
              </w:rPr>
              <w:fldChar w:fldCharType="end"/>
            </w:r>
          </w:hyperlink>
        </w:p>
        <w:p w14:paraId="1F0100F2" w14:textId="15D2144D" w:rsidR="006A5985" w:rsidRDefault="006A5985">
          <w:pPr>
            <w:pStyle w:val="TOC2"/>
            <w:tabs>
              <w:tab w:val="right" w:leader="dot" w:pos="9016"/>
            </w:tabs>
            <w:rPr>
              <w:rFonts w:asciiTheme="minorHAnsi" w:hAnsiTheme="minorHAnsi" w:cstheme="minorBidi"/>
              <w:noProof/>
              <w:kern w:val="2"/>
              <w:szCs w:val="24"/>
              <w:lang w:val="en-GB" w:eastAsia="en-GB"/>
              <w14:ligatures w14:val="standardContextual"/>
            </w:rPr>
          </w:pPr>
          <w:hyperlink w:anchor="_Toc233030664" w:history="1">
            <w:r w:rsidRPr="007A4982">
              <w:rPr>
                <w:rStyle w:val="Hyperlink"/>
                <w:noProof/>
              </w:rPr>
              <w:t>3.10 Validity and Reliability</w:t>
            </w:r>
            <w:r>
              <w:rPr>
                <w:noProof/>
                <w:webHidden/>
              </w:rPr>
              <w:tab/>
            </w:r>
            <w:r>
              <w:rPr>
                <w:noProof/>
                <w:webHidden/>
              </w:rPr>
              <w:fldChar w:fldCharType="begin"/>
            </w:r>
            <w:r>
              <w:rPr>
                <w:noProof/>
                <w:webHidden/>
              </w:rPr>
              <w:instrText xml:space="preserve"> PAGEREF _Toc233030664 \h </w:instrText>
            </w:r>
            <w:r>
              <w:rPr>
                <w:noProof/>
                <w:webHidden/>
              </w:rPr>
            </w:r>
            <w:r>
              <w:rPr>
                <w:noProof/>
                <w:webHidden/>
              </w:rPr>
              <w:fldChar w:fldCharType="separate"/>
            </w:r>
            <w:r>
              <w:rPr>
                <w:noProof/>
                <w:webHidden/>
              </w:rPr>
              <w:t>36</w:t>
            </w:r>
            <w:r>
              <w:rPr>
                <w:noProof/>
                <w:webHidden/>
              </w:rPr>
              <w:fldChar w:fldCharType="end"/>
            </w:r>
          </w:hyperlink>
        </w:p>
        <w:p w14:paraId="048E01E2" w14:textId="3578CA61" w:rsidR="006A5985" w:rsidRDefault="006A5985">
          <w:pPr>
            <w:pStyle w:val="TOC2"/>
            <w:tabs>
              <w:tab w:val="right" w:leader="dot" w:pos="9016"/>
            </w:tabs>
            <w:rPr>
              <w:rFonts w:asciiTheme="minorHAnsi" w:hAnsiTheme="minorHAnsi" w:cstheme="minorBidi"/>
              <w:noProof/>
              <w:kern w:val="2"/>
              <w:szCs w:val="24"/>
              <w:lang w:val="en-GB" w:eastAsia="en-GB"/>
              <w14:ligatures w14:val="standardContextual"/>
            </w:rPr>
          </w:pPr>
          <w:hyperlink w:anchor="_Toc233030665" w:history="1">
            <w:r w:rsidRPr="007A4982">
              <w:rPr>
                <w:rStyle w:val="Hyperlink"/>
                <w:noProof/>
              </w:rPr>
              <w:t>3.11 Ethical Considerations</w:t>
            </w:r>
            <w:r>
              <w:rPr>
                <w:noProof/>
                <w:webHidden/>
              </w:rPr>
              <w:tab/>
            </w:r>
            <w:r>
              <w:rPr>
                <w:noProof/>
                <w:webHidden/>
              </w:rPr>
              <w:fldChar w:fldCharType="begin"/>
            </w:r>
            <w:r>
              <w:rPr>
                <w:noProof/>
                <w:webHidden/>
              </w:rPr>
              <w:instrText xml:space="preserve"> PAGEREF _Toc233030665 \h </w:instrText>
            </w:r>
            <w:r>
              <w:rPr>
                <w:noProof/>
                <w:webHidden/>
              </w:rPr>
            </w:r>
            <w:r>
              <w:rPr>
                <w:noProof/>
                <w:webHidden/>
              </w:rPr>
              <w:fldChar w:fldCharType="separate"/>
            </w:r>
            <w:r>
              <w:rPr>
                <w:noProof/>
                <w:webHidden/>
              </w:rPr>
              <w:t>37</w:t>
            </w:r>
            <w:r>
              <w:rPr>
                <w:noProof/>
                <w:webHidden/>
              </w:rPr>
              <w:fldChar w:fldCharType="end"/>
            </w:r>
          </w:hyperlink>
        </w:p>
        <w:p w14:paraId="56EAF6E5" w14:textId="5FED4D21" w:rsidR="006A5985" w:rsidRDefault="006A5985">
          <w:pPr>
            <w:pStyle w:val="TOC2"/>
            <w:tabs>
              <w:tab w:val="right" w:leader="dot" w:pos="9016"/>
            </w:tabs>
            <w:rPr>
              <w:rFonts w:asciiTheme="minorHAnsi" w:hAnsiTheme="minorHAnsi" w:cstheme="minorBidi"/>
              <w:noProof/>
              <w:kern w:val="2"/>
              <w:szCs w:val="24"/>
              <w:lang w:val="en-GB" w:eastAsia="en-GB"/>
              <w14:ligatures w14:val="standardContextual"/>
            </w:rPr>
          </w:pPr>
          <w:hyperlink w:anchor="_Toc233030666" w:history="1">
            <w:r w:rsidRPr="007A4982">
              <w:rPr>
                <w:rStyle w:val="Hyperlink"/>
                <w:noProof/>
              </w:rPr>
              <w:t>3.12 Research Limitations</w:t>
            </w:r>
            <w:r>
              <w:rPr>
                <w:noProof/>
                <w:webHidden/>
              </w:rPr>
              <w:tab/>
            </w:r>
            <w:r>
              <w:rPr>
                <w:noProof/>
                <w:webHidden/>
              </w:rPr>
              <w:fldChar w:fldCharType="begin"/>
            </w:r>
            <w:r>
              <w:rPr>
                <w:noProof/>
                <w:webHidden/>
              </w:rPr>
              <w:instrText xml:space="preserve"> PAGEREF _Toc233030666 \h </w:instrText>
            </w:r>
            <w:r>
              <w:rPr>
                <w:noProof/>
                <w:webHidden/>
              </w:rPr>
            </w:r>
            <w:r>
              <w:rPr>
                <w:noProof/>
                <w:webHidden/>
              </w:rPr>
              <w:fldChar w:fldCharType="separate"/>
            </w:r>
            <w:r>
              <w:rPr>
                <w:noProof/>
                <w:webHidden/>
              </w:rPr>
              <w:t>38</w:t>
            </w:r>
            <w:r>
              <w:rPr>
                <w:noProof/>
                <w:webHidden/>
              </w:rPr>
              <w:fldChar w:fldCharType="end"/>
            </w:r>
          </w:hyperlink>
        </w:p>
        <w:p w14:paraId="0F0E8716" w14:textId="0FEC1145" w:rsidR="006A5985" w:rsidRDefault="006A5985">
          <w:pPr>
            <w:pStyle w:val="TOC2"/>
            <w:tabs>
              <w:tab w:val="right" w:leader="dot" w:pos="9016"/>
            </w:tabs>
            <w:rPr>
              <w:rFonts w:asciiTheme="minorHAnsi" w:hAnsiTheme="minorHAnsi" w:cstheme="minorBidi"/>
              <w:noProof/>
              <w:kern w:val="2"/>
              <w:szCs w:val="24"/>
              <w:lang w:val="en-GB" w:eastAsia="en-GB"/>
              <w14:ligatures w14:val="standardContextual"/>
            </w:rPr>
          </w:pPr>
          <w:hyperlink w:anchor="_Toc233030667" w:history="1">
            <w:r w:rsidRPr="007A4982">
              <w:rPr>
                <w:rStyle w:val="Hyperlink"/>
                <w:noProof/>
              </w:rPr>
              <w:t>3.13 Chapter Summary</w:t>
            </w:r>
            <w:r>
              <w:rPr>
                <w:noProof/>
                <w:webHidden/>
              </w:rPr>
              <w:tab/>
            </w:r>
            <w:r>
              <w:rPr>
                <w:noProof/>
                <w:webHidden/>
              </w:rPr>
              <w:fldChar w:fldCharType="begin"/>
            </w:r>
            <w:r>
              <w:rPr>
                <w:noProof/>
                <w:webHidden/>
              </w:rPr>
              <w:instrText xml:space="preserve"> PAGEREF _Toc233030667 \h </w:instrText>
            </w:r>
            <w:r>
              <w:rPr>
                <w:noProof/>
                <w:webHidden/>
              </w:rPr>
            </w:r>
            <w:r>
              <w:rPr>
                <w:noProof/>
                <w:webHidden/>
              </w:rPr>
              <w:fldChar w:fldCharType="separate"/>
            </w:r>
            <w:r>
              <w:rPr>
                <w:noProof/>
                <w:webHidden/>
              </w:rPr>
              <w:t>39</w:t>
            </w:r>
            <w:r>
              <w:rPr>
                <w:noProof/>
                <w:webHidden/>
              </w:rPr>
              <w:fldChar w:fldCharType="end"/>
            </w:r>
          </w:hyperlink>
        </w:p>
        <w:p w14:paraId="3B610CF1" w14:textId="5791CDC5" w:rsidR="006A5985" w:rsidRDefault="006A5985">
          <w:pPr>
            <w:pStyle w:val="TOC1"/>
            <w:rPr>
              <w:rFonts w:asciiTheme="minorHAnsi" w:hAnsiTheme="minorHAnsi" w:cstheme="minorBidi"/>
              <w:noProof/>
              <w:kern w:val="2"/>
              <w:szCs w:val="24"/>
              <w:lang w:val="en-GB" w:eastAsia="en-GB"/>
              <w14:ligatures w14:val="standardContextual"/>
            </w:rPr>
          </w:pPr>
          <w:hyperlink w:anchor="_Toc233030668" w:history="1">
            <w:r w:rsidRPr="007A4982">
              <w:rPr>
                <w:rStyle w:val="Hyperlink"/>
                <w:noProof/>
              </w:rPr>
              <w:t>CHAPTER 5</w:t>
            </w:r>
            <w:r>
              <w:rPr>
                <w:noProof/>
                <w:webHidden/>
              </w:rPr>
              <w:tab/>
            </w:r>
            <w:r>
              <w:rPr>
                <w:noProof/>
                <w:webHidden/>
              </w:rPr>
              <w:fldChar w:fldCharType="begin"/>
            </w:r>
            <w:r>
              <w:rPr>
                <w:noProof/>
                <w:webHidden/>
              </w:rPr>
              <w:instrText xml:space="preserve"> PAGEREF _Toc233030668 \h </w:instrText>
            </w:r>
            <w:r>
              <w:rPr>
                <w:noProof/>
                <w:webHidden/>
              </w:rPr>
            </w:r>
            <w:r>
              <w:rPr>
                <w:noProof/>
                <w:webHidden/>
              </w:rPr>
              <w:fldChar w:fldCharType="separate"/>
            </w:r>
            <w:r>
              <w:rPr>
                <w:noProof/>
                <w:webHidden/>
              </w:rPr>
              <w:t>50</w:t>
            </w:r>
            <w:r>
              <w:rPr>
                <w:noProof/>
                <w:webHidden/>
              </w:rPr>
              <w:fldChar w:fldCharType="end"/>
            </w:r>
          </w:hyperlink>
        </w:p>
        <w:p w14:paraId="153A4B00" w14:textId="1BB5E7BC" w:rsidR="006A5985" w:rsidRDefault="006A5985">
          <w:pPr>
            <w:pStyle w:val="TOC1"/>
            <w:rPr>
              <w:rFonts w:asciiTheme="minorHAnsi" w:hAnsiTheme="minorHAnsi" w:cstheme="minorBidi"/>
              <w:noProof/>
              <w:kern w:val="2"/>
              <w:szCs w:val="24"/>
              <w:lang w:val="en-GB" w:eastAsia="en-GB"/>
              <w14:ligatures w14:val="standardContextual"/>
            </w:rPr>
          </w:pPr>
          <w:hyperlink w:anchor="_Toc233030669" w:history="1">
            <w:r w:rsidRPr="007A4982">
              <w:rPr>
                <w:rStyle w:val="Hyperlink"/>
                <w:noProof/>
              </w:rPr>
              <w:t>CONCLUSIONS AND RECOMMENDATIONS</w:t>
            </w:r>
            <w:r>
              <w:rPr>
                <w:noProof/>
                <w:webHidden/>
              </w:rPr>
              <w:tab/>
            </w:r>
            <w:r>
              <w:rPr>
                <w:noProof/>
                <w:webHidden/>
              </w:rPr>
              <w:fldChar w:fldCharType="begin"/>
            </w:r>
            <w:r>
              <w:rPr>
                <w:noProof/>
                <w:webHidden/>
              </w:rPr>
              <w:instrText xml:space="preserve"> PAGEREF _Toc233030669 \h </w:instrText>
            </w:r>
            <w:r>
              <w:rPr>
                <w:noProof/>
                <w:webHidden/>
              </w:rPr>
            </w:r>
            <w:r>
              <w:rPr>
                <w:noProof/>
                <w:webHidden/>
              </w:rPr>
              <w:fldChar w:fldCharType="separate"/>
            </w:r>
            <w:r>
              <w:rPr>
                <w:noProof/>
                <w:webHidden/>
              </w:rPr>
              <w:t>50</w:t>
            </w:r>
            <w:r>
              <w:rPr>
                <w:noProof/>
                <w:webHidden/>
              </w:rPr>
              <w:fldChar w:fldCharType="end"/>
            </w:r>
          </w:hyperlink>
        </w:p>
        <w:p w14:paraId="785C037B" w14:textId="6FB1A8A7" w:rsidR="006A5985" w:rsidRDefault="006A5985">
          <w:pPr>
            <w:pStyle w:val="TOC2"/>
            <w:tabs>
              <w:tab w:val="right" w:leader="dot" w:pos="9016"/>
            </w:tabs>
            <w:rPr>
              <w:rFonts w:asciiTheme="minorHAnsi" w:hAnsiTheme="minorHAnsi" w:cstheme="minorBidi"/>
              <w:noProof/>
              <w:kern w:val="2"/>
              <w:szCs w:val="24"/>
              <w:lang w:val="en-GB" w:eastAsia="en-GB"/>
              <w14:ligatures w14:val="standardContextual"/>
            </w:rPr>
          </w:pPr>
          <w:hyperlink w:anchor="_Toc233030670" w:history="1">
            <w:r w:rsidRPr="007A4982">
              <w:rPr>
                <w:rStyle w:val="Hyperlink"/>
                <w:noProof/>
              </w:rPr>
              <w:t>5.1 Chapter Introduction</w:t>
            </w:r>
            <w:r>
              <w:rPr>
                <w:noProof/>
                <w:webHidden/>
              </w:rPr>
              <w:tab/>
            </w:r>
            <w:r>
              <w:rPr>
                <w:noProof/>
                <w:webHidden/>
              </w:rPr>
              <w:fldChar w:fldCharType="begin"/>
            </w:r>
            <w:r>
              <w:rPr>
                <w:noProof/>
                <w:webHidden/>
              </w:rPr>
              <w:instrText xml:space="preserve"> PAGEREF _Toc233030670 \h </w:instrText>
            </w:r>
            <w:r>
              <w:rPr>
                <w:noProof/>
                <w:webHidden/>
              </w:rPr>
            </w:r>
            <w:r>
              <w:rPr>
                <w:noProof/>
                <w:webHidden/>
              </w:rPr>
              <w:fldChar w:fldCharType="separate"/>
            </w:r>
            <w:r>
              <w:rPr>
                <w:noProof/>
                <w:webHidden/>
              </w:rPr>
              <w:t>50</w:t>
            </w:r>
            <w:r>
              <w:rPr>
                <w:noProof/>
                <w:webHidden/>
              </w:rPr>
              <w:fldChar w:fldCharType="end"/>
            </w:r>
          </w:hyperlink>
        </w:p>
        <w:p w14:paraId="7CFE86A2" w14:textId="4D92F359" w:rsidR="006A5985" w:rsidRDefault="006A5985">
          <w:pPr>
            <w:pStyle w:val="TOC2"/>
            <w:tabs>
              <w:tab w:val="right" w:leader="dot" w:pos="9016"/>
            </w:tabs>
            <w:rPr>
              <w:rFonts w:asciiTheme="minorHAnsi" w:hAnsiTheme="minorHAnsi" w:cstheme="minorBidi"/>
              <w:noProof/>
              <w:kern w:val="2"/>
              <w:szCs w:val="24"/>
              <w:lang w:val="en-GB" w:eastAsia="en-GB"/>
              <w14:ligatures w14:val="standardContextual"/>
            </w:rPr>
          </w:pPr>
          <w:hyperlink w:anchor="_Toc233030671" w:history="1">
            <w:r w:rsidRPr="007A4982">
              <w:rPr>
                <w:rStyle w:val="Hyperlink"/>
                <w:noProof/>
              </w:rPr>
              <w:t>5.2 Conclusions</w:t>
            </w:r>
            <w:r>
              <w:rPr>
                <w:noProof/>
                <w:webHidden/>
              </w:rPr>
              <w:tab/>
            </w:r>
            <w:r>
              <w:rPr>
                <w:noProof/>
                <w:webHidden/>
              </w:rPr>
              <w:fldChar w:fldCharType="begin"/>
            </w:r>
            <w:r>
              <w:rPr>
                <w:noProof/>
                <w:webHidden/>
              </w:rPr>
              <w:instrText xml:space="preserve"> PAGEREF _Toc233030671 \h </w:instrText>
            </w:r>
            <w:r>
              <w:rPr>
                <w:noProof/>
                <w:webHidden/>
              </w:rPr>
            </w:r>
            <w:r>
              <w:rPr>
                <w:noProof/>
                <w:webHidden/>
              </w:rPr>
              <w:fldChar w:fldCharType="separate"/>
            </w:r>
            <w:r>
              <w:rPr>
                <w:noProof/>
                <w:webHidden/>
              </w:rPr>
              <w:t>50</w:t>
            </w:r>
            <w:r>
              <w:rPr>
                <w:noProof/>
                <w:webHidden/>
              </w:rPr>
              <w:fldChar w:fldCharType="end"/>
            </w:r>
          </w:hyperlink>
        </w:p>
        <w:p w14:paraId="4B7FE5EB" w14:textId="0AE034C1" w:rsidR="006A5985" w:rsidRDefault="006A5985">
          <w:pPr>
            <w:pStyle w:val="TOC2"/>
            <w:tabs>
              <w:tab w:val="right" w:leader="dot" w:pos="9016"/>
            </w:tabs>
            <w:rPr>
              <w:rFonts w:asciiTheme="minorHAnsi" w:hAnsiTheme="minorHAnsi" w:cstheme="minorBidi"/>
              <w:noProof/>
              <w:kern w:val="2"/>
              <w:szCs w:val="24"/>
              <w:lang w:val="en-GB" w:eastAsia="en-GB"/>
              <w14:ligatures w14:val="standardContextual"/>
            </w:rPr>
          </w:pPr>
          <w:hyperlink w:anchor="_Toc233030672" w:history="1">
            <w:r w:rsidRPr="007A4982">
              <w:rPr>
                <w:rStyle w:val="Hyperlink"/>
                <w:noProof/>
              </w:rPr>
              <w:t>5.3 Recommendations</w:t>
            </w:r>
            <w:r>
              <w:rPr>
                <w:noProof/>
                <w:webHidden/>
              </w:rPr>
              <w:tab/>
            </w:r>
            <w:r>
              <w:rPr>
                <w:noProof/>
                <w:webHidden/>
              </w:rPr>
              <w:fldChar w:fldCharType="begin"/>
            </w:r>
            <w:r>
              <w:rPr>
                <w:noProof/>
                <w:webHidden/>
              </w:rPr>
              <w:instrText xml:space="preserve"> PAGEREF _Toc233030672 \h </w:instrText>
            </w:r>
            <w:r>
              <w:rPr>
                <w:noProof/>
                <w:webHidden/>
              </w:rPr>
            </w:r>
            <w:r>
              <w:rPr>
                <w:noProof/>
                <w:webHidden/>
              </w:rPr>
              <w:fldChar w:fldCharType="separate"/>
            </w:r>
            <w:r>
              <w:rPr>
                <w:noProof/>
                <w:webHidden/>
              </w:rPr>
              <w:t>52</w:t>
            </w:r>
            <w:r>
              <w:rPr>
                <w:noProof/>
                <w:webHidden/>
              </w:rPr>
              <w:fldChar w:fldCharType="end"/>
            </w:r>
          </w:hyperlink>
        </w:p>
        <w:p w14:paraId="04A445F6" w14:textId="01FE7867" w:rsidR="006A5985" w:rsidRDefault="006A5985">
          <w:pPr>
            <w:pStyle w:val="TOC2"/>
            <w:tabs>
              <w:tab w:val="right" w:leader="dot" w:pos="9016"/>
            </w:tabs>
            <w:rPr>
              <w:rFonts w:asciiTheme="minorHAnsi" w:hAnsiTheme="minorHAnsi" w:cstheme="minorBidi"/>
              <w:noProof/>
              <w:kern w:val="2"/>
              <w:szCs w:val="24"/>
              <w:lang w:val="en-GB" w:eastAsia="en-GB"/>
              <w14:ligatures w14:val="standardContextual"/>
            </w:rPr>
          </w:pPr>
          <w:hyperlink w:anchor="_Toc233030673" w:history="1">
            <w:r w:rsidRPr="007A4982">
              <w:rPr>
                <w:rStyle w:val="Hyperlink"/>
                <w:noProof/>
              </w:rPr>
              <w:t>5.4 Implementation considerations</w:t>
            </w:r>
            <w:r>
              <w:rPr>
                <w:noProof/>
                <w:webHidden/>
              </w:rPr>
              <w:tab/>
            </w:r>
            <w:r>
              <w:rPr>
                <w:noProof/>
                <w:webHidden/>
              </w:rPr>
              <w:fldChar w:fldCharType="begin"/>
            </w:r>
            <w:r>
              <w:rPr>
                <w:noProof/>
                <w:webHidden/>
              </w:rPr>
              <w:instrText xml:space="preserve"> PAGEREF _Toc233030673 \h </w:instrText>
            </w:r>
            <w:r>
              <w:rPr>
                <w:noProof/>
                <w:webHidden/>
              </w:rPr>
            </w:r>
            <w:r>
              <w:rPr>
                <w:noProof/>
                <w:webHidden/>
              </w:rPr>
              <w:fldChar w:fldCharType="separate"/>
            </w:r>
            <w:r>
              <w:rPr>
                <w:noProof/>
                <w:webHidden/>
              </w:rPr>
              <w:t>55</w:t>
            </w:r>
            <w:r>
              <w:rPr>
                <w:noProof/>
                <w:webHidden/>
              </w:rPr>
              <w:fldChar w:fldCharType="end"/>
            </w:r>
          </w:hyperlink>
        </w:p>
        <w:p w14:paraId="2D1C9CD3" w14:textId="1ACEBE3C" w:rsidR="006A5985" w:rsidRDefault="006A5985">
          <w:pPr>
            <w:pStyle w:val="TOC2"/>
            <w:tabs>
              <w:tab w:val="right" w:leader="dot" w:pos="9016"/>
            </w:tabs>
            <w:rPr>
              <w:rFonts w:asciiTheme="minorHAnsi" w:hAnsiTheme="minorHAnsi" w:cstheme="minorBidi"/>
              <w:noProof/>
              <w:kern w:val="2"/>
              <w:szCs w:val="24"/>
              <w:lang w:val="en-GB" w:eastAsia="en-GB"/>
              <w14:ligatures w14:val="standardContextual"/>
            </w:rPr>
          </w:pPr>
          <w:hyperlink w:anchor="_Toc233030674" w:history="1">
            <w:r w:rsidRPr="007A4982">
              <w:rPr>
                <w:rStyle w:val="Hyperlink"/>
                <w:noProof/>
              </w:rPr>
              <w:t>5.5 Contribution to Knowledge</w:t>
            </w:r>
            <w:r>
              <w:rPr>
                <w:noProof/>
                <w:webHidden/>
              </w:rPr>
              <w:tab/>
            </w:r>
            <w:r>
              <w:rPr>
                <w:noProof/>
                <w:webHidden/>
              </w:rPr>
              <w:fldChar w:fldCharType="begin"/>
            </w:r>
            <w:r>
              <w:rPr>
                <w:noProof/>
                <w:webHidden/>
              </w:rPr>
              <w:instrText xml:space="preserve"> PAGEREF _Toc233030674 \h </w:instrText>
            </w:r>
            <w:r>
              <w:rPr>
                <w:noProof/>
                <w:webHidden/>
              </w:rPr>
            </w:r>
            <w:r>
              <w:rPr>
                <w:noProof/>
                <w:webHidden/>
              </w:rPr>
              <w:fldChar w:fldCharType="separate"/>
            </w:r>
            <w:r>
              <w:rPr>
                <w:noProof/>
                <w:webHidden/>
              </w:rPr>
              <w:t>55</w:t>
            </w:r>
            <w:r>
              <w:rPr>
                <w:noProof/>
                <w:webHidden/>
              </w:rPr>
              <w:fldChar w:fldCharType="end"/>
            </w:r>
          </w:hyperlink>
        </w:p>
        <w:p w14:paraId="3DB915CE" w14:textId="1F6115DB" w:rsidR="006A5985" w:rsidRDefault="006A5985">
          <w:pPr>
            <w:pStyle w:val="TOC2"/>
            <w:tabs>
              <w:tab w:val="right" w:leader="dot" w:pos="9016"/>
            </w:tabs>
            <w:rPr>
              <w:rFonts w:asciiTheme="minorHAnsi" w:hAnsiTheme="minorHAnsi" w:cstheme="minorBidi"/>
              <w:noProof/>
              <w:kern w:val="2"/>
              <w:szCs w:val="24"/>
              <w:lang w:val="en-GB" w:eastAsia="en-GB"/>
              <w14:ligatures w14:val="standardContextual"/>
            </w:rPr>
          </w:pPr>
          <w:hyperlink w:anchor="_Toc233030675" w:history="1">
            <w:r w:rsidRPr="007A4982">
              <w:rPr>
                <w:rStyle w:val="Hyperlink"/>
                <w:noProof/>
              </w:rPr>
              <w:t>5.6 Limitations of the Study</w:t>
            </w:r>
            <w:r>
              <w:rPr>
                <w:noProof/>
                <w:webHidden/>
              </w:rPr>
              <w:tab/>
            </w:r>
            <w:r>
              <w:rPr>
                <w:noProof/>
                <w:webHidden/>
              </w:rPr>
              <w:fldChar w:fldCharType="begin"/>
            </w:r>
            <w:r>
              <w:rPr>
                <w:noProof/>
                <w:webHidden/>
              </w:rPr>
              <w:instrText xml:space="preserve"> PAGEREF _Toc233030675 \h </w:instrText>
            </w:r>
            <w:r>
              <w:rPr>
                <w:noProof/>
                <w:webHidden/>
              </w:rPr>
            </w:r>
            <w:r>
              <w:rPr>
                <w:noProof/>
                <w:webHidden/>
              </w:rPr>
              <w:fldChar w:fldCharType="separate"/>
            </w:r>
            <w:r>
              <w:rPr>
                <w:noProof/>
                <w:webHidden/>
              </w:rPr>
              <w:t>56</w:t>
            </w:r>
            <w:r>
              <w:rPr>
                <w:noProof/>
                <w:webHidden/>
              </w:rPr>
              <w:fldChar w:fldCharType="end"/>
            </w:r>
          </w:hyperlink>
        </w:p>
        <w:p w14:paraId="008660CC" w14:textId="3A7411E3" w:rsidR="006A5985" w:rsidRDefault="006A5985">
          <w:pPr>
            <w:pStyle w:val="TOC2"/>
            <w:tabs>
              <w:tab w:val="right" w:leader="dot" w:pos="9016"/>
            </w:tabs>
            <w:rPr>
              <w:rFonts w:asciiTheme="minorHAnsi" w:hAnsiTheme="minorHAnsi" w:cstheme="minorBidi"/>
              <w:noProof/>
              <w:kern w:val="2"/>
              <w:szCs w:val="24"/>
              <w:lang w:val="en-GB" w:eastAsia="en-GB"/>
              <w14:ligatures w14:val="standardContextual"/>
            </w:rPr>
          </w:pPr>
          <w:hyperlink w:anchor="_Toc233030676" w:history="1">
            <w:r w:rsidRPr="007A4982">
              <w:rPr>
                <w:rStyle w:val="Hyperlink"/>
                <w:noProof/>
              </w:rPr>
              <w:t>5.7 Future Research Directions</w:t>
            </w:r>
            <w:r>
              <w:rPr>
                <w:noProof/>
                <w:webHidden/>
              </w:rPr>
              <w:tab/>
            </w:r>
            <w:r>
              <w:rPr>
                <w:noProof/>
                <w:webHidden/>
              </w:rPr>
              <w:fldChar w:fldCharType="begin"/>
            </w:r>
            <w:r>
              <w:rPr>
                <w:noProof/>
                <w:webHidden/>
              </w:rPr>
              <w:instrText xml:space="preserve"> PAGEREF _Toc233030676 \h </w:instrText>
            </w:r>
            <w:r>
              <w:rPr>
                <w:noProof/>
                <w:webHidden/>
              </w:rPr>
            </w:r>
            <w:r>
              <w:rPr>
                <w:noProof/>
                <w:webHidden/>
              </w:rPr>
              <w:fldChar w:fldCharType="separate"/>
            </w:r>
            <w:r>
              <w:rPr>
                <w:noProof/>
                <w:webHidden/>
              </w:rPr>
              <w:t>56</w:t>
            </w:r>
            <w:r>
              <w:rPr>
                <w:noProof/>
                <w:webHidden/>
              </w:rPr>
              <w:fldChar w:fldCharType="end"/>
            </w:r>
          </w:hyperlink>
        </w:p>
        <w:p w14:paraId="3E3C273C" w14:textId="32269F03" w:rsidR="006A5985" w:rsidRDefault="006A5985">
          <w:pPr>
            <w:pStyle w:val="TOC2"/>
            <w:tabs>
              <w:tab w:val="right" w:leader="dot" w:pos="9016"/>
            </w:tabs>
            <w:rPr>
              <w:rFonts w:asciiTheme="minorHAnsi" w:hAnsiTheme="minorHAnsi" w:cstheme="minorBidi"/>
              <w:noProof/>
              <w:kern w:val="2"/>
              <w:szCs w:val="24"/>
              <w:lang w:val="en-GB" w:eastAsia="en-GB"/>
              <w14:ligatures w14:val="standardContextual"/>
            </w:rPr>
          </w:pPr>
          <w:hyperlink w:anchor="_Toc233030677" w:history="1">
            <w:r w:rsidRPr="007A4982">
              <w:rPr>
                <w:rStyle w:val="Hyperlink"/>
                <w:noProof/>
              </w:rPr>
              <w:t>5.8 Chapter Summary</w:t>
            </w:r>
            <w:r>
              <w:rPr>
                <w:noProof/>
                <w:webHidden/>
              </w:rPr>
              <w:tab/>
            </w:r>
            <w:r>
              <w:rPr>
                <w:noProof/>
                <w:webHidden/>
              </w:rPr>
              <w:fldChar w:fldCharType="begin"/>
            </w:r>
            <w:r>
              <w:rPr>
                <w:noProof/>
                <w:webHidden/>
              </w:rPr>
              <w:instrText xml:space="preserve"> PAGEREF _Toc233030677 \h </w:instrText>
            </w:r>
            <w:r>
              <w:rPr>
                <w:noProof/>
                <w:webHidden/>
              </w:rPr>
            </w:r>
            <w:r>
              <w:rPr>
                <w:noProof/>
                <w:webHidden/>
              </w:rPr>
              <w:fldChar w:fldCharType="separate"/>
            </w:r>
            <w:r>
              <w:rPr>
                <w:noProof/>
                <w:webHidden/>
              </w:rPr>
              <w:t>57</w:t>
            </w:r>
            <w:r>
              <w:rPr>
                <w:noProof/>
                <w:webHidden/>
              </w:rPr>
              <w:fldChar w:fldCharType="end"/>
            </w:r>
          </w:hyperlink>
        </w:p>
        <w:p w14:paraId="24B9FA52" w14:textId="6C7EB514" w:rsidR="006A5985" w:rsidRDefault="006A5985">
          <w:pPr>
            <w:pStyle w:val="TOC1"/>
            <w:rPr>
              <w:rFonts w:asciiTheme="minorHAnsi" w:hAnsiTheme="minorHAnsi" w:cstheme="minorBidi"/>
              <w:noProof/>
              <w:kern w:val="2"/>
              <w:szCs w:val="24"/>
              <w:lang w:val="en-GB" w:eastAsia="en-GB"/>
              <w14:ligatures w14:val="standardContextual"/>
            </w:rPr>
          </w:pPr>
          <w:hyperlink w:anchor="_Toc233030678" w:history="1">
            <w:r w:rsidRPr="007A4982">
              <w:rPr>
                <w:rStyle w:val="Hyperlink"/>
                <w:rFonts w:eastAsia="Times New Roman"/>
                <w:noProof/>
                <w:lang w:eastAsia="en-GB"/>
              </w:rPr>
              <w:t>6.0 REFERENCES</w:t>
            </w:r>
            <w:r>
              <w:rPr>
                <w:noProof/>
                <w:webHidden/>
              </w:rPr>
              <w:tab/>
            </w:r>
            <w:r>
              <w:rPr>
                <w:noProof/>
                <w:webHidden/>
              </w:rPr>
              <w:fldChar w:fldCharType="begin"/>
            </w:r>
            <w:r>
              <w:rPr>
                <w:noProof/>
                <w:webHidden/>
              </w:rPr>
              <w:instrText xml:space="preserve"> PAGEREF _Toc233030678 \h </w:instrText>
            </w:r>
            <w:r>
              <w:rPr>
                <w:noProof/>
                <w:webHidden/>
              </w:rPr>
            </w:r>
            <w:r>
              <w:rPr>
                <w:noProof/>
                <w:webHidden/>
              </w:rPr>
              <w:fldChar w:fldCharType="separate"/>
            </w:r>
            <w:r>
              <w:rPr>
                <w:noProof/>
                <w:webHidden/>
              </w:rPr>
              <w:t>58</w:t>
            </w:r>
            <w:r>
              <w:rPr>
                <w:noProof/>
                <w:webHidden/>
              </w:rPr>
              <w:fldChar w:fldCharType="end"/>
            </w:r>
          </w:hyperlink>
        </w:p>
        <w:p w14:paraId="0DC4F2B6" w14:textId="157E1200" w:rsidR="006A5985" w:rsidRDefault="006A5985">
          <w:pPr>
            <w:pStyle w:val="TOC1"/>
            <w:rPr>
              <w:rFonts w:asciiTheme="minorHAnsi" w:hAnsiTheme="minorHAnsi" w:cstheme="minorBidi"/>
              <w:noProof/>
              <w:kern w:val="2"/>
              <w:szCs w:val="24"/>
              <w:lang w:val="en-GB" w:eastAsia="en-GB"/>
              <w14:ligatures w14:val="standardContextual"/>
            </w:rPr>
          </w:pPr>
          <w:hyperlink w:anchor="_Toc233030679" w:history="1">
            <w:r w:rsidRPr="007A4982">
              <w:rPr>
                <w:rStyle w:val="Hyperlink"/>
                <w:rFonts w:eastAsia="Times New Roman"/>
                <w:noProof/>
                <w:lang w:eastAsia="en-GB"/>
              </w:rPr>
              <w:t>7.0 APPENDICES</w:t>
            </w:r>
            <w:r>
              <w:rPr>
                <w:noProof/>
                <w:webHidden/>
              </w:rPr>
              <w:tab/>
            </w:r>
            <w:r>
              <w:rPr>
                <w:noProof/>
                <w:webHidden/>
              </w:rPr>
              <w:fldChar w:fldCharType="begin"/>
            </w:r>
            <w:r>
              <w:rPr>
                <w:noProof/>
                <w:webHidden/>
              </w:rPr>
              <w:instrText xml:space="preserve"> PAGEREF _Toc233030679 \h </w:instrText>
            </w:r>
            <w:r>
              <w:rPr>
                <w:noProof/>
                <w:webHidden/>
              </w:rPr>
            </w:r>
            <w:r>
              <w:rPr>
                <w:noProof/>
                <w:webHidden/>
              </w:rPr>
              <w:fldChar w:fldCharType="separate"/>
            </w:r>
            <w:r>
              <w:rPr>
                <w:noProof/>
                <w:webHidden/>
              </w:rPr>
              <w:t>69</w:t>
            </w:r>
            <w:r>
              <w:rPr>
                <w:noProof/>
                <w:webHidden/>
              </w:rPr>
              <w:fldChar w:fldCharType="end"/>
            </w:r>
          </w:hyperlink>
        </w:p>
        <w:p w14:paraId="4C19CF21" w14:textId="579FD834" w:rsidR="005B6FE1" w:rsidRDefault="005B6FE1" w:rsidP="009C2A86">
          <w:pPr>
            <w:spacing w:line="360" w:lineRule="auto"/>
            <w:jc w:val="both"/>
          </w:pPr>
          <w:r>
            <w:rPr>
              <w:b/>
              <w:bCs/>
            </w:rPr>
            <w:fldChar w:fldCharType="end"/>
          </w:r>
        </w:p>
      </w:sdtContent>
    </w:sdt>
    <w:p w14:paraId="21DE0DCE" w14:textId="77777777" w:rsidR="00A74165" w:rsidRPr="005D0994" w:rsidRDefault="00A74165" w:rsidP="00434644">
      <w:pPr>
        <w:spacing w:line="360" w:lineRule="auto"/>
        <w:jc w:val="both"/>
        <w:rPr>
          <w:b/>
          <w:bCs/>
          <w:sz w:val="144"/>
          <w:szCs w:val="96"/>
        </w:rPr>
      </w:pPr>
    </w:p>
    <w:p w14:paraId="30ADE5A8" w14:textId="77777777" w:rsidR="00B415F0" w:rsidRDefault="00B415F0" w:rsidP="00434644">
      <w:pPr>
        <w:pStyle w:val="Uni-Normal"/>
        <w:jc w:val="both"/>
        <w:rPr>
          <w:b/>
          <w:bCs/>
          <w:u w:val="single"/>
        </w:rPr>
      </w:pPr>
    </w:p>
    <w:p w14:paraId="0ED601B8" w14:textId="77777777" w:rsidR="00B415F0" w:rsidRDefault="00B415F0" w:rsidP="00434644">
      <w:pPr>
        <w:pStyle w:val="Uni-Normal"/>
        <w:jc w:val="both"/>
        <w:rPr>
          <w:b/>
          <w:bCs/>
          <w:u w:val="single"/>
        </w:rPr>
      </w:pPr>
    </w:p>
    <w:p w14:paraId="62453978" w14:textId="77777777" w:rsidR="005B6FE1" w:rsidRDefault="005B6FE1" w:rsidP="00434644">
      <w:pPr>
        <w:pStyle w:val="Uni-Normal"/>
        <w:jc w:val="both"/>
        <w:rPr>
          <w:b/>
          <w:bCs/>
          <w:u w:val="single"/>
        </w:rPr>
      </w:pPr>
    </w:p>
    <w:p w14:paraId="539FB305" w14:textId="77777777" w:rsidR="005B6FE1" w:rsidRDefault="005B6FE1" w:rsidP="00434644">
      <w:pPr>
        <w:pStyle w:val="Uni-Normal"/>
        <w:jc w:val="both"/>
        <w:rPr>
          <w:b/>
          <w:bCs/>
          <w:u w:val="single"/>
        </w:rPr>
      </w:pPr>
    </w:p>
    <w:p w14:paraId="1350DC6F" w14:textId="77777777" w:rsidR="005B6FE1" w:rsidRDefault="005B6FE1" w:rsidP="00434644">
      <w:pPr>
        <w:pStyle w:val="Uni-Normal"/>
        <w:jc w:val="both"/>
        <w:rPr>
          <w:b/>
          <w:bCs/>
          <w:u w:val="single"/>
        </w:rPr>
      </w:pPr>
    </w:p>
    <w:p w14:paraId="1F38680C" w14:textId="77777777" w:rsidR="00A459AB" w:rsidRDefault="00A459AB" w:rsidP="0002646C">
      <w:pPr>
        <w:pStyle w:val="Uni-Normal"/>
        <w:jc w:val="both"/>
        <w:rPr>
          <w:b/>
          <w:bCs/>
          <w:u w:val="single"/>
        </w:rPr>
      </w:pPr>
    </w:p>
    <w:p w14:paraId="326D4E54" w14:textId="123891A7" w:rsidR="0085635D" w:rsidRDefault="00A74165" w:rsidP="0002646C">
      <w:pPr>
        <w:pStyle w:val="Uni-Normal"/>
        <w:jc w:val="both"/>
        <w:rPr>
          <w:b/>
          <w:bCs/>
        </w:rPr>
      </w:pPr>
      <w:r w:rsidRPr="00B415F0">
        <w:rPr>
          <w:b/>
          <w:bCs/>
        </w:rPr>
        <w:t>LIST OF TABLES</w:t>
      </w:r>
    </w:p>
    <w:p w14:paraId="0D6102B1" w14:textId="6037E72D" w:rsidR="00753EE8" w:rsidRDefault="00753EE8" w:rsidP="0002646C">
      <w:pPr>
        <w:pStyle w:val="TableofFigures"/>
        <w:tabs>
          <w:tab w:val="right" w:leader="dot" w:pos="9016"/>
        </w:tabs>
        <w:spacing w:line="360" w:lineRule="auto"/>
        <w:jc w:val="both"/>
        <w:rPr>
          <w:rFonts w:asciiTheme="minorHAnsi" w:eastAsiaTheme="minorEastAsia" w:hAnsiTheme="minorHAnsi" w:cstheme="minorBidi"/>
          <w:noProof/>
          <w:kern w:val="2"/>
          <w:szCs w:val="24"/>
          <w:lang w:eastAsia="en-GB"/>
          <w14:ligatures w14:val="standardContextual"/>
        </w:rPr>
      </w:pPr>
      <w:hyperlink w:anchor="_Toc229066868" w:history="1">
        <w:r w:rsidRPr="00753EE8">
          <w:rPr>
            <w:rStyle w:val="Hyperlink"/>
            <w:noProof/>
            <w:color w:val="auto"/>
            <w:u w:val="none"/>
          </w:rPr>
          <w:t>Table 1-</w:t>
        </w:r>
        <w:r w:rsidRPr="00753EE8">
          <w:rPr>
            <w:rStyle w:val="Hyperlink"/>
            <w:b/>
            <w:bCs/>
            <w:noProof/>
            <w:color w:val="auto"/>
            <w:u w:val="none"/>
          </w:rPr>
          <w:t xml:space="preserve"> </w:t>
        </w:r>
        <w:r w:rsidRPr="00753EE8">
          <w:t>Six</w:t>
        </w:r>
        <w:r>
          <w:t xml:space="preserve"> final themes</w:t>
        </w:r>
        <w:r>
          <w:rPr>
            <w:noProof/>
            <w:webHidden/>
          </w:rPr>
          <w:tab/>
          <w:t>5</w:t>
        </w:r>
        <w:r w:rsidR="009F0C2C">
          <w:rPr>
            <w:noProof/>
            <w:webHidden/>
          </w:rPr>
          <w:t>0</w:t>
        </w:r>
      </w:hyperlink>
    </w:p>
    <w:p w14:paraId="2AAFC467" w14:textId="7D67F6D0" w:rsidR="00753EE8" w:rsidRDefault="00753EE8" w:rsidP="0002646C">
      <w:pPr>
        <w:pStyle w:val="Uni-Normal"/>
        <w:jc w:val="both"/>
        <w:rPr>
          <w:b/>
          <w:bCs/>
        </w:rPr>
      </w:pPr>
    </w:p>
    <w:p w14:paraId="7139ACDF" w14:textId="77777777" w:rsidR="00753EE8" w:rsidRDefault="00753EE8" w:rsidP="0002646C">
      <w:pPr>
        <w:pStyle w:val="Uni-Normal"/>
        <w:jc w:val="both"/>
        <w:rPr>
          <w:b/>
          <w:bCs/>
        </w:rPr>
      </w:pPr>
    </w:p>
    <w:p w14:paraId="562BD09D" w14:textId="77777777" w:rsidR="00A459AB" w:rsidRDefault="00A459AB" w:rsidP="009C2A86">
      <w:pPr>
        <w:pStyle w:val="Uni-Normal"/>
        <w:jc w:val="both"/>
        <w:rPr>
          <w:b/>
          <w:bCs/>
        </w:rPr>
      </w:pPr>
    </w:p>
    <w:p w14:paraId="0D8A7F56" w14:textId="77777777" w:rsidR="00A459AB" w:rsidRDefault="00A459AB" w:rsidP="009C2A86">
      <w:pPr>
        <w:pStyle w:val="Uni-Normal"/>
        <w:jc w:val="both"/>
        <w:rPr>
          <w:b/>
          <w:bCs/>
        </w:rPr>
      </w:pPr>
    </w:p>
    <w:p w14:paraId="63552CB6" w14:textId="77777777" w:rsidR="00A459AB" w:rsidRDefault="00A459AB" w:rsidP="009C2A86">
      <w:pPr>
        <w:pStyle w:val="Uni-Normal"/>
        <w:jc w:val="both"/>
        <w:rPr>
          <w:b/>
          <w:bCs/>
        </w:rPr>
      </w:pPr>
    </w:p>
    <w:p w14:paraId="22C2A045" w14:textId="77777777" w:rsidR="00A459AB" w:rsidRDefault="00A459AB" w:rsidP="009C2A86">
      <w:pPr>
        <w:pStyle w:val="Uni-Normal"/>
        <w:jc w:val="both"/>
        <w:rPr>
          <w:b/>
          <w:bCs/>
        </w:rPr>
      </w:pPr>
    </w:p>
    <w:p w14:paraId="3C0DE416" w14:textId="77777777" w:rsidR="00A459AB" w:rsidRDefault="00A459AB" w:rsidP="009C2A86">
      <w:pPr>
        <w:pStyle w:val="Uni-Normal"/>
        <w:jc w:val="both"/>
        <w:rPr>
          <w:b/>
          <w:bCs/>
        </w:rPr>
      </w:pPr>
    </w:p>
    <w:p w14:paraId="59DE10E3" w14:textId="77777777" w:rsidR="00A459AB" w:rsidRDefault="00A459AB" w:rsidP="009C2A86">
      <w:pPr>
        <w:pStyle w:val="Uni-Normal"/>
        <w:jc w:val="both"/>
        <w:rPr>
          <w:b/>
          <w:bCs/>
        </w:rPr>
      </w:pPr>
    </w:p>
    <w:p w14:paraId="61603674" w14:textId="77777777" w:rsidR="00A459AB" w:rsidRDefault="00A459AB" w:rsidP="009C2A86">
      <w:pPr>
        <w:pStyle w:val="Uni-Normal"/>
        <w:jc w:val="both"/>
        <w:rPr>
          <w:b/>
          <w:bCs/>
        </w:rPr>
      </w:pPr>
    </w:p>
    <w:p w14:paraId="3C5D558F" w14:textId="77777777" w:rsidR="00A459AB" w:rsidRDefault="00A459AB" w:rsidP="009C2A86">
      <w:pPr>
        <w:pStyle w:val="Uni-Normal"/>
        <w:jc w:val="both"/>
        <w:rPr>
          <w:b/>
          <w:bCs/>
        </w:rPr>
      </w:pPr>
    </w:p>
    <w:p w14:paraId="427FBE18" w14:textId="77777777" w:rsidR="00A459AB" w:rsidRDefault="00A459AB" w:rsidP="009C2A86">
      <w:pPr>
        <w:pStyle w:val="Uni-Normal"/>
        <w:jc w:val="both"/>
        <w:rPr>
          <w:b/>
          <w:bCs/>
        </w:rPr>
      </w:pPr>
    </w:p>
    <w:p w14:paraId="2746A6E2" w14:textId="77777777" w:rsidR="00A459AB" w:rsidRDefault="00A459AB" w:rsidP="009C2A86">
      <w:pPr>
        <w:pStyle w:val="Uni-Normal"/>
        <w:jc w:val="both"/>
        <w:rPr>
          <w:b/>
          <w:bCs/>
        </w:rPr>
      </w:pPr>
    </w:p>
    <w:p w14:paraId="416B5678" w14:textId="77777777" w:rsidR="00A459AB" w:rsidRDefault="00A459AB" w:rsidP="009C2A86">
      <w:pPr>
        <w:pStyle w:val="Uni-Normal"/>
        <w:jc w:val="both"/>
        <w:rPr>
          <w:b/>
          <w:bCs/>
        </w:rPr>
      </w:pPr>
    </w:p>
    <w:p w14:paraId="4B9FBE6E" w14:textId="77777777" w:rsidR="00A459AB" w:rsidRDefault="00A459AB" w:rsidP="009C2A86">
      <w:pPr>
        <w:pStyle w:val="Uni-Normal"/>
        <w:jc w:val="both"/>
        <w:rPr>
          <w:b/>
          <w:bCs/>
        </w:rPr>
      </w:pPr>
    </w:p>
    <w:p w14:paraId="63907D35" w14:textId="77777777" w:rsidR="00A459AB" w:rsidRDefault="00A459AB" w:rsidP="009C2A86">
      <w:pPr>
        <w:pStyle w:val="Uni-Normal"/>
        <w:jc w:val="both"/>
        <w:rPr>
          <w:b/>
          <w:bCs/>
        </w:rPr>
      </w:pPr>
    </w:p>
    <w:p w14:paraId="27FEDA67" w14:textId="77777777" w:rsidR="00A459AB" w:rsidRDefault="00A459AB" w:rsidP="009C2A86">
      <w:pPr>
        <w:pStyle w:val="Uni-Normal"/>
        <w:jc w:val="both"/>
        <w:rPr>
          <w:b/>
          <w:bCs/>
        </w:rPr>
      </w:pPr>
    </w:p>
    <w:p w14:paraId="5A1EF194" w14:textId="77777777" w:rsidR="00A459AB" w:rsidRDefault="00A459AB" w:rsidP="009C2A86">
      <w:pPr>
        <w:pStyle w:val="Uni-Normal"/>
        <w:jc w:val="both"/>
        <w:rPr>
          <w:b/>
          <w:bCs/>
        </w:rPr>
      </w:pPr>
    </w:p>
    <w:p w14:paraId="6F3D6070" w14:textId="77777777" w:rsidR="00A459AB" w:rsidRDefault="00A459AB" w:rsidP="009C2A86">
      <w:pPr>
        <w:pStyle w:val="Uni-Normal"/>
        <w:jc w:val="both"/>
        <w:rPr>
          <w:b/>
          <w:bCs/>
        </w:rPr>
      </w:pPr>
    </w:p>
    <w:p w14:paraId="5373CD90" w14:textId="2259EF48" w:rsidR="00655C57" w:rsidRPr="00655C57" w:rsidRDefault="00A74165" w:rsidP="009C2A86">
      <w:pPr>
        <w:pStyle w:val="Uni-Normal"/>
        <w:jc w:val="both"/>
        <w:rPr>
          <w:b/>
          <w:bCs/>
        </w:rPr>
      </w:pPr>
      <w:r w:rsidRPr="00B415F0">
        <w:rPr>
          <w:b/>
          <w:bCs/>
        </w:rPr>
        <w:t>LIST OF FIGURES</w:t>
      </w:r>
      <w:r w:rsidR="00655C57">
        <w:tab/>
      </w:r>
    </w:p>
    <w:p w14:paraId="7833D12D" w14:textId="59E6E591" w:rsidR="006A5985" w:rsidRDefault="00655C57">
      <w:pPr>
        <w:pStyle w:val="TableofFigures"/>
        <w:tabs>
          <w:tab w:val="right" w:leader="dot" w:pos="9016"/>
        </w:tabs>
        <w:rPr>
          <w:rFonts w:asciiTheme="minorHAnsi" w:eastAsiaTheme="minorEastAsia" w:hAnsiTheme="minorHAnsi" w:cstheme="minorBidi"/>
          <w:noProof/>
          <w:kern w:val="2"/>
          <w:szCs w:val="24"/>
          <w:lang w:eastAsia="en-GB"/>
          <w14:ligatures w14:val="standardContextual"/>
        </w:rPr>
      </w:pPr>
      <w:r>
        <w:fldChar w:fldCharType="begin"/>
      </w:r>
      <w:r>
        <w:instrText xml:space="preserve"> TOC \h \z \c "Figure" </w:instrText>
      </w:r>
      <w:r>
        <w:fldChar w:fldCharType="separate"/>
      </w:r>
      <w:hyperlink w:anchor="_Toc233030680" w:history="1">
        <w:r w:rsidR="006A5985" w:rsidRPr="00212322">
          <w:rPr>
            <w:rStyle w:val="Hyperlink"/>
            <w:noProof/>
          </w:rPr>
          <w:t xml:space="preserve">Figure 1- Generations data and Early Retirement </w:t>
        </w:r>
        <w:r w:rsidR="006A5985">
          <w:rPr>
            <w:noProof/>
            <w:webHidden/>
          </w:rPr>
          <w:tab/>
        </w:r>
        <w:r w:rsidR="006A5985">
          <w:rPr>
            <w:noProof/>
            <w:webHidden/>
          </w:rPr>
          <w:fldChar w:fldCharType="begin"/>
        </w:r>
        <w:r w:rsidR="006A5985">
          <w:rPr>
            <w:noProof/>
            <w:webHidden/>
          </w:rPr>
          <w:instrText xml:space="preserve"> PAGEREF _Toc233030680 \h </w:instrText>
        </w:r>
        <w:r w:rsidR="006A5985">
          <w:rPr>
            <w:noProof/>
            <w:webHidden/>
          </w:rPr>
        </w:r>
        <w:r w:rsidR="006A5985">
          <w:rPr>
            <w:noProof/>
            <w:webHidden/>
          </w:rPr>
          <w:fldChar w:fldCharType="separate"/>
        </w:r>
        <w:r w:rsidR="006A5985">
          <w:rPr>
            <w:noProof/>
            <w:webHidden/>
          </w:rPr>
          <w:t>21</w:t>
        </w:r>
        <w:r w:rsidR="006A5985">
          <w:rPr>
            <w:noProof/>
            <w:webHidden/>
          </w:rPr>
          <w:fldChar w:fldCharType="end"/>
        </w:r>
      </w:hyperlink>
    </w:p>
    <w:p w14:paraId="76EC92BF" w14:textId="06BB4491" w:rsidR="006A5985" w:rsidRDefault="006A5985">
      <w:pPr>
        <w:pStyle w:val="TableofFigures"/>
        <w:tabs>
          <w:tab w:val="right" w:leader="dot" w:pos="9016"/>
        </w:tabs>
        <w:rPr>
          <w:rFonts w:asciiTheme="minorHAnsi" w:eastAsiaTheme="minorEastAsia" w:hAnsiTheme="minorHAnsi" w:cstheme="minorBidi"/>
          <w:noProof/>
          <w:kern w:val="2"/>
          <w:szCs w:val="24"/>
          <w:lang w:eastAsia="en-GB"/>
          <w14:ligatures w14:val="standardContextual"/>
        </w:rPr>
      </w:pPr>
      <w:hyperlink w:anchor="_Toc233030681" w:history="1">
        <w:r w:rsidRPr="00212322">
          <w:rPr>
            <w:rStyle w:val="Hyperlink"/>
            <w:noProof/>
          </w:rPr>
          <w:t>Figure 2- Six Theme Analysis- (Adapted from Braun and Clarke, 2006)</w:t>
        </w:r>
        <w:r>
          <w:rPr>
            <w:noProof/>
            <w:webHidden/>
          </w:rPr>
          <w:tab/>
        </w:r>
        <w:r>
          <w:rPr>
            <w:noProof/>
            <w:webHidden/>
          </w:rPr>
          <w:fldChar w:fldCharType="begin"/>
        </w:r>
        <w:r>
          <w:rPr>
            <w:noProof/>
            <w:webHidden/>
          </w:rPr>
          <w:instrText xml:space="preserve"> PAGEREF _Toc233030681 \h </w:instrText>
        </w:r>
        <w:r>
          <w:rPr>
            <w:noProof/>
            <w:webHidden/>
          </w:rPr>
        </w:r>
        <w:r>
          <w:rPr>
            <w:noProof/>
            <w:webHidden/>
          </w:rPr>
          <w:fldChar w:fldCharType="separate"/>
        </w:r>
        <w:r>
          <w:rPr>
            <w:noProof/>
            <w:webHidden/>
          </w:rPr>
          <w:t>36</w:t>
        </w:r>
        <w:r>
          <w:rPr>
            <w:noProof/>
            <w:webHidden/>
          </w:rPr>
          <w:fldChar w:fldCharType="end"/>
        </w:r>
      </w:hyperlink>
    </w:p>
    <w:p w14:paraId="244C3316" w14:textId="6CC69CB3" w:rsidR="003D4583" w:rsidRDefault="00655C57" w:rsidP="009C2A86">
      <w:pPr>
        <w:tabs>
          <w:tab w:val="left" w:pos="3965"/>
        </w:tabs>
        <w:spacing w:line="360" w:lineRule="auto"/>
        <w:jc w:val="both"/>
      </w:pPr>
      <w:r>
        <w:fldChar w:fldCharType="end"/>
      </w:r>
      <w:bookmarkStart w:id="5" w:name="_Toc217916754"/>
      <w:bookmarkStart w:id="6" w:name="_Toc218671369"/>
      <w:bookmarkStart w:id="7" w:name="_Toc218671371"/>
      <w:bookmarkEnd w:id="0"/>
      <w:bookmarkEnd w:id="1"/>
      <w:bookmarkEnd w:id="2"/>
      <w:bookmarkEnd w:id="3"/>
      <w:bookmarkEnd w:id="4"/>
    </w:p>
    <w:p w14:paraId="089DFC62" w14:textId="77777777" w:rsidR="005B6FE1" w:rsidRDefault="005B6FE1" w:rsidP="0002646C">
      <w:pPr>
        <w:tabs>
          <w:tab w:val="left" w:pos="3965"/>
        </w:tabs>
        <w:spacing w:line="360" w:lineRule="auto"/>
        <w:jc w:val="both"/>
      </w:pPr>
    </w:p>
    <w:p w14:paraId="71978F3E" w14:textId="77777777" w:rsidR="005B6FE1" w:rsidRDefault="005B6FE1" w:rsidP="0002646C">
      <w:pPr>
        <w:tabs>
          <w:tab w:val="left" w:pos="3965"/>
        </w:tabs>
        <w:spacing w:line="360" w:lineRule="auto"/>
        <w:jc w:val="both"/>
      </w:pPr>
    </w:p>
    <w:p w14:paraId="38EECDDD" w14:textId="77777777" w:rsidR="005B6FE1" w:rsidRDefault="005B6FE1" w:rsidP="0002646C">
      <w:pPr>
        <w:tabs>
          <w:tab w:val="left" w:pos="3965"/>
        </w:tabs>
        <w:spacing w:line="360" w:lineRule="auto"/>
        <w:jc w:val="both"/>
      </w:pPr>
    </w:p>
    <w:p w14:paraId="64C23292" w14:textId="77777777" w:rsidR="005B6FE1" w:rsidRDefault="005B6FE1" w:rsidP="0002646C">
      <w:pPr>
        <w:tabs>
          <w:tab w:val="left" w:pos="3965"/>
        </w:tabs>
        <w:spacing w:line="360" w:lineRule="auto"/>
        <w:jc w:val="both"/>
      </w:pPr>
    </w:p>
    <w:p w14:paraId="6A7A3064" w14:textId="77777777" w:rsidR="005B6FE1" w:rsidRDefault="005B6FE1" w:rsidP="00A459AB"/>
    <w:p w14:paraId="77FB8CFC" w14:textId="77777777" w:rsidR="006A5985" w:rsidRDefault="006A5985" w:rsidP="00A459AB">
      <w:bookmarkStart w:id="8" w:name="_Toc233030632"/>
    </w:p>
    <w:p w14:paraId="67CD9BDE" w14:textId="77777777" w:rsidR="006A5985" w:rsidRDefault="006A5985" w:rsidP="00A459AB"/>
    <w:p w14:paraId="0572978C" w14:textId="77777777" w:rsidR="00A459AB" w:rsidRDefault="00A459AB" w:rsidP="00A459AB"/>
    <w:p w14:paraId="7D10F745" w14:textId="77777777" w:rsidR="00A459AB" w:rsidRDefault="00A459AB" w:rsidP="00A459AB"/>
    <w:p w14:paraId="678DFC66" w14:textId="77777777" w:rsidR="00A459AB" w:rsidRDefault="00A459AB" w:rsidP="00A459AB"/>
    <w:p w14:paraId="4BC5C1A4" w14:textId="77777777" w:rsidR="00A459AB" w:rsidRDefault="00A459AB" w:rsidP="00A459AB"/>
    <w:p w14:paraId="035454A8" w14:textId="77777777" w:rsidR="00A459AB" w:rsidRDefault="00A459AB" w:rsidP="00A459AB"/>
    <w:p w14:paraId="24E083EF" w14:textId="77777777" w:rsidR="00A459AB" w:rsidRDefault="00A459AB" w:rsidP="00A459AB"/>
    <w:p w14:paraId="245367DC" w14:textId="77777777" w:rsidR="00A459AB" w:rsidRDefault="00A459AB" w:rsidP="00A459AB"/>
    <w:p w14:paraId="342332A6" w14:textId="77777777" w:rsidR="00A459AB" w:rsidRDefault="00A459AB" w:rsidP="00A459AB"/>
    <w:p w14:paraId="4A96151F" w14:textId="77777777" w:rsidR="00A459AB" w:rsidRDefault="00A459AB" w:rsidP="00A459AB"/>
    <w:p w14:paraId="03D31D09" w14:textId="77777777" w:rsidR="00A459AB" w:rsidRDefault="00A459AB" w:rsidP="00A459AB"/>
    <w:p w14:paraId="7387B619" w14:textId="77777777" w:rsidR="00A459AB" w:rsidRDefault="00A459AB" w:rsidP="00A459AB"/>
    <w:p w14:paraId="4EE05FA3" w14:textId="77777777" w:rsidR="00A459AB" w:rsidRDefault="00A459AB" w:rsidP="0002646C">
      <w:pPr>
        <w:pStyle w:val="1ChapterHeading"/>
      </w:pPr>
    </w:p>
    <w:p w14:paraId="747A17E0" w14:textId="77777777" w:rsidR="00A459AB" w:rsidRDefault="00A459AB" w:rsidP="00A459AB"/>
    <w:p w14:paraId="281B7D3B" w14:textId="71C5DDF1" w:rsidR="00A74165" w:rsidRPr="00A74165" w:rsidRDefault="00A74165" w:rsidP="0002646C">
      <w:pPr>
        <w:pStyle w:val="1ChapterHeading"/>
      </w:pPr>
      <w:r w:rsidRPr="00A74165">
        <w:t>CHAPTER 1</w:t>
      </w:r>
      <w:bookmarkEnd w:id="5"/>
      <w:bookmarkEnd w:id="6"/>
      <w:bookmarkEnd w:id="8"/>
    </w:p>
    <w:p w14:paraId="41A001FF" w14:textId="1A509169" w:rsidR="00A74165" w:rsidRPr="00A74165" w:rsidRDefault="00A74165" w:rsidP="0002646C">
      <w:pPr>
        <w:pStyle w:val="1ChapterHeading"/>
      </w:pPr>
      <w:bookmarkStart w:id="9" w:name="_Toc217916755"/>
      <w:bookmarkStart w:id="10" w:name="_Toc218671370"/>
      <w:bookmarkStart w:id="11" w:name="_Toc233030633"/>
      <w:r w:rsidRPr="00A74165">
        <w:t>INTRODUCTION</w:t>
      </w:r>
      <w:bookmarkEnd w:id="9"/>
      <w:bookmarkEnd w:id="10"/>
      <w:bookmarkEnd w:id="11"/>
    </w:p>
    <w:p w14:paraId="196C1A61" w14:textId="77777777" w:rsidR="00A74165" w:rsidRDefault="00A74165" w:rsidP="0002646C">
      <w:pPr>
        <w:pStyle w:val="2Sectionheading"/>
        <w:jc w:val="both"/>
      </w:pPr>
    </w:p>
    <w:p w14:paraId="5816E208" w14:textId="2F939E6D" w:rsidR="00A74165" w:rsidRPr="0013596E" w:rsidRDefault="00A74165" w:rsidP="0002646C">
      <w:pPr>
        <w:pStyle w:val="2Sectionheading"/>
        <w:jc w:val="both"/>
      </w:pPr>
      <w:bookmarkStart w:id="12" w:name="_Toc233030634"/>
      <w:r w:rsidRPr="0013596E">
        <w:t xml:space="preserve">1.1 Chapter </w:t>
      </w:r>
      <w:bookmarkEnd w:id="7"/>
      <w:r>
        <w:t>Introduction</w:t>
      </w:r>
      <w:bookmarkEnd w:id="12"/>
      <w:r>
        <w:t xml:space="preserve"> </w:t>
      </w:r>
    </w:p>
    <w:p w14:paraId="2CC2D108" w14:textId="4EDD29B1" w:rsidR="004874A7" w:rsidRPr="004874A7" w:rsidRDefault="004874A7" w:rsidP="004874A7">
      <w:pPr>
        <w:spacing w:line="360" w:lineRule="auto"/>
        <w:jc w:val="both"/>
      </w:pPr>
      <w:bookmarkStart w:id="13" w:name="_Toc217916759"/>
      <w:bookmarkStart w:id="14" w:name="_Toc218671374"/>
      <w:bookmarkStart w:id="15" w:name="_Hlk207289140"/>
      <w:r w:rsidRPr="004874A7">
        <w:t xml:space="preserve">This chapter introduces the dissertation and outlines the context in which the study is situated. It examines workforce challenges facing UK local government, including an ageing workforce and difficulties attracting and retaining younger employees. Within this </w:t>
      </w:r>
      <w:r w:rsidR="00133DAE">
        <w:t>setting</w:t>
      </w:r>
      <w:r w:rsidRPr="004874A7">
        <w:t xml:space="preserve">, Gen Z represents a critical group for future workforce sustainability, yet there is limited understanding of how talent management practices align with their expectations within the public sector. This chapter outlines the research problem, </w:t>
      </w:r>
      <w:r w:rsidR="00413EDB" w:rsidRPr="004874A7">
        <w:t>aims</w:t>
      </w:r>
      <w:r w:rsidR="00413EDB">
        <w:t xml:space="preserve"> and</w:t>
      </w:r>
      <w:r w:rsidRPr="004874A7">
        <w:t xml:space="preserve"> </w:t>
      </w:r>
      <w:r w:rsidR="00413EDB" w:rsidRPr="004874A7">
        <w:t>questions</w:t>
      </w:r>
      <w:r w:rsidR="00413EDB">
        <w:t xml:space="preserve"> and</w:t>
      </w:r>
      <w:r w:rsidRPr="004874A7">
        <w:t xml:space="preserve"> briefly introduces the structure of the dissertation.</w:t>
      </w:r>
    </w:p>
    <w:p w14:paraId="30D8CF91" w14:textId="77777777" w:rsidR="00A74165" w:rsidRPr="006F11DD" w:rsidRDefault="00A74165" w:rsidP="0002646C">
      <w:pPr>
        <w:pStyle w:val="2Sectionheading"/>
        <w:jc w:val="both"/>
      </w:pPr>
      <w:bookmarkStart w:id="16" w:name="_Toc233030635"/>
      <w:r w:rsidRPr="002805A7">
        <w:t>1</w:t>
      </w:r>
      <w:r w:rsidRPr="006F11DD">
        <w:t>.2 Background and Context</w:t>
      </w:r>
      <w:bookmarkEnd w:id="16"/>
    </w:p>
    <w:p w14:paraId="089FCDDA" w14:textId="3F80D829" w:rsidR="00A74165" w:rsidRPr="00DA4C0E" w:rsidRDefault="00A74165" w:rsidP="0002646C">
      <w:pPr>
        <w:pStyle w:val="Uni-Normal"/>
        <w:jc w:val="both"/>
      </w:pPr>
      <w:r w:rsidRPr="00DA4C0E">
        <w:t xml:space="preserve">Local government organisations across the UK face increasing </w:t>
      </w:r>
      <w:r w:rsidR="00A0755F">
        <w:t>service</w:t>
      </w:r>
      <w:r w:rsidRPr="00DA4C0E">
        <w:t xml:space="preserve"> and workforce pressures as they navigate financial constraints, rising service </w:t>
      </w:r>
      <w:r w:rsidR="00413EDB" w:rsidRPr="00DA4C0E">
        <w:t>demands</w:t>
      </w:r>
      <w:r w:rsidR="00413EDB">
        <w:t xml:space="preserve"> and</w:t>
      </w:r>
      <w:r w:rsidRPr="00DA4C0E">
        <w:t xml:space="preserve"> the need to modernise services in response to increasingly complex public needs (Local Government Association, 2024). These pressures are occurring alongside significant demographic change within the public</w:t>
      </w:r>
      <w:r w:rsidR="00B609DB">
        <w:t xml:space="preserve"> </w:t>
      </w:r>
      <w:r w:rsidRPr="00DA4C0E">
        <w:t xml:space="preserve">sector workforce, with Baby Boomers, Generation X, </w:t>
      </w:r>
      <w:r w:rsidR="00413EDB" w:rsidRPr="00DA4C0E">
        <w:t>Millennials</w:t>
      </w:r>
      <w:r w:rsidR="00413EDB">
        <w:t xml:space="preserve"> and</w:t>
      </w:r>
      <w:r w:rsidRPr="00DA4C0E">
        <w:t xml:space="preserve"> </w:t>
      </w:r>
      <w:r w:rsidR="0017563B">
        <w:t>Gen Z</w:t>
      </w:r>
      <w:r w:rsidRPr="00DA4C0E">
        <w:t xml:space="preserve"> now working alongside one another within the same organisations (Marsh McLennan Agency, n.d.). While this generational diversity has the potential to bring varied perspectives and skills, it also increases the complexity of workforce planning and talent management.</w:t>
      </w:r>
    </w:p>
    <w:p w14:paraId="75A8C9B2" w14:textId="46A14003" w:rsidR="00A74165" w:rsidRPr="006F11DD" w:rsidRDefault="00A74165" w:rsidP="0002646C">
      <w:pPr>
        <w:pStyle w:val="Uni-Normal"/>
        <w:jc w:val="both"/>
      </w:pPr>
      <w:r w:rsidRPr="006F11DD">
        <w:t xml:space="preserve">A major challenge facing local authorities is the significant proportion of employees approaching retirement, which increases the risk of skills shortages and loss of institutional </w:t>
      </w:r>
      <w:r w:rsidRPr="006F11DD">
        <w:lastRenderedPageBreak/>
        <w:t xml:space="preserve">knowledge </w:t>
      </w:r>
      <w:r w:rsidR="00030F7F" w:rsidRPr="00030F7F">
        <w:t>(OECD, 2021</w:t>
      </w:r>
      <w:r w:rsidRPr="006F11DD">
        <w:t>). Research suggests that public</w:t>
      </w:r>
      <w:r w:rsidR="00B609DB">
        <w:t xml:space="preserve"> </w:t>
      </w:r>
      <w:r w:rsidRPr="006F11DD">
        <w:t>sector employers are already struggling to replace experienced staff at a sufficient rate to maintain workforce capacity (Deegan et al., 2024). The continued departure of older employees, combined with difficulties attracting younger people to the sector, has raised concerns about organisational resilience and succession planning</w:t>
      </w:r>
      <w:r w:rsidRPr="00C056EE">
        <w:t xml:space="preserve"> </w:t>
      </w:r>
      <w:r w:rsidRPr="0013596E">
        <w:t>(Deegan et al., 2024; Calo, 2008).</w:t>
      </w:r>
    </w:p>
    <w:p w14:paraId="674E9B46" w14:textId="4A36C735" w:rsidR="00A74165" w:rsidRPr="006F11DD" w:rsidRDefault="00A74165" w:rsidP="0002646C">
      <w:pPr>
        <w:pStyle w:val="Uni-Normal"/>
        <w:jc w:val="both"/>
      </w:pPr>
      <w:r w:rsidRPr="006F11DD">
        <w:t xml:space="preserve">At the same time, </w:t>
      </w:r>
      <w:r w:rsidR="0017563B">
        <w:t>Gen Z</w:t>
      </w:r>
      <w:r>
        <w:t xml:space="preserve">, </w:t>
      </w:r>
      <w:r w:rsidRPr="006F11DD">
        <w:t>the newest entrant to the workforce</w:t>
      </w:r>
      <w:r>
        <w:t xml:space="preserve">, </w:t>
      </w:r>
      <w:r w:rsidRPr="006F11DD">
        <w:t>is beginning to form a larger share of UK employment. Early research shows that this cohort holds distinct expectations in relation to technology, communication, values</w:t>
      </w:r>
      <w:r w:rsidRPr="006F11DD">
        <w:noBreakHyphen/>
        <w:t xml:space="preserve">driven work, </w:t>
      </w:r>
      <w:r w:rsidR="00413EDB" w:rsidRPr="006F11DD">
        <w:t>flexibility</w:t>
      </w:r>
      <w:r w:rsidR="00413EDB">
        <w:t xml:space="preserve"> and</w:t>
      </w:r>
      <w:r w:rsidRPr="006F11DD">
        <w:t xml:space="preserve"> career development (Francis &amp; Hoefel, 2018). However, much of this research has been conducted in private</w:t>
      </w:r>
      <w:r w:rsidR="00B609DB">
        <w:t xml:space="preserve"> </w:t>
      </w:r>
      <w:r w:rsidRPr="006F11DD">
        <w:t xml:space="preserve">sector or international contexts, with limited evidence available to help UK local authorities understand what matters most to </w:t>
      </w:r>
      <w:r w:rsidR="0017563B">
        <w:t>Gen Z</w:t>
      </w:r>
      <w:r w:rsidRPr="006F11DD">
        <w:t xml:space="preserve"> in public</w:t>
      </w:r>
      <w:r w:rsidR="00B609DB">
        <w:t xml:space="preserve"> </w:t>
      </w:r>
      <w:r w:rsidRPr="006F11DD">
        <w:t>sector roles.</w:t>
      </w:r>
    </w:p>
    <w:p w14:paraId="4DA7BA59" w14:textId="05630810" w:rsidR="00A74165" w:rsidRPr="00242F74" w:rsidRDefault="00A74165" w:rsidP="0002646C">
      <w:pPr>
        <w:pStyle w:val="Uni-Normal"/>
        <w:jc w:val="both"/>
      </w:pPr>
      <w:r w:rsidRPr="006F11DD">
        <w:t xml:space="preserve">This creates a critical gap for councils, which operate in environments shaped by statutory responsibilities, budget </w:t>
      </w:r>
      <w:r w:rsidR="00413EDB" w:rsidRPr="006F11DD">
        <w:t>constraints</w:t>
      </w:r>
      <w:r w:rsidR="00413EDB">
        <w:t xml:space="preserve"> and</w:t>
      </w:r>
      <w:r w:rsidRPr="006F11DD">
        <w:t xml:space="preserve"> unique organisational cultures. </w:t>
      </w:r>
      <w:r w:rsidR="00242F74" w:rsidRPr="00242F74">
        <w:t>As a result, local authorities cannot assume that talent management approaches developed elsewhere will translate effectively into this context. A clearer understanding of how Gen Z experiences public</w:t>
      </w:r>
      <w:r w:rsidR="00B609DB">
        <w:t xml:space="preserve"> </w:t>
      </w:r>
      <w:r w:rsidR="00242F74" w:rsidRPr="00242F74">
        <w:t xml:space="preserve">sector employment is therefore needed to inform workforce strategies that support engagement and retention. </w:t>
      </w:r>
      <w:r w:rsidR="00A0755F" w:rsidRPr="00A0755F">
        <w:t>To address this, the study</w:t>
      </w:r>
      <w:r w:rsidR="00A0755F">
        <w:t xml:space="preserve"> focuses </w:t>
      </w:r>
      <w:r w:rsidRPr="00242F74">
        <w:t xml:space="preserve">on the experiences of </w:t>
      </w:r>
      <w:r w:rsidR="0017563B" w:rsidRPr="00242F74">
        <w:t>Gen Z</w:t>
      </w:r>
      <w:r w:rsidRPr="00242F74">
        <w:t xml:space="preserve"> employees within Newport City Council</w:t>
      </w:r>
      <w:r w:rsidR="00865CD5" w:rsidRPr="00242F74">
        <w:t xml:space="preserve"> (NCC).</w:t>
      </w:r>
      <w:r w:rsidRPr="00242F74">
        <w:t xml:space="preserve"> </w:t>
      </w:r>
    </w:p>
    <w:p w14:paraId="36A4D414" w14:textId="1AA1C6F0" w:rsidR="00A74165" w:rsidRPr="006F11DD" w:rsidRDefault="00A74165" w:rsidP="0002646C">
      <w:pPr>
        <w:pStyle w:val="2Sectionheading"/>
        <w:jc w:val="both"/>
      </w:pPr>
      <w:bookmarkStart w:id="17" w:name="_Toc233030636"/>
      <w:r w:rsidRPr="006F11DD">
        <w:t xml:space="preserve">1.3 Case Study Organisation – </w:t>
      </w:r>
      <w:r w:rsidR="00025579">
        <w:t>NCC</w:t>
      </w:r>
      <w:bookmarkEnd w:id="17"/>
    </w:p>
    <w:p w14:paraId="6C68E4BF" w14:textId="33325159" w:rsidR="00A74165" w:rsidRPr="002F4955" w:rsidRDefault="00A0755F" w:rsidP="0002646C">
      <w:pPr>
        <w:pStyle w:val="Uni-Normal"/>
        <w:jc w:val="both"/>
      </w:pPr>
      <w:r w:rsidRPr="00A0755F">
        <w:t>NCC, the organisation selected for this study</w:t>
      </w:r>
      <w:r w:rsidR="00A74165" w:rsidRPr="002F4955">
        <w:t xml:space="preserve">, serves as the organisational context for this research. </w:t>
      </w:r>
      <w:r w:rsidR="00242F74" w:rsidRPr="00242F74">
        <w:t xml:space="preserve">As a large local authority in South Wales, NCC employs approximately 6,500 staff and delivers a wide range of public services, including education, social care, housing, environmental </w:t>
      </w:r>
      <w:r w:rsidR="00413EDB" w:rsidRPr="00242F74">
        <w:t>services</w:t>
      </w:r>
      <w:r w:rsidR="00413EDB">
        <w:t xml:space="preserve"> and</w:t>
      </w:r>
      <w:r w:rsidR="00242F74" w:rsidRPr="00242F74">
        <w:t xml:space="preserve"> community support</w:t>
      </w:r>
      <w:r w:rsidR="00242F74">
        <w:t xml:space="preserve"> </w:t>
      </w:r>
      <w:r w:rsidR="00A74165" w:rsidRPr="002F4955">
        <w:t xml:space="preserve">(Newport City Council Strategic Plan for Procurement 2020–2024, n.d.). The size and diversity of its workforce </w:t>
      </w:r>
      <w:r w:rsidR="00242F74" w:rsidRPr="00242F74">
        <w:t>make it a suitable setting for examining how workforce challenges and talent management practices are experienced in a public sector context.</w:t>
      </w:r>
    </w:p>
    <w:p w14:paraId="0F1C594B" w14:textId="255E4C35" w:rsidR="00A74165" w:rsidRDefault="00A74165" w:rsidP="0002646C">
      <w:pPr>
        <w:pStyle w:val="Uni-Normal"/>
        <w:jc w:val="both"/>
      </w:pPr>
      <w:r w:rsidRPr="00242F74">
        <w:t xml:space="preserve">Internal workforce data indicates an ageing employee profile, with a significant proportion of employees eligible for retirement in the coming years (Newport City Council, 2025). In response, NCC has introduced initiatives aimed at improving recruitment and retention, including apprenticeship programmes, graduate pathways, flexible working </w:t>
      </w:r>
      <w:r w:rsidR="00413EDB" w:rsidRPr="00242F74">
        <w:t>arrangements</w:t>
      </w:r>
      <w:r w:rsidR="00413EDB">
        <w:t xml:space="preserve"> and</w:t>
      </w:r>
      <w:r w:rsidRPr="00242F74">
        <w:t xml:space="preserve"> professional development opportunities (Newport City Council, 2023). </w:t>
      </w:r>
      <w:r w:rsidR="00B609DB">
        <w:t xml:space="preserve">However, there </w:t>
      </w:r>
      <w:r w:rsidR="00B609DB">
        <w:lastRenderedPageBreak/>
        <w:t xml:space="preserve">remains limited evidence on how effectively these initiatives align with the expectation and experience of Gen Z employee within this context. </w:t>
      </w:r>
    </w:p>
    <w:p w14:paraId="2B4DD989" w14:textId="42C231E5" w:rsidR="00B609DB" w:rsidRPr="00242F74" w:rsidRDefault="00B609DB" w:rsidP="0002646C">
      <w:pPr>
        <w:pStyle w:val="Uni-Normal"/>
        <w:jc w:val="both"/>
      </w:pPr>
      <w:r w:rsidRPr="00B11D4C">
        <w:t xml:space="preserve">This workforce challenge sits within a wider local demographic context. Census data indicates that Newport has a comparatively young population profile, ranking as the second youngest local authority in Wales after Cardiff, with a median age of 38 (Office for National Statistics, 2023). This suggests that, alongside an ageing workforce, there is also a relatively strong presence of younger people within </w:t>
      </w:r>
      <w:r>
        <w:t>Newport</w:t>
      </w:r>
      <w:r w:rsidRPr="00B11D4C">
        <w:t>. While this does not remove the pressures associated with workforce ageing, it highlights a potential opportunity for NCC to draw on a local pipeline of younger talent. This makes NCC a relevant case study for exploring how effectively talent management practices align with the expectations of Gen Z employees.</w:t>
      </w:r>
    </w:p>
    <w:p w14:paraId="4D9A46EC" w14:textId="77777777" w:rsidR="00A74165" w:rsidRPr="0013596E" w:rsidRDefault="00A74165" w:rsidP="0002646C">
      <w:pPr>
        <w:pStyle w:val="2Sectionheading"/>
        <w:jc w:val="both"/>
      </w:pPr>
      <w:bookmarkStart w:id="18" w:name="_Toc233030637"/>
      <w:r w:rsidRPr="0013596E">
        <w:t>1.4 The Research Problem</w:t>
      </w:r>
      <w:bookmarkEnd w:id="13"/>
      <w:bookmarkEnd w:id="14"/>
      <w:bookmarkEnd w:id="18"/>
    </w:p>
    <w:p w14:paraId="329F99D0" w14:textId="2998AF60" w:rsidR="00A74165" w:rsidRPr="00C37975" w:rsidRDefault="00A74165" w:rsidP="0002646C">
      <w:pPr>
        <w:pStyle w:val="Uni-Normal"/>
        <w:jc w:val="both"/>
      </w:pPr>
      <w:r w:rsidRPr="00C37975">
        <w:t>Local government organisations, including NCC, face growing workforce vulnerabilities driven by demographic change. Evidence from the local government sector identifies population ageing as a structural risk to workforce sustainability, with retirement rates increasingly outpacing replacement and skills demands intensifying (</w:t>
      </w:r>
      <w:proofErr w:type="spellStart"/>
      <w:r w:rsidRPr="00C37975">
        <w:t>Evandrou</w:t>
      </w:r>
      <w:proofErr w:type="spellEnd"/>
      <w:r w:rsidRPr="00C37975">
        <w:t xml:space="preserve"> et al., 2015). Within this context, NCC’s People Plan 2023–2028 recognises the importance of sustaining </w:t>
      </w:r>
      <w:r w:rsidRPr="001D7283">
        <w:t xml:space="preserve">organisational capability, developing talent and supporting workforce transformation to ensure continued service delivery in an evolving employment environment (Newport City Council, 2023). </w:t>
      </w:r>
      <w:r w:rsidR="00242F74" w:rsidRPr="001D7283">
        <w:t>These conditions</w:t>
      </w:r>
      <w:r w:rsidRPr="001D7283">
        <w:t xml:space="preserve"> </w:t>
      </w:r>
      <w:r w:rsidR="001D7283" w:rsidRPr="001D7283">
        <w:t xml:space="preserve">present </w:t>
      </w:r>
      <w:r w:rsidR="00242F74" w:rsidRPr="001D7283">
        <w:t>critical challenges for</w:t>
      </w:r>
      <w:r w:rsidRPr="001D7283">
        <w:t xml:space="preserve"> how local authorities can effectively manage talent across generations to maintain</w:t>
      </w:r>
      <w:r w:rsidR="00242F74" w:rsidRPr="001D7283">
        <w:t xml:space="preserve"> workforce</w:t>
      </w:r>
      <w:r w:rsidRPr="001D7283">
        <w:t xml:space="preserve"> continuity, capability and organisational resilience.</w:t>
      </w:r>
    </w:p>
    <w:p w14:paraId="2FDC7E61" w14:textId="03E5DEA1" w:rsidR="00A74165" w:rsidRPr="0013596E" w:rsidRDefault="00A74165" w:rsidP="0002646C">
      <w:pPr>
        <w:pStyle w:val="Uni-Normal"/>
        <w:jc w:val="both"/>
      </w:pPr>
      <w:r w:rsidRPr="0013596E">
        <w:t>Despite the importance of these challenges, there remains limited empirical research on how generational differences influence talent management practices specifically within local government contexts, as most studies focus on private sector settings or general HR preferences without contextualising public</w:t>
      </w:r>
      <w:r w:rsidR="001D7283">
        <w:t xml:space="preserve"> </w:t>
      </w:r>
      <w:r w:rsidRPr="0013596E">
        <w:t>sector dynamics (</w:t>
      </w:r>
      <w:proofErr w:type="spellStart"/>
      <w:r w:rsidRPr="0013596E">
        <w:t>Thunnissen</w:t>
      </w:r>
      <w:proofErr w:type="spellEnd"/>
      <w:r w:rsidRPr="0013596E">
        <w:t xml:space="preserve"> &amp; </w:t>
      </w:r>
      <w:proofErr w:type="spellStart"/>
      <w:r w:rsidRPr="0013596E">
        <w:t>Buttiens</w:t>
      </w:r>
      <w:proofErr w:type="spellEnd"/>
      <w:r w:rsidRPr="0013596E">
        <w:t xml:space="preserve">, 2017). </w:t>
      </w:r>
      <w:bookmarkStart w:id="19" w:name="_Toc217916762"/>
      <w:bookmarkStart w:id="20" w:name="_Toc218671375"/>
      <w:r w:rsidRPr="0013596E">
        <w:t xml:space="preserve">This is significant because councils operate within statutory, </w:t>
      </w:r>
      <w:r w:rsidR="00413EDB" w:rsidRPr="0013596E">
        <w:t>procedural</w:t>
      </w:r>
      <w:r w:rsidR="00413EDB">
        <w:t xml:space="preserve"> and</w:t>
      </w:r>
      <w:r w:rsidRPr="0013596E">
        <w:t xml:space="preserve"> financial constraints that influence how managers can design and implement workforce strategies. These unique conditions mean that talent management practices cannot</w:t>
      </w:r>
      <w:r w:rsidRPr="00570C9D">
        <w:t xml:space="preserve"> be directly transferred from private</w:t>
      </w:r>
      <w:r w:rsidR="00B609DB">
        <w:t xml:space="preserve"> </w:t>
      </w:r>
      <w:r w:rsidRPr="00570C9D">
        <w:t>sector models and must instead be adapted to a public</w:t>
      </w:r>
      <w:r w:rsidR="00B609DB">
        <w:t xml:space="preserve"> </w:t>
      </w:r>
      <w:r w:rsidRPr="00570C9D">
        <w:t>sector environment</w:t>
      </w:r>
      <w:r>
        <w:t xml:space="preserve">. </w:t>
      </w:r>
      <w:r w:rsidRPr="0013596E">
        <w:t xml:space="preserve">In response to this gap, this research draws on established talent management literature, largely developed in private sector contexts and critically examines its relevance and applicability to managing </w:t>
      </w:r>
      <w:r w:rsidR="0017563B">
        <w:t>Gen Z</w:t>
      </w:r>
      <w:r w:rsidRPr="0013596E">
        <w:t xml:space="preserve"> within local government through a public sector lens.</w:t>
      </w:r>
    </w:p>
    <w:p w14:paraId="38E92375" w14:textId="77777777" w:rsidR="00A74165" w:rsidRDefault="00A74165" w:rsidP="0002646C">
      <w:pPr>
        <w:pStyle w:val="2Sectionheading"/>
        <w:jc w:val="both"/>
      </w:pPr>
      <w:bookmarkStart w:id="21" w:name="_Toc233030638"/>
      <w:r w:rsidRPr="0013596E">
        <w:rPr>
          <w:lang w:eastAsia="en-GB"/>
        </w:rPr>
        <w:lastRenderedPageBreak/>
        <w:t>1.5 Research</w:t>
      </w:r>
      <w:r w:rsidRPr="0013596E">
        <w:t xml:space="preserve"> </w:t>
      </w:r>
      <w:bookmarkEnd w:id="19"/>
      <w:r w:rsidRPr="0013596E">
        <w:t>Aims, Objectives and Questions</w:t>
      </w:r>
      <w:bookmarkEnd w:id="20"/>
      <w:bookmarkEnd w:id="21"/>
    </w:p>
    <w:p w14:paraId="4ACAF8AB" w14:textId="3D18C633" w:rsidR="00B609DB" w:rsidRPr="00B609DB" w:rsidRDefault="00B609DB" w:rsidP="00B609DB">
      <w:pPr>
        <w:pStyle w:val="Uni-Normal"/>
        <w:rPr>
          <w:b/>
          <w:bCs/>
        </w:rPr>
      </w:pPr>
      <w:r w:rsidRPr="00B609DB">
        <w:rPr>
          <w:b/>
          <w:bCs/>
        </w:rPr>
        <w:t>Aims</w:t>
      </w:r>
    </w:p>
    <w:p w14:paraId="63021FA3" w14:textId="789F9364" w:rsidR="00A74165" w:rsidRPr="0013596E" w:rsidRDefault="00A74165" w:rsidP="0002646C">
      <w:pPr>
        <w:pStyle w:val="Uni-Normal"/>
        <w:jc w:val="both"/>
      </w:pPr>
      <w:r w:rsidRPr="0013596E">
        <w:t xml:space="preserve">To critically assess how </w:t>
      </w:r>
      <w:r w:rsidR="00865CD5">
        <w:t>NCC</w:t>
      </w:r>
      <w:r w:rsidRPr="0013596E">
        <w:t xml:space="preserve"> can adapt talent management approaches to engage </w:t>
      </w:r>
      <w:r w:rsidR="0017563B">
        <w:t>Gen Z</w:t>
      </w:r>
      <w:r w:rsidRPr="0013596E">
        <w:t xml:space="preserve"> and strengthen workforce resilience for the future.</w:t>
      </w:r>
    </w:p>
    <w:p w14:paraId="2A72C77A" w14:textId="77777777" w:rsidR="00025579" w:rsidRDefault="00025579" w:rsidP="0002646C">
      <w:pPr>
        <w:pStyle w:val="Uni-Normal"/>
        <w:jc w:val="both"/>
        <w:rPr>
          <w:b/>
          <w:bCs/>
        </w:rPr>
      </w:pPr>
    </w:p>
    <w:p w14:paraId="63848BC6" w14:textId="79FE438F" w:rsidR="00A74165" w:rsidRPr="0013596E" w:rsidRDefault="00A74165" w:rsidP="0002646C">
      <w:pPr>
        <w:pStyle w:val="Uni-Normal"/>
        <w:jc w:val="both"/>
      </w:pPr>
      <w:r w:rsidRPr="0013596E">
        <w:rPr>
          <w:b/>
          <w:bCs/>
        </w:rPr>
        <w:t>Objectives</w:t>
      </w:r>
      <w:r w:rsidRPr="0013596E">
        <w:t> </w:t>
      </w:r>
    </w:p>
    <w:p w14:paraId="6EF329C8" w14:textId="73F2F6AD" w:rsidR="00A74165" w:rsidRPr="0013596E" w:rsidRDefault="00A74165" w:rsidP="0002646C">
      <w:pPr>
        <w:pStyle w:val="Uni-Normal"/>
        <w:numPr>
          <w:ilvl w:val="0"/>
          <w:numId w:val="7"/>
        </w:numPr>
        <w:jc w:val="both"/>
        <w:rPr>
          <w:lang w:eastAsia="en-GB"/>
        </w:rPr>
      </w:pPr>
      <w:r w:rsidRPr="0013596E">
        <w:rPr>
          <w:lang w:eastAsia="en-GB"/>
        </w:rPr>
        <w:t xml:space="preserve">To explore the role of talent management in shaping the workplace expectations, </w:t>
      </w:r>
      <w:r w:rsidR="00413EDB" w:rsidRPr="0013596E">
        <w:rPr>
          <w:lang w:eastAsia="en-GB"/>
        </w:rPr>
        <w:t>preferences</w:t>
      </w:r>
      <w:r w:rsidR="00413EDB">
        <w:rPr>
          <w:lang w:eastAsia="en-GB"/>
        </w:rPr>
        <w:t xml:space="preserve"> and</w:t>
      </w:r>
      <w:r w:rsidRPr="0013596E">
        <w:rPr>
          <w:lang w:eastAsia="en-GB"/>
        </w:rPr>
        <w:t xml:space="preserve"> behaviours of </w:t>
      </w:r>
      <w:r w:rsidR="0017563B">
        <w:rPr>
          <w:lang w:eastAsia="en-GB"/>
        </w:rPr>
        <w:t>Gen Z</w:t>
      </w:r>
      <w:r w:rsidRPr="0013596E">
        <w:rPr>
          <w:lang w:eastAsia="en-GB"/>
        </w:rPr>
        <w:t xml:space="preserve"> within UK local government.</w:t>
      </w:r>
    </w:p>
    <w:p w14:paraId="0196CB5B" w14:textId="151098F3" w:rsidR="00A74165" w:rsidRPr="0013596E" w:rsidRDefault="00A74165" w:rsidP="0002646C">
      <w:pPr>
        <w:pStyle w:val="Uni-Normal"/>
        <w:numPr>
          <w:ilvl w:val="0"/>
          <w:numId w:val="7"/>
        </w:numPr>
        <w:jc w:val="both"/>
        <w:rPr>
          <w:lang w:eastAsia="en-GB"/>
        </w:rPr>
      </w:pPr>
      <w:r w:rsidRPr="0013596E">
        <w:rPr>
          <w:lang w:eastAsia="en-GB"/>
        </w:rPr>
        <w:t xml:space="preserve">To investigate the challenges and opportunities of engaging and retaining </w:t>
      </w:r>
      <w:r w:rsidR="0017563B">
        <w:rPr>
          <w:lang w:eastAsia="en-GB"/>
        </w:rPr>
        <w:t>Gen Z</w:t>
      </w:r>
      <w:r w:rsidRPr="0013596E">
        <w:rPr>
          <w:lang w:eastAsia="en-GB"/>
        </w:rPr>
        <w:t xml:space="preserve"> in UK local government, focusing on the impact of talent management practices on organisational culture, career </w:t>
      </w:r>
      <w:r w:rsidR="00413EDB" w:rsidRPr="0013596E">
        <w:rPr>
          <w:lang w:eastAsia="en-GB"/>
        </w:rPr>
        <w:t>development</w:t>
      </w:r>
      <w:r w:rsidR="00413EDB">
        <w:rPr>
          <w:lang w:eastAsia="en-GB"/>
        </w:rPr>
        <w:t xml:space="preserve"> and</w:t>
      </w:r>
      <w:r w:rsidRPr="0013596E">
        <w:rPr>
          <w:lang w:eastAsia="en-GB"/>
        </w:rPr>
        <w:t xml:space="preserve"> employee engagement.</w:t>
      </w:r>
    </w:p>
    <w:p w14:paraId="1104128A" w14:textId="72F86B1A" w:rsidR="00A74165" w:rsidRPr="0013596E" w:rsidRDefault="00A74165" w:rsidP="0002646C">
      <w:pPr>
        <w:pStyle w:val="Uni-Normal"/>
        <w:numPr>
          <w:ilvl w:val="0"/>
          <w:numId w:val="7"/>
        </w:numPr>
        <w:jc w:val="both"/>
        <w:rPr>
          <w:lang w:eastAsia="en-GB"/>
        </w:rPr>
      </w:pPr>
      <w:r w:rsidRPr="0013596E">
        <w:rPr>
          <w:lang w:eastAsia="en-GB"/>
        </w:rPr>
        <w:t xml:space="preserve">To critically evaluate the effectiveness and alignment of current talent management strategies and initiatives in attracting and retaining </w:t>
      </w:r>
      <w:r w:rsidR="0017563B">
        <w:rPr>
          <w:lang w:eastAsia="en-GB"/>
        </w:rPr>
        <w:t>Gen Z</w:t>
      </w:r>
      <w:r w:rsidRPr="0013596E">
        <w:rPr>
          <w:lang w:eastAsia="en-GB"/>
        </w:rPr>
        <w:t xml:space="preserve"> employees within local government.</w:t>
      </w:r>
    </w:p>
    <w:p w14:paraId="6447FF9D" w14:textId="4A003163" w:rsidR="00A74165" w:rsidRPr="0013596E" w:rsidRDefault="00A74165" w:rsidP="0002646C">
      <w:pPr>
        <w:pStyle w:val="Uni-Normal"/>
        <w:numPr>
          <w:ilvl w:val="0"/>
          <w:numId w:val="7"/>
        </w:numPr>
        <w:jc w:val="both"/>
        <w:rPr>
          <w:lang w:eastAsia="en-GB"/>
        </w:rPr>
      </w:pPr>
      <w:r w:rsidRPr="0013596E">
        <w:rPr>
          <w:lang w:eastAsia="en-GB"/>
        </w:rPr>
        <w:t xml:space="preserve">To recommend evidence-based strategies for </w:t>
      </w:r>
      <w:r w:rsidR="00865CD5">
        <w:rPr>
          <w:lang w:eastAsia="en-GB"/>
        </w:rPr>
        <w:t>NCC</w:t>
      </w:r>
      <w:r w:rsidRPr="0013596E">
        <w:rPr>
          <w:lang w:eastAsia="en-GB"/>
        </w:rPr>
        <w:t xml:space="preserve"> to enhance talent management practices, ensuring effective engagement, </w:t>
      </w:r>
      <w:r w:rsidR="00413EDB" w:rsidRPr="0013596E">
        <w:rPr>
          <w:lang w:eastAsia="en-GB"/>
        </w:rPr>
        <w:t>retention</w:t>
      </w:r>
      <w:r w:rsidR="00413EDB">
        <w:rPr>
          <w:lang w:eastAsia="en-GB"/>
        </w:rPr>
        <w:t xml:space="preserve"> and</w:t>
      </w:r>
      <w:r w:rsidRPr="0013596E">
        <w:rPr>
          <w:lang w:eastAsia="en-GB"/>
        </w:rPr>
        <w:t xml:space="preserve"> workforce sustainability for </w:t>
      </w:r>
      <w:r w:rsidR="0017563B">
        <w:rPr>
          <w:lang w:eastAsia="en-GB"/>
        </w:rPr>
        <w:t>Gen Z</w:t>
      </w:r>
      <w:r w:rsidRPr="0013596E">
        <w:rPr>
          <w:lang w:eastAsia="en-GB"/>
        </w:rPr>
        <w:t xml:space="preserve"> employees.</w:t>
      </w:r>
    </w:p>
    <w:p w14:paraId="39261A51" w14:textId="77777777" w:rsidR="00A74165" w:rsidRPr="0013596E" w:rsidRDefault="00A74165" w:rsidP="0002646C">
      <w:pPr>
        <w:pStyle w:val="Uni-Normal"/>
        <w:jc w:val="both"/>
        <w:rPr>
          <w:b/>
          <w:bCs/>
        </w:rPr>
      </w:pPr>
      <w:bookmarkStart w:id="22" w:name="_Toc217916763"/>
      <w:r w:rsidRPr="0013596E">
        <w:rPr>
          <w:b/>
          <w:bCs/>
        </w:rPr>
        <w:t>Research Questions</w:t>
      </w:r>
      <w:bookmarkEnd w:id="22"/>
      <w:r w:rsidRPr="0013596E">
        <w:rPr>
          <w:b/>
          <w:bCs/>
        </w:rPr>
        <w:t xml:space="preserve"> </w:t>
      </w:r>
    </w:p>
    <w:p w14:paraId="05CC635B" w14:textId="77777777" w:rsidR="00A74165" w:rsidRPr="0013596E" w:rsidRDefault="00A74165" w:rsidP="0002646C">
      <w:pPr>
        <w:pStyle w:val="Uni-Normal"/>
        <w:jc w:val="both"/>
      </w:pPr>
      <w:r w:rsidRPr="0013596E">
        <w:t>To guide this exploratory study, the following research questions will be addressed:</w:t>
      </w:r>
    </w:p>
    <w:p w14:paraId="0D0C49F1" w14:textId="55593E71" w:rsidR="00A74165" w:rsidRPr="0013596E" w:rsidRDefault="00A74165" w:rsidP="0002646C">
      <w:pPr>
        <w:pStyle w:val="Uni-Normal"/>
        <w:jc w:val="both"/>
      </w:pPr>
      <w:r w:rsidRPr="0013596E">
        <w:rPr>
          <w:b/>
          <w:bCs/>
        </w:rPr>
        <w:t>RQ1.</w:t>
      </w:r>
      <w:r w:rsidRPr="0013596E">
        <w:t xml:space="preserve"> How does talent management shape the workplace expectations, </w:t>
      </w:r>
      <w:r w:rsidR="00413EDB" w:rsidRPr="0013596E">
        <w:t>preferences</w:t>
      </w:r>
      <w:r w:rsidR="00413EDB">
        <w:t xml:space="preserve"> and</w:t>
      </w:r>
      <w:r w:rsidRPr="0013596E">
        <w:t xml:space="preserve"> behaviours of </w:t>
      </w:r>
      <w:r w:rsidR="0017563B">
        <w:t>Gen Z</w:t>
      </w:r>
      <w:r w:rsidRPr="0013596E">
        <w:t xml:space="preserve"> employees within UK local government?</w:t>
      </w:r>
    </w:p>
    <w:p w14:paraId="2B7D58A7" w14:textId="459C6180" w:rsidR="00A74165" w:rsidRPr="0013596E" w:rsidRDefault="00A74165" w:rsidP="0002646C">
      <w:pPr>
        <w:pStyle w:val="Uni-Normal"/>
        <w:jc w:val="both"/>
      </w:pPr>
      <w:r w:rsidRPr="0013596E">
        <w:rPr>
          <w:b/>
          <w:bCs/>
        </w:rPr>
        <w:t>RQ2.</w:t>
      </w:r>
      <w:r w:rsidRPr="0013596E">
        <w:t xml:space="preserve"> What challenges and opportunities exist in engaging and retaining </w:t>
      </w:r>
      <w:r w:rsidR="0017563B">
        <w:t>Gen Z</w:t>
      </w:r>
      <w:r w:rsidRPr="0013596E">
        <w:t xml:space="preserve"> in UK local </w:t>
      </w:r>
      <w:r w:rsidR="00413EDB" w:rsidRPr="0013596E">
        <w:t>government</w:t>
      </w:r>
      <w:r w:rsidR="00413EDB">
        <w:t xml:space="preserve"> and</w:t>
      </w:r>
      <w:r w:rsidRPr="0013596E">
        <w:t xml:space="preserve"> how do talent management practices influence organisational culture, career </w:t>
      </w:r>
      <w:r w:rsidR="00413EDB" w:rsidRPr="0013596E">
        <w:t>development</w:t>
      </w:r>
      <w:r w:rsidR="00413EDB">
        <w:t xml:space="preserve"> and</w:t>
      </w:r>
      <w:r w:rsidRPr="0013596E">
        <w:t xml:space="preserve"> employee engagement?</w:t>
      </w:r>
    </w:p>
    <w:p w14:paraId="02BEB7B1" w14:textId="2D189481" w:rsidR="00A74165" w:rsidRPr="0013596E" w:rsidRDefault="00A74165" w:rsidP="0002646C">
      <w:pPr>
        <w:pStyle w:val="Uni-Normal"/>
        <w:jc w:val="both"/>
      </w:pPr>
      <w:r w:rsidRPr="0013596E">
        <w:rPr>
          <w:b/>
          <w:bCs/>
        </w:rPr>
        <w:lastRenderedPageBreak/>
        <w:t>RQ3.</w:t>
      </w:r>
      <w:r w:rsidRPr="0013596E">
        <w:t xml:space="preserve"> To what extent are current talent management strategies and initiatives effective and aligned in attracting and retaining </w:t>
      </w:r>
      <w:r w:rsidR="0017563B">
        <w:t>Gen Z</w:t>
      </w:r>
      <w:r w:rsidRPr="0013596E">
        <w:t xml:space="preserve"> employees within local government?</w:t>
      </w:r>
    </w:p>
    <w:p w14:paraId="6999BD8A" w14:textId="0A012AB5" w:rsidR="00A74165" w:rsidRPr="0013596E" w:rsidRDefault="00A74165" w:rsidP="0002646C">
      <w:pPr>
        <w:pStyle w:val="Uni-Normal"/>
        <w:jc w:val="both"/>
      </w:pPr>
      <w:r w:rsidRPr="0013596E">
        <w:rPr>
          <w:b/>
          <w:bCs/>
        </w:rPr>
        <w:t>RQ4.</w:t>
      </w:r>
      <w:r w:rsidRPr="0013596E">
        <w:rPr>
          <w:rFonts w:ascii="Segoe UI" w:eastAsia="Times New Roman" w:hAnsi="Segoe UI" w:cs="Segoe UI"/>
          <w:sz w:val="21"/>
          <w:szCs w:val="21"/>
          <w:lang w:eastAsia="en-GB"/>
        </w:rPr>
        <w:t xml:space="preserve"> </w:t>
      </w:r>
      <w:r w:rsidRPr="0013596E">
        <w:t xml:space="preserve">What evidence-based strategies can </w:t>
      </w:r>
      <w:r w:rsidR="00865CD5">
        <w:t>NCC</w:t>
      </w:r>
      <w:r w:rsidRPr="0013596E">
        <w:t xml:space="preserve"> adopt to enhance talent management practices for </w:t>
      </w:r>
      <w:r w:rsidR="0017563B">
        <w:t>Gen Z</w:t>
      </w:r>
      <w:r w:rsidRPr="0013596E">
        <w:t xml:space="preserve">, ensuring engagement, </w:t>
      </w:r>
      <w:r w:rsidR="00413EDB" w:rsidRPr="0013596E">
        <w:t>retention</w:t>
      </w:r>
      <w:r w:rsidR="00413EDB">
        <w:t xml:space="preserve"> and</w:t>
      </w:r>
      <w:r w:rsidRPr="0013596E">
        <w:t xml:space="preserve"> workforce sustainability?</w:t>
      </w:r>
    </w:p>
    <w:p w14:paraId="4A0958D6" w14:textId="77777777" w:rsidR="00A74165" w:rsidRPr="0013596E" w:rsidRDefault="00A74165" w:rsidP="0002646C">
      <w:pPr>
        <w:pStyle w:val="2Sectionheading"/>
        <w:jc w:val="both"/>
      </w:pPr>
      <w:bookmarkStart w:id="23" w:name="_Toc217916761"/>
      <w:bookmarkStart w:id="24" w:name="_Toc218671376"/>
      <w:bookmarkStart w:id="25" w:name="_Toc233030639"/>
      <w:r w:rsidRPr="0013596E">
        <w:t>1.6 Research Scope</w:t>
      </w:r>
      <w:bookmarkEnd w:id="23"/>
      <w:bookmarkEnd w:id="24"/>
      <w:bookmarkEnd w:id="25"/>
    </w:p>
    <w:p w14:paraId="63A1E454" w14:textId="22566118" w:rsidR="00A74165" w:rsidRPr="0013596E" w:rsidRDefault="00A74165" w:rsidP="0002646C">
      <w:pPr>
        <w:pStyle w:val="Uni-Normal"/>
        <w:jc w:val="both"/>
      </w:pPr>
      <w:r w:rsidRPr="0013596E">
        <w:t xml:space="preserve">This study focuses exclusively on </w:t>
      </w:r>
      <w:r w:rsidR="0017563B">
        <w:t>Gen Z</w:t>
      </w:r>
      <w:r w:rsidRPr="0013596E">
        <w:t xml:space="preserve"> employees at </w:t>
      </w:r>
      <w:r w:rsidR="00865CD5">
        <w:t>NCC</w:t>
      </w:r>
      <w:r w:rsidRPr="0013596E">
        <w:t xml:space="preserve">. The research will employ a quantitative approach, using surveys to gather data on the experiences, </w:t>
      </w:r>
      <w:r w:rsidR="00413EDB" w:rsidRPr="0013596E">
        <w:t>expectations</w:t>
      </w:r>
      <w:r w:rsidR="00413EDB">
        <w:t xml:space="preserve"> and</w:t>
      </w:r>
      <w:r w:rsidRPr="0013596E">
        <w:t xml:space="preserve"> engagement of </w:t>
      </w:r>
      <w:r w:rsidR="0017563B">
        <w:t>Gen Z</w:t>
      </w:r>
      <w:r w:rsidRPr="0013596E">
        <w:t xml:space="preserve"> within the organisation. Surveys will be distributed to </w:t>
      </w:r>
      <w:r>
        <w:t>685</w:t>
      </w:r>
      <w:r w:rsidRPr="0013596E">
        <w:t xml:space="preserve"> </w:t>
      </w:r>
      <w:r w:rsidR="0017563B">
        <w:t>Gen Z</w:t>
      </w:r>
      <w:r w:rsidRPr="0013596E">
        <w:t xml:space="preserve"> employees within the council </w:t>
      </w:r>
      <w:r w:rsidRPr="0013596E">
        <w:rPr>
          <w:noProof/>
        </w:rPr>
        <w:t>(</w:t>
      </w:r>
      <w:r w:rsidRPr="0013596E">
        <w:rPr>
          <w:szCs w:val="24"/>
        </w:rPr>
        <w:t>Newport City Council, 2025)</w:t>
      </w:r>
      <w:r w:rsidRPr="0013596E">
        <w:t xml:space="preserve">. The study is limited to current employees of </w:t>
      </w:r>
      <w:r w:rsidR="00865CD5">
        <w:t>NCC</w:t>
      </w:r>
      <w:r w:rsidRPr="0013596E">
        <w:t xml:space="preserve"> and does not include other generational groups or other local authorities. By concentrating on this specific context and demographic, the research aims to provide actionable insights for talent management strategies tailored to the needs of </w:t>
      </w:r>
      <w:r w:rsidR="0017563B">
        <w:t>Gen Z</w:t>
      </w:r>
      <w:r w:rsidRPr="0013596E">
        <w:t xml:space="preserve"> in local government.</w:t>
      </w:r>
      <w:r w:rsidRPr="0013596E">
        <w:rPr>
          <w:rFonts w:ascii="Segoe UI" w:eastAsia="Times New Roman" w:hAnsi="Segoe UI" w:cs="Segoe UI"/>
          <w:sz w:val="21"/>
          <w:szCs w:val="21"/>
          <w:lang w:eastAsia="en-GB"/>
        </w:rPr>
        <w:t xml:space="preserve"> </w:t>
      </w:r>
      <w:r w:rsidRPr="0013596E">
        <w:t xml:space="preserve">It is acknowledged that while this scope provides valuable insight for </w:t>
      </w:r>
      <w:r w:rsidR="00865CD5">
        <w:t>NCC</w:t>
      </w:r>
      <w:r w:rsidRPr="0013596E">
        <w:t>, its exclusive focus may limit the generalisability of findings to other public sector organisations or local authorities.</w:t>
      </w:r>
    </w:p>
    <w:p w14:paraId="54C15B82" w14:textId="77777777" w:rsidR="00A74165" w:rsidRPr="0013596E" w:rsidRDefault="00A74165" w:rsidP="0002646C">
      <w:pPr>
        <w:pStyle w:val="2Sectionheading"/>
        <w:jc w:val="both"/>
      </w:pPr>
      <w:bookmarkStart w:id="26" w:name="_Toc218671377"/>
      <w:bookmarkStart w:id="27" w:name="_Toc217916760"/>
      <w:bookmarkStart w:id="28" w:name="_Toc217916764"/>
      <w:bookmarkStart w:id="29" w:name="_Toc218671378"/>
      <w:bookmarkStart w:id="30" w:name="_Toc233030640"/>
      <w:bookmarkEnd w:id="15"/>
      <w:r w:rsidRPr="0013596E">
        <w:t>1.7 Justification</w:t>
      </w:r>
      <w:bookmarkEnd w:id="26"/>
      <w:bookmarkEnd w:id="30"/>
      <w:r w:rsidRPr="0013596E">
        <w:t xml:space="preserve"> </w:t>
      </w:r>
      <w:bookmarkEnd w:id="27"/>
    </w:p>
    <w:p w14:paraId="18E060C5" w14:textId="7A897B37" w:rsidR="00A74165" w:rsidRPr="0013596E" w:rsidRDefault="00A74165" w:rsidP="0002646C">
      <w:pPr>
        <w:pStyle w:val="Uni-Normal"/>
        <w:jc w:val="both"/>
      </w:pPr>
      <w:r w:rsidRPr="0013596E">
        <w:t xml:space="preserve">There is a clear gap in research on talent management within UK local authorities, particularly regarding generational differences in the workforce. Councils are facing unprecedented challenges: severe financial constraints, escalating service </w:t>
      </w:r>
      <w:r w:rsidR="00413EDB" w:rsidRPr="0013596E">
        <w:t>demands</w:t>
      </w:r>
      <w:r w:rsidR="00413EDB">
        <w:t xml:space="preserve"> and</w:t>
      </w:r>
      <w:r w:rsidRPr="0013596E">
        <w:t xml:space="preserve"> an acute need to attract and retain younger employees (Mazars, 2023). As Deegan et al. (2024), writing for the County Councils Network’s </w:t>
      </w:r>
      <w:r w:rsidRPr="0013596E">
        <w:rPr>
          <w:i/>
          <w:iCs/>
        </w:rPr>
        <w:t>Workforce of the Future</w:t>
      </w:r>
      <w:r w:rsidRPr="0013596E">
        <w:t xml:space="preserve"> report, highlight, the combination of limited workforce capacity, an ageing </w:t>
      </w:r>
      <w:r w:rsidR="00413EDB" w:rsidRPr="0013596E">
        <w:t>population</w:t>
      </w:r>
      <w:r w:rsidR="00413EDB">
        <w:t xml:space="preserve"> and</w:t>
      </w:r>
      <w:r w:rsidRPr="0013596E">
        <w:t xml:space="preserve"> insufficient younger talent poses serious risks to local government’s ability to deliver essential services. Notably, under</w:t>
      </w:r>
      <w:r w:rsidRPr="0013596E">
        <w:noBreakHyphen/>
        <w:t>25s comprise just 4.6% of the local government workforce in England and Wales, while 66.9% are aged 40–64, a demographic imbalance that threatens long</w:t>
      </w:r>
      <w:r w:rsidRPr="0013596E">
        <w:noBreakHyphen/>
        <w:t xml:space="preserve">term </w:t>
      </w:r>
      <w:r w:rsidR="00242F74">
        <w:t xml:space="preserve">workforce </w:t>
      </w:r>
      <w:r w:rsidRPr="0013596E">
        <w:t xml:space="preserve">sustainability (Deegan et al., 2024). If these issues remain unaddressed, councils risk workforce instability, increased recruitment </w:t>
      </w:r>
      <w:r w:rsidR="00413EDB" w:rsidRPr="0013596E">
        <w:t>costs</w:t>
      </w:r>
      <w:r w:rsidR="00413EDB">
        <w:t xml:space="preserve"> and</w:t>
      </w:r>
      <w:r w:rsidRPr="0013596E">
        <w:t xml:space="preserve"> compromised service delivery, ultimately undermining public trust and organisational resilience.</w:t>
      </w:r>
    </w:p>
    <w:p w14:paraId="72ED3789" w14:textId="6397CF43" w:rsidR="00A74165" w:rsidRPr="0013596E" w:rsidRDefault="00A74165" w:rsidP="0002646C">
      <w:pPr>
        <w:pStyle w:val="Uni-Normal"/>
        <w:jc w:val="both"/>
      </w:pPr>
      <w:r w:rsidRPr="0013596E">
        <w:t xml:space="preserve">The urgency of this issue is amplified by demographic realities. </w:t>
      </w:r>
      <w:r w:rsidR="0017563B">
        <w:t>Gen Z</w:t>
      </w:r>
      <w:r w:rsidRPr="0013596E">
        <w:t xml:space="preserve"> accounts for approximately 30% of the global population and is projected to represent 27% of the global workforce by 2025 (Demetriou, 2024). Their integration into local government is therefore </w:t>
      </w:r>
      <w:r w:rsidRPr="0013596E">
        <w:lastRenderedPageBreak/>
        <w:t xml:space="preserve">critical for future proofing public sector sustainability. Yet, while previous studies have examined talent management, very few have explored how </w:t>
      </w:r>
      <w:r w:rsidR="0017563B">
        <w:t>Gen Z</w:t>
      </w:r>
      <w:r w:rsidRPr="0013596E">
        <w:t xml:space="preserve"> is entering and shaping the UK </w:t>
      </w:r>
      <w:r w:rsidR="00242F74">
        <w:t>p</w:t>
      </w:r>
      <w:r w:rsidRPr="0013596E">
        <w:t xml:space="preserve">ublic </w:t>
      </w:r>
      <w:r w:rsidR="00242F74">
        <w:t>s</w:t>
      </w:r>
      <w:r w:rsidR="00242F74" w:rsidRPr="0013596E">
        <w:t>ector</w:t>
      </w:r>
      <w:r w:rsidRPr="0013596E">
        <w:t xml:space="preserve"> workforce. This cohort brings distinct values such as flexibility, </w:t>
      </w:r>
      <w:r w:rsidR="00413EDB" w:rsidRPr="0013596E">
        <w:t>inclusivity</w:t>
      </w:r>
      <w:r w:rsidR="00413EDB">
        <w:t xml:space="preserve"> and</w:t>
      </w:r>
      <w:r w:rsidRPr="0013596E">
        <w:t xml:space="preserve"> digital fluency that often conflict with traditional hierarchical structures and rigid pay frameworks (Shinde &amp; Surve, 2025). Although writing in a South African context, Thusi &amp; Chauke (2023) similarly highlight that misalignment between employee expectations and public sector working conditions contributes to dissatisfaction and higher turnover, a challenge likely to be mirrored in UK local authorities. Furthermore, </w:t>
      </w:r>
      <w:proofErr w:type="spellStart"/>
      <w:r w:rsidRPr="0013596E">
        <w:t>Kravariti</w:t>
      </w:r>
      <w:proofErr w:type="spellEnd"/>
      <w:r w:rsidRPr="0013596E">
        <w:t xml:space="preserve"> &amp; Johnston (2019) underscore the scarcity of research on public sector </w:t>
      </w:r>
      <w:r w:rsidR="00413EDB" w:rsidRPr="0013596E">
        <w:t>organisations</w:t>
      </w:r>
      <w:r w:rsidR="00413EDB">
        <w:t xml:space="preserve"> and</w:t>
      </w:r>
      <w:r w:rsidRPr="0013596E">
        <w:t xml:space="preserve"> </w:t>
      </w:r>
      <w:proofErr w:type="spellStart"/>
      <w:r w:rsidRPr="0013596E">
        <w:t>Boselie</w:t>
      </w:r>
      <w:proofErr w:type="spellEnd"/>
      <w:r w:rsidRPr="0013596E">
        <w:t xml:space="preserve"> &amp; </w:t>
      </w:r>
      <w:proofErr w:type="spellStart"/>
      <w:r w:rsidRPr="0013596E">
        <w:t>Thunnissen</w:t>
      </w:r>
      <w:proofErr w:type="spellEnd"/>
      <w:r w:rsidRPr="0013596E">
        <w:t xml:space="preserve"> (2017) emphasise that talent management in this context remains underexplored compared to the private sector.</w:t>
      </w:r>
    </w:p>
    <w:p w14:paraId="3A2F2F0F" w14:textId="26AC8AE5" w:rsidR="00242F74" w:rsidRPr="00242F74" w:rsidRDefault="00A74165" w:rsidP="00242F74">
      <w:pPr>
        <w:pStyle w:val="Uni-Normal"/>
        <w:jc w:val="both"/>
      </w:pPr>
      <w:r w:rsidRPr="00A86217">
        <w:t xml:space="preserve">The lack of evidence on how councils can adapt to meet </w:t>
      </w:r>
      <w:r w:rsidR="0017563B">
        <w:t>Gen Z</w:t>
      </w:r>
      <w:r w:rsidRPr="00A86217">
        <w:t xml:space="preserve">’s expectations underscores the critical need for this study. By focusing on </w:t>
      </w:r>
      <w:r w:rsidR="00865CD5">
        <w:t>NCC</w:t>
      </w:r>
      <w:r w:rsidRPr="00A86217">
        <w:t xml:space="preserve"> as a case study, this research directly addresses these gaps. It will provide evidence</w:t>
      </w:r>
      <w:r>
        <w:t>-</w:t>
      </w:r>
      <w:r w:rsidRPr="00A86217">
        <w:t xml:space="preserve">based insights into how talent management practices are experienced by </w:t>
      </w:r>
      <w:r w:rsidR="0017563B">
        <w:t>Gen Z</w:t>
      </w:r>
      <w:r w:rsidRPr="00A86217">
        <w:t xml:space="preserve"> employees in a public sector context. The findings will inform local policy and practice while contributing to </w:t>
      </w:r>
      <w:r w:rsidR="00E652AA">
        <w:t>literature</w:t>
      </w:r>
      <w:r w:rsidRPr="00A86217">
        <w:t xml:space="preserve"> on workforce sustainability and generational change in the public sector. In doing so, the study advances understanding of how councils can move beyond generic talent management approaches </w:t>
      </w:r>
      <w:r w:rsidR="00242F74" w:rsidRPr="00242F74">
        <w:t>and develop more context-sensitive strategies that better reflect the expectations of younger employees.</w:t>
      </w:r>
    </w:p>
    <w:p w14:paraId="10626F1B" w14:textId="3F2D1C67" w:rsidR="00271693" w:rsidRDefault="00A74165" w:rsidP="00242F74">
      <w:pPr>
        <w:pStyle w:val="2Sectionheading"/>
      </w:pPr>
      <w:bookmarkStart w:id="31" w:name="_Toc233030641"/>
      <w:r w:rsidRPr="00A86217">
        <w:t>1.8 Structure of the study</w:t>
      </w:r>
      <w:bookmarkEnd w:id="28"/>
      <w:bookmarkEnd w:id="29"/>
      <w:bookmarkEnd w:id="31"/>
      <w:r w:rsidRPr="00A86217">
        <w:t xml:space="preserve"> </w:t>
      </w:r>
    </w:p>
    <w:p w14:paraId="4E1E6F44" w14:textId="77777777" w:rsidR="005E6F30" w:rsidRPr="005E6F30" w:rsidRDefault="005E6F30" w:rsidP="0002646C">
      <w:pPr>
        <w:spacing w:line="360" w:lineRule="auto"/>
        <w:jc w:val="both"/>
      </w:pPr>
      <w:r w:rsidRPr="005E6F30">
        <w:t>The dissertation is structured into five chapters:</w:t>
      </w:r>
    </w:p>
    <w:p w14:paraId="44E3DDCF" w14:textId="77777777" w:rsidR="00653B16" w:rsidRDefault="00653B16" w:rsidP="00653B16">
      <w:pPr>
        <w:pStyle w:val="Uni-Normal"/>
        <w:numPr>
          <w:ilvl w:val="0"/>
          <w:numId w:val="23"/>
        </w:numPr>
      </w:pPr>
      <w:bookmarkStart w:id="32" w:name="_Toc217916766"/>
      <w:bookmarkStart w:id="33" w:name="_Toc218671380"/>
      <w:r w:rsidRPr="00653B16">
        <w:rPr>
          <w:b/>
          <w:bCs/>
        </w:rPr>
        <w:t>Chapter 1</w:t>
      </w:r>
      <w:r w:rsidRPr="00653B16">
        <w:t xml:space="preserve"> introduces the research, outlining the background, research problem, aims and context for examining talent management and Gen Z within local government.</w:t>
      </w:r>
    </w:p>
    <w:p w14:paraId="7338B307" w14:textId="77777777" w:rsidR="00653B16" w:rsidRDefault="00653B16" w:rsidP="00653B16">
      <w:pPr>
        <w:pStyle w:val="Uni-Normal"/>
        <w:numPr>
          <w:ilvl w:val="0"/>
          <w:numId w:val="23"/>
        </w:numPr>
      </w:pPr>
      <w:r w:rsidRPr="00653B16">
        <w:rPr>
          <w:b/>
          <w:bCs/>
        </w:rPr>
        <w:t>Chapter 2</w:t>
      </w:r>
      <w:r w:rsidRPr="00653B16">
        <w:t xml:space="preserve"> critically reviews the literature, exploring talent management theory, public sector challenges and Gen Z workplace expectations to identify key gaps. </w:t>
      </w:r>
    </w:p>
    <w:p w14:paraId="2284EBD3" w14:textId="77777777" w:rsidR="00653B16" w:rsidRDefault="00653B16" w:rsidP="00653B16">
      <w:pPr>
        <w:pStyle w:val="Uni-Normal"/>
        <w:numPr>
          <w:ilvl w:val="0"/>
          <w:numId w:val="23"/>
        </w:numPr>
      </w:pPr>
      <w:r w:rsidRPr="00653B16">
        <w:rPr>
          <w:b/>
          <w:bCs/>
        </w:rPr>
        <w:t>Chapter 3</w:t>
      </w:r>
      <w:r w:rsidRPr="00653B16">
        <w:t xml:space="preserve"> outlines the research methodology, justifying the philosophical approach, research design, data collection and analytical methods adopted to address the research objectives.</w:t>
      </w:r>
    </w:p>
    <w:p w14:paraId="7D2E5F40" w14:textId="42F17AD1" w:rsidR="00653B16" w:rsidRDefault="00653B16" w:rsidP="006C72F7">
      <w:pPr>
        <w:pStyle w:val="Uni-Normal"/>
        <w:numPr>
          <w:ilvl w:val="0"/>
          <w:numId w:val="23"/>
        </w:numPr>
      </w:pPr>
      <w:r w:rsidRPr="00653B16">
        <w:rPr>
          <w:b/>
          <w:bCs/>
        </w:rPr>
        <w:lastRenderedPageBreak/>
        <w:t>Chapter 4</w:t>
      </w:r>
      <w:r w:rsidRPr="00653B16">
        <w:t xml:space="preserve"> </w:t>
      </w:r>
      <w:r w:rsidR="006C72F7" w:rsidRPr="006C72F7">
        <w:t>presents, analyses and synthesises the findings, integrating quantitative and qualitative data and critically linking these to the literature to evaluate key themes in relation to the research objectives.</w:t>
      </w:r>
    </w:p>
    <w:p w14:paraId="3808EF25" w14:textId="77777777" w:rsidR="004916A8" w:rsidRPr="004916A8" w:rsidRDefault="00653B16" w:rsidP="004916A8">
      <w:pPr>
        <w:pStyle w:val="Uni-Normal"/>
        <w:numPr>
          <w:ilvl w:val="0"/>
          <w:numId w:val="23"/>
        </w:numPr>
        <w:jc w:val="both"/>
      </w:pPr>
      <w:r w:rsidRPr="00653B16">
        <w:rPr>
          <w:b/>
          <w:bCs/>
        </w:rPr>
        <w:t>Chapter 5</w:t>
      </w:r>
      <w:r w:rsidRPr="00653B16">
        <w:t xml:space="preserve"> </w:t>
      </w:r>
      <w:bookmarkStart w:id="34" w:name="_Toc233030642"/>
      <w:r w:rsidR="004916A8" w:rsidRPr="004916A8">
        <w:t>presents overall conclusions in relation to the research objectives and provides evidence-based recommendations.</w:t>
      </w:r>
    </w:p>
    <w:p w14:paraId="1B1662DD" w14:textId="49CB2EB0" w:rsidR="00A74165" w:rsidRPr="00A86217" w:rsidRDefault="00A74165" w:rsidP="004916A8">
      <w:pPr>
        <w:pStyle w:val="2Sectionheading"/>
      </w:pPr>
      <w:r w:rsidRPr="00A86217">
        <w:t xml:space="preserve">1.9 </w:t>
      </w:r>
      <w:r w:rsidR="00C6530D">
        <w:t xml:space="preserve">Chapter </w:t>
      </w:r>
      <w:r w:rsidRPr="00A86217">
        <w:t>Summary</w:t>
      </w:r>
      <w:bookmarkEnd w:id="32"/>
      <w:bookmarkEnd w:id="33"/>
      <w:bookmarkEnd w:id="34"/>
    </w:p>
    <w:p w14:paraId="359F2758" w14:textId="3DE2A1C1" w:rsidR="00B2123C" w:rsidRDefault="00B2123C" w:rsidP="0002646C">
      <w:pPr>
        <w:pStyle w:val="Uni-Normal"/>
        <w:jc w:val="both"/>
      </w:pPr>
      <w:r w:rsidRPr="00B2123C">
        <w:t xml:space="preserve">This chapter established the context and rationale for the study, defined the research </w:t>
      </w:r>
      <w:r w:rsidR="00413EDB" w:rsidRPr="00B2123C">
        <w:t>problem</w:t>
      </w:r>
      <w:r w:rsidR="00413EDB">
        <w:t xml:space="preserve"> and</w:t>
      </w:r>
      <w:r w:rsidRPr="00B2123C">
        <w:t xml:space="preserve"> outlined the aims, </w:t>
      </w:r>
      <w:r w:rsidR="00413EDB" w:rsidRPr="00B2123C">
        <w:t>objectives</w:t>
      </w:r>
      <w:r w:rsidR="00413EDB">
        <w:t xml:space="preserve"> and</w:t>
      </w:r>
      <w:r w:rsidRPr="00B2123C">
        <w:t xml:space="preserve"> research questions. It outlined the demographic challenges of an ageing workforce and the need to attract and retain younger employees, situating the study within the broader public sector workforce context. The chapter also introduced the structure of the dissertation. The next chapter presents a critical review of the literature on talent management and </w:t>
      </w:r>
      <w:r w:rsidR="0017563B">
        <w:t>Gen Z</w:t>
      </w:r>
      <w:r w:rsidRPr="00B2123C">
        <w:t>, identifying gaps that inform the study’s conceptual framework.</w:t>
      </w:r>
    </w:p>
    <w:p w14:paraId="2974B033" w14:textId="77777777" w:rsidR="00EE1BDA" w:rsidRDefault="00EE1BDA" w:rsidP="0002646C">
      <w:pPr>
        <w:pStyle w:val="Uni-Normal"/>
        <w:jc w:val="both"/>
      </w:pPr>
    </w:p>
    <w:p w14:paraId="49DA1CCD" w14:textId="77777777" w:rsidR="00A459AB" w:rsidRDefault="00A459AB" w:rsidP="0002646C">
      <w:pPr>
        <w:pStyle w:val="Uni-Normal"/>
        <w:jc w:val="both"/>
      </w:pPr>
    </w:p>
    <w:p w14:paraId="561230ED" w14:textId="77777777" w:rsidR="00A459AB" w:rsidRDefault="00A459AB" w:rsidP="0002646C">
      <w:pPr>
        <w:pStyle w:val="Uni-Normal"/>
        <w:jc w:val="both"/>
      </w:pPr>
    </w:p>
    <w:p w14:paraId="488345E7" w14:textId="77777777" w:rsidR="00A459AB" w:rsidRDefault="00A459AB" w:rsidP="0002646C">
      <w:pPr>
        <w:pStyle w:val="Uni-Normal"/>
        <w:jc w:val="both"/>
      </w:pPr>
    </w:p>
    <w:p w14:paraId="5BAADDB3" w14:textId="77777777" w:rsidR="00A459AB" w:rsidRDefault="00A459AB" w:rsidP="0002646C">
      <w:pPr>
        <w:pStyle w:val="Uni-Normal"/>
        <w:jc w:val="both"/>
      </w:pPr>
    </w:p>
    <w:p w14:paraId="24266894" w14:textId="77777777" w:rsidR="00A459AB" w:rsidRDefault="00A459AB" w:rsidP="0002646C">
      <w:pPr>
        <w:pStyle w:val="Uni-Normal"/>
        <w:jc w:val="both"/>
      </w:pPr>
    </w:p>
    <w:p w14:paraId="328B5671" w14:textId="77777777" w:rsidR="00A459AB" w:rsidRDefault="00A459AB" w:rsidP="0002646C">
      <w:pPr>
        <w:pStyle w:val="Uni-Normal"/>
        <w:jc w:val="both"/>
      </w:pPr>
    </w:p>
    <w:p w14:paraId="00A67502" w14:textId="77777777" w:rsidR="00A459AB" w:rsidRDefault="00A459AB" w:rsidP="0002646C">
      <w:pPr>
        <w:pStyle w:val="Uni-Normal"/>
        <w:jc w:val="both"/>
      </w:pPr>
    </w:p>
    <w:p w14:paraId="1288578F" w14:textId="77777777" w:rsidR="00A459AB" w:rsidRDefault="00A459AB" w:rsidP="0002646C">
      <w:pPr>
        <w:pStyle w:val="Uni-Normal"/>
        <w:jc w:val="both"/>
      </w:pPr>
    </w:p>
    <w:p w14:paraId="0F3B2F9A" w14:textId="77777777" w:rsidR="00A459AB" w:rsidRDefault="00A459AB" w:rsidP="0002646C">
      <w:pPr>
        <w:pStyle w:val="Uni-Normal"/>
        <w:jc w:val="both"/>
      </w:pPr>
    </w:p>
    <w:p w14:paraId="38DF6920" w14:textId="77777777" w:rsidR="00A459AB" w:rsidRDefault="00A459AB" w:rsidP="0002646C">
      <w:pPr>
        <w:pStyle w:val="Uni-Normal"/>
        <w:jc w:val="both"/>
      </w:pPr>
    </w:p>
    <w:p w14:paraId="01F2D00F" w14:textId="77777777" w:rsidR="00A459AB" w:rsidRDefault="00A459AB" w:rsidP="0002646C">
      <w:pPr>
        <w:pStyle w:val="Uni-Normal"/>
        <w:jc w:val="both"/>
      </w:pPr>
    </w:p>
    <w:p w14:paraId="54BDE3FF" w14:textId="77777777" w:rsidR="00A459AB" w:rsidRDefault="00A459AB" w:rsidP="0002646C">
      <w:pPr>
        <w:pStyle w:val="Uni-Normal"/>
        <w:jc w:val="both"/>
      </w:pPr>
    </w:p>
    <w:p w14:paraId="2D54055C" w14:textId="77777777" w:rsidR="00A459AB" w:rsidRDefault="00A459AB" w:rsidP="0002646C">
      <w:pPr>
        <w:pStyle w:val="Uni-Normal"/>
        <w:jc w:val="both"/>
      </w:pPr>
    </w:p>
    <w:p w14:paraId="2D9BF76A" w14:textId="77777777" w:rsidR="00A459AB" w:rsidRDefault="00A459AB" w:rsidP="0002646C">
      <w:pPr>
        <w:pStyle w:val="Uni-Normal"/>
        <w:jc w:val="both"/>
      </w:pPr>
    </w:p>
    <w:p w14:paraId="07B6BC0B" w14:textId="77777777" w:rsidR="00A459AB" w:rsidRPr="00B2123C" w:rsidRDefault="00A459AB" w:rsidP="0002646C">
      <w:pPr>
        <w:pStyle w:val="Uni-Normal"/>
        <w:jc w:val="both"/>
      </w:pPr>
    </w:p>
    <w:p w14:paraId="1935D223" w14:textId="77777777" w:rsidR="00A74165" w:rsidRPr="00940113" w:rsidRDefault="00A74165" w:rsidP="0002646C">
      <w:pPr>
        <w:pStyle w:val="1ChapterHeading"/>
      </w:pPr>
      <w:bookmarkStart w:id="35" w:name="_Toc220001934"/>
      <w:bookmarkStart w:id="36" w:name="_Toc233030643"/>
      <w:r w:rsidRPr="00940113">
        <w:t xml:space="preserve">CHAPTER </w:t>
      </w:r>
      <w:r>
        <w:t>2</w:t>
      </w:r>
      <w:bookmarkEnd w:id="35"/>
      <w:bookmarkEnd w:id="36"/>
    </w:p>
    <w:p w14:paraId="40CB4243" w14:textId="338D3631" w:rsidR="00A74165" w:rsidRPr="00FB0A25" w:rsidRDefault="00A74165" w:rsidP="0002646C">
      <w:pPr>
        <w:pStyle w:val="1ChapterHeading"/>
      </w:pPr>
      <w:bookmarkStart w:id="37" w:name="_Toc220001935"/>
      <w:bookmarkStart w:id="38" w:name="_Toc233030644"/>
      <w:r>
        <w:t>LITERATURE REVIEW</w:t>
      </w:r>
      <w:bookmarkEnd w:id="37"/>
      <w:bookmarkEnd w:id="38"/>
    </w:p>
    <w:p w14:paraId="5250D5E0" w14:textId="194CC870" w:rsidR="00A74165" w:rsidRPr="00DD2640" w:rsidRDefault="00A74165" w:rsidP="0002646C">
      <w:pPr>
        <w:pStyle w:val="2Sectionheading"/>
        <w:jc w:val="both"/>
      </w:pPr>
      <w:bookmarkStart w:id="39" w:name="_Toc207618243"/>
      <w:bookmarkStart w:id="40" w:name="_Toc220001936"/>
      <w:bookmarkStart w:id="41" w:name="_Toc233030645"/>
      <w:r w:rsidRPr="00DD2640">
        <w:t xml:space="preserve">2.1 </w:t>
      </w:r>
      <w:bookmarkEnd w:id="39"/>
      <w:bookmarkEnd w:id="40"/>
      <w:r>
        <w:t>Chapter Introduction</w:t>
      </w:r>
      <w:bookmarkEnd w:id="41"/>
    </w:p>
    <w:p w14:paraId="0229D669" w14:textId="5C6E302A" w:rsidR="00A74165" w:rsidRPr="00DD2640" w:rsidRDefault="00A74165" w:rsidP="0002646C">
      <w:pPr>
        <w:pStyle w:val="Uni-Normal"/>
        <w:jc w:val="both"/>
      </w:pPr>
      <w:r w:rsidRPr="00EE7CD0">
        <w:t xml:space="preserve">This chapter critically reviews </w:t>
      </w:r>
      <w:r w:rsidR="00A0755F">
        <w:t xml:space="preserve">and evaluates </w:t>
      </w:r>
      <w:r w:rsidRPr="00EE7CD0">
        <w:t xml:space="preserve">literature on talent management with a focus on its relevance to the public sector and the experiences of </w:t>
      </w:r>
      <w:r w:rsidR="0017563B">
        <w:t>Gen Z</w:t>
      </w:r>
      <w:r w:rsidRPr="00EE7CD0">
        <w:t xml:space="preserve">. It outlines the evolution and theoretical foundations of talent management and </w:t>
      </w:r>
      <w:r w:rsidR="00A0755F">
        <w:t>explores</w:t>
      </w:r>
      <w:r w:rsidRPr="00EE7CD0">
        <w:t xml:space="preserve"> how these ideas are applied in public service contexts, particularly local government. It also examines generational differences in workforce expectations, highlighting Gen Z’s values and current research on attracting, engaging and retaining younger employees in local government roles. The chapter concludes by identifying gaps </w:t>
      </w:r>
      <w:r w:rsidR="00162D92" w:rsidRPr="00162D92">
        <w:t xml:space="preserve">which </w:t>
      </w:r>
      <w:r w:rsidR="00A0755F">
        <w:t>inform</w:t>
      </w:r>
      <w:r w:rsidR="00162D92" w:rsidRPr="00162D92">
        <w:t xml:space="preserve"> the focus of this research.</w:t>
      </w:r>
    </w:p>
    <w:p w14:paraId="1A131A11" w14:textId="77777777" w:rsidR="00A74165" w:rsidRPr="00DD2640" w:rsidRDefault="00A74165" w:rsidP="0002646C">
      <w:pPr>
        <w:pStyle w:val="2Sectionheading"/>
        <w:spacing w:line="360" w:lineRule="auto"/>
        <w:jc w:val="both"/>
      </w:pPr>
      <w:bookmarkStart w:id="42" w:name="_Toc220001937"/>
      <w:bookmarkStart w:id="43" w:name="_Toc233030646"/>
      <w:r w:rsidRPr="00DD2640">
        <w:t>2.2 Foundations and Evolution of Talent Management</w:t>
      </w:r>
      <w:bookmarkEnd w:id="42"/>
      <w:bookmarkEnd w:id="43"/>
    </w:p>
    <w:p w14:paraId="69DBC030" w14:textId="0A9BC449" w:rsidR="00A74165" w:rsidRPr="00D16C2D" w:rsidRDefault="00D16C2D" w:rsidP="00D16C2D">
      <w:pPr>
        <w:pStyle w:val="Uni-Normal"/>
        <w:jc w:val="both"/>
        <w:rPr>
          <w:kern w:val="2"/>
          <w:szCs w:val="24"/>
          <w:lang w:eastAsia="en-GB"/>
          <w14:ligatures w14:val="standardContextual"/>
        </w:rPr>
      </w:pPr>
      <w:r w:rsidRPr="00D16C2D">
        <w:t xml:space="preserve">Talent management emerged in the late 1990s in response to skilled labour shortages and competition for talent. War for Talent framed attraction and retention as strategic priorities rather than transactional HR concerns (Cappelli and Keller, 2017). Its foundations are commonly linked to Human Capital Theory, which treats employee skills as investments that improve </w:t>
      </w:r>
      <w:r w:rsidR="00413EDB" w:rsidRPr="00D16C2D">
        <w:t>outcomes</w:t>
      </w:r>
      <w:r w:rsidR="00413EDB">
        <w:t xml:space="preserve"> and</w:t>
      </w:r>
      <w:r w:rsidRPr="00D16C2D">
        <w:t xml:space="preserve"> the Resource-Based View, which sees talent as a source of competitive advantage (Becker, 1993; Oliver, 1997).</w:t>
      </w:r>
      <w:r w:rsidRPr="00D16C2D">
        <w:rPr>
          <w:kern w:val="2"/>
          <w:szCs w:val="24"/>
          <w:lang w:eastAsia="en-GB"/>
          <w14:ligatures w14:val="standardContextual"/>
        </w:rPr>
        <w:t xml:space="preserve"> </w:t>
      </w:r>
      <w:r w:rsidR="00A74165" w:rsidRPr="00D16C2D">
        <w:t xml:space="preserve">Although these theories differ in perspective, both provide a </w:t>
      </w:r>
      <w:r w:rsidR="00A0755F">
        <w:t>useful basis</w:t>
      </w:r>
      <w:r w:rsidR="00A74165" w:rsidRPr="00D16C2D">
        <w:t xml:space="preserve"> for understanding the critical role of people in organisations.</w:t>
      </w:r>
    </w:p>
    <w:p w14:paraId="20306320" w14:textId="2A1833B3" w:rsidR="00D16C2D" w:rsidRPr="00D16C2D" w:rsidRDefault="00D16C2D" w:rsidP="00D16C2D">
      <w:pPr>
        <w:pStyle w:val="Uni-Normal"/>
        <w:jc w:val="both"/>
        <w:rPr>
          <w:kern w:val="2"/>
          <w:szCs w:val="24"/>
          <w:lang w:eastAsia="en-GB"/>
          <w14:ligatures w14:val="standardContextual"/>
        </w:rPr>
      </w:pPr>
      <w:r w:rsidRPr="00D16C2D">
        <w:t xml:space="preserve">CIPD (2024) defines talent management as the processes used to attract, identify, develop, engage and retain people who add organisational value. Approaches vary from inclusive models that develop the whole workforce to exclusive models focused on high-potential staff, with some organisations using blended approaches. Roy and Devi (2017) argue that the most suitable model depends on organisational context, while Cross Walker (2020) links inclusive </w:t>
      </w:r>
      <w:r w:rsidRPr="00D16C2D">
        <w:lastRenderedPageBreak/>
        <w:t>approaches to equity and knowledge sharing in public services, however, their ability to address critical skills shortages remains debated (Roy &amp; Devi, 2017).</w:t>
      </w:r>
    </w:p>
    <w:p w14:paraId="08E30B16" w14:textId="5D955422" w:rsidR="00A74165" w:rsidRPr="00DD2640" w:rsidRDefault="00B609DB" w:rsidP="0002646C">
      <w:pPr>
        <w:pStyle w:val="Uni-Normal"/>
        <w:jc w:val="both"/>
      </w:pPr>
      <w:r w:rsidRPr="00B609DB">
        <w:t xml:space="preserve">Modern talent management has evolved beyond a focus on attraction to include a broader range of practices, such as employee value propositions (EVP), wellbeing </w:t>
      </w:r>
      <w:r w:rsidR="00413EDB" w:rsidRPr="00B609DB">
        <w:t>initiatives</w:t>
      </w:r>
      <w:r w:rsidR="00413EDB">
        <w:t xml:space="preserve"> and</w:t>
      </w:r>
      <w:r w:rsidRPr="00B609DB">
        <w:t xml:space="preserve"> flexible working arrangements.</w:t>
      </w:r>
      <w:r>
        <w:t xml:space="preserve"> </w:t>
      </w:r>
      <w:r w:rsidR="00A74165" w:rsidRPr="0045187F">
        <w:t>CIPD further highlights that attracting talent alone is not enough. Effective talent management also requires ongoing development and retention as part of a planned strategy.</w:t>
      </w:r>
      <w:r w:rsidR="00A74165" w:rsidRPr="00DD2640">
        <w:t xml:space="preserve"> To support this, CIPD recommends </w:t>
      </w:r>
      <w:r w:rsidR="002B605A">
        <w:t>a strategic approach to workforce planning and internal development programmes to upskill employees.</w:t>
      </w:r>
      <w:r w:rsidR="00A74165" w:rsidRPr="00DD2640">
        <w:t xml:space="preserve"> These principles reflect a broader recognition that organisational success depends on building capability in leadership and other strategic roles across the organisation, making the attraction, development and retention of talent a strategic priority (Cappelli &amp; Keller, 2017).</w:t>
      </w:r>
    </w:p>
    <w:p w14:paraId="092CEFA3" w14:textId="13571499" w:rsidR="00A74165" w:rsidRDefault="00A74165" w:rsidP="0002646C">
      <w:pPr>
        <w:pStyle w:val="Uni-Normal"/>
        <w:jc w:val="both"/>
      </w:pPr>
      <w:r w:rsidRPr="00DD2640">
        <w:t xml:space="preserve">Recent research highlights the transformative role of technology, data </w:t>
      </w:r>
      <w:r w:rsidR="00413EDB" w:rsidRPr="00DD2640">
        <w:t>analytics</w:t>
      </w:r>
      <w:r w:rsidR="00413EDB">
        <w:t xml:space="preserve"> and</w:t>
      </w:r>
      <w:r w:rsidRPr="00DD2640">
        <w:t xml:space="preserve"> artificial intelligence in shaping modern talent strategies. Acharya and Seshadri (2025) emphasises that talent management is now dynamic and deeply embedded within business strategy, prioritising adaptability, continuous </w:t>
      </w:r>
      <w:r w:rsidR="00413EDB" w:rsidRPr="00DD2640">
        <w:t>learning</w:t>
      </w:r>
      <w:r w:rsidR="00413EDB">
        <w:t xml:space="preserve"> and</w:t>
      </w:r>
      <w:r w:rsidRPr="00DD2640">
        <w:t xml:space="preserve"> digital integration. Similarly, Arora et al. (2024) contend that digital transformation and agile business models have made talent management essential for maintaining competitiveness in a rapidly changing environment. The rise of AI, data </w:t>
      </w:r>
      <w:r w:rsidR="00413EDB" w:rsidRPr="00DD2640">
        <w:t>analytics</w:t>
      </w:r>
      <w:r w:rsidR="00413EDB">
        <w:t xml:space="preserve"> and</w:t>
      </w:r>
      <w:r w:rsidRPr="00DD2640">
        <w:t xml:space="preserve"> digital service delivery is redefining skill requirements across industries, demanding new technical competencies alongside soft skills such as adaptability and problem-solving (Acharya &amp; Seshadri, 2025).</w:t>
      </w:r>
    </w:p>
    <w:p w14:paraId="2C0589F1" w14:textId="4317231A" w:rsidR="00893A55" w:rsidRPr="00DD2640" w:rsidRDefault="00893A55" w:rsidP="0002646C">
      <w:pPr>
        <w:pStyle w:val="Uni-Normal"/>
        <w:jc w:val="both"/>
      </w:pPr>
      <w:r w:rsidRPr="00893A55">
        <w:t xml:space="preserve">Alongside these developments, diversity and inclusion are increasingly emphasised within talent strategies, with organisations prioritising fairness and representation (Groenewald et al., 2024; Acharya and Seshadri, 2025). The integration of diversity, </w:t>
      </w:r>
      <w:r w:rsidR="00413EDB" w:rsidRPr="00893A55">
        <w:t>equity</w:t>
      </w:r>
      <w:r w:rsidR="00413EDB">
        <w:t xml:space="preserve"> and</w:t>
      </w:r>
      <w:r w:rsidRPr="00893A55">
        <w:t xml:space="preserve"> inclusion (DEI) is associated with employee engagement and organisational performance, while the absence of inclusive practices is linked to disengagement and reduced competitiveness. These developments underscore the need for talent strategies that are agile, technology-</w:t>
      </w:r>
      <w:r w:rsidR="00413EDB" w:rsidRPr="00893A55">
        <w:t>enabled</w:t>
      </w:r>
      <w:r w:rsidR="00413EDB">
        <w:t xml:space="preserve"> and</w:t>
      </w:r>
      <w:r w:rsidRPr="00893A55">
        <w:t xml:space="preserve"> aligned with contemporary workforce planning (Groenewald et al., 2024; Acharya and Seshadri, 2025).</w:t>
      </w:r>
    </w:p>
    <w:p w14:paraId="2B190ABE" w14:textId="77777777" w:rsidR="00A74165" w:rsidRPr="00893A55" w:rsidRDefault="00A74165" w:rsidP="0002646C">
      <w:pPr>
        <w:pStyle w:val="2Sectionheading"/>
        <w:jc w:val="both"/>
      </w:pPr>
      <w:bookmarkStart w:id="44" w:name="_Toc220001938"/>
      <w:bookmarkStart w:id="45" w:name="_Toc233030647"/>
      <w:r w:rsidRPr="00893A55">
        <w:t>2.3 Talent Management in the Public Sector</w:t>
      </w:r>
      <w:bookmarkEnd w:id="44"/>
      <w:bookmarkEnd w:id="45"/>
    </w:p>
    <w:p w14:paraId="7ABDEBCB" w14:textId="6749A30E" w:rsidR="00A74165" w:rsidRPr="00893A55" w:rsidRDefault="00A74165" w:rsidP="0002646C">
      <w:pPr>
        <w:pStyle w:val="Uni-Normal"/>
        <w:jc w:val="both"/>
      </w:pPr>
      <w:r w:rsidRPr="00893A55">
        <w:t>Talent management has become a central topi</w:t>
      </w:r>
      <w:r w:rsidR="005B6FE1" w:rsidRPr="00893A55">
        <w:t>c</w:t>
      </w:r>
      <w:r w:rsidRPr="00893A55">
        <w:t>, driven by the “</w:t>
      </w:r>
      <w:r w:rsidR="00B609DB">
        <w:t>W</w:t>
      </w:r>
      <w:r w:rsidRPr="00893A55">
        <w:t xml:space="preserve">ar </w:t>
      </w:r>
      <w:r w:rsidR="00413EDB">
        <w:t>for</w:t>
      </w:r>
      <w:r w:rsidRPr="00893A55">
        <w:t xml:space="preserve"> </w:t>
      </w:r>
      <w:r w:rsidR="00B609DB">
        <w:t>T</w:t>
      </w:r>
      <w:r w:rsidRPr="00893A55">
        <w:t xml:space="preserve">alent,” the rise of the knowledge </w:t>
      </w:r>
      <w:r w:rsidR="00413EDB" w:rsidRPr="00893A55">
        <w:t>economy</w:t>
      </w:r>
      <w:r w:rsidR="00413EDB">
        <w:t xml:space="preserve"> and</w:t>
      </w:r>
      <w:r w:rsidRPr="00893A55">
        <w:t xml:space="preserve"> the retirement of Baby Boomers (Cross Walker, 2020). However, </w:t>
      </w:r>
      <w:r w:rsidRPr="00893A55">
        <w:lastRenderedPageBreak/>
        <w:t xml:space="preserve">academic research has </w:t>
      </w:r>
      <w:proofErr w:type="gramStart"/>
      <w:r w:rsidRPr="00893A55">
        <w:t>lagged behind</w:t>
      </w:r>
      <w:proofErr w:type="gramEnd"/>
      <w:r w:rsidRPr="00893A55">
        <w:t>, leaving the concept underdeveloped in the public sector (</w:t>
      </w:r>
      <w:proofErr w:type="spellStart"/>
      <w:r w:rsidRPr="00893A55">
        <w:t>Thunnissen</w:t>
      </w:r>
      <w:proofErr w:type="spellEnd"/>
      <w:r w:rsidRPr="00893A55">
        <w:t xml:space="preserve"> and </w:t>
      </w:r>
      <w:proofErr w:type="spellStart"/>
      <w:r w:rsidRPr="00893A55">
        <w:t>Buttiens</w:t>
      </w:r>
      <w:proofErr w:type="spellEnd"/>
      <w:r w:rsidRPr="00893A55">
        <w:t xml:space="preserve">, 2017; Al </w:t>
      </w:r>
      <w:proofErr w:type="spellStart"/>
      <w:r w:rsidRPr="00893A55">
        <w:t>Jawali</w:t>
      </w:r>
      <w:proofErr w:type="spellEnd"/>
      <w:r w:rsidRPr="00893A55">
        <w:t xml:space="preserve"> et al., 2022; Cross Walker, 2020). This gap is significant because public organisations face growing challenges: rising retirement rates and difficulty attracting skilled employees make talent management a critical priority (Cross Walker, 2020).</w:t>
      </w:r>
    </w:p>
    <w:p w14:paraId="630BC39B" w14:textId="2D230127" w:rsidR="00A74165" w:rsidRPr="00893A55" w:rsidRDefault="00A74165" w:rsidP="0002646C">
      <w:pPr>
        <w:pStyle w:val="Uni-Normal"/>
        <w:jc w:val="both"/>
      </w:pPr>
      <w:r w:rsidRPr="00893A55">
        <w:t xml:space="preserve">Historically, talent management originated in the private sector. </w:t>
      </w:r>
      <w:proofErr w:type="spellStart"/>
      <w:r w:rsidRPr="00893A55">
        <w:t>Kravariti</w:t>
      </w:r>
      <w:proofErr w:type="spellEnd"/>
      <w:r w:rsidRPr="00893A55">
        <w:t xml:space="preserve"> and Johnston (2020) note that while private organisations adopted these practices early, the public sector advanced more slowly due to reliance on traditional employment models and budget constraints. </w:t>
      </w:r>
      <w:proofErr w:type="spellStart"/>
      <w:r w:rsidRPr="00893A55">
        <w:t>Boselie</w:t>
      </w:r>
      <w:proofErr w:type="spellEnd"/>
      <w:r w:rsidRPr="00893A55">
        <w:t xml:space="preserve"> and </w:t>
      </w:r>
      <w:proofErr w:type="spellStart"/>
      <w:r w:rsidRPr="00893A55">
        <w:t>Thunnissen</w:t>
      </w:r>
      <w:proofErr w:type="spellEnd"/>
      <w:r w:rsidRPr="00893A55">
        <w:t xml:space="preserve"> (2017) note that this slower development is also linked to the public sector’s distinct environment, where employment arrangements were traditionally designed around stability, equal treatment and long-term careers, rather than strategic differentiation. These features shaped how workforce development </w:t>
      </w:r>
      <w:r w:rsidR="002B605A" w:rsidRPr="00893A55">
        <w:t xml:space="preserve">was approached </w:t>
      </w:r>
      <w:r w:rsidRPr="00893A55">
        <w:t>and meant that talent management was not initially seen as a strategic priority.</w:t>
      </w:r>
    </w:p>
    <w:p w14:paraId="555BEAB2" w14:textId="77777777" w:rsidR="00A74165" w:rsidRPr="00893A55" w:rsidRDefault="00A74165" w:rsidP="0002646C">
      <w:pPr>
        <w:pStyle w:val="Uni-Normal"/>
        <w:jc w:val="both"/>
      </w:pPr>
      <w:r w:rsidRPr="00893A55">
        <w:t>Implementing talent management in the public sector is complex because of diverse organisational structures, making strategies less visible and harder to operationalise (</w:t>
      </w:r>
      <w:proofErr w:type="spellStart"/>
      <w:r w:rsidRPr="00893A55">
        <w:t>Kravariti</w:t>
      </w:r>
      <w:proofErr w:type="spellEnd"/>
      <w:r w:rsidRPr="00893A55">
        <w:t xml:space="preserve"> &amp; Johnston, 2020). Sector-wide analysis shows a cumulative 32% reduction in local government headcount since 2012, reflecting how service redesign and funding pressures have eroded workforce capacity (Deegan et al., 2024). </w:t>
      </w:r>
      <w:proofErr w:type="spellStart"/>
      <w:r w:rsidRPr="00893A55">
        <w:t>Boselie</w:t>
      </w:r>
      <w:proofErr w:type="spellEnd"/>
      <w:r w:rsidRPr="00893A55">
        <w:t xml:space="preserve"> &amp; </w:t>
      </w:r>
      <w:proofErr w:type="spellStart"/>
      <w:r w:rsidRPr="00893A55">
        <w:t>Thunnissen</w:t>
      </w:r>
      <w:proofErr w:type="spellEnd"/>
      <w:r w:rsidRPr="00893A55">
        <w:t xml:space="preserve"> (2017) emphasise that approaches must be adaptable and sector-specific, as private sector models often fail to address public sector constraints. Attraction and retention are constrained by pay competitiveness and a comparatively weak local government employer brand, with nearly two-thirds of survey respondents believing local government is not perceived as an attractive employer for those outside the sector (Deegan et al., 2024).</w:t>
      </w:r>
    </w:p>
    <w:p w14:paraId="4247A341" w14:textId="6BABDAA5" w:rsidR="00A74165" w:rsidRPr="00893A55" w:rsidRDefault="00A74165" w:rsidP="0002646C">
      <w:pPr>
        <w:pStyle w:val="Uni-Normal"/>
        <w:jc w:val="both"/>
      </w:pPr>
      <w:r w:rsidRPr="00893A55">
        <w:t>A growing body of literature identifies the employee value proposition (EVP) as a key factor influencing attraction and retention outcomes (CIPD, 2024; Deegan et al., 2024). Recent guidance for public sector employers suggests that a</w:t>
      </w:r>
      <w:r w:rsidR="002B605A" w:rsidRPr="00893A55">
        <w:t xml:space="preserve">n </w:t>
      </w:r>
      <w:r w:rsidRPr="00893A55">
        <w:t xml:space="preserve">authentic EVP that reflects what employees </w:t>
      </w:r>
      <w:proofErr w:type="gramStart"/>
      <w:r w:rsidR="00B609DB">
        <w:t xml:space="preserve">actually </w:t>
      </w:r>
      <w:r w:rsidRPr="00893A55">
        <w:t>value</w:t>
      </w:r>
      <w:proofErr w:type="gramEnd"/>
      <w:r w:rsidRPr="00893A55">
        <w:t xml:space="preserve">, such as hybrid working, career </w:t>
      </w:r>
      <w:r w:rsidR="00413EDB" w:rsidRPr="00893A55">
        <w:t>development</w:t>
      </w:r>
      <w:r w:rsidR="00413EDB">
        <w:t xml:space="preserve"> and</w:t>
      </w:r>
      <w:r w:rsidRPr="00893A55">
        <w:t xml:space="preserve"> work-life balance, can significantly enhance an organisation’s ability to attract, </w:t>
      </w:r>
      <w:r w:rsidR="00413EDB" w:rsidRPr="00893A55">
        <w:t>recruit</w:t>
      </w:r>
      <w:r w:rsidR="00413EDB">
        <w:t xml:space="preserve"> and</w:t>
      </w:r>
      <w:r w:rsidRPr="00893A55">
        <w:t xml:space="preserve"> retain talent (Jobs Go Public, n.d.). Retention pressures are further intensified by competitive pay dynamics between sectors. Evidence from local government employers indicates that, since the COVID</w:t>
      </w:r>
      <w:r w:rsidRPr="00893A55">
        <w:noBreakHyphen/>
        <w:t>19 pandemic, public organisations have increasingly lost staff to higher</w:t>
      </w:r>
      <w:r w:rsidR="00C3087E">
        <w:t xml:space="preserve"> </w:t>
      </w:r>
      <w:r w:rsidRPr="00893A55">
        <w:t>paying private</w:t>
      </w:r>
      <w:r w:rsidR="00B609DB">
        <w:t xml:space="preserve"> </w:t>
      </w:r>
      <w:r w:rsidRPr="00893A55">
        <w:t xml:space="preserve">sector roles made accessible through remote working (Deegan et al., 2024). Thusi and Chauke (2023) </w:t>
      </w:r>
      <w:r w:rsidRPr="00893A55">
        <w:lastRenderedPageBreak/>
        <w:t xml:space="preserve">illustrate this dynamic in the South African public sector, where competition for scarce skills has led to elevated turnover rates, prolonged </w:t>
      </w:r>
      <w:r w:rsidR="00413EDB" w:rsidRPr="00893A55">
        <w:t>vacancies</w:t>
      </w:r>
      <w:r w:rsidR="00413EDB">
        <w:t xml:space="preserve"> and</w:t>
      </w:r>
      <w:r w:rsidRPr="00893A55">
        <w:t xml:space="preserve"> escalating recruitment costs, factors that ultimately compromise service delivery. These findings point to a tension noted in the literature between workforce expectations and the resource constraints facing </w:t>
      </w:r>
      <w:r w:rsidR="002B605A" w:rsidRPr="00893A55">
        <w:t>organisations</w:t>
      </w:r>
      <w:r w:rsidRPr="00893A55">
        <w:t xml:space="preserve">. </w:t>
      </w:r>
      <w:r w:rsidR="00B609DB" w:rsidRPr="00B609DB">
        <w:t xml:space="preserve">According to a survey conducted by Deegan et al. (2024), two-thirds of respondents answered “no” to the question, “Do you think local government is perceived as an attractive employer for those who don’t currently work in the sector?”. However, the same survey revealed that 73% of respondents would recommend working in local government. This indicates a lack of trust and poor perception of the public sector and suggests that clearer branding and values-based messaging could strengthen employee engagement and advocacy. </w:t>
      </w:r>
    </w:p>
    <w:p w14:paraId="514EC05D" w14:textId="5200CC34" w:rsidR="00A74165" w:rsidRPr="00893A55" w:rsidRDefault="00A74165" w:rsidP="0002646C">
      <w:pPr>
        <w:pStyle w:val="Uni-Normal"/>
        <w:jc w:val="both"/>
      </w:pPr>
      <w:r w:rsidRPr="00893A55">
        <w:t xml:space="preserve">Inclusive talent management is emerging as a practical, sustainable approach in public services. Rather than concentrating solely on high performers, this model focuses on developing the entire workforce. Cross Walker (2020) argues that such an organisation-wide strategy builds social capital and encourages knowledge sharing, which helps counteract the rigid structures and bureaucracy. By harnessing the strengths of all employees and fostering collaboration, public sector organisations can better address skills shortages, improve </w:t>
      </w:r>
      <w:r w:rsidR="00413EDB" w:rsidRPr="00893A55">
        <w:t>retention</w:t>
      </w:r>
      <w:r w:rsidR="00413EDB">
        <w:t xml:space="preserve"> and</w:t>
      </w:r>
      <w:r w:rsidRPr="00893A55">
        <w:t xml:space="preserve"> strengthen their capacity to deliver high-quality services to the communities they serve.</w:t>
      </w:r>
    </w:p>
    <w:p w14:paraId="5536A220" w14:textId="4F02BEFA" w:rsidR="00A74165" w:rsidRPr="00893A55" w:rsidRDefault="00A74165" w:rsidP="0002646C">
      <w:pPr>
        <w:pStyle w:val="Uni-Normal"/>
        <w:jc w:val="both"/>
      </w:pPr>
      <w:r w:rsidRPr="00893A55">
        <w:t xml:space="preserve">Recent insights from the Mazars Recruitment and Retention Report (2023) contribute further contemporary evidence of these challenges. Mazars found that employees place high value on wellbeing support, flexible and hybrid </w:t>
      </w:r>
      <w:r w:rsidR="00413EDB" w:rsidRPr="00893A55">
        <w:t>working</w:t>
      </w:r>
      <w:r w:rsidR="00413EDB">
        <w:t xml:space="preserve"> and</w:t>
      </w:r>
      <w:r w:rsidRPr="00893A55">
        <w:t xml:space="preserve"> opportunities for recognition and career progression, with 97% of respondents agreeing that good health and wellbeing are essential to workplace productivity. However, the report also highlights significant constraints that limit the consistent implementation of these practices. Notably, 56% of respondents identified limited resources as the primary barrier to providing training and development, alongside resistance to organisational change and short</w:t>
      </w:r>
      <w:r w:rsidRPr="00893A55">
        <w:noBreakHyphen/>
        <w:t xml:space="preserve">term operational focus that inhibits strategic workforce planning. The literature suggests </w:t>
      </w:r>
      <w:r w:rsidR="0073355E">
        <w:t>these</w:t>
      </w:r>
      <w:r w:rsidRPr="00893A55">
        <w:t xml:space="preserve"> constraints may limit the extent to which organisations can invest in long</w:t>
      </w:r>
      <w:r w:rsidRPr="00893A55">
        <w:noBreakHyphen/>
        <w:t>term talent pipelines or adapt to shifting workforce expectations.</w:t>
      </w:r>
      <w:r w:rsidRPr="00893A55">
        <w:rPr>
          <w:lang w:eastAsia="en-GB"/>
        </w:rPr>
        <w:t xml:space="preserve"> </w:t>
      </w:r>
      <w:r w:rsidRPr="00893A55">
        <w:t>This challenge is amplified in the Welsh public sector, where the Public Services Staff Commission (2017) notes that many organisations “do not currently have robust enough systems in place” to gather or analyse the workforce data required for effective planning, further undermining the feasibility of evidence</w:t>
      </w:r>
      <w:r w:rsidRPr="00893A55">
        <w:noBreakHyphen/>
        <w:t xml:space="preserve">led talent management. </w:t>
      </w:r>
    </w:p>
    <w:p w14:paraId="2BF68682" w14:textId="3AC1B9C0" w:rsidR="00A74165" w:rsidRPr="00893A55" w:rsidRDefault="00A74165" w:rsidP="0002646C">
      <w:pPr>
        <w:pStyle w:val="Uni-Normal"/>
        <w:jc w:val="both"/>
      </w:pPr>
      <w:r w:rsidRPr="00893A55">
        <w:lastRenderedPageBreak/>
        <w:t>Clarke and Scurry (2020) find that, although fast</w:t>
      </w:r>
      <w:r w:rsidRPr="00893A55">
        <w:noBreakHyphen/>
        <w:t>track graduate programmes are widely promoted as a public</w:t>
      </w:r>
      <w:r w:rsidR="00B609DB">
        <w:t xml:space="preserve"> </w:t>
      </w:r>
      <w:r w:rsidRPr="00893A55">
        <w:t>sector talent</w:t>
      </w:r>
      <w:r w:rsidR="00B609DB">
        <w:t xml:space="preserve"> </w:t>
      </w:r>
      <w:r w:rsidRPr="00893A55">
        <w:t xml:space="preserve">management solution, their effectiveness is often limited by organisational constraints, uneven </w:t>
      </w:r>
      <w:r w:rsidR="00413EDB" w:rsidRPr="00893A55">
        <w:t>delivery</w:t>
      </w:r>
      <w:r w:rsidR="00413EDB">
        <w:t xml:space="preserve"> and</w:t>
      </w:r>
      <w:r w:rsidRPr="00893A55">
        <w:t xml:space="preserve"> variable support from line managers. They show that clear communication about what graduates can expect and consistent line</w:t>
      </w:r>
      <w:r w:rsidRPr="00893A55">
        <w:noBreakHyphen/>
        <w:t>manager involvement are critical if these schemes are to genuinely develop and retain graduate talent. Similar issues, especially the dependence on job placement quality and line</w:t>
      </w:r>
      <w:r w:rsidRPr="00893A55">
        <w:noBreakHyphen/>
        <w:t>manager support are also reported in an Australian public</w:t>
      </w:r>
      <w:r w:rsidR="00B609DB">
        <w:t xml:space="preserve"> </w:t>
      </w:r>
      <w:r w:rsidRPr="00893A55">
        <w:t>sector case study by Clarke (2017). Furthermore, research conducted by the Local Government Association (n.d.) highlights that strategic and financial pressures on public services often result in limited resources being allocated to immediate service delivery rather than long-term workforce planning. This misalignment is further reflected in Welsh workforce planning guidance, which expects public bodies to “share information beyond their organisational boundaries” and adopt fully “integrated planning” across workforce, service and financial domains, despite the well</w:t>
      </w:r>
      <w:r w:rsidRPr="00893A55">
        <w:noBreakHyphen/>
        <w:t xml:space="preserve">documented fragmentation and operational pressures that make such collaboration difficult to achieve in practice (Public Services Staff Commission, 2017, pp.5–7).  Consequently, talent management is frequently perceived as a “nice to do” rather than a core priority (Local Government Association, </w:t>
      </w:r>
      <w:proofErr w:type="spellStart"/>
      <w:r w:rsidRPr="00893A55">
        <w:t>n.d</w:t>
      </w:r>
      <w:proofErr w:type="spellEnd"/>
      <w:r w:rsidRPr="00893A55">
        <w:t>).</w:t>
      </w:r>
    </w:p>
    <w:p w14:paraId="2B92FDBF" w14:textId="3AB37281" w:rsidR="00A74165" w:rsidRPr="00893A55" w:rsidRDefault="00A74165" w:rsidP="0002646C">
      <w:pPr>
        <w:pStyle w:val="Uni-Normal"/>
        <w:jc w:val="both"/>
      </w:pPr>
      <w:r w:rsidRPr="00893A55">
        <w:t xml:space="preserve">These organisational challenges are further complicated by demographic shifts. Over two-thirds of UK local government employees are now aged between 40 and 64 (Local Government Association, 2024), with many nearing </w:t>
      </w:r>
      <w:proofErr w:type="gramStart"/>
      <w:r w:rsidRPr="00893A55">
        <w:t>retirement</w:t>
      </w:r>
      <w:proofErr w:type="gramEnd"/>
      <w:r w:rsidRPr="00893A55">
        <w:t xml:space="preserve">. Traditional incentives such as job security appear to be losing salience for younger workers, who increasingly prioritise flexibility, opportunities for </w:t>
      </w:r>
      <w:r w:rsidR="00413EDB" w:rsidRPr="00893A55">
        <w:t>development</w:t>
      </w:r>
      <w:r w:rsidR="00413EDB">
        <w:t xml:space="preserve"> and</w:t>
      </w:r>
      <w:r w:rsidRPr="00893A55">
        <w:t xml:space="preserve"> inclusive workplace cultures (Mangan et al., 2024). Similar challenges are evident internationally. Kurniawan and </w:t>
      </w:r>
      <w:proofErr w:type="spellStart"/>
      <w:r w:rsidRPr="00893A55">
        <w:t>Wijoyo</w:t>
      </w:r>
      <w:proofErr w:type="spellEnd"/>
      <w:r w:rsidRPr="00893A55">
        <w:t xml:space="preserve"> (2024), examining the Indonesian public sector, identify persistent difficulties in attracting and retaining skilled staff, largely due to budgetary constraints and uncompetitive public sector compensation policies when compared with the private sector. Their research highlights that, beyond remuneration, unclear career pathways and limited opportunities for professional development further undermine retention efforts. Several authors argue that public sector competitiveness is increasingly associated with investment in learning, </w:t>
      </w:r>
      <w:r w:rsidR="00413EDB" w:rsidRPr="00893A55">
        <w:t>development</w:t>
      </w:r>
      <w:r w:rsidR="00413EDB">
        <w:t xml:space="preserve"> and</w:t>
      </w:r>
      <w:r w:rsidRPr="00893A55">
        <w:t xml:space="preserve"> modern recruitment practices; however, the extent to which these approaches can be applied within resource</w:t>
      </w:r>
      <w:r w:rsidRPr="00893A55">
        <w:noBreakHyphen/>
        <w:t>constrained local authorities remains contested (</w:t>
      </w:r>
      <w:proofErr w:type="spellStart"/>
      <w:r w:rsidRPr="00893A55">
        <w:t>Kravariti</w:t>
      </w:r>
      <w:proofErr w:type="spellEnd"/>
      <w:r w:rsidRPr="00893A55">
        <w:t xml:space="preserve"> and Johnston, 2020; </w:t>
      </w:r>
      <w:proofErr w:type="spellStart"/>
      <w:r w:rsidRPr="00893A55">
        <w:t>Boselie</w:t>
      </w:r>
      <w:proofErr w:type="spellEnd"/>
      <w:r w:rsidRPr="00893A55">
        <w:t xml:space="preserve"> and </w:t>
      </w:r>
      <w:proofErr w:type="spellStart"/>
      <w:r w:rsidRPr="00893A55">
        <w:t>Thunnissen</w:t>
      </w:r>
      <w:proofErr w:type="spellEnd"/>
      <w:r w:rsidRPr="00893A55">
        <w:t>, 2017).</w:t>
      </w:r>
    </w:p>
    <w:p w14:paraId="411D5E08" w14:textId="682D368F" w:rsidR="00A74165" w:rsidRPr="00893A55" w:rsidRDefault="00A74165" w:rsidP="0002646C">
      <w:pPr>
        <w:pStyle w:val="Uni-Normal"/>
        <w:jc w:val="both"/>
      </w:pPr>
      <w:r w:rsidRPr="00893A55">
        <w:lastRenderedPageBreak/>
        <w:t xml:space="preserve">Digital transformation is also reshaping public sector talent requirements. Deloitte (2022) and McKinsey (2024) emphasise the growing need for upskilling, updated recruitment </w:t>
      </w:r>
      <w:proofErr w:type="spellStart"/>
      <w:r w:rsidRPr="00893A55">
        <w:t>approaches</w:t>
      </w:r>
      <w:r w:rsidR="00413EDB">
        <w:t>and</w:t>
      </w:r>
      <w:proofErr w:type="spellEnd"/>
      <w:r w:rsidRPr="00893A55">
        <w:t xml:space="preserve"> support for hybrid work models. Mazars (2023) similarly reports persistent skills shortages across technical, </w:t>
      </w:r>
      <w:proofErr w:type="spellStart"/>
      <w:r w:rsidRPr="00893A55">
        <w:t>digital</w:t>
      </w:r>
      <w:r w:rsidR="00413EDB">
        <w:t>and</w:t>
      </w:r>
      <w:proofErr w:type="spellEnd"/>
      <w:r w:rsidRPr="00893A55">
        <w:t xml:space="preserve"> corporate service roles, advocating improved recruitment, training </w:t>
      </w:r>
      <w:r w:rsidR="00413EDB" w:rsidRPr="00893A55">
        <w:t>investment</w:t>
      </w:r>
      <w:r w:rsidR="00413EDB">
        <w:t xml:space="preserve"> and</w:t>
      </w:r>
      <w:r w:rsidRPr="00893A55">
        <w:t xml:space="preserve"> clearer progression routes. While these measures are frequently promoted, the literature also highlights that structural and financial constraints can limit the feasibility and consistency of implementation across public bodies (Mazars, 2023; </w:t>
      </w:r>
      <w:proofErr w:type="spellStart"/>
      <w:r w:rsidRPr="00893A55">
        <w:t>Boselie</w:t>
      </w:r>
      <w:proofErr w:type="spellEnd"/>
      <w:r w:rsidRPr="00893A55">
        <w:t xml:space="preserve"> and </w:t>
      </w:r>
      <w:proofErr w:type="spellStart"/>
      <w:r w:rsidRPr="00893A55">
        <w:t>Thunnissen</w:t>
      </w:r>
      <w:proofErr w:type="spellEnd"/>
      <w:r w:rsidRPr="00893A55">
        <w:t xml:space="preserve">, 2017). </w:t>
      </w:r>
      <w:r w:rsidR="0073355E">
        <w:t>Collectively</w:t>
      </w:r>
      <w:r w:rsidRPr="00893A55">
        <w:t xml:space="preserve">, </w:t>
      </w:r>
      <w:r w:rsidR="0073355E">
        <w:t xml:space="preserve">these </w:t>
      </w:r>
      <w:r w:rsidR="00345D14">
        <w:t xml:space="preserve">studies </w:t>
      </w:r>
      <w:r w:rsidR="00345D14" w:rsidRPr="00893A55">
        <w:t>provide</w:t>
      </w:r>
      <w:r w:rsidRPr="00893A55">
        <w:t xml:space="preserve"> valuable insight into public sector talent management pressures but its applicability to UK local government </w:t>
      </w:r>
      <w:r w:rsidR="00345D14">
        <w:t>is limited by context</w:t>
      </w:r>
      <w:r w:rsidR="0073355E">
        <w:t xml:space="preserve">. </w:t>
      </w:r>
      <w:r w:rsidRPr="00893A55">
        <w:t xml:space="preserve">given differences in governance structures, funding models, employment </w:t>
      </w:r>
      <w:r w:rsidR="00413EDB" w:rsidRPr="00893A55">
        <w:t>frameworks</w:t>
      </w:r>
      <w:r w:rsidR="00413EDB">
        <w:t xml:space="preserve"> and</w:t>
      </w:r>
      <w:r w:rsidRPr="00893A55">
        <w:t xml:space="preserve"> labour market conditions.</w:t>
      </w:r>
    </w:p>
    <w:p w14:paraId="1EAD23FD" w14:textId="77777777" w:rsidR="00A74165" w:rsidRPr="00271693" w:rsidRDefault="00A74165" w:rsidP="0002646C">
      <w:pPr>
        <w:pStyle w:val="2Sectionheading"/>
        <w:jc w:val="both"/>
      </w:pPr>
      <w:bookmarkStart w:id="46" w:name="_Toc233030648"/>
      <w:r w:rsidRPr="00271693">
        <w:t>2.4 Workforce Ageing and Talent Management Pressures in Wales</w:t>
      </w:r>
      <w:bookmarkEnd w:id="46"/>
      <w:r w:rsidRPr="00271693">
        <w:t xml:space="preserve"> </w:t>
      </w:r>
    </w:p>
    <w:p w14:paraId="4FC6F218" w14:textId="7F35910F" w:rsidR="008E1353" w:rsidRPr="008E1353" w:rsidRDefault="00A74165" w:rsidP="0002646C">
      <w:pPr>
        <w:pStyle w:val="Uni-Normal"/>
        <w:jc w:val="both"/>
      </w:pPr>
      <w:r w:rsidRPr="00271693">
        <w:t xml:space="preserve">Demographic change across Wales </w:t>
      </w:r>
      <w:r w:rsidR="0073355E">
        <w:t>provides an important contextual framework for</w:t>
      </w:r>
      <w:r w:rsidRPr="00271693">
        <w:t xml:space="preserve"> understanding the talent challenges facing local authorities. </w:t>
      </w:r>
      <w:r w:rsidR="00EA49F0" w:rsidRPr="00EA49F0">
        <w:t>Wales is experiencing a sustained demographic shift towards an ageing population, raising concerns around workforce sustainability and future skills supply as the working-age population declines and demand for labour increases (Universities Wales, 2019).</w:t>
      </w:r>
      <w:r w:rsidR="00EA49F0">
        <w:t xml:space="preserve"> </w:t>
      </w:r>
      <w:r w:rsidRPr="00271693">
        <w:t xml:space="preserve">This reduces the pipeline of younger entrants into the labour </w:t>
      </w:r>
      <w:r w:rsidRPr="00C46531">
        <w:t>market and intensifies competition for early</w:t>
      </w:r>
      <w:r w:rsidRPr="00C46531">
        <w:noBreakHyphen/>
        <w:t xml:space="preserve">career talent, particularly in sectors already facing persistent recruitment difficulties. NCC’s workforce mirrors these national patterns: as shown in Figure </w:t>
      </w:r>
      <w:r w:rsidR="00C83B24" w:rsidRPr="00C46531">
        <w:t>1</w:t>
      </w:r>
      <w:r w:rsidRPr="00C46531">
        <w:t xml:space="preserve">, only 11% of employees belong to </w:t>
      </w:r>
      <w:r w:rsidR="0017563B">
        <w:t>Gen Z</w:t>
      </w:r>
      <w:r w:rsidRPr="00C46531">
        <w:t xml:space="preserve">, while 40% are Millennials </w:t>
      </w:r>
      <w:r w:rsidRPr="008E1353">
        <w:t xml:space="preserve">and 39% are Generation X and </w:t>
      </w:r>
      <w:r w:rsidR="00C83B24" w:rsidRPr="008E1353">
        <w:t>it also</w:t>
      </w:r>
      <w:r w:rsidRPr="008E1353">
        <w:t xml:space="preserve"> indicates that 23% of the workforce is already eligible for early retirement (Newport City Council, 2025). </w:t>
      </w:r>
      <w:r w:rsidR="008E1353" w:rsidRPr="008E1353">
        <w:t>This creates replacement demand alongside structural constraints (</w:t>
      </w:r>
      <w:proofErr w:type="spellStart"/>
      <w:r w:rsidR="008E1353" w:rsidRPr="008E1353">
        <w:t>Boselie</w:t>
      </w:r>
      <w:proofErr w:type="spellEnd"/>
      <w:r w:rsidR="008E1353" w:rsidRPr="008E1353">
        <w:t xml:space="preserve"> &amp; </w:t>
      </w:r>
      <w:proofErr w:type="spellStart"/>
      <w:r w:rsidR="008E1353" w:rsidRPr="008E1353">
        <w:t>Thunnissen</w:t>
      </w:r>
      <w:proofErr w:type="spellEnd"/>
      <w:r w:rsidR="008E1353" w:rsidRPr="008E1353">
        <w:t>, 2017).</w:t>
      </w:r>
    </w:p>
    <w:p w14:paraId="0599EB62" w14:textId="64AB2BD3" w:rsidR="00A74165" w:rsidRPr="00271693" w:rsidRDefault="00A74165" w:rsidP="0002646C">
      <w:pPr>
        <w:pStyle w:val="Uni-Normal"/>
        <w:jc w:val="both"/>
      </w:pPr>
      <w:r w:rsidRPr="00271693">
        <w:t xml:space="preserve">Skills shortages further compound these pressures. Wales reports the highest proportion of employers experiencing skills gaps across the UK, with 58 per cent identifying shortages and only 31 per cent implementing initiatives aimed at recruiting or developing under 25s (Open University, 2024). At the same time, Gen Z respondents report strong interest in growth areas including artificial intelligence related roles and indicate they are more likely to remain with employers offering meaningful development opportunities. Yet only 20 per cent of Welsh employers feel confident in delivering their artificial intelligence strategies due to capability constraints (Open University, 2024). </w:t>
      </w:r>
      <w:r w:rsidR="008E1353" w:rsidRPr="008E1353">
        <w:t xml:space="preserve">This </w:t>
      </w:r>
      <w:r w:rsidR="00133DAE">
        <w:t>indicate</w:t>
      </w:r>
      <w:r w:rsidR="008E1353" w:rsidRPr="008E1353">
        <w:t>s a capability gap between workforce expectations and organisational readiness</w:t>
      </w:r>
      <w:r w:rsidRPr="00271693">
        <w:t xml:space="preserve">. The literature emphasises the scale of the challenge </w:t>
      </w:r>
      <w:r w:rsidRPr="00271693">
        <w:lastRenderedPageBreak/>
        <w:t>but offers limited guidance on how resource constrained local authorities can realistically mitigate these pressures, underscoring the need for context specific talent strategies that address demographic decline alongside structural workforce barriers.</w:t>
      </w:r>
    </w:p>
    <w:p w14:paraId="70988392" w14:textId="77777777" w:rsidR="00C83B24" w:rsidRDefault="00A74165" w:rsidP="0002646C">
      <w:pPr>
        <w:pStyle w:val="Uni-Normal"/>
        <w:keepNext/>
        <w:jc w:val="both"/>
      </w:pPr>
      <w:r w:rsidRPr="00B375EB">
        <w:rPr>
          <w:noProof/>
        </w:rPr>
        <w:drawing>
          <wp:inline distT="0" distB="0" distL="0" distR="0" wp14:anchorId="7128DDD2" wp14:editId="1F79762D">
            <wp:extent cx="5731340" cy="2955308"/>
            <wp:effectExtent l="0" t="0" r="3175" b="0"/>
            <wp:docPr id="1942894426" name="Picture 1" descr="A close-up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2894426" name="Picture 1" descr="A close-up of a graph&#10;&#10;AI-generated content may be incorrect."/>
                    <pic:cNvPicPr/>
                  </pic:nvPicPr>
                  <pic:blipFill rotWithShape="1">
                    <a:blip r:embed="rId9"/>
                    <a:srcRect t="8509"/>
                    <a:stretch>
                      <a:fillRect/>
                    </a:stretch>
                  </pic:blipFill>
                  <pic:spPr bwMode="auto">
                    <a:xfrm>
                      <a:off x="0" y="0"/>
                      <a:ext cx="5731510" cy="2955396"/>
                    </a:xfrm>
                    <a:prstGeom prst="rect">
                      <a:avLst/>
                    </a:prstGeom>
                    <a:ln>
                      <a:noFill/>
                    </a:ln>
                    <a:extLst>
                      <a:ext uri="{53640926-AAD7-44D8-BBD7-CCE9431645EC}">
                        <a14:shadowObscured xmlns:a14="http://schemas.microsoft.com/office/drawing/2010/main"/>
                      </a:ext>
                    </a:extLst>
                  </pic:spPr>
                </pic:pic>
              </a:graphicData>
            </a:graphic>
          </wp:inline>
        </w:drawing>
      </w:r>
    </w:p>
    <w:p w14:paraId="60BFD9F0" w14:textId="72FFAF12" w:rsidR="00A74165" w:rsidRPr="00C83B24" w:rsidRDefault="00C83B24" w:rsidP="0002646C">
      <w:pPr>
        <w:pStyle w:val="Caption"/>
        <w:jc w:val="both"/>
      </w:pPr>
      <w:bookmarkStart w:id="47" w:name="_Toc233030680"/>
      <w:r>
        <w:t xml:space="preserve">Figure </w:t>
      </w:r>
      <w:r w:rsidR="00231AA7">
        <w:fldChar w:fldCharType="begin"/>
      </w:r>
      <w:r w:rsidR="00231AA7">
        <w:instrText xml:space="preserve"> SEQ Figure \* ARABIC </w:instrText>
      </w:r>
      <w:r w:rsidR="00231AA7">
        <w:fldChar w:fldCharType="separate"/>
      </w:r>
      <w:r w:rsidR="00231AA7">
        <w:rPr>
          <w:noProof/>
        </w:rPr>
        <w:t>1</w:t>
      </w:r>
      <w:r w:rsidR="00231AA7">
        <w:rPr>
          <w:noProof/>
        </w:rPr>
        <w:fldChar w:fldCharType="end"/>
      </w:r>
      <w:r>
        <w:t xml:space="preserve">- Generations data and Early </w:t>
      </w:r>
      <w:r w:rsidR="001D7283">
        <w:t>Retirement</w:t>
      </w:r>
      <w:r>
        <w:t xml:space="preserve"> </w:t>
      </w:r>
      <w:r w:rsidR="00AB7E16" w:rsidRPr="00AB7E16">
        <w:t>(Newport City Council, 2025, confidential document)</w:t>
      </w:r>
      <w:bookmarkEnd w:id="47"/>
    </w:p>
    <w:p w14:paraId="3B18B769" w14:textId="00989375" w:rsidR="00A74165" w:rsidRPr="00DD2640" w:rsidRDefault="00A74165" w:rsidP="0002646C">
      <w:pPr>
        <w:pStyle w:val="2Sectionheading"/>
        <w:jc w:val="both"/>
      </w:pPr>
      <w:bookmarkStart w:id="48" w:name="_Toc233030649"/>
      <w:r w:rsidRPr="00DD2640">
        <w:t>2.</w:t>
      </w:r>
      <w:r>
        <w:t>5</w:t>
      </w:r>
      <w:r w:rsidRPr="00DD2640">
        <w:t xml:space="preserve"> Understanding </w:t>
      </w:r>
      <w:r w:rsidR="0017563B">
        <w:t>Gen Z</w:t>
      </w:r>
      <w:r w:rsidRPr="00DD2640">
        <w:t xml:space="preserve">: Workplace Expectations, </w:t>
      </w:r>
      <w:r w:rsidR="00413EDB" w:rsidRPr="00DD2640">
        <w:t>Preferences</w:t>
      </w:r>
      <w:r w:rsidR="00413EDB">
        <w:t xml:space="preserve"> and</w:t>
      </w:r>
      <w:r w:rsidRPr="00DD2640">
        <w:t xml:space="preserve"> Behaviours</w:t>
      </w:r>
      <w:bookmarkEnd w:id="48"/>
    </w:p>
    <w:p w14:paraId="51D6CE96" w14:textId="759CAF67" w:rsidR="00D16C2D" w:rsidRPr="00D16C2D" w:rsidRDefault="00F0718D" w:rsidP="00D16C2D">
      <w:pPr>
        <w:pStyle w:val="Uni-Normal"/>
        <w:jc w:val="both"/>
      </w:pPr>
      <w:bookmarkStart w:id="49" w:name="_Hlk214549231"/>
      <w:r w:rsidRPr="00F0718D">
        <w:t>By 2025, Gen Z was projected to comprise approximately 27% of the workforce (Top Employers Institute, 2024).</w:t>
      </w:r>
      <w:r>
        <w:t xml:space="preserve"> </w:t>
      </w:r>
      <w:r w:rsidR="00D16C2D" w:rsidRPr="00D16C2D">
        <w:t>They typically value flexibility, meaningful work, rapid progression and effective digital tools</w:t>
      </w:r>
      <w:r w:rsidR="00353D6A">
        <w:t xml:space="preserve"> </w:t>
      </w:r>
      <w:r w:rsidR="00D16C2D" w:rsidRPr="00D16C2D">
        <w:t>but these expectations often clash with structured processes, limited budgets and legacy systems (Schroth, 2019). Employer attractiveness is also shaped by ethics, sustainability and social responsibility (</w:t>
      </w:r>
      <w:proofErr w:type="spellStart"/>
      <w:r w:rsidR="00D16C2D" w:rsidRPr="00D16C2D">
        <w:t>Rzemieniak</w:t>
      </w:r>
      <w:proofErr w:type="spellEnd"/>
      <w:r w:rsidR="00D16C2D" w:rsidRPr="00D16C2D">
        <w:t xml:space="preserve"> &amp; Wawer, 2021). For councils, understanding these preferences is important when considering how Gen Z expectations align</w:t>
      </w:r>
      <w:r w:rsidR="00E5168E">
        <w:t xml:space="preserve"> </w:t>
      </w:r>
      <w:r w:rsidR="00D16C2D" w:rsidRPr="00D16C2D">
        <w:t>or conflict, with public sector realities.</w:t>
      </w:r>
    </w:p>
    <w:p w14:paraId="60CB0A01" w14:textId="186FB9DF" w:rsidR="00A74165" w:rsidRPr="00DD2640" w:rsidRDefault="00A74165" w:rsidP="0002646C">
      <w:pPr>
        <w:pStyle w:val="Uni-Normal"/>
        <w:jc w:val="both"/>
      </w:pPr>
      <w:r w:rsidRPr="00DD2640">
        <w:t xml:space="preserve">Strauss and Howe’s (1991) Generational Theory offers a useful framework for understanding this generation’s workplace attitudes, suggesting that historical events and socio-economic conditions shape each generation’s values and behaviours. This perspective is echoed by Gifford (2020), who argues that formative experiences during upbringing and entry into the labour market have a lasting influence on priorities and life choices. </w:t>
      </w:r>
      <w:proofErr w:type="spellStart"/>
      <w:r w:rsidRPr="00DD2640">
        <w:t>Nieżurawska</w:t>
      </w:r>
      <w:r w:rsidRPr="00DD2640">
        <w:noBreakHyphen/>
        <w:t>Zają̨c</w:t>
      </w:r>
      <w:proofErr w:type="spellEnd"/>
      <w:r w:rsidRPr="00DD2640">
        <w:t xml:space="preserve">, Kycia and </w:t>
      </w:r>
      <w:proofErr w:type="spellStart"/>
      <w:r w:rsidRPr="00DD2640">
        <w:t>Niemczynowicz</w:t>
      </w:r>
      <w:proofErr w:type="spellEnd"/>
      <w:r w:rsidRPr="00DD2640">
        <w:t xml:space="preserve"> (2023) similarly apply a generational lens, comparing Gen Z with older cohorts to understand their distinctive workplace expectations, motivational </w:t>
      </w:r>
      <w:r w:rsidR="00413EDB" w:rsidRPr="00DD2640">
        <w:t>drivers</w:t>
      </w:r>
      <w:r w:rsidR="00413EDB">
        <w:t xml:space="preserve"> and</w:t>
      </w:r>
      <w:r w:rsidRPr="00DD2640">
        <w:t xml:space="preserve"> attitudes toward work. However, George et al. (2024) warn that generational traits are often </w:t>
      </w:r>
      <w:r w:rsidRPr="00DD2640">
        <w:lastRenderedPageBreak/>
        <w:t xml:space="preserve">overgeneralised, with variation within generations sometimes exceeding differences between them. </w:t>
      </w:r>
    </w:p>
    <w:p w14:paraId="2374DB3C" w14:textId="6364C117" w:rsidR="00893A55" w:rsidRPr="00893A55" w:rsidRDefault="00893A55" w:rsidP="00893A55">
      <w:pPr>
        <w:pStyle w:val="Uni-Normal"/>
        <w:jc w:val="both"/>
      </w:pPr>
      <w:r w:rsidRPr="00893A55">
        <w:t xml:space="preserve">A </w:t>
      </w:r>
      <w:r w:rsidR="00413EDB" w:rsidRPr="00893A55">
        <w:t>significant contextual influence shaping Gen Z’s workplace expectation</w:t>
      </w:r>
      <w:r w:rsidRPr="00893A55">
        <w:t xml:space="preserve"> is the COVID-19 pandemic, as identified by Jayathilake et al. (2021) and Harari et al. (2023). Experiencing the pandemic during key stages of education and early career, many adapted to hybrid learning and remote work. This has fostered a preference for flexibility, digital </w:t>
      </w:r>
      <w:r w:rsidR="00413EDB" w:rsidRPr="00893A55">
        <w:t>engagement</w:t>
      </w:r>
      <w:r w:rsidR="00413EDB">
        <w:t xml:space="preserve"> and</w:t>
      </w:r>
      <w:r w:rsidRPr="00893A55">
        <w:t xml:space="preserve"> continuous learning, alongside a heightened focus on well-being and mental health (Harari et al., 2023; Jayathilake et al., 2021). Harari et al. (2023), argue these experiences reinforce values of autonomy, </w:t>
      </w:r>
      <w:r w:rsidR="00413EDB" w:rsidRPr="00893A55">
        <w:t>adaptability</w:t>
      </w:r>
      <w:r w:rsidR="00413EDB">
        <w:t xml:space="preserve"> and</w:t>
      </w:r>
      <w:r w:rsidRPr="00893A55">
        <w:t xml:space="preserve"> openness to change</w:t>
      </w:r>
      <w:r w:rsidR="00EA49F0">
        <w:t xml:space="preserve">, </w:t>
      </w:r>
      <w:r w:rsidR="00EA49F0" w:rsidRPr="00893A55">
        <w:t>in comparison with Gen X,</w:t>
      </w:r>
      <w:r w:rsidRPr="00893A55">
        <w:t xml:space="preserve"> Jayathilake et al. (2021) emphasise the need for further research into the pandemic’s long-term effects, suggesting organisational strategies such as democratised learning and reverse mentoring to support development and retention. Although the full impact remains uncertain, both studies agree the pandemic accelerated trends towards hybrid working and digital interaction, aligning with Gen Z’s emerging workplace values (Harari et al., 2023; Jayathilake et al., 2021).</w:t>
      </w:r>
    </w:p>
    <w:p w14:paraId="5D1591F5" w14:textId="115AA846" w:rsidR="00893A55" w:rsidRPr="00893A55" w:rsidRDefault="00893A55" w:rsidP="00893A55">
      <w:pPr>
        <w:pStyle w:val="Uni-Normal"/>
        <w:jc w:val="both"/>
      </w:pPr>
      <w:r w:rsidRPr="00893A55">
        <w:t xml:space="preserve">These influences are most clearly reflected in Gen Z’s strong preference for flexibility. Research by Kästner and </w:t>
      </w:r>
      <w:proofErr w:type="spellStart"/>
      <w:r w:rsidRPr="00893A55">
        <w:t>Mattutat</w:t>
      </w:r>
      <w:proofErr w:type="spellEnd"/>
      <w:r w:rsidRPr="00893A55">
        <w:t xml:space="preserve"> (2024) indicates that flexibility is a primary workplace priority for Gen Z. Similarly, Shinde and Surve (2025) and Zahra et al. (2025) identify work–life balance, flexible </w:t>
      </w:r>
      <w:r w:rsidR="00413EDB" w:rsidRPr="00893A55">
        <w:t>hours</w:t>
      </w:r>
      <w:r w:rsidR="00413EDB">
        <w:t xml:space="preserve"> and</w:t>
      </w:r>
      <w:r w:rsidRPr="00893A55">
        <w:t xml:space="preserve"> hybrid or remote working as highly valued benefits. These preferences reflect a desire for autonomy and the integration of work and personal life, challenging traditional office-based models (Shinde and Surve, 2025). This trend is also evident within UK local government, where 88% of employees aged 18–34 consider hybrid or remote working important (Deegan et al., 2024).</w:t>
      </w:r>
      <w:r w:rsidRPr="00893A55">
        <w:rPr>
          <w:rFonts w:ascii="Segoe UI" w:eastAsia="Times New Roman" w:hAnsi="Segoe UI" w:cs="Segoe UI"/>
          <w:sz w:val="21"/>
          <w:szCs w:val="21"/>
          <w:lang w:eastAsia="en-GB"/>
        </w:rPr>
        <w:t xml:space="preserve"> </w:t>
      </w:r>
      <w:r w:rsidRPr="00893A55">
        <w:t xml:space="preserve">However, the literature presents contrasting perspectives. Romero (2025) challenges the assumption that Gen Z resists office-based work, suggesting instead that Millennials and Gen X show greater resistance. Gen Z, by contrast, values collaborative and socially engaging environments alongside flexibility. </w:t>
      </w:r>
      <w:proofErr w:type="spellStart"/>
      <w:r w:rsidRPr="00893A55">
        <w:t>Iorgulescu</w:t>
      </w:r>
      <w:proofErr w:type="spellEnd"/>
      <w:r w:rsidRPr="00893A55">
        <w:t xml:space="preserve"> (2016) similarly found that 47.7% of Gen Z respondents preferred working in large teams, compared to 34.6% who favoured independent work. This highlights the need to avoid overgeneralisation and to understand Gen Z preferences within specific contexts, particularly in the public sector.</w:t>
      </w:r>
    </w:p>
    <w:p w14:paraId="69896FC7" w14:textId="1636386F" w:rsidR="00A74165" w:rsidRPr="00DD2640" w:rsidRDefault="00A74165" w:rsidP="0002646C">
      <w:pPr>
        <w:pStyle w:val="Uni-Normal"/>
        <w:jc w:val="both"/>
        <w:rPr>
          <w:rFonts w:eastAsia="Times New Roman"/>
          <w:szCs w:val="24"/>
          <w:lang w:eastAsia="en-GB"/>
        </w:rPr>
      </w:pPr>
      <w:r w:rsidRPr="00DD2640">
        <w:t xml:space="preserve">Gen Z places strong emphasis on diversity, </w:t>
      </w:r>
      <w:r w:rsidR="00413EDB" w:rsidRPr="00DD2640">
        <w:t>equ</w:t>
      </w:r>
      <w:r w:rsidR="00413EDB">
        <w:t>i</w:t>
      </w:r>
      <w:r w:rsidR="00413EDB" w:rsidRPr="00DD2640">
        <w:t>ty</w:t>
      </w:r>
      <w:r w:rsidR="00413EDB">
        <w:t xml:space="preserve"> and</w:t>
      </w:r>
      <w:r w:rsidRPr="00DD2640">
        <w:t xml:space="preserve"> inclusion (DEI), with 91% believing everyone should be treated equally (Schroth, 2019). As the most racially and ethnically diverse generation, they expect employers to uphold social responsibility and inclusivity. For this </w:t>
      </w:r>
      <w:r w:rsidRPr="00DD2640">
        <w:lastRenderedPageBreak/>
        <w:t xml:space="preserve">cohort, employer appeal is strongly shaped by perceptions of environmental responsibility, social </w:t>
      </w:r>
      <w:r w:rsidR="00413EDB" w:rsidRPr="00DD2640">
        <w:t>responsibility</w:t>
      </w:r>
      <w:r w:rsidR="00413EDB">
        <w:t xml:space="preserve"> and</w:t>
      </w:r>
      <w:r w:rsidRPr="00DD2640">
        <w:t xml:space="preserve"> community engagement, which they view as important indicators of an organisation’s values (</w:t>
      </w:r>
      <w:proofErr w:type="spellStart"/>
      <w:r w:rsidRPr="00DD2640">
        <w:t>Dangmei</w:t>
      </w:r>
      <w:proofErr w:type="spellEnd"/>
      <w:r w:rsidRPr="00DD2640">
        <w:t xml:space="preserve"> &amp; Singh, 2016).</w:t>
      </w:r>
      <w:r>
        <w:t xml:space="preserve"> </w:t>
      </w:r>
      <w:r w:rsidRPr="00DD2640">
        <w:t xml:space="preserve">Organisations that demonstrate authenticity in these areas are more likely to attract and retain this talent. </w:t>
      </w:r>
      <w:r w:rsidRPr="00DD2640">
        <w:rPr>
          <w:szCs w:val="24"/>
        </w:rPr>
        <w:t>However, the literature also highlights tensions</w:t>
      </w:r>
      <w:r>
        <w:rPr>
          <w:szCs w:val="24"/>
        </w:rPr>
        <w:t>.</w:t>
      </w:r>
      <w:r w:rsidRPr="00DD2640">
        <w:rPr>
          <w:szCs w:val="24"/>
        </w:rPr>
        <w:t xml:space="preserve"> Schroth (2019) notes that Gen Z’s strong stance on equality can lead to challenges around free speech and organisational culture, particularly in hierarchical environments.</w:t>
      </w:r>
      <w:r w:rsidRPr="00DD2640">
        <w:rPr>
          <w:rFonts w:eastAsia="Times New Roman"/>
          <w:szCs w:val="24"/>
          <w:lang w:eastAsia="en-GB"/>
        </w:rPr>
        <w:t xml:space="preserve"> This is especially relevant for public sector employers, where more rigid structures and slower progression may reduce role attractiveness despite strong alignment with Gen Z’s social value priorities.</w:t>
      </w:r>
    </w:p>
    <w:p w14:paraId="589212C3" w14:textId="1BC5602F" w:rsidR="00A74165" w:rsidRPr="003A0B65" w:rsidRDefault="00A74165" w:rsidP="0002646C">
      <w:pPr>
        <w:pStyle w:val="Uni-Normal"/>
        <w:jc w:val="both"/>
        <w:rPr>
          <w:szCs w:val="24"/>
        </w:rPr>
      </w:pPr>
      <w:r w:rsidRPr="00DD2640">
        <w:rPr>
          <w:rFonts w:eastAsia="Times New Roman"/>
          <w:szCs w:val="24"/>
          <w:lang w:eastAsia="en-GB"/>
        </w:rPr>
        <w:t>P</w:t>
      </w:r>
      <w:r w:rsidRPr="00DD2640">
        <w:rPr>
          <w:szCs w:val="24"/>
        </w:rPr>
        <w:t>andita (2022) extends this by linking DEI values to everyday organisational design</w:t>
      </w:r>
      <w:r>
        <w:rPr>
          <w:szCs w:val="24"/>
        </w:rPr>
        <w:t>.</w:t>
      </w:r>
      <w:r w:rsidRPr="00DD2640">
        <w:rPr>
          <w:szCs w:val="24"/>
        </w:rPr>
        <w:t xml:space="preserve"> Gen Z’s “undefined identity” orientation favours flatter hierarchies and less rigid job titles, signalling inclusion not only in policy but in role architecture</w:t>
      </w:r>
      <w:r>
        <w:rPr>
          <w:szCs w:val="24"/>
        </w:rPr>
        <w:t>.</w:t>
      </w:r>
      <w:r w:rsidR="0073355E">
        <w:rPr>
          <w:szCs w:val="24"/>
        </w:rPr>
        <w:t xml:space="preserve"> </w:t>
      </w:r>
      <w:r w:rsidRPr="00DD2640">
        <w:t xml:space="preserve">Recent research by </w:t>
      </w:r>
      <w:proofErr w:type="spellStart"/>
      <w:r w:rsidRPr="00DD2640">
        <w:t>Rzemieniak</w:t>
      </w:r>
      <w:proofErr w:type="spellEnd"/>
      <w:r w:rsidRPr="00DD2640">
        <w:t xml:space="preserve"> and Wawer (2021) both supports and extends these observations. Their findings confirm that sustainability, </w:t>
      </w:r>
      <w:r w:rsidR="00413EDB" w:rsidRPr="00DD2640">
        <w:t>ethics</w:t>
      </w:r>
      <w:r w:rsidR="00413EDB">
        <w:t xml:space="preserve"> and</w:t>
      </w:r>
      <w:r w:rsidRPr="00DD2640">
        <w:t xml:space="preserve"> diversity are indeed highly valued by Gen Z, echoing the themes identified by Schroth (2019) and </w:t>
      </w:r>
      <w:proofErr w:type="spellStart"/>
      <w:r w:rsidRPr="00DD2640">
        <w:t>Dangmei</w:t>
      </w:r>
      <w:proofErr w:type="spellEnd"/>
      <w:r w:rsidRPr="00DD2640">
        <w:t xml:space="preserve"> &amp; Singh (2016). </w:t>
      </w:r>
      <w:proofErr w:type="spellStart"/>
      <w:r w:rsidRPr="00DD2640">
        <w:t>Rzemieniak</w:t>
      </w:r>
      <w:proofErr w:type="spellEnd"/>
      <w:r w:rsidRPr="00DD2640">
        <w:t xml:space="preserve"> and Wawer (2021) add a gendered dimension, demonstrating that women from Gen Z are significantly more likely than men to appreciate and be motivated by companies that actively promote these values. This suggests that while DEI and sustainability initiatives are broadly attractive to Gen Z, their impact may vary within the cohort, particularly between genders. Consequently, organisations seeking to attract and retain Gen Z talent should embed DEI principles not only in policy but in practice, ensuring that organisational culture reflects these values authentically and is responsive to the diverse expectations within Gen Z (Zahra et al., 2025).</w:t>
      </w:r>
    </w:p>
    <w:p w14:paraId="76E6AB23" w14:textId="70F80B65" w:rsidR="00A74165" w:rsidRPr="00DD2640" w:rsidRDefault="00A74165" w:rsidP="0002646C">
      <w:pPr>
        <w:pStyle w:val="Uni-Normal"/>
        <w:jc w:val="both"/>
      </w:pPr>
      <w:r w:rsidRPr="00DD2640">
        <w:t xml:space="preserve">A dominant theme in the literature is the characterisation of Gen Z as ‘digital natives,’ having grown up in a world shaped by mobile phones, digital communication, social </w:t>
      </w:r>
      <w:r w:rsidR="00413EDB" w:rsidRPr="00DD2640">
        <w:t>media</w:t>
      </w:r>
      <w:r w:rsidR="00413EDB">
        <w:t xml:space="preserve"> and</w:t>
      </w:r>
      <w:r w:rsidRPr="00DD2640">
        <w:t xml:space="preserve"> the internet (Francis &amp; Hoefel, 2018; </w:t>
      </w:r>
      <w:proofErr w:type="spellStart"/>
      <w:r w:rsidRPr="00DD2640">
        <w:t>Dangmei</w:t>
      </w:r>
      <w:proofErr w:type="spellEnd"/>
      <w:r w:rsidRPr="00DD2640">
        <w:t xml:space="preserve"> &amp; Singh, 2016;</w:t>
      </w:r>
      <w:r w:rsidRPr="00DD2640">
        <w:rPr>
          <w:rFonts w:ascii="Segoe UI" w:eastAsia="Times New Roman" w:hAnsi="Segoe UI" w:cs="Segoe UI"/>
          <w:sz w:val="21"/>
          <w:szCs w:val="21"/>
          <w:lang w:eastAsia="en-GB"/>
        </w:rPr>
        <w:t xml:space="preserve"> </w:t>
      </w:r>
      <w:r w:rsidRPr="00DD2640">
        <w:t xml:space="preserve">Jayathilake et al., 2021; Pandita, 2022). Pandita (2022) suggests that this digital upbringing has made Gen Z analytical, self-directed learners who multitask efficiently. Vieira et al. (2024) further highlight that </w:t>
      </w:r>
      <w:r w:rsidR="0017563B">
        <w:t>Gen Z</w:t>
      </w:r>
      <w:r w:rsidRPr="00DD2640">
        <w:t xml:space="preserve"> expects technology to be embedded throughout their working lives and places strong emphasis on diversity, </w:t>
      </w:r>
      <w:r w:rsidR="00413EDB" w:rsidRPr="00DD2640">
        <w:t>inclusion</w:t>
      </w:r>
      <w:r w:rsidR="00413EDB">
        <w:t xml:space="preserve"> and</w:t>
      </w:r>
      <w:r w:rsidRPr="00DD2640">
        <w:t xml:space="preserve"> supportive workplace cultures, including wellbeing and work–life balance. Recruitment, </w:t>
      </w:r>
      <w:r w:rsidR="00413EDB" w:rsidRPr="00DD2640">
        <w:t>onboarding</w:t>
      </w:r>
      <w:r w:rsidR="00413EDB">
        <w:t xml:space="preserve"> and</w:t>
      </w:r>
      <w:r w:rsidRPr="00DD2640">
        <w:t xml:space="preserve"> career management processes must therefore evolve to align with these expectations.</w:t>
      </w:r>
      <w:r>
        <w:t xml:space="preserve"> </w:t>
      </w:r>
      <w:r w:rsidRPr="00DD2640">
        <w:t xml:space="preserve">However, </w:t>
      </w:r>
      <w:proofErr w:type="spellStart"/>
      <w:r w:rsidRPr="00DD2640">
        <w:t>Dangmei</w:t>
      </w:r>
      <w:proofErr w:type="spellEnd"/>
      <w:r w:rsidRPr="00DD2640">
        <w:t xml:space="preserve"> &amp; Singh (2016) caution that heavy reliance on technology may lead to impatience, shorter attention </w:t>
      </w:r>
      <w:r w:rsidR="00413EDB" w:rsidRPr="00DD2640">
        <w:t>spans</w:t>
      </w:r>
      <w:r w:rsidR="00413EDB">
        <w:t xml:space="preserve"> and</w:t>
      </w:r>
      <w:r w:rsidRPr="00DD2640">
        <w:t xml:space="preserve"> a preference for instant </w:t>
      </w:r>
      <w:r w:rsidRPr="00DD2640">
        <w:lastRenderedPageBreak/>
        <w:t>solutions, illustrating the complexity of this cohort’s relationship with technology. While these traits offer opportunities for innovation in the public sector, many councils still face challenges in keeping pace with rapid digital change, creating a potential misalignment between organisational capabilities and generational expectations. Zahra et al. (2025) note that insufficient or outdated technological tools can lead to frustration and diminished engagement among Gen Z employees, with potential implications for retention. These challenges reflect wider barriers to digital innovation in local government, including financial constraints reported by over half of councils, difficulties integrating legacy systems affecting nearly two-</w:t>
      </w:r>
      <w:r w:rsidR="00353D6A" w:rsidRPr="00DD2640">
        <w:t>fifths</w:t>
      </w:r>
      <w:r w:rsidR="00353D6A">
        <w:t xml:space="preserve"> and</w:t>
      </w:r>
      <w:r w:rsidRPr="00DD2640">
        <w:t xml:space="preserve"> persistent gaps in staff digital skills identified across 40% of authorities (Civica, 2025).</w:t>
      </w:r>
    </w:p>
    <w:p w14:paraId="0A4057ED" w14:textId="77777777" w:rsidR="00A74165" w:rsidRPr="00DD2640" w:rsidRDefault="00A74165" w:rsidP="0002646C">
      <w:pPr>
        <w:pStyle w:val="Uni-Normal"/>
        <w:jc w:val="both"/>
      </w:pPr>
      <w:r w:rsidRPr="00DD2640">
        <w:t xml:space="preserve">Mazars’ public sector survey reinforces this perspective, revealing significant challenges for councils and other public bodies in meeting Gen Z’s expectations. One survey participant noted that the sector is not appealing due to outdated systems and bureaucratic processes, which Gen Z finds unattractive (Mazars, 2025). The survey highlights that public sector organisations often </w:t>
      </w:r>
      <w:proofErr w:type="gramStart"/>
      <w:r w:rsidRPr="00DD2640">
        <w:t>lag behind</w:t>
      </w:r>
      <w:proofErr w:type="gramEnd"/>
      <w:r w:rsidRPr="00DD2640">
        <w:t xml:space="preserve"> in adopting advanced technologies, constrained by budgetary limitations and bureaucratic structures (Mazars, 2025). This creates a disconnect between organisational capabilities and generational expectations. </w:t>
      </w:r>
      <w:r w:rsidRPr="001C659F">
        <w:t>Several authors argue that limited progress in modernisation may contribute to perceptions of the public sector as outdated and inflexible, particularly among younger cohorts</w:t>
      </w:r>
      <w:r>
        <w:t>.</w:t>
      </w:r>
    </w:p>
    <w:p w14:paraId="6179DC76" w14:textId="1014204E" w:rsidR="00A74165" w:rsidRPr="00DD2640" w:rsidRDefault="00A74165" w:rsidP="0002646C">
      <w:pPr>
        <w:pStyle w:val="Uni-Normal"/>
        <w:jc w:val="both"/>
      </w:pPr>
      <w:r w:rsidRPr="00DD2640">
        <w:t xml:space="preserve">Building on Gen Z’s digital nativity and preference for flexibility, another key theme emerging in the literature is their strong desire for career development. Recent research challenges stereotypes of Gen Z as “lazy,” indicating that 65% are eager for professional development and career growth (Silicon UK, 2024). </w:t>
      </w:r>
      <w:proofErr w:type="spellStart"/>
      <w:r w:rsidRPr="00DD2640">
        <w:t>Iorgulescu</w:t>
      </w:r>
      <w:proofErr w:type="spellEnd"/>
      <w:r w:rsidRPr="00DD2640">
        <w:t xml:space="preserve"> (2016) reinforces this view, noting that Gen Z seeks careers that are meaningful, </w:t>
      </w:r>
      <w:r w:rsidR="00353D6A" w:rsidRPr="00DD2640">
        <w:t>autonomous</w:t>
      </w:r>
      <w:r w:rsidR="00353D6A">
        <w:t xml:space="preserve"> and</w:t>
      </w:r>
      <w:r w:rsidRPr="00DD2640">
        <w:t xml:space="preserve"> intellectually stimulating. 87.18% of Gen Z respondents in the survey identified opportunities for advancement and career development as their top priority when selecting a full-time job</w:t>
      </w:r>
      <w:r w:rsidR="00EA49F0">
        <w:t>.</w:t>
      </w:r>
      <w:r w:rsidRPr="00DD2640">
        <w:t xml:space="preserve"> Similarly, Madan and Nandan’s (2024) study identifies growth and autonomy as central factors shaping their job expectations. Notably, the ‘economic aspect’ was ranked fifth by both genders, suggesting a lower emphasis on extrinsic benefits like salary and rewards compared to intrinsic factors that provide inner satisfaction.</w:t>
      </w:r>
    </w:p>
    <w:p w14:paraId="1B0B9201" w14:textId="66E3697C" w:rsidR="00A74165" w:rsidRPr="00DD2640" w:rsidRDefault="00A74165" w:rsidP="0002646C">
      <w:pPr>
        <w:pStyle w:val="Uni-Normal"/>
        <w:jc w:val="both"/>
      </w:pPr>
      <w:bookmarkStart w:id="50" w:name="_Hlk217311418"/>
      <w:r w:rsidRPr="007F731F">
        <w:t xml:space="preserve">Learning and development remain a central theme in the literature, with studies indicating that Gen Z value workplaces offering mentoring, continuous </w:t>
      </w:r>
      <w:r w:rsidR="00353D6A" w:rsidRPr="007F731F">
        <w:t>learning</w:t>
      </w:r>
      <w:r w:rsidR="00353D6A">
        <w:t xml:space="preserve"> and</w:t>
      </w:r>
      <w:r w:rsidRPr="007F731F">
        <w:t xml:space="preserve"> opportunities for </w:t>
      </w:r>
      <w:r w:rsidRPr="007F731F">
        <w:lastRenderedPageBreak/>
        <w:t xml:space="preserve">professional growth (Bridges, 2015, as cited in </w:t>
      </w:r>
      <w:proofErr w:type="spellStart"/>
      <w:r w:rsidRPr="007F731F">
        <w:t>Dangmei</w:t>
      </w:r>
      <w:proofErr w:type="spellEnd"/>
      <w:r w:rsidRPr="007F731F">
        <w:t xml:space="preserve"> &amp; Singh, 2016</w:t>
      </w:r>
      <w:r w:rsidRPr="00DD2640">
        <w:t xml:space="preserve">; </w:t>
      </w:r>
      <w:proofErr w:type="spellStart"/>
      <w:r w:rsidRPr="00DD2640">
        <w:t>Iorgulescu</w:t>
      </w:r>
      <w:proofErr w:type="spellEnd"/>
      <w:r w:rsidRPr="00DD2640">
        <w:t xml:space="preserve">, 2016). In </w:t>
      </w:r>
      <w:proofErr w:type="spellStart"/>
      <w:r w:rsidRPr="00DD2640">
        <w:t>Iorgulescu’s</w:t>
      </w:r>
      <w:proofErr w:type="spellEnd"/>
      <w:r w:rsidRPr="00DD2640">
        <w:t xml:space="preserve"> (2016) study, Gen Z rated the ability to constantly learn new things as the most important skill for building a successful career, even though their top priorities when choosing a full</w:t>
      </w:r>
      <w:r w:rsidRPr="00DD2640">
        <w:noBreakHyphen/>
        <w:t xml:space="preserve">time job were advancement opportunities, </w:t>
      </w:r>
      <w:r w:rsidR="00353D6A" w:rsidRPr="00DD2640">
        <w:t>pay</w:t>
      </w:r>
      <w:r w:rsidR="00353D6A">
        <w:t xml:space="preserve"> and</w:t>
      </w:r>
      <w:r w:rsidRPr="00DD2640">
        <w:t xml:space="preserve"> job security. However, this interpretation is challenged by Madan and Nandan (2024), who reported that meaning and purpose outweigh opportunities for formal development, with development ranked as the least important factor</w:t>
      </w:r>
      <w:r w:rsidR="00EA49F0">
        <w:t>.</w:t>
      </w:r>
      <w:r w:rsidRPr="00DD2640">
        <w:t xml:space="preserve"> </w:t>
      </w:r>
      <w:r w:rsidR="00EA49F0">
        <w:t>This indicates</w:t>
      </w:r>
      <w:r w:rsidRPr="00DD2640">
        <w:t xml:space="preserve"> a shared preference for roles that provide impact and responsibility rather than structured learning. Agarwal and Vaghela (2018) offer a differ</w:t>
      </w:r>
      <w:r w:rsidR="00EA49F0">
        <w:t>ent</w:t>
      </w:r>
      <w:r w:rsidRPr="00DD2640">
        <w:t xml:space="preserve"> viewpoint, suggesting that learning remains core to the generation. They argue </w:t>
      </w:r>
      <w:r w:rsidR="00353D6A" w:rsidRPr="00DD2640">
        <w:t>that</w:t>
      </w:r>
      <w:r w:rsidRPr="00DD2640">
        <w:t xml:space="preserve"> having grown up in a digital era with instant access to platforms such as YouTube, Gen Z expects quick learning paths and on-demand resources. As a result, they recommend that organi</w:t>
      </w:r>
      <w:r>
        <w:t>s</w:t>
      </w:r>
      <w:r w:rsidRPr="00DD2640">
        <w:t xml:space="preserve">ations adopt more adaptable strategies, such as implementing rotational </w:t>
      </w:r>
      <w:r w:rsidR="00EA49F0" w:rsidRPr="00DD2640">
        <w:t>program</w:t>
      </w:r>
      <w:r w:rsidR="00EA49F0">
        <w:t>me</w:t>
      </w:r>
      <w:r w:rsidR="00EA49F0" w:rsidRPr="00DD2640">
        <w:t>s</w:t>
      </w:r>
      <w:r w:rsidRPr="00DD2640">
        <w:t xml:space="preserve">, exploratory </w:t>
      </w:r>
      <w:r w:rsidR="00353D6A" w:rsidRPr="00DD2640">
        <w:t>assignments</w:t>
      </w:r>
      <w:r w:rsidR="00353D6A">
        <w:t xml:space="preserve"> and</w:t>
      </w:r>
      <w:r w:rsidRPr="00DD2640">
        <w:t xml:space="preserve"> expanding opportunities for continuous learning and development. </w:t>
      </w:r>
    </w:p>
    <w:bookmarkEnd w:id="50"/>
    <w:p w14:paraId="25ED02DC" w14:textId="366BED43" w:rsidR="00A74165" w:rsidRPr="00DD2640" w:rsidRDefault="00A74165" w:rsidP="0002646C">
      <w:pPr>
        <w:pStyle w:val="Uni-Normal"/>
        <w:jc w:val="both"/>
      </w:pPr>
      <w:r w:rsidRPr="00DD2640">
        <w:t xml:space="preserve">Within </w:t>
      </w:r>
      <w:r w:rsidR="00161284">
        <w:t>NCC</w:t>
      </w:r>
      <w:r w:rsidRPr="00DD2640">
        <w:t xml:space="preserve">, these generational dynamics are increasingly relevant as younger cohorts enter the workforce. Gen Z employees represent 11% of the workforce (Newport City Council, 2025), underscoring the importance of aligning talent management strategies with expectations for hybrid working, rapid development </w:t>
      </w:r>
      <w:r w:rsidR="00353D6A" w:rsidRPr="00DD2640">
        <w:t>opportunities</w:t>
      </w:r>
      <w:r w:rsidR="00353D6A">
        <w:t xml:space="preserve"> and</w:t>
      </w:r>
      <w:r w:rsidRPr="00DD2640">
        <w:t xml:space="preserve"> inclusive organisational cultures. Misalignment between organisational practices and generational expectations may result in reduced engagement, </w:t>
      </w:r>
      <w:r w:rsidR="00353D6A" w:rsidRPr="00DD2640">
        <w:t>retention</w:t>
      </w:r>
      <w:r w:rsidR="00353D6A">
        <w:t xml:space="preserve"> and</w:t>
      </w:r>
      <w:r w:rsidRPr="00DD2640">
        <w:t xml:space="preserve"> higher turnover, </w:t>
      </w:r>
      <w:r>
        <w:t>r</w:t>
      </w:r>
      <w:r w:rsidRPr="00A40652">
        <w:t>einforcing the need for targeted approaches that balance flexibility and innovation with the structural realities of local government employment. Yet these expectations often clash with the realities of public sector employment, presenting a contrasting picture that shapes Gen Z’s experiences within councils.</w:t>
      </w:r>
    </w:p>
    <w:p w14:paraId="10938B3D" w14:textId="7BA043B6" w:rsidR="00A74165" w:rsidRPr="00DD2640" w:rsidRDefault="00A74165" w:rsidP="0002646C">
      <w:pPr>
        <w:pStyle w:val="2Sectionheading"/>
        <w:jc w:val="both"/>
      </w:pPr>
      <w:bookmarkStart w:id="51" w:name="_Toc220001940"/>
      <w:bookmarkStart w:id="52" w:name="_Toc233030650"/>
      <w:r w:rsidRPr="00DD2640">
        <w:t>2.</w:t>
      </w:r>
      <w:r>
        <w:t>6</w:t>
      </w:r>
      <w:r w:rsidRPr="00DD2640">
        <w:t xml:space="preserve"> </w:t>
      </w:r>
      <w:r w:rsidR="0017563B">
        <w:t>Gen Z</w:t>
      </w:r>
      <w:r w:rsidRPr="00DD2640">
        <w:t xml:space="preserve"> in the Public Sector</w:t>
      </w:r>
      <w:bookmarkEnd w:id="49"/>
      <w:bookmarkEnd w:id="51"/>
      <w:bookmarkEnd w:id="52"/>
      <w:r w:rsidRPr="00DD2640">
        <w:t xml:space="preserve"> </w:t>
      </w:r>
    </w:p>
    <w:p w14:paraId="07516A6C" w14:textId="10C780DB" w:rsidR="00A74165" w:rsidRDefault="00A74165" w:rsidP="0002646C">
      <w:pPr>
        <w:pStyle w:val="Uni-Normal"/>
        <w:jc w:val="both"/>
      </w:pPr>
      <w:r w:rsidRPr="00575B51">
        <w:t xml:space="preserve">Gen Z is entering the workforce at a time when public sector organisations are grappling with a “perfect storm” of economic pressures, workforce </w:t>
      </w:r>
      <w:r w:rsidR="00353D6A" w:rsidRPr="00575B51">
        <w:t>shortages</w:t>
      </w:r>
      <w:r w:rsidR="00353D6A">
        <w:t xml:space="preserve"> and</w:t>
      </w:r>
      <w:r w:rsidRPr="00575B51">
        <w:t xml:space="preserve"> rising demand for services (</w:t>
      </w:r>
      <w:proofErr w:type="spellStart"/>
      <w:r w:rsidRPr="00575B51">
        <w:t>Forvis</w:t>
      </w:r>
      <w:proofErr w:type="spellEnd"/>
      <w:r w:rsidRPr="00575B51">
        <w:t xml:space="preserve"> Mazars, 2026). Talent management literature highlights that attracting and retaining Gen Z requires a fundamental rethink of traditional public sector workforce strategies (Deegan et al., 2024). The </w:t>
      </w:r>
      <w:r w:rsidRPr="00575B51">
        <w:rPr>
          <w:i/>
          <w:iCs/>
        </w:rPr>
        <w:t>Workforce of the Future</w:t>
      </w:r>
      <w:r w:rsidRPr="00575B51">
        <w:t xml:space="preserve"> report notes that Gen Z </w:t>
      </w:r>
      <w:r w:rsidR="00EA49F0">
        <w:t>are</w:t>
      </w:r>
      <w:r w:rsidRPr="00575B51">
        <w:t xml:space="preserve"> motivated by mission</w:t>
      </w:r>
      <w:r w:rsidRPr="00575B51">
        <w:noBreakHyphen/>
        <w:t>led roles and opportunities to make a positive impact, yet local government has not fully harnessed this potential, with under</w:t>
      </w:r>
      <w:r w:rsidRPr="00575B51">
        <w:noBreakHyphen/>
        <w:t>25s representing only 4.6% of the workforce (Deegan et al., 2024). While the mission</w:t>
      </w:r>
      <w:r w:rsidRPr="00575B51">
        <w:noBreakHyphen/>
        <w:t xml:space="preserve">driven ethos of public service aligns with Gen Z’s preference for meaningful work and inclusive environments, existing talent management practices do not always reflect </w:t>
      </w:r>
      <w:r w:rsidRPr="00575B51">
        <w:lastRenderedPageBreak/>
        <w:t xml:space="preserve">these priorities (Deegan et al., 2024). </w:t>
      </w:r>
      <w:r w:rsidR="00094CDE" w:rsidRPr="00094CDE">
        <w:t xml:space="preserve">This reflects a broader mismatch, discussed earlier, between public sector structures and Gen Z expectations for flexibility, early </w:t>
      </w:r>
      <w:r w:rsidR="00353D6A" w:rsidRPr="00094CDE">
        <w:t>responsibility</w:t>
      </w:r>
      <w:r w:rsidR="00353D6A">
        <w:t xml:space="preserve"> and</w:t>
      </w:r>
      <w:r w:rsidR="00094CDE" w:rsidRPr="00094CDE">
        <w:t xml:space="preserve"> visible career progression (Mangan et al., 2024).</w:t>
      </w:r>
      <w:r w:rsidRPr="00094CDE">
        <w:t xml:space="preserve">As digital natives, Gen Z are quick to notice outdated </w:t>
      </w:r>
      <w:r w:rsidR="00353D6A" w:rsidRPr="00094CDE">
        <w:t>systems</w:t>
      </w:r>
      <w:r w:rsidR="00353D6A">
        <w:t xml:space="preserve"> and</w:t>
      </w:r>
      <w:r w:rsidRPr="00094CDE">
        <w:t xml:space="preserve"> </w:t>
      </w:r>
      <w:r w:rsidR="00094CDE" w:rsidRPr="00094CDE">
        <w:t>limited investment in modern tools and innovation may weaken engagement and retention (McConnell &amp; Blackburn, 2025).</w:t>
      </w:r>
    </w:p>
    <w:p w14:paraId="596C5ABE" w14:textId="02B6C1D8" w:rsidR="00A74165" w:rsidRPr="00DD2640" w:rsidRDefault="00A74165" w:rsidP="0002646C">
      <w:pPr>
        <w:pStyle w:val="Uni-Normal"/>
        <w:jc w:val="both"/>
      </w:pPr>
      <w:r w:rsidRPr="00094CDE">
        <w:t xml:space="preserve">Mangan et al. (2024) highlight that local government roles have evolved from transactional tasks to more relational and strategic work. However, </w:t>
      </w:r>
      <w:r w:rsidR="00094CDE" w:rsidRPr="00094CDE">
        <w:t>this progress is often constrained by structural and financial limitations, making it harder to attract and retain younger generations such as Gen Z</w:t>
      </w:r>
      <w:r w:rsidRPr="00094CDE">
        <w:t>. While</w:t>
      </w:r>
      <w:r w:rsidRPr="00DD2640">
        <w:t xml:space="preserve"> younger workers seek meaningful work, rapid </w:t>
      </w:r>
      <w:r w:rsidR="00353D6A" w:rsidRPr="00DD2640">
        <w:t>progression</w:t>
      </w:r>
      <w:r w:rsidR="00353D6A">
        <w:t xml:space="preserve"> and</w:t>
      </w:r>
      <w:r w:rsidRPr="00DD2640">
        <w:t xml:space="preserve"> alignment with their values, local government is often perceived as slow to innovate and less responsive to these priorities. The authors argue that councils </w:t>
      </w:r>
      <w:r>
        <w:t>should</w:t>
      </w:r>
      <w:r w:rsidRPr="00DD2640">
        <w:t xml:space="preserve"> clearly demonstrate how public service roles make a difference or risk losing appeal to new talent. Similarly, UK survey data confirms that purpose, specifically a ‘passion for public service’, remains a key attractor, yet it is under</w:t>
      </w:r>
      <w:r w:rsidRPr="00DD2640">
        <w:noBreakHyphen/>
        <w:t>leveraged in employer branding and recruitment messaging. Almost half of respondents reported being drawn to local government by the opportunity to pursue purpose</w:t>
      </w:r>
      <w:r w:rsidRPr="00DD2640">
        <w:noBreakHyphen/>
        <w:t xml:space="preserve">driven roles that make a positive impact. Despite this, Deegan et al. (2024) find that councils do not invest enough in showcasing their values, </w:t>
      </w:r>
      <w:r w:rsidR="00353D6A" w:rsidRPr="00DD2640">
        <w:t>purpose</w:t>
      </w:r>
      <w:r w:rsidR="00353D6A">
        <w:t xml:space="preserve"> and</w:t>
      </w:r>
      <w:r w:rsidRPr="00DD2640">
        <w:t xml:space="preserve"> societal impact to prospective employees, contributing to a weak employer brand. </w:t>
      </w:r>
    </w:p>
    <w:p w14:paraId="2CE21CFE" w14:textId="4E16F06D" w:rsidR="00A74165" w:rsidRPr="00DD2640" w:rsidRDefault="00A74165" w:rsidP="0002646C">
      <w:pPr>
        <w:pStyle w:val="Uni-Normal"/>
        <w:jc w:val="both"/>
      </w:pPr>
      <w:r w:rsidRPr="00670183">
        <w:t xml:space="preserve">Research shows that </w:t>
      </w:r>
      <w:r w:rsidR="0017563B">
        <w:t>Gen Z</w:t>
      </w:r>
      <w:r w:rsidRPr="00670183">
        <w:t xml:space="preserve"> places strong importance on job security, organisational social responsibility, flexible </w:t>
      </w:r>
      <w:r w:rsidR="00353D6A" w:rsidRPr="00670183">
        <w:t>working</w:t>
      </w:r>
      <w:r w:rsidR="00353D6A">
        <w:t xml:space="preserve"> and</w:t>
      </w:r>
      <w:r w:rsidRPr="00670183">
        <w:t xml:space="preserve"> modern benefits systems (</w:t>
      </w:r>
      <w:proofErr w:type="spellStart"/>
      <w:r w:rsidRPr="00670183">
        <w:t>Nieżurawska</w:t>
      </w:r>
      <w:proofErr w:type="spellEnd"/>
      <w:r w:rsidRPr="00670183">
        <w:noBreakHyphen/>
        <w:t>Zając, Kycia &amp; </w:t>
      </w:r>
      <w:proofErr w:type="spellStart"/>
      <w:r w:rsidRPr="00670183">
        <w:t>Niemczynowicz</w:t>
      </w:r>
      <w:proofErr w:type="spellEnd"/>
      <w:r w:rsidRPr="00670183">
        <w:t xml:space="preserve">, 2023). Although this study does not focus on the public sector, these preferences closely align with what many public roles offer. Acheampong (2021) further demonstrates that public sector employers can attract Gen Z by combining secure and competitive employment with intrinsic rewards such as meaningful work, autonomy, supportive </w:t>
      </w:r>
      <w:r w:rsidR="00353D6A" w:rsidRPr="00670183">
        <w:t>leadership</w:t>
      </w:r>
      <w:r w:rsidR="00353D6A">
        <w:t xml:space="preserve"> and</w:t>
      </w:r>
      <w:r w:rsidRPr="00670183">
        <w:t xml:space="preserve"> clear development pathways.</w:t>
      </w:r>
      <w:r w:rsidRPr="00DD2640">
        <w:t xml:space="preserve"> </w:t>
      </w:r>
      <w:proofErr w:type="spellStart"/>
      <w:r w:rsidRPr="00670183">
        <w:t>Krajec</w:t>
      </w:r>
      <w:proofErr w:type="spellEnd"/>
      <w:r w:rsidRPr="00670183">
        <w:t xml:space="preserve"> and </w:t>
      </w:r>
      <w:proofErr w:type="spellStart"/>
      <w:r w:rsidRPr="00670183">
        <w:t>Buzeti</w:t>
      </w:r>
      <w:proofErr w:type="spellEnd"/>
      <w:r w:rsidRPr="00670183">
        <w:t xml:space="preserve"> (2024) likewise argue that job stability and salary alone are no longer sufficient to attract young talent into public administration. Their findings emphasise the importance of work–life balance, flexible working arrangements, varied and interesting work, organisational reputation, employee development, </w:t>
      </w:r>
      <w:r w:rsidR="00353D6A" w:rsidRPr="00670183">
        <w:t>wellbeing</w:t>
      </w:r>
      <w:r w:rsidR="00353D6A">
        <w:t xml:space="preserve"> and</w:t>
      </w:r>
      <w:r w:rsidRPr="00670183">
        <w:t xml:space="preserve"> visible social responsibility</w:t>
      </w:r>
      <w:r w:rsidRPr="00DD2640">
        <w:t xml:space="preserve">. </w:t>
      </w:r>
    </w:p>
    <w:p w14:paraId="797EFA50" w14:textId="77777777" w:rsidR="00A74165" w:rsidRPr="00DD2640" w:rsidRDefault="00A74165" w:rsidP="0002646C">
      <w:pPr>
        <w:pStyle w:val="Uni-Normal"/>
        <w:jc w:val="both"/>
      </w:pPr>
      <w:r w:rsidRPr="00670183">
        <w:t>Recent survey data reflect these broader trends: in the U.S., 90% of Gen Z respondents prioritise flexible working and 87% value long</w:t>
      </w:r>
      <w:r w:rsidRPr="00670183">
        <w:noBreakHyphen/>
        <w:t xml:space="preserve">term job security (McConnell &amp; Blackburn, 2025), while UK figures show that 88% of employees aged 18–34 consider hybrid or remote </w:t>
      </w:r>
      <w:r w:rsidRPr="00670183">
        <w:lastRenderedPageBreak/>
        <w:t>work important (Deegan et al., 2024). Although age</w:t>
      </w:r>
      <w:r w:rsidRPr="00670183">
        <w:noBreakHyphen/>
        <w:t>based rather than generation</w:t>
      </w:r>
      <w:r w:rsidRPr="00DD2640">
        <w:t xml:space="preserve"> </w:t>
      </w:r>
      <w:r w:rsidRPr="00670183">
        <w:t>specific, these findings mirror Gen Z expectations within local government settings.</w:t>
      </w:r>
    </w:p>
    <w:p w14:paraId="0CA83CC2" w14:textId="4DEB9235" w:rsidR="00273324" w:rsidRPr="00273324" w:rsidRDefault="00A74165" w:rsidP="0002646C">
      <w:pPr>
        <w:pStyle w:val="Uni-Normal"/>
        <w:jc w:val="both"/>
      </w:pPr>
      <w:r w:rsidRPr="00DD2640">
        <w:t xml:space="preserve">To address leadership and knowledge gaps in the public sector, local councils have implemented a range of talent management schemes, such as accelerated career development or ‘fast-track’ graduate programmes (Clarke &amp; Scurry, 2020). </w:t>
      </w:r>
      <w:r w:rsidR="00094CDE" w:rsidRPr="00094CDE">
        <w:t>Graduate entry schemes and apprenticeships are widely promoted as key mechanisms for attracting and developing talent.</w:t>
      </w:r>
      <w:r w:rsidRPr="00DD2640">
        <w:t xml:space="preserve"> According to the Local Government Association, 90% of councils have an apprenticeship strategy or plan being developed however, only 49% believe that apprenticeships are effectively addressing recruitment and retention challenges (Local Government Association, 2024). Wh</w:t>
      </w:r>
      <w:r w:rsidRPr="00C46531">
        <w:t xml:space="preserve">ile these initiatives aim to accelerate progression and build leadership capacity </w:t>
      </w:r>
      <w:r w:rsidR="00C46531" w:rsidRPr="00C46531">
        <w:t xml:space="preserve">evidence suggests their effectiveness remains inconsistent. </w:t>
      </w:r>
      <w:r w:rsidRPr="00DD2640">
        <w:t>Mazars (2025) echoes this uncertainty, highlighting that many organisations are not making the most of resources like the Apprenticeship Levy, often due to temporary contracts and a lack of senior officer buy-in. Furthermore, a study by Clarke (2017) found that the graduate development programme in an Australian public sector organisation only partially supported employability</w:t>
      </w:r>
      <w:r w:rsidR="00273324" w:rsidRPr="00273324">
        <w:t xml:space="preserve">, with outcomes often dependent on job fit and line manager support. This results in inconsistent development experiences and does not guarantee continued employment. </w:t>
      </w:r>
      <w:r w:rsidR="0073355E">
        <w:t>This</w:t>
      </w:r>
      <w:r w:rsidR="00273324" w:rsidRPr="00273324">
        <w:t xml:space="preserve"> highlights a gap between the widespread promotion of graduate and apprenticeship schemes and the limited empirical evidence of their long-term effectiveness in addressing recruitment and retention challenges.</w:t>
      </w:r>
    </w:p>
    <w:p w14:paraId="60669F6F" w14:textId="763525D0" w:rsidR="00273324" w:rsidRPr="00273324" w:rsidRDefault="00273324" w:rsidP="0002646C">
      <w:pPr>
        <w:pStyle w:val="Uni-Normal"/>
        <w:jc w:val="both"/>
        <w:rPr>
          <w:rFonts w:eastAsiaTheme="majorEastAsia" w:cstheme="majorBidi"/>
          <w:color w:val="000000" w:themeColor="text1"/>
          <w:szCs w:val="32"/>
        </w:rPr>
      </w:pPr>
      <w:r w:rsidRPr="00273324">
        <w:rPr>
          <w:rFonts w:eastAsiaTheme="majorEastAsia" w:cstheme="majorBidi"/>
          <w:color w:val="000000" w:themeColor="text1"/>
          <w:szCs w:val="32"/>
        </w:rPr>
        <w:t>The urgency is amplified by structural challenges such as cost</w:t>
      </w:r>
      <w:r w:rsidRPr="00273324">
        <w:rPr>
          <w:rFonts w:eastAsiaTheme="majorEastAsia" w:cstheme="majorBidi"/>
          <w:color w:val="000000" w:themeColor="text1"/>
          <w:szCs w:val="32"/>
        </w:rPr>
        <w:noBreakHyphen/>
        <w:t>cutting pressures and rising service demand, which continue to place strain on public sector organisations (Clarke &amp; Scurry, 2020). These challenges are compounded by Wale</w:t>
      </w:r>
      <w:r w:rsidR="00EA49F0">
        <w:rPr>
          <w:rFonts w:eastAsiaTheme="majorEastAsia" w:cstheme="majorBidi"/>
          <w:color w:val="000000" w:themeColor="text1"/>
          <w:szCs w:val="32"/>
        </w:rPr>
        <w:t>s’s</w:t>
      </w:r>
      <w:r w:rsidRPr="00273324">
        <w:rPr>
          <w:rFonts w:eastAsiaTheme="majorEastAsia" w:cstheme="majorBidi"/>
          <w:color w:val="000000" w:themeColor="text1"/>
          <w:szCs w:val="32"/>
        </w:rPr>
        <w:t xml:space="preserve"> projected demographic changes, with growth in the 60–79 and 80+ age groups and a decline in younger cohorts, increasing long</w:t>
      </w:r>
      <w:r w:rsidRPr="00273324">
        <w:rPr>
          <w:rFonts w:eastAsiaTheme="majorEastAsia" w:cstheme="majorBidi"/>
          <w:color w:val="000000" w:themeColor="text1"/>
          <w:szCs w:val="32"/>
        </w:rPr>
        <w:noBreakHyphen/>
        <w:t>term service demand and competition for a shrinking working</w:t>
      </w:r>
      <w:r w:rsidRPr="00273324">
        <w:rPr>
          <w:rFonts w:eastAsiaTheme="majorEastAsia" w:cstheme="majorBidi"/>
          <w:color w:val="000000" w:themeColor="text1"/>
          <w:szCs w:val="32"/>
        </w:rPr>
        <w:noBreakHyphen/>
        <w:t>age labour pool (Welsh Government, 2022). Without effective strategies, organisations risk recruitment and retention challenges, particularly as experienced staff retire (Clarke &amp; Scurry, 2020; Calo, 2008). Traditional public sector models, characterised by stability and hierarchy, may not align with the expectations of new graduates, creating risks for future recruitment and skills pipelines (Clarke &amp; Scurry, 2020). Deegan et al. (2024) reinforce this challenge, noting that limited opportunities for progression within expected career timelines remain a significant barrier. They further argue that weaknesses in progression and limited post</w:t>
      </w:r>
      <w:r w:rsidRPr="00273324">
        <w:rPr>
          <w:rFonts w:eastAsiaTheme="majorEastAsia" w:cstheme="majorBidi"/>
          <w:color w:val="000000" w:themeColor="text1"/>
          <w:szCs w:val="32"/>
        </w:rPr>
        <w:noBreakHyphen/>
        <w:t xml:space="preserve">scheme opportunities frequently undermine the retention of early career employees. Audit Wales (2023) concludes that increases in labour </w:t>
      </w:r>
      <w:r w:rsidRPr="00273324">
        <w:rPr>
          <w:rFonts w:eastAsiaTheme="majorEastAsia" w:cstheme="majorBidi"/>
          <w:color w:val="000000" w:themeColor="text1"/>
          <w:szCs w:val="32"/>
        </w:rPr>
        <w:lastRenderedPageBreak/>
        <w:t>supply will not keep pace with demand and that solely recruiting additional staff will be insufficient, reinforcing the need for longer</w:t>
      </w:r>
      <w:r w:rsidRPr="00273324">
        <w:rPr>
          <w:rFonts w:eastAsiaTheme="majorEastAsia" w:cstheme="majorBidi"/>
          <w:color w:val="000000" w:themeColor="text1"/>
          <w:szCs w:val="32"/>
        </w:rPr>
        <w:noBreakHyphen/>
        <w:t>term, sustainable workforce strategies. Evidence also suggests that unclear career pathways contribute to retention challenges, with early career employees reporting frustration at ‘hitting the ceiling’ due to limited progression opportunities (Deegan et al., 2024).</w:t>
      </w:r>
    </w:p>
    <w:p w14:paraId="4D40F6CF" w14:textId="13327A02" w:rsidR="00A74165" w:rsidRPr="009A6B73" w:rsidRDefault="00A74165" w:rsidP="0002646C">
      <w:pPr>
        <w:pStyle w:val="Uni-Normal"/>
        <w:jc w:val="both"/>
      </w:pPr>
      <w:r w:rsidRPr="00DD2640">
        <w:rPr>
          <w:rFonts w:eastAsiaTheme="majorEastAsia" w:cstheme="majorBidi"/>
          <w:color w:val="000000" w:themeColor="text1"/>
          <w:szCs w:val="32"/>
        </w:rPr>
        <w:t xml:space="preserve">Deegan et al. (2024) emphasise that addressing workforce challenges requires coordinated </w:t>
      </w:r>
      <w:r w:rsidRPr="00DD2640">
        <w:rPr>
          <w:rStyle w:val="Uni-NormalChar"/>
        </w:rPr>
        <w:t xml:space="preserve">action beyond individual councils, with the report framing this shift as essential for attracting the next generation of the local government workforce. </w:t>
      </w:r>
      <w:r w:rsidR="00EB2F01">
        <w:rPr>
          <w:rStyle w:val="Uni-NormalChar"/>
        </w:rPr>
        <w:t>It</w:t>
      </w:r>
      <w:r w:rsidRPr="00DD2640">
        <w:rPr>
          <w:rStyle w:val="Uni-NormalChar"/>
        </w:rPr>
        <w:t xml:space="preserve"> stresses that councils need greater influence over the skills agenda, stronger and more consistent employer </w:t>
      </w:r>
      <w:r w:rsidR="00353D6A" w:rsidRPr="00DD2640">
        <w:rPr>
          <w:rStyle w:val="Uni-NormalChar"/>
        </w:rPr>
        <w:t>branding</w:t>
      </w:r>
      <w:r w:rsidR="00353D6A">
        <w:rPr>
          <w:rStyle w:val="Uni-NormalChar"/>
        </w:rPr>
        <w:t xml:space="preserve"> and</w:t>
      </w:r>
      <w:r w:rsidRPr="00DD2640">
        <w:rPr>
          <w:rStyle w:val="Uni-NormalChar"/>
        </w:rPr>
        <w:t xml:space="preserve"> more flexible career development routes, all of which are necessary to meet the expectations of younger workers seeking clearer progression and modernised opportunities. </w:t>
      </w:r>
      <w:bookmarkStart w:id="53" w:name="_Toc220001941"/>
      <w:r w:rsidR="00094CDE" w:rsidRPr="00094CDE">
        <w:t>These insights are particularly relevant for Welsh local authorities, although there is limited research on how these workforce challenges are experienced in practice.</w:t>
      </w:r>
    </w:p>
    <w:p w14:paraId="5049535E" w14:textId="77777777" w:rsidR="00A74165" w:rsidRPr="00DD2640" w:rsidRDefault="00A74165" w:rsidP="0002646C">
      <w:pPr>
        <w:pStyle w:val="2Sectionheading"/>
        <w:jc w:val="both"/>
      </w:pPr>
      <w:bookmarkStart w:id="54" w:name="_Toc233030651"/>
      <w:r w:rsidRPr="00DD2640">
        <w:t>2.</w:t>
      </w:r>
      <w:r>
        <w:t>7</w:t>
      </w:r>
      <w:r w:rsidRPr="00DD2640">
        <w:t xml:space="preserve"> Literature gaps</w:t>
      </w:r>
      <w:bookmarkEnd w:id="53"/>
      <w:bookmarkEnd w:id="54"/>
      <w:r w:rsidRPr="00DD2640">
        <w:t xml:space="preserve"> </w:t>
      </w:r>
    </w:p>
    <w:p w14:paraId="281013C4" w14:textId="4CFAFF8F" w:rsidR="00A74165" w:rsidRPr="005B3663" w:rsidRDefault="00A74165" w:rsidP="0002646C">
      <w:pPr>
        <w:pStyle w:val="Uni-Normal"/>
        <w:jc w:val="both"/>
      </w:pPr>
      <w:r w:rsidRPr="005B3663">
        <w:t xml:space="preserve">Although talent management is widely studied, most research is private sector focused and does not address the unique operational and statutory realities of UK local government. Evidence on Gen Z within local authorities is particularly </w:t>
      </w:r>
      <w:r w:rsidR="00353D6A" w:rsidRPr="005B3663">
        <w:t>scarce</w:t>
      </w:r>
      <w:r w:rsidR="00353D6A">
        <w:t xml:space="preserve"> and</w:t>
      </w:r>
      <w:r w:rsidRPr="005B3663">
        <w:t xml:space="preserve"> there is a lack of practical guidance for translating theory into effective council strategies. For NCC, targeted, context-specific evidence is needed to guide practice. Deegan et al.’s (2024) findings provide an essential sector baseline but do not focus on Gen Z specifically or local authorities in Wales, whose budgetary context differs from the wider UK. Welsh workforce planning guidance also highlights that the shrinking supply of younger workers in Wales will intensify competition for future talent, making effective talent management increasingly critical for councils such as NCC as they confront long</w:t>
      </w:r>
      <w:r w:rsidRPr="005B3663">
        <w:noBreakHyphen/>
        <w:t xml:space="preserve">term demographic decline (Public Services Staff Commission, 2017). Building on this baseline, the study will explore Gen Z expectations within UK local government, investigate engagement and retention challenges, evaluate the alignment and effectiveness of current talent </w:t>
      </w:r>
      <w:r w:rsidR="00353D6A" w:rsidRPr="005B3663">
        <w:t>strategies</w:t>
      </w:r>
      <w:r w:rsidR="00353D6A">
        <w:t xml:space="preserve"> and</w:t>
      </w:r>
      <w:r w:rsidRPr="005B3663">
        <w:t xml:space="preserve"> recommend evidence-based actions for NCC to strengthen talent management, organisational </w:t>
      </w:r>
      <w:r w:rsidR="00353D6A" w:rsidRPr="005B3663">
        <w:t>culture</w:t>
      </w:r>
      <w:r w:rsidR="00353D6A">
        <w:t xml:space="preserve"> and</w:t>
      </w:r>
      <w:r w:rsidRPr="005B3663">
        <w:t xml:space="preserve"> workforce sustainability.</w:t>
      </w:r>
    </w:p>
    <w:p w14:paraId="0BD31F26" w14:textId="3821517D" w:rsidR="00A74165" w:rsidRPr="00DD2640" w:rsidRDefault="00A74165" w:rsidP="0002646C">
      <w:pPr>
        <w:pStyle w:val="2Sectionheading"/>
        <w:jc w:val="both"/>
      </w:pPr>
      <w:bookmarkStart w:id="55" w:name="_Toc220001942"/>
      <w:bookmarkStart w:id="56" w:name="_Toc233030652"/>
      <w:r w:rsidRPr="00DD2640">
        <w:t>2.</w:t>
      </w:r>
      <w:r>
        <w:t>8</w:t>
      </w:r>
      <w:r w:rsidRPr="00DD2640">
        <w:t xml:space="preserve"> </w:t>
      </w:r>
      <w:r>
        <w:t xml:space="preserve">Chapter </w:t>
      </w:r>
      <w:r w:rsidRPr="00DD2640">
        <w:t>Summary</w:t>
      </w:r>
      <w:bookmarkEnd w:id="55"/>
      <w:bookmarkEnd w:id="56"/>
      <w:r w:rsidRPr="00DD2640">
        <w:t xml:space="preserve"> </w:t>
      </w:r>
    </w:p>
    <w:p w14:paraId="6AD69B90" w14:textId="62198341" w:rsidR="0017563B" w:rsidRPr="0017563B" w:rsidRDefault="0097613E" w:rsidP="003D47B0">
      <w:pPr>
        <w:pStyle w:val="Uni-Normal"/>
        <w:jc w:val="both"/>
      </w:pPr>
      <w:r w:rsidRPr="0097613E">
        <w:t xml:space="preserve">This chapter reviewed the literature on talent management and </w:t>
      </w:r>
      <w:r w:rsidR="0017563B">
        <w:t>Gen Z</w:t>
      </w:r>
      <w:r w:rsidRPr="0097613E">
        <w:t xml:space="preserve">, highlighting key themes and identifying gaps within the UK local government context. While the literature provides a </w:t>
      </w:r>
      <w:r w:rsidRPr="0097613E">
        <w:lastRenderedPageBreak/>
        <w:t xml:space="preserve">useful foundation, its limited applicability to a Welsh local authority such as </w:t>
      </w:r>
      <w:r w:rsidR="00161284">
        <w:t>NCC</w:t>
      </w:r>
      <w:r w:rsidRPr="0097613E">
        <w:t xml:space="preserve"> highlights the need for further primary research. The next chapter outlines the research methodology.</w:t>
      </w:r>
      <w:bookmarkStart w:id="57" w:name="_Toc224743097"/>
      <w:bookmarkStart w:id="58" w:name="_Toc224743099"/>
    </w:p>
    <w:p w14:paraId="2BE8729C" w14:textId="726D0102" w:rsidR="00A74165" w:rsidRPr="00940113" w:rsidRDefault="00A74165" w:rsidP="0002646C">
      <w:pPr>
        <w:pStyle w:val="2Sectionheading"/>
        <w:jc w:val="center"/>
      </w:pPr>
      <w:bookmarkStart w:id="59" w:name="_Toc233030653"/>
      <w:r w:rsidRPr="00940113">
        <w:t>CHAPTER 3</w:t>
      </w:r>
      <w:bookmarkEnd w:id="57"/>
      <w:bookmarkEnd w:id="59"/>
    </w:p>
    <w:p w14:paraId="608365E2" w14:textId="31E9089C" w:rsidR="00A74165" w:rsidRDefault="00A74165" w:rsidP="0002646C">
      <w:pPr>
        <w:pStyle w:val="1ChapterHeading"/>
      </w:pPr>
      <w:bookmarkStart w:id="60" w:name="_Toc207618254"/>
      <w:bookmarkStart w:id="61" w:name="_Toc224743098"/>
      <w:bookmarkStart w:id="62" w:name="_Toc233030654"/>
      <w:r w:rsidRPr="00940113">
        <w:t>RESEARCH METHODOLOGY</w:t>
      </w:r>
      <w:bookmarkEnd w:id="60"/>
      <w:bookmarkEnd w:id="61"/>
      <w:bookmarkEnd w:id="62"/>
    </w:p>
    <w:p w14:paraId="3DE3B86E" w14:textId="472B0AB7" w:rsidR="00A74165" w:rsidRPr="00FF3A1A" w:rsidRDefault="00A74165" w:rsidP="0002646C">
      <w:pPr>
        <w:pStyle w:val="2Sectionheading"/>
        <w:jc w:val="both"/>
      </w:pPr>
      <w:bookmarkStart w:id="63" w:name="_Toc233030655"/>
      <w:r w:rsidRPr="00FF3A1A">
        <w:t xml:space="preserve">3.1 </w:t>
      </w:r>
      <w:r>
        <w:t xml:space="preserve">Chapter </w:t>
      </w:r>
      <w:r w:rsidRPr="00FF3A1A">
        <w:t>Introduction</w:t>
      </w:r>
      <w:bookmarkEnd w:id="58"/>
      <w:bookmarkEnd w:id="63"/>
    </w:p>
    <w:p w14:paraId="0DAB60DD" w14:textId="29CCE33F" w:rsidR="003D47B0" w:rsidRDefault="00A74165" w:rsidP="00CD23A3">
      <w:pPr>
        <w:pStyle w:val="Uni-Normal"/>
        <w:jc w:val="both"/>
      </w:pPr>
      <w:bookmarkStart w:id="64" w:name="_Hlk207724039"/>
      <w:r w:rsidRPr="00FF3A1A">
        <w:t xml:space="preserve">This chapter </w:t>
      </w:r>
      <w:r w:rsidR="0073355E">
        <w:t xml:space="preserve">explains </w:t>
      </w:r>
      <w:r w:rsidRPr="00FF3A1A">
        <w:t>the research design used to explore how talent management practices align with the needs of Gen</w:t>
      </w:r>
      <w:r w:rsidRPr="00FF3A1A">
        <w:rPr>
          <w:rFonts w:ascii="Arial" w:hAnsi="Arial" w:cs="Arial"/>
        </w:rPr>
        <w:t> </w:t>
      </w:r>
      <w:r w:rsidRPr="00FF3A1A">
        <w:t xml:space="preserve">Z within </w:t>
      </w:r>
      <w:r w:rsidR="00161284">
        <w:t>NCC</w:t>
      </w:r>
      <w:r w:rsidRPr="00FF3A1A">
        <w:t xml:space="preserve">. </w:t>
      </w:r>
      <w:r w:rsidR="00291C67" w:rsidRPr="00291C67">
        <w:t xml:space="preserve">The methodology is structured using Saunders et al.’s (2016) Research Onion as a guiding framework, which provides a structured approach to organising methodological decisions, from research philosophy and approach through to strategy and data collection </w:t>
      </w:r>
      <w:proofErr w:type="spellStart"/>
      <w:r w:rsidR="00291C67" w:rsidRPr="00291C67">
        <w:t>techniques</w:t>
      </w:r>
      <w:bookmarkStart w:id="65" w:name="_Toc224743100"/>
      <w:r w:rsidR="003D47B0" w:rsidRPr="003D47B0">
        <w:t>The</w:t>
      </w:r>
      <w:proofErr w:type="spellEnd"/>
      <w:r w:rsidR="003D47B0" w:rsidRPr="003D47B0">
        <w:t xml:space="preserve"> study adopts a quantitative survey within NCC, supported by decisions on sampling, instrument </w:t>
      </w:r>
      <w:r w:rsidR="00353D6A" w:rsidRPr="003D47B0">
        <w:t>design</w:t>
      </w:r>
      <w:r w:rsidR="00353D6A">
        <w:t xml:space="preserve"> and</w:t>
      </w:r>
      <w:r w:rsidR="003D47B0" w:rsidRPr="003D47B0">
        <w:t xml:space="preserve"> ethical considerations.</w:t>
      </w:r>
    </w:p>
    <w:p w14:paraId="58FB0973" w14:textId="0A396DCB" w:rsidR="00A74165" w:rsidRPr="00FF3A1A" w:rsidRDefault="00A74165" w:rsidP="003D47B0">
      <w:pPr>
        <w:pStyle w:val="2Sectionheading"/>
      </w:pPr>
      <w:bookmarkStart w:id="66" w:name="_Toc233030656"/>
      <w:r w:rsidRPr="00FF3A1A">
        <w:t>3.2 Research Philosophy</w:t>
      </w:r>
      <w:bookmarkEnd w:id="65"/>
      <w:bookmarkEnd w:id="66"/>
    </w:p>
    <w:p w14:paraId="047090DE" w14:textId="1AF72890" w:rsidR="00FB6426" w:rsidRDefault="00A74165" w:rsidP="0002646C">
      <w:pPr>
        <w:pStyle w:val="Uni-Normal"/>
        <w:jc w:val="both"/>
      </w:pPr>
      <w:r w:rsidRPr="00576F99">
        <w:t xml:space="preserve">Saunders et al. (2016) identify five major research philosophies in business and management: positivism, critical realism, interpretivism, postmodernism and pragmatism. In this study a positivist stance was adopted because it </w:t>
      </w:r>
      <w:r w:rsidR="000800DA">
        <w:t>focuses on generating</w:t>
      </w:r>
      <w:r w:rsidRPr="00576F99">
        <w:t xml:space="preserve"> objective, measurable insights. This reflects </w:t>
      </w:r>
      <w:r w:rsidR="000800DA">
        <w:t>a view that</w:t>
      </w:r>
      <w:r w:rsidRPr="00576F99">
        <w:t xml:space="preserve"> Gen Z employees’ perceptions of talent management practices are treated as phenomena that can be observed and measured consistently, </w:t>
      </w:r>
      <w:r w:rsidR="003D47B0" w:rsidRPr="003D47B0">
        <w:t>rather than as subjective experiences requiring in-depth interpretation</w:t>
      </w:r>
      <w:r w:rsidR="003D47B0">
        <w:t xml:space="preserve"> </w:t>
      </w:r>
      <w:r w:rsidRPr="003D47B0">
        <w:t>(Pretorius, 2024).</w:t>
      </w:r>
      <w:r w:rsidRPr="00576F99">
        <w:t xml:space="preserve"> Positivism assumes that reality exists independently of the researcher and can be captured through systematic, structured instruments (Crotty, 1998). This philosophy is therefore suited to research aiming to identify patterns, trends and relationships within quantifiable data (Saunders et al., 2016).</w:t>
      </w:r>
    </w:p>
    <w:p w14:paraId="5A503EA2" w14:textId="582F39FE" w:rsidR="00A74165" w:rsidRPr="00576F99" w:rsidRDefault="00A74165" w:rsidP="0002646C">
      <w:pPr>
        <w:pStyle w:val="Uni-Normal"/>
        <w:jc w:val="both"/>
      </w:pPr>
      <w:r w:rsidRPr="00576F99">
        <w:t xml:space="preserve">In this study, the focus </w:t>
      </w:r>
      <w:r w:rsidR="00EA49F0">
        <w:t>is</w:t>
      </w:r>
      <w:r w:rsidRPr="00576F99">
        <w:t xml:space="preserve"> on measuring Gen Z’s perceptions of talent management practices within </w:t>
      </w:r>
      <w:r w:rsidR="00865CD5">
        <w:t>NCC</w:t>
      </w:r>
      <w:r w:rsidRPr="00576F99">
        <w:t xml:space="preserve"> through a structured survey. From an epistemological perspective, the study relies on standardised survey responses to generate measurable findings, rather than interpretive accounts of individual experience (Pretorius, 2024). As Pretorius (2024) argues, </w:t>
      </w:r>
      <w:r w:rsidR="00EA49F0" w:rsidRPr="00576F99">
        <w:rPr>
          <w:i/>
          <w:iCs/>
        </w:rPr>
        <w:t>“</w:t>
      </w:r>
      <w:r w:rsidR="00EA49F0" w:rsidRPr="00576F99">
        <w:t>Methodological choices are also profoundly influenced by the researcher’s paradigmatic stance</w:t>
      </w:r>
      <w:r w:rsidR="00EA49F0">
        <w:t>”</w:t>
      </w:r>
      <w:r w:rsidRPr="00576F99">
        <w:t>. Positivists might lean towards structured methodologies that mimic the scientific method, employing quantitative measures such as surveys or experiments” (p. 2709).</w:t>
      </w:r>
    </w:p>
    <w:p w14:paraId="537FAA49" w14:textId="1702010D" w:rsidR="00A74165" w:rsidRPr="00576F99" w:rsidRDefault="00A74165" w:rsidP="0002646C">
      <w:pPr>
        <w:pStyle w:val="Uni-Normal"/>
        <w:jc w:val="both"/>
      </w:pPr>
      <w:r w:rsidRPr="00576F99">
        <w:t xml:space="preserve">As the study does not explore subjective meanings, uncover underlying causal mechanisms or combine multiple methodological approaches, alternative philosophies such as interpretivism, </w:t>
      </w:r>
      <w:r w:rsidRPr="00576F99">
        <w:lastRenderedPageBreak/>
        <w:t>critical realism and pragmatism were not appropriate (Saunders et al., 2016). Interpretivist approaches prioritise understanding subjective meanings, which would require in</w:t>
      </w:r>
      <w:r w:rsidRPr="00576F99">
        <w:noBreakHyphen/>
        <w:t>depth qualitative exploration rather than standardised measurement. Critical realism seeks to explain deeper underlying mechanisms that extend beyond the observable data collected in this study, while pragmatism emphasises methodological flexibility, often involving a combination of quantitative and qualitative approaches. As the research was designed to generate measurable insights through a single quantitative survey, these approache</w:t>
      </w:r>
      <w:r w:rsidR="000800DA">
        <w:t>s go</w:t>
      </w:r>
      <w:r w:rsidRPr="00576F99">
        <w:t xml:space="preserve"> beyond the aims of this study (Pretorius, 2024). </w:t>
      </w:r>
      <w:r w:rsidR="00A26A75" w:rsidRPr="00A26A75">
        <w:t>A positivist stance is therefore appropriate for this study, as it supports structured, objective and quantitative measurement, enabling the generation of reliable and contextually robust findings (Saunders et al., 2016).</w:t>
      </w:r>
    </w:p>
    <w:p w14:paraId="63B49FC3" w14:textId="77777777" w:rsidR="00A74165" w:rsidRPr="00FF3A1A" w:rsidRDefault="00A74165" w:rsidP="0002646C">
      <w:pPr>
        <w:pStyle w:val="2Sectionheading"/>
        <w:jc w:val="both"/>
      </w:pPr>
      <w:bookmarkStart w:id="67" w:name="_Toc224743101"/>
      <w:bookmarkStart w:id="68" w:name="_Toc233030657"/>
      <w:r w:rsidRPr="00FF3A1A">
        <w:t>3.3 Research approach</w:t>
      </w:r>
      <w:bookmarkEnd w:id="67"/>
      <w:bookmarkEnd w:id="68"/>
    </w:p>
    <w:p w14:paraId="2361F59A" w14:textId="4A078154" w:rsidR="00A74165" w:rsidRPr="000949A8" w:rsidRDefault="00A74165" w:rsidP="0002646C">
      <w:pPr>
        <w:pStyle w:val="Uni-Normal"/>
        <w:jc w:val="both"/>
      </w:pPr>
      <w:bookmarkStart w:id="69" w:name="_Toc224743102"/>
      <w:r w:rsidRPr="000949A8">
        <w:t xml:space="preserve">The research onion identifies three approaches to theory development: deductive, inductive and abductive (Saunders et al., 2016). A deductive approach was adopted as it aligns with the quantitative nature of the research and the aim of testing established theory within a defined organisational context. Deductive reasoning begins with existing theory and uses this to inform research questions and determine the variables to be examined (Creswell, 2014). This approach was appropriate because the study sought to examine whether recognised talent management and generational theory frameworks are reflected in the experiences of </w:t>
      </w:r>
      <w:r w:rsidR="0017563B">
        <w:t>Gen Z</w:t>
      </w:r>
      <w:r w:rsidRPr="000949A8">
        <w:t xml:space="preserve"> employees, rather than to develop new theoretical insights.</w:t>
      </w:r>
    </w:p>
    <w:p w14:paraId="0017CECB" w14:textId="77777777" w:rsidR="00A74165" w:rsidRPr="000949A8" w:rsidRDefault="00A74165" w:rsidP="0002646C">
      <w:pPr>
        <w:pStyle w:val="Uni-Normal"/>
        <w:jc w:val="both"/>
      </w:pPr>
      <w:r w:rsidRPr="000949A8">
        <w:t>As Creswell (2014) notes, deductive approaches are central to quantitative research, as they enable theoretical propositions to be tested using measurable data. In this study, existing literature on talent management practices and generational theory informed the design of the survey instrument, ensuring that questions were grounded in established concepts. This reflects Creswell’s view that quantitative research places theory at the forefront and then collects data to assess the extent to which theoretical expectations are supported by empirical evidence.</w:t>
      </w:r>
    </w:p>
    <w:p w14:paraId="2C64FDEA" w14:textId="1D7CAEC2" w:rsidR="00A74165" w:rsidRPr="000949A8" w:rsidRDefault="00A74165" w:rsidP="0002646C">
      <w:pPr>
        <w:pStyle w:val="Uni-Normal"/>
        <w:jc w:val="both"/>
      </w:pPr>
      <w:r w:rsidRPr="000949A8">
        <w:t xml:space="preserve">An inductive approach was not considered appropriate, as inductive reasoning is typically used to generate theory from exploratory qualitative data rather than to test pre-existing theoretical assumptions (Creswell, 2014). Given that the research objectives were confirmatory rather than exploratory, inductive reasoning would not have aligned with the purpose of the study. Abductive analysis was also </w:t>
      </w:r>
      <w:r w:rsidR="000800DA">
        <w:t>not suitable</w:t>
      </w:r>
      <w:r w:rsidRPr="000949A8">
        <w:t xml:space="preserve"> as it involves iteratively revisiting data to develop explanations for unexpected findings, a process that relies on rich qualitative detail (</w:t>
      </w:r>
      <w:proofErr w:type="spellStart"/>
      <w:r w:rsidRPr="000949A8">
        <w:t>Tavory</w:t>
      </w:r>
      <w:proofErr w:type="spellEnd"/>
      <w:r w:rsidRPr="000949A8">
        <w:t xml:space="preserve"> &amp; </w:t>
      </w:r>
      <w:r w:rsidRPr="000949A8">
        <w:lastRenderedPageBreak/>
        <w:t>Timmermans, 2014). As the study primarily employed structured survey data with limited qualitative depth, a deductive approach was the most methodologically appropriate choice.</w:t>
      </w:r>
    </w:p>
    <w:p w14:paraId="396DCE61" w14:textId="77777777" w:rsidR="00A74165" w:rsidRPr="00FF3A1A" w:rsidRDefault="00A74165" w:rsidP="0002646C">
      <w:pPr>
        <w:pStyle w:val="2Sectionheading"/>
        <w:jc w:val="both"/>
      </w:pPr>
      <w:bookmarkStart w:id="70" w:name="_Toc233030658"/>
      <w:r w:rsidRPr="00FF3A1A">
        <w:t>3.4 Methodological choice</w:t>
      </w:r>
      <w:bookmarkEnd w:id="69"/>
      <w:bookmarkEnd w:id="70"/>
    </w:p>
    <w:p w14:paraId="44933495" w14:textId="3D20F4BF" w:rsidR="00A74165" w:rsidRPr="00FF3A1A" w:rsidRDefault="00A74165" w:rsidP="0002646C">
      <w:pPr>
        <w:pStyle w:val="Uni-Normal"/>
        <w:jc w:val="both"/>
      </w:pPr>
      <w:r w:rsidRPr="00FF3A1A">
        <w:t xml:space="preserve">A quantitative case study approach was selected for this research, as it </w:t>
      </w:r>
      <w:r w:rsidR="000800DA">
        <w:t>provided</w:t>
      </w:r>
      <w:r w:rsidRPr="00FF3A1A">
        <w:t xml:space="preserve"> the most suitable way to generate measurable insights into </w:t>
      </w:r>
      <w:r w:rsidR="0017563B">
        <w:t>Gen Z</w:t>
      </w:r>
      <w:r w:rsidRPr="00FF3A1A">
        <w:t xml:space="preserve">’s perceptions of talent management within </w:t>
      </w:r>
      <w:r w:rsidR="00865CD5">
        <w:t>NCC</w:t>
      </w:r>
      <w:r w:rsidRPr="00FF3A1A">
        <w:t xml:space="preserve">. The study aimed to identify patterns and relationships within the data, a key feature of quantitative designs that rely on structured measurement and numerical analysis (Saunders et al., 2016). Yin (2011) emphasises that case study research is used to investigate contemporary phenomena within their real-life context, which aligns with this study as perceptions of talent management are shaped by the organisational environment within NCC. Although case studies are often associated with qualitative methods, Yin (2011) argues that the distinction between qualitative and quantitative research relates only to the type of data collected. Case studies can therefore incorporate quantitative evidence and </w:t>
      </w:r>
      <w:proofErr w:type="gramStart"/>
      <w:r w:rsidRPr="00FF3A1A">
        <w:t>still remain</w:t>
      </w:r>
      <w:proofErr w:type="gramEnd"/>
      <w:r w:rsidRPr="00FF3A1A">
        <w:t xml:space="preserve"> rigorous, which supports the methodological validity of this design.</w:t>
      </w:r>
    </w:p>
    <w:p w14:paraId="5E550DB2" w14:textId="2B031F6F" w:rsidR="00A74165" w:rsidRPr="00FF3A1A" w:rsidRDefault="00A74165" w:rsidP="0002646C">
      <w:pPr>
        <w:pStyle w:val="Uni-Normal"/>
        <w:jc w:val="both"/>
      </w:pPr>
      <w:r w:rsidRPr="00FF3A1A">
        <w:t>A case study design was also chosen because it enables an in</w:t>
      </w:r>
      <w:r w:rsidRPr="00FF3A1A">
        <w:noBreakHyphen/>
        <w:t xml:space="preserve">depth examination of one organisation, capturing the </w:t>
      </w:r>
      <w:r w:rsidR="000800DA">
        <w:t>organisational</w:t>
      </w:r>
      <w:r w:rsidRPr="00FF3A1A">
        <w:t xml:space="preserve"> context, practices and characteristics that shape employees</w:t>
      </w:r>
      <w:r w:rsidR="00EA49F0">
        <w:t>’</w:t>
      </w:r>
      <w:r w:rsidRPr="00FF3A1A">
        <w:t xml:space="preserve"> experience and perception of NCC. (Tight, 2017). While a mixed</w:t>
      </w:r>
      <w:r w:rsidRPr="00FF3A1A">
        <w:noBreakHyphen/>
        <w:t>method strategy was considered, time and resource constraints meant that this was not feasible. Instead, a quantitative survey was adopted as the primary method, supplemented by a small number of optional open</w:t>
      </w:r>
      <w:r w:rsidRPr="00FF3A1A">
        <w:noBreakHyphen/>
        <w:t>ended questions to allow participants to expand on their views. This provided contextual depth without requiring a full mixed</w:t>
      </w:r>
      <w:r w:rsidRPr="00FF3A1A">
        <w:noBreakHyphen/>
        <w:t>method design, while still aligning with Yin’s (2003) view that case study research is well suited to examining how perceptions and experiences develop within real-life organisational contexts and exploring how and why questions in research more broadly.</w:t>
      </w:r>
    </w:p>
    <w:p w14:paraId="7FFB5022" w14:textId="77777777" w:rsidR="00A74165" w:rsidRPr="00FF3A1A" w:rsidRDefault="00A74165" w:rsidP="0002646C">
      <w:pPr>
        <w:pStyle w:val="2Sectionheading"/>
        <w:jc w:val="both"/>
      </w:pPr>
      <w:bookmarkStart w:id="71" w:name="_Toc224743103"/>
      <w:bookmarkStart w:id="72" w:name="_Toc233030659"/>
      <w:r w:rsidRPr="00FF3A1A">
        <w:t>3.5 Research Strategy</w:t>
      </w:r>
      <w:bookmarkEnd w:id="71"/>
      <w:bookmarkEnd w:id="72"/>
      <w:r w:rsidRPr="00FF3A1A">
        <w:t xml:space="preserve"> </w:t>
      </w:r>
    </w:p>
    <w:p w14:paraId="673E2CD3" w14:textId="2FC89902" w:rsidR="00A74165" w:rsidRPr="003A5F9B" w:rsidRDefault="00A74165" w:rsidP="0002646C">
      <w:pPr>
        <w:pStyle w:val="Uni-Normal"/>
        <w:jc w:val="both"/>
      </w:pPr>
      <w:r w:rsidRPr="00FF3A1A">
        <w:t xml:space="preserve">The research strategy focused on implementing a structured online survey to gather evidence on the experiences of </w:t>
      </w:r>
      <w:r w:rsidR="0017563B">
        <w:t>Gen Z</w:t>
      </w:r>
      <w:r w:rsidRPr="00FF3A1A">
        <w:t xml:space="preserve"> employees within NCC. Using an online questionnaire offered an efficient and practical way to reach staff across the organisation, providing quick distribution, automated </w:t>
      </w:r>
      <w:r w:rsidR="00353D6A" w:rsidRPr="00FF3A1A">
        <w:t>processing</w:t>
      </w:r>
      <w:r w:rsidR="00353D6A">
        <w:t xml:space="preserve"> and</w:t>
      </w:r>
      <w:r w:rsidRPr="00FF3A1A">
        <w:t xml:space="preserve"> reduced manual error from data entry. Online surveys are also generally low cost and straightforward to distribute, supporting the aim of encouraging </w:t>
      </w:r>
      <w:r w:rsidRPr="003A5F9B">
        <w:t>participation among the full eligible cohort (Groves et al., 2011).</w:t>
      </w:r>
    </w:p>
    <w:p w14:paraId="0FEFF693" w14:textId="42EF024D" w:rsidR="0006442C" w:rsidRPr="000800DA" w:rsidRDefault="000800DA" w:rsidP="0006442C">
      <w:pPr>
        <w:pStyle w:val="Uni-Normal"/>
        <w:jc w:val="both"/>
      </w:pPr>
      <w:r w:rsidRPr="000800DA">
        <w:lastRenderedPageBreak/>
        <w:t xml:space="preserve">An online survey was particularly suitable </w:t>
      </w:r>
      <w:r w:rsidR="00A74165" w:rsidRPr="003A5F9B">
        <w:t xml:space="preserve">given the digital preferences of </w:t>
      </w:r>
      <w:r w:rsidR="0017563B" w:rsidRPr="003A5F9B">
        <w:t>Gen Z</w:t>
      </w:r>
      <w:r w:rsidR="00A74165" w:rsidRPr="003A5F9B">
        <w:t xml:space="preserve">, who are widely recognised in literature as digital natives. </w:t>
      </w:r>
      <w:r w:rsidR="003A5F9B" w:rsidRPr="003A5F9B">
        <w:t xml:space="preserve">Research indicates that Gen Z may be more responsive to digital participation than in-person approaches (Reynolds, 2025). </w:t>
      </w:r>
      <w:r w:rsidR="00A74165" w:rsidRPr="003A5F9B">
        <w:t xml:space="preserve">However, relying on surveys as a method is not without challenges, particularly for this demographic. Gen Z tend to prefer quick, purposeful interactions and may disengage from anything that feels overly long, repetitive or inauthentic (Reynolds, 2025). </w:t>
      </w:r>
      <w:r w:rsidR="003A5F9B" w:rsidRPr="003A5F9B">
        <w:t xml:space="preserve">This can increase the risk of reduced data quality. </w:t>
      </w:r>
      <w:r w:rsidR="00A74165" w:rsidRPr="003A5F9B">
        <w:t>Surveys can encourage low</w:t>
      </w:r>
      <w:r w:rsidR="00A74165" w:rsidRPr="003A5F9B">
        <w:noBreakHyphen/>
        <w:t>effort responding, known as satisficing, where respondents “employ less costly approaches that yield ‘satisfactory’ rather than ‘optimal’ answers” when their motivation or cognitive resources are stretched (Sturgis &amp; Brunton</w:t>
      </w:r>
      <w:r w:rsidR="00A74165" w:rsidRPr="003A5F9B">
        <w:noBreakHyphen/>
        <w:t>Smith, 2023, p. 68</w:t>
      </w:r>
      <w:r w:rsidR="00A74165" w:rsidRPr="0006442C">
        <w:t xml:space="preserve">9). </w:t>
      </w:r>
      <w:r w:rsidR="0006442C" w:rsidRPr="0006442C">
        <w:t>These considerations informed the design of a concise and clearly structured survey instrument to support respondent engagement and data quality.</w:t>
      </w:r>
    </w:p>
    <w:p w14:paraId="5F32CE22" w14:textId="16C88320" w:rsidR="00A74165" w:rsidRPr="00FF3A1A" w:rsidRDefault="00A74165" w:rsidP="0002646C">
      <w:pPr>
        <w:pStyle w:val="Uni-Normal"/>
        <w:jc w:val="both"/>
      </w:pPr>
      <w:r w:rsidRPr="00FF3A1A">
        <w:t xml:space="preserve">The design of the survey was informed by Dillman’s Tailored Design Method, which emphasises simple wording, short and unbiased </w:t>
      </w:r>
      <w:r w:rsidR="00353D6A" w:rsidRPr="00FF3A1A">
        <w:t>questions</w:t>
      </w:r>
      <w:r w:rsidR="00353D6A">
        <w:t xml:space="preserve"> and</w:t>
      </w:r>
      <w:r w:rsidRPr="00FF3A1A">
        <w:t xml:space="preserve"> a logical structure to support clarity and respondent accessibility (Dillman, 2007, p. 51). However, online data collection also presents limitations such as lower response rates, sampling </w:t>
      </w:r>
      <w:r w:rsidR="00353D6A" w:rsidRPr="00FF3A1A">
        <w:t>bias</w:t>
      </w:r>
      <w:r w:rsidR="00353D6A">
        <w:t xml:space="preserve"> and</w:t>
      </w:r>
      <w:r w:rsidRPr="00FF3A1A">
        <w:t xml:space="preserve"> reduced opportunity to clarify or probe participant understanding (Nayak &amp; Narayan, 2019). To </w:t>
      </w:r>
      <w:r w:rsidR="000800DA">
        <w:t xml:space="preserve">minimise </w:t>
      </w:r>
      <w:r w:rsidRPr="00FF3A1A">
        <w:t xml:space="preserve">these issues, the survey link was restricted solely to eligible </w:t>
      </w:r>
      <w:r w:rsidR="0017563B">
        <w:t>Gen Z</w:t>
      </w:r>
      <w:r w:rsidRPr="00FF3A1A">
        <w:t xml:space="preserve"> employees to maintain a clearly defined sample. Microsoft Forms settings were used to prevent duplicate submissions through the one response per person </w:t>
      </w:r>
      <w:r w:rsidR="00353D6A" w:rsidRPr="00FF3A1A">
        <w:t>setting</w:t>
      </w:r>
      <w:r w:rsidR="00353D6A">
        <w:t xml:space="preserve"> and</w:t>
      </w:r>
      <w:r w:rsidRPr="00FF3A1A">
        <w:t xml:space="preserve"> the questionnaire was carefully designed with concise and simply worded items to minimise confusion and support completion</w:t>
      </w:r>
      <w:r w:rsidRPr="00FF3A1A">
        <w:rPr>
          <w:rFonts w:ascii="Segoe UI" w:eastAsia="Times New Roman" w:hAnsi="Segoe UI" w:cs="Segoe UI"/>
          <w:sz w:val="21"/>
          <w:szCs w:val="21"/>
          <w:lang w:eastAsia="en-GB"/>
        </w:rPr>
        <w:t xml:space="preserve"> </w:t>
      </w:r>
      <w:r w:rsidRPr="00FF3A1A">
        <w:t xml:space="preserve">—issues that Nayak and Narayan (2019) note are common in online formats. A separate information sheet and consent stage were included to reassure participants about confidentiality </w:t>
      </w:r>
      <w:r w:rsidR="003A5F9B" w:rsidRPr="003A5F9B">
        <w:t>and to ensure</w:t>
      </w:r>
      <w:r w:rsidR="003A5F9B">
        <w:t xml:space="preserve"> </w:t>
      </w:r>
      <w:r w:rsidRPr="00FF3A1A">
        <w:t>informed participation (Nayak &amp; Narayan, 2019).</w:t>
      </w:r>
    </w:p>
    <w:p w14:paraId="3B1AD1EF" w14:textId="7EC6E778" w:rsidR="00A74165" w:rsidRPr="003558D2" w:rsidRDefault="00A74165" w:rsidP="0002646C">
      <w:pPr>
        <w:pStyle w:val="Uni-Normal"/>
        <w:jc w:val="both"/>
      </w:pPr>
      <w:r w:rsidRPr="003558D2">
        <w:t>The survey comprised 19 questions and primarily consisted of structured closed</w:t>
      </w:r>
      <w:r w:rsidRPr="003558D2">
        <w:noBreakHyphen/>
        <w:t xml:space="preserve">ended items, including Likert scales, rating </w:t>
      </w:r>
      <w:r w:rsidR="00353D6A" w:rsidRPr="003558D2">
        <w:t>scales</w:t>
      </w:r>
      <w:r w:rsidR="00353D6A">
        <w:t xml:space="preserve"> and</w:t>
      </w:r>
      <w:r w:rsidRPr="003558D2">
        <w:t xml:space="preserve"> dichotomous questions, alongside three optional open</w:t>
      </w:r>
      <w:r w:rsidRPr="003558D2">
        <w:noBreakHyphen/>
        <w:t xml:space="preserve">ended questions, to enable standardised and statistically analysable responses (Fisher &amp; </w:t>
      </w:r>
      <w:proofErr w:type="spellStart"/>
      <w:r w:rsidRPr="003558D2">
        <w:t>Buglear</w:t>
      </w:r>
      <w:proofErr w:type="spellEnd"/>
      <w:r w:rsidRPr="003558D2">
        <w:t>, 2010).</w:t>
      </w:r>
      <w:r w:rsidR="003A5F9B" w:rsidRPr="003A5F9B">
        <w:rPr>
          <w:rFonts w:ascii="Segoe UI" w:eastAsia="Times New Roman" w:hAnsi="Segoe UI" w:cs="Segoe UI"/>
          <w:b/>
          <w:bCs/>
          <w:sz w:val="21"/>
          <w:szCs w:val="21"/>
          <w:lang w:eastAsia="en-GB"/>
        </w:rPr>
        <w:t xml:space="preserve"> </w:t>
      </w:r>
      <w:r w:rsidR="003A5F9B" w:rsidRPr="003A5F9B">
        <w:t xml:space="preserve">Likert-type and rating scales are commonly used in attitudinal research to measure perceptions by converting views into structured numerical data (Harpe, 2015). </w:t>
      </w:r>
      <w:r>
        <w:t xml:space="preserve"> </w:t>
      </w:r>
      <w:r w:rsidRPr="00FF3A1A">
        <w:t xml:space="preserve">In line with Fisher and </w:t>
      </w:r>
      <w:proofErr w:type="spellStart"/>
      <w:r w:rsidRPr="00FF3A1A">
        <w:t>Buglear’s</w:t>
      </w:r>
      <w:proofErr w:type="spellEnd"/>
      <w:r w:rsidRPr="00FF3A1A">
        <w:t xml:space="preserve"> (2010, p. 211) recommendation to place easier questions first and reserve more complex or reflective items for later in the instrument, the three open</w:t>
      </w:r>
      <w:r w:rsidRPr="00FF3A1A">
        <w:noBreakHyphen/>
        <w:t xml:space="preserve">ended questions were positioned at the end of the questionnaire. </w:t>
      </w:r>
      <w:r w:rsidR="003A5F9B" w:rsidRPr="003A5F9B">
        <w:t xml:space="preserve">This ordering aimed to reduce early respondent burden (Fisher &amp; </w:t>
      </w:r>
      <w:proofErr w:type="spellStart"/>
      <w:r w:rsidR="003A5F9B" w:rsidRPr="003A5F9B">
        <w:t>Buglear</w:t>
      </w:r>
      <w:proofErr w:type="spellEnd"/>
      <w:r w:rsidR="003A5F9B" w:rsidRPr="003A5F9B">
        <w:t>, 2010).</w:t>
      </w:r>
      <w:r w:rsidR="003A5F9B">
        <w:t xml:space="preserve"> </w:t>
      </w:r>
      <w:r w:rsidRPr="00FF3A1A">
        <w:t>Although optional, these open</w:t>
      </w:r>
      <w:r w:rsidRPr="00FF3A1A">
        <w:noBreakHyphen/>
        <w:t xml:space="preserve">ended items </w:t>
      </w:r>
      <w:r w:rsidRPr="00FF3A1A">
        <w:lastRenderedPageBreak/>
        <w:t>allowed respondents to elaborate on their experiences, providing richer contextual insight that strengthened the case study component of the research.</w:t>
      </w:r>
    </w:p>
    <w:p w14:paraId="0EF480AA" w14:textId="77777777" w:rsidR="00A74165" w:rsidRPr="00FF3A1A" w:rsidRDefault="00A74165" w:rsidP="0002646C">
      <w:pPr>
        <w:pStyle w:val="2Sectionheading"/>
        <w:jc w:val="both"/>
      </w:pPr>
      <w:bookmarkStart w:id="73" w:name="_Toc224743104"/>
      <w:bookmarkStart w:id="74" w:name="_Toc233030660"/>
      <w:r w:rsidRPr="00FF3A1A">
        <w:t xml:space="preserve">3.6 </w:t>
      </w:r>
      <w:bookmarkStart w:id="75" w:name="_Toc153826368"/>
      <w:r w:rsidRPr="00FF3A1A">
        <w:t>Population, Sampling and Sample Size</w:t>
      </w:r>
      <w:bookmarkEnd w:id="73"/>
      <w:bookmarkEnd w:id="74"/>
      <w:bookmarkEnd w:id="75"/>
    </w:p>
    <w:p w14:paraId="54F8AE22" w14:textId="66380EC0" w:rsidR="00A74165" w:rsidRPr="003A5F9B" w:rsidRDefault="00A74165" w:rsidP="0002646C">
      <w:pPr>
        <w:pStyle w:val="Uni-Normal"/>
        <w:jc w:val="both"/>
      </w:pPr>
      <w:r w:rsidRPr="003A5F9B">
        <w:t xml:space="preserve">This study adopted a stratified sampling framework using </w:t>
      </w:r>
      <w:r w:rsidR="00865CD5" w:rsidRPr="003A5F9B">
        <w:t xml:space="preserve">NCC </w:t>
      </w:r>
      <w:r w:rsidRPr="003A5F9B">
        <w:t xml:space="preserve">as the organisational research site. Stratified sampling involves dividing a population into clearly defined subgroups or </w:t>
      </w:r>
      <w:r w:rsidR="00353D6A" w:rsidRPr="003A5F9B">
        <w:t>strata</w:t>
      </w:r>
      <w:r w:rsidR="00353D6A">
        <w:t xml:space="preserve"> and</w:t>
      </w:r>
      <w:r w:rsidRPr="003A5F9B">
        <w:t xml:space="preserve"> selecting participants from within those groups based on the focus of the research. </w:t>
      </w:r>
      <w:r w:rsidR="0073355E">
        <w:t>T</w:t>
      </w:r>
      <w:r w:rsidR="003A5F9B" w:rsidRPr="003A5F9B">
        <w:t xml:space="preserve">his approach supports proportional representation of a defined subgroup (Johnson &amp; Christensen, 2012). </w:t>
      </w:r>
      <w:r w:rsidRPr="003A5F9B">
        <w:t>For this study, the relevant subgroup comprised employees belonging to Gen</w:t>
      </w:r>
      <w:r w:rsidR="0018277C">
        <w:t xml:space="preserve"> </w:t>
      </w:r>
      <w:r w:rsidRPr="003A5F9B">
        <w:t>Z</w:t>
      </w:r>
      <w:r w:rsidR="0018277C">
        <w:t>.</w:t>
      </w:r>
      <w:r w:rsidRPr="003A5F9B">
        <w:t xml:space="preserve"> </w:t>
      </w:r>
    </w:p>
    <w:p w14:paraId="633D26EA" w14:textId="0B3ADD0E" w:rsidR="00A74165" w:rsidRPr="00FF3A1A" w:rsidRDefault="00A74165" w:rsidP="0002646C">
      <w:pPr>
        <w:pStyle w:val="Uni-Normal"/>
        <w:jc w:val="both"/>
      </w:pPr>
      <w:r w:rsidRPr="00FF3A1A">
        <w:t xml:space="preserve">NCC maintains accurate workforce demographic data, including employee age profiles, which enables the precise identification of staff belonging to </w:t>
      </w:r>
      <w:r w:rsidR="0017563B">
        <w:t>Gen Z</w:t>
      </w:r>
      <w:r w:rsidRPr="00FF3A1A">
        <w:t xml:space="preserve">. Stratified sampling is particularly appropriate when a defined group is central to the research aim and needs to be represented in the sample in the same proportion as it exists in the wider population (Makwana et al., 2023).It was acknowledged, however, that stratified sampling still carries risks, as it relies on accurate and up to date population information (Johnson &amp; Christensen, 2012). </w:t>
      </w:r>
      <w:r w:rsidR="0018277C">
        <w:t>This</w:t>
      </w:r>
      <w:r w:rsidR="0018277C" w:rsidRPr="00FF3A1A">
        <w:t xml:space="preserve"> risk was mitigated by using </w:t>
      </w:r>
      <w:r w:rsidR="0018277C">
        <w:t>NCC’s HR</w:t>
      </w:r>
      <w:r w:rsidR="0018277C" w:rsidRPr="00FF3A1A">
        <w:t xml:space="preserve"> live workforce data, ensuring reliable identification of eligible employees.</w:t>
      </w:r>
    </w:p>
    <w:p w14:paraId="3C0AD3AC" w14:textId="56E9576A" w:rsidR="00A74165" w:rsidRPr="00FF3A1A" w:rsidRDefault="00A74165" w:rsidP="0002646C">
      <w:pPr>
        <w:pStyle w:val="Uni-Normal"/>
        <w:jc w:val="both"/>
      </w:pPr>
      <w:r w:rsidRPr="00E604AC">
        <w:t>Although alternative sampling techniques were explored, random sampling was unsuitable as it would have included large numbers of non</w:t>
      </w:r>
      <w:r w:rsidRPr="00E604AC">
        <w:noBreakHyphen/>
        <w:t>Gen Z employees, while non</w:t>
      </w:r>
      <w:r w:rsidRPr="00E604AC">
        <w:noBreakHyphen/>
        <w:t>probability methods were also discounted due to the high risk of sampling bias. Non</w:t>
      </w:r>
      <w:r w:rsidRPr="00E604AC">
        <w:noBreakHyphen/>
        <w:t>probability approaches such as purposive, convenience, snowball and quota sampling rely on researcher judgement or participant networks and therefore do not provide representative or proportional coverage of the target population (Makwana et al., 2023)</w:t>
      </w:r>
      <w:r w:rsidRPr="00FF3A1A">
        <w:t xml:space="preserve"> Stratified sampling was therefore the most robust and appropriate method for ensuring accurate representation of the target cohort.</w:t>
      </w:r>
    </w:p>
    <w:p w14:paraId="06674036" w14:textId="66D7A5BD" w:rsidR="00A74165" w:rsidRDefault="00A74165" w:rsidP="0002646C">
      <w:pPr>
        <w:pStyle w:val="Uni-Normal"/>
        <w:jc w:val="both"/>
      </w:pPr>
      <w:r w:rsidRPr="00FF3A1A">
        <w:t>The sampling frame consisted solely of employees born between 1997 and 2012, the commonly accepted boundaries for Gen Z</w:t>
      </w:r>
      <w:r w:rsidR="0018277C">
        <w:t xml:space="preserve"> (Cruse, 2025)</w:t>
      </w:r>
      <w:r w:rsidRPr="00FF3A1A">
        <w:t xml:space="preserve">. However, because </w:t>
      </w:r>
      <w:r w:rsidR="00865CD5">
        <w:t>NCC</w:t>
      </w:r>
      <w:r w:rsidRPr="00FF3A1A">
        <w:t xml:space="preserve"> only employs individuals aged 18 and over, the study included employees born between 1997 and 2008. This exclusion of younger individuals was necessary for ethical reasons and because apprentices and work experience placements fall outside the employee categories relevant to the study’s aims. </w:t>
      </w:r>
    </w:p>
    <w:p w14:paraId="4216F91C" w14:textId="0B9B2AAA" w:rsidR="00A74165" w:rsidRPr="00FF3A1A" w:rsidRDefault="00A74165" w:rsidP="0002646C">
      <w:pPr>
        <w:pStyle w:val="Uni-Normal"/>
        <w:jc w:val="both"/>
      </w:pPr>
      <w:r w:rsidRPr="00D57172">
        <w:t xml:space="preserve">To maximise participation and ensure that every eligible member of the cohort had an opportunity to contribute, the survey was distributed to the entire group rather than to a subset. </w:t>
      </w:r>
      <w:r w:rsidRPr="00D57172">
        <w:lastRenderedPageBreak/>
        <w:t xml:space="preserve">Participants were identified using </w:t>
      </w:r>
      <w:r w:rsidR="0018277C">
        <w:t>HR</w:t>
      </w:r>
      <w:r w:rsidRPr="00D57172">
        <w:t xml:space="preserve"> demographic records and the survey link was shared electronically with all eligible employees to maximise reach and accessibility.</w:t>
      </w:r>
      <w:r w:rsidRPr="00FF3A1A">
        <w:t xml:space="preserve"> </w:t>
      </w:r>
      <w:r w:rsidR="003A5F9B" w:rsidRPr="003A5F9B">
        <w:t>Distributing the survey to the full eligible cohort reduced reliance on statistical generalisation from a smaller sample (McEwan, 2020).</w:t>
      </w:r>
    </w:p>
    <w:p w14:paraId="065F886F" w14:textId="77777777" w:rsidR="00A74165" w:rsidRPr="00FF3A1A" w:rsidRDefault="00A74165" w:rsidP="0002646C">
      <w:pPr>
        <w:pStyle w:val="2Sectionheading"/>
        <w:jc w:val="both"/>
      </w:pPr>
      <w:bookmarkStart w:id="76" w:name="_Toc224743105"/>
      <w:bookmarkStart w:id="77" w:name="_Toc233030661"/>
      <w:r w:rsidRPr="00FF3A1A">
        <w:t>3.7 Time Horizons</w:t>
      </w:r>
      <w:bookmarkEnd w:id="76"/>
      <w:bookmarkEnd w:id="77"/>
    </w:p>
    <w:p w14:paraId="1A01B4F6" w14:textId="77777777" w:rsidR="00A74165" w:rsidRPr="00FF3A1A" w:rsidRDefault="00A74165" w:rsidP="0002646C">
      <w:pPr>
        <w:pStyle w:val="Uni-Normal"/>
        <w:jc w:val="both"/>
      </w:pPr>
      <w:r w:rsidRPr="00FF3A1A">
        <w:t>A cross</w:t>
      </w:r>
      <w:r w:rsidRPr="00FF3A1A">
        <w:noBreakHyphen/>
        <w:t>sectional time horizon was adopted to collect data at a single point in time and provide a snapshot of current employee perceptions. This approach was appropriate given the study’s time constraints, as cross</w:t>
      </w:r>
      <w:r w:rsidRPr="00FF3A1A">
        <w:noBreakHyphen/>
        <w:t>sectional designs are commonly used in academic research when longitudinal data collection is not feasible (Saunders et al., 2016, p. 200).</w:t>
      </w:r>
    </w:p>
    <w:p w14:paraId="4E880268" w14:textId="77777777" w:rsidR="00A74165" w:rsidRPr="00FF3A1A" w:rsidRDefault="00A74165" w:rsidP="0002646C">
      <w:pPr>
        <w:pStyle w:val="2Sectionheading"/>
        <w:jc w:val="both"/>
      </w:pPr>
      <w:bookmarkStart w:id="78" w:name="_Toc224743106"/>
      <w:bookmarkStart w:id="79" w:name="_Toc233030662"/>
      <w:r w:rsidRPr="00FF3A1A">
        <w:t>3.8 Data collection</w:t>
      </w:r>
      <w:bookmarkEnd w:id="78"/>
      <w:bookmarkEnd w:id="79"/>
      <w:r w:rsidRPr="00FF3A1A">
        <w:t xml:space="preserve"> </w:t>
      </w:r>
    </w:p>
    <w:p w14:paraId="52D11CBB" w14:textId="60BB46E2" w:rsidR="00A74165" w:rsidRPr="00FF3A1A" w:rsidRDefault="00A74165" w:rsidP="0002646C">
      <w:pPr>
        <w:pStyle w:val="Uni-Normal"/>
        <w:jc w:val="both"/>
      </w:pPr>
      <w:r w:rsidRPr="00FF3A1A">
        <w:t xml:space="preserve">Data for this study was collected using a self-completed online survey created in Microsoft Forms, a recognised data collection tool within </w:t>
      </w:r>
      <w:r w:rsidR="00865CD5">
        <w:t>NCC</w:t>
      </w:r>
      <w:r w:rsidRPr="00FF3A1A">
        <w:t xml:space="preserve">. The platform was selected for its accessibility, security and compatibility with organisational systems and GDPR requirements, ensuring that participants could complete the survey conveniently and confidentially. Microsoft Forms also supported initial analysis through real time summaries and auto generated charts and graphs, with an option to export the findings to Excel for deeper analysis, reducing manual handling and supporting accuracy in the dataset (Stevens, 2025). </w:t>
      </w:r>
    </w:p>
    <w:p w14:paraId="3B4820AE" w14:textId="50CB4EBB" w:rsidR="00A74165" w:rsidRPr="00FF3A1A" w:rsidRDefault="00A74165" w:rsidP="0002646C">
      <w:pPr>
        <w:pStyle w:val="Uni-Normal"/>
        <w:jc w:val="both"/>
      </w:pPr>
      <w:r w:rsidRPr="00FF3A1A">
        <w:t xml:space="preserve">A </w:t>
      </w:r>
      <w:r w:rsidR="0018277C">
        <w:t>HR</w:t>
      </w:r>
      <w:r w:rsidRPr="00FF3A1A">
        <w:t xml:space="preserve"> colleague distributed the survey link to employees who fall within the Gen Z age category, excluding anyone under 18 to maintain ethical compliance and alignment with the study’s target demographic. The email invitation (Appendix</w:t>
      </w:r>
      <w:r w:rsidR="006752DD">
        <w:t xml:space="preserve"> 2)</w:t>
      </w:r>
      <w:r w:rsidRPr="00FF3A1A">
        <w:t xml:space="preserve"> introduced the researcher, outlined the purpose of the study and explained its relevance to the MBA programme. The survey’s front page (Appendix </w:t>
      </w:r>
      <w:r w:rsidR="006752DD">
        <w:t>3</w:t>
      </w:r>
      <w:r w:rsidRPr="00FF3A1A">
        <w:t>) provided the full study summary, confidentiality measures</w:t>
      </w:r>
      <w:r w:rsidR="00413EDB">
        <w:t xml:space="preserve"> </w:t>
      </w:r>
      <w:r w:rsidRPr="00FF3A1A">
        <w:t>and eligibility criteria. Microsoft Forms then facilitated automated collation of responses, supporting consistency and accuracy across the dataset.</w:t>
      </w:r>
    </w:p>
    <w:p w14:paraId="591A7885" w14:textId="6F4F2028" w:rsidR="00A74165" w:rsidRPr="00A459AB" w:rsidRDefault="00A74165" w:rsidP="0002646C">
      <w:pPr>
        <w:pStyle w:val="Uni-Normal"/>
        <w:jc w:val="both"/>
        <w:rPr>
          <w:szCs w:val="24"/>
        </w:rPr>
      </w:pPr>
      <w:r w:rsidRPr="00710FAC">
        <w:rPr>
          <w:szCs w:val="24"/>
        </w:rPr>
        <w:t>The survey was distributed to all 685 eligible Gen</w:t>
      </w:r>
      <w:r w:rsidR="00A459AB">
        <w:rPr>
          <w:szCs w:val="24"/>
        </w:rPr>
        <w:t xml:space="preserve"> </w:t>
      </w:r>
      <w:r w:rsidRPr="00710FAC">
        <w:rPr>
          <w:szCs w:val="24"/>
        </w:rPr>
        <w:t>Z employees within the organisation to maximise participation. Participants were given three weeks (20 February–13 March 2026) to complete the questionnaire and a reminder email was issued on 5 March to encourage engagement. In total, 97 responses were received, representing a response rate of approximately 14%.</w:t>
      </w:r>
      <w:r w:rsidRPr="00710FAC">
        <w:rPr>
          <w:rFonts w:eastAsia="Times New Roman"/>
          <w:szCs w:val="24"/>
          <w:lang w:eastAsia="en-GB"/>
        </w:rPr>
        <w:t xml:space="preserve"> </w:t>
      </w:r>
      <w:r w:rsidR="0018277C">
        <w:rPr>
          <w:szCs w:val="24"/>
        </w:rPr>
        <w:t>Low</w:t>
      </w:r>
      <w:r w:rsidRPr="00710FAC">
        <w:rPr>
          <w:szCs w:val="24"/>
        </w:rPr>
        <w:t xml:space="preserve"> response rates are a well</w:t>
      </w:r>
      <w:r w:rsidRPr="00710FAC">
        <w:rPr>
          <w:szCs w:val="24"/>
        </w:rPr>
        <w:noBreakHyphen/>
        <w:t>recognised limitation of online surveys and can increase the risk of reduced representativeness and non</w:t>
      </w:r>
      <w:r w:rsidRPr="00710FAC">
        <w:rPr>
          <w:szCs w:val="24"/>
        </w:rPr>
        <w:noBreakHyphen/>
        <w:t>response bias (</w:t>
      </w:r>
      <w:proofErr w:type="spellStart"/>
      <w:r w:rsidRPr="00710FAC">
        <w:rPr>
          <w:szCs w:val="24"/>
        </w:rPr>
        <w:t>Shiyab</w:t>
      </w:r>
      <w:proofErr w:type="spellEnd"/>
      <w:r w:rsidRPr="00710FAC">
        <w:rPr>
          <w:szCs w:val="24"/>
        </w:rPr>
        <w:t xml:space="preserve"> </w:t>
      </w:r>
      <w:r w:rsidRPr="00710FAC">
        <w:rPr>
          <w:i/>
          <w:iCs/>
          <w:szCs w:val="24"/>
        </w:rPr>
        <w:t>et al.</w:t>
      </w:r>
      <w:r w:rsidRPr="00710FAC">
        <w:rPr>
          <w:szCs w:val="24"/>
        </w:rPr>
        <w:t xml:space="preserve">, 2023). This risk was acknowledged at the survey design </w:t>
      </w:r>
      <w:proofErr w:type="gramStart"/>
      <w:r w:rsidR="00353D6A" w:rsidRPr="00710FAC">
        <w:rPr>
          <w:szCs w:val="24"/>
        </w:rPr>
        <w:t>stage</w:t>
      </w:r>
      <w:proofErr w:type="gramEnd"/>
      <w:r w:rsidRPr="00710FAC">
        <w:rPr>
          <w:szCs w:val="24"/>
        </w:rPr>
        <w:t xml:space="preserve"> and mitigation strategies were </w:t>
      </w:r>
      <w:r w:rsidRPr="00710FAC">
        <w:rPr>
          <w:szCs w:val="24"/>
        </w:rPr>
        <w:lastRenderedPageBreak/>
        <w:t xml:space="preserve">implemented, including restricting access to the defined sampling frame, using a concise and clearly structured questionnaire and issuing a reminder during the data collection period. </w:t>
      </w:r>
    </w:p>
    <w:p w14:paraId="678E60D4" w14:textId="77777777" w:rsidR="00A74165" w:rsidRPr="00511BE8" w:rsidRDefault="00A74165" w:rsidP="0002646C">
      <w:pPr>
        <w:pStyle w:val="2Sectionheading"/>
        <w:jc w:val="both"/>
        <w:rPr>
          <w:color w:val="auto"/>
        </w:rPr>
      </w:pPr>
      <w:bookmarkStart w:id="80" w:name="_Toc224743107"/>
      <w:bookmarkStart w:id="81" w:name="_Toc224743108"/>
      <w:bookmarkStart w:id="82" w:name="_Toc233030663"/>
      <w:r w:rsidRPr="00511BE8">
        <w:rPr>
          <w:color w:val="auto"/>
        </w:rPr>
        <w:t>3.9 Data Analysis</w:t>
      </w:r>
      <w:bookmarkEnd w:id="80"/>
      <w:bookmarkEnd w:id="82"/>
      <w:r w:rsidRPr="00511BE8">
        <w:rPr>
          <w:color w:val="auto"/>
        </w:rPr>
        <w:t xml:space="preserve"> </w:t>
      </w:r>
    </w:p>
    <w:p w14:paraId="5C258F0A" w14:textId="7E2CC0B2" w:rsidR="00A74165" w:rsidRPr="003A5F9B" w:rsidRDefault="00A74165" w:rsidP="0002646C">
      <w:pPr>
        <w:pStyle w:val="Uni-Normal"/>
        <w:jc w:val="both"/>
      </w:pPr>
      <w:r w:rsidRPr="003A5F9B">
        <w:t>A survey was selected as the primary method of quantitative data collection, as it allows information to be gathered efficiently from a large group of employees and is well suited to identifying patterns and trends within the dataset (</w:t>
      </w:r>
      <w:proofErr w:type="spellStart"/>
      <w:r w:rsidRPr="003A5F9B">
        <w:t>Kotronoulas</w:t>
      </w:r>
      <w:proofErr w:type="spellEnd"/>
      <w:r w:rsidRPr="003A5F9B">
        <w:t xml:space="preserve"> et al., 2023). The questionnaire was designed using Microsoft Forms, </w:t>
      </w:r>
      <w:r w:rsidR="003A5F9B" w:rsidRPr="003A5F9B">
        <w:t>enabling responses to be captured securely and anonymously (Patrick, 2020).</w:t>
      </w:r>
    </w:p>
    <w:p w14:paraId="27ED4D4C" w14:textId="339DED31" w:rsidR="00A74165" w:rsidRPr="00511BE8" w:rsidRDefault="00A74165" w:rsidP="0002646C">
      <w:pPr>
        <w:pStyle w:val="Uni-Normal"/>
        <w:jc w:val="both"/>
      </w:pPr>
      <w:r w:rsidRPr="00511BE8">
        <w:t>The survey included a combination of closed</w:t>
      </w:r>
      <w:r w:rsidRPr="00511BE8">
        <w:noBreakHyphen/>
        <w:t>ended questions, five</w:t>
      </w:r>
      <w:r w:rsidRPr="00511BE8">
        <w:noBreakHyphen/>
        <w:t>point Likert scale statements and NPS questions. Likert scale items were used to measure levels of agreement with statements relating to talent management, development opportunities, digital support, engagement and retention. Responses to these items were automatically grouped within Microsoft Forms and presented as percentages, allowing for an initial descriptive analysis of response patterns across the sample.</w:t>
      </w:r>
    </w:p>
    <w:p w14:paraId="55BB2E35" w14:textId="66F18675" w:rsidR="00A74165" w:rsidRPr="00511BE8" w:rsidRDefault="00A74165" w:rsidP="0002646C">
      <w:pPr>
        <w:pStyle w:val="Uni-Normal"/>
        <w:jc w:val="both"/>
      </w:pPr>
      <w:r w:rsidRPr="00511BE8">
        <w:t xml:space="preserve">Following survey closure, all response data were exported from Microsoft Forms into Microsoft Excel for storage and further analysis (Stevens, 2025). Prior to analysis, the dataset was reviewed to ensure eligibility and data quality. One response was excluded from the final dataset, as the participant indicated that they were not eligible to take part in the study. All remaining responses were complete and suitable for analysis. Excel was used to calculate mean scores for the </w:t>
      </w:r>
      <w:r w:rsidR="00A27AD0">
        <w:t>NPS</w:t>
      </w:r>
      <w:r w:rsidRPr="00511BE8">
        <w:t xml:space="preserve"> questions, enabling assessment of respondents’ willingness to recommend </w:t>
      </w:r>
      <w:r w:rsidR="00865CD5">
        <w:t xml:space="preserve">NCC </w:t>
      </w:r>
      <w:r w:rsidRPr="00511BE8">
        <w:t xml:space="preserve">as an employer and how they rate </w:t>
      </w:r>
      <w:r w:rsidR="0018277C">
        <w:t>NCC</w:t>
      </w:r>
      <w:r w:rsidRPr="00511BE8">
        <w:t xml:space="preserve"> overall approach to talent management. </w:t>
      </w:r>
    </w:p>
    <w:p w14:paraId="08E879AE" w14:textId="77777777" w:rsidR="00A74165" w:rsidRPr="00E14EF7" w:rsidRDefault="00A74165" w:rsidP="0002646C">
      <w:pPr>
        <w:pStyle w:val="Uni-Normal"/>
        <w:jc w:val="both"/>
      </w:pPr>
      <w:r w:rsidRPr="00E14EF7">
        <w:t>Open</w:t>
      </w:r>
      <w:r w:rsidRPr="00E14EF7">
        <w:noBreakHyphen/>
        <w:t>ended survey questions were analysed separately to provide additional context to the quantitative findings.</w:t>
      </w:r>
      <w:r>
        <w:t xml:space="preserve"> </w:t>
      </w:r>
      <w:r w:rsidRPr="000C6679">
        <w:t>While the study remained primarily quantitative, the inclusion of qualitative responses enabled limited triangulation at the level of data interpretation, allowing patterns identified in the survey data to be examined alongside participants’ explanatory commentary (Denzin &amp; Lincoln, 2005; Creswell, 2014).</w:t>
      </w:r>
      <w:r w:rsidRPr="00E14EF7">
        <w:t xml:space="preserve"> Qualitative analysis followed the six</w:t>
      </w:r>
      <w:r w:rsidRPr="00E14EF7">
        <w:noBreakHyphen/>
        <w:t>phase thematic analysis framework outlined by Braun and Clarke (2006). Responses were first reviewed to support familiarisation with the data, including the use of a Microsoft Forms word cloud to provide an initial visual overview of commonly used terms.</w:t>
      </w:r>
    </w:p>
    <w:p w14:paraId="69CB5A0C" w14:textId="77777777" w:rsidR="00CD23A3" w:rsidRDefault="00A74165" w:rsidP="00CD23A3">
      <w:pPr>
        <w:pStyle w:val="Uni-Normal"/>
        <w:keepNext/>
        <w:jc w:val="both"/>
      </w:pPr>
      <w:r w:rsidRPr="00112381">
        <w:lastRenderedPageBreak/>
        <w:t>All open-ended responses were then exported from Microsoft Forms and imported into NVivo to support systematic qualitative analysis. NVivo was used to generate initial codes inductively, organise and group recurring issues and support the development and review of candidate themes. Interpretation and theme development remained researcher</w:t>
      </w:r>
      <w:r w:rsidRPr="00112381">
        <w:noBreakHyphen/>
        <w:t>led throughout the process, with NVivo used as an organising and retrieval tool rather than as an analytical determinant (</w:t>
      </w:r>
      <w:proofErr w:type="spellStart"/>
      <w:r w:rsidRPr="00112381">
        <w:t>Mortelmans</w:t>
      </w:r>
      <w:proofErr w:type="spellEnd"/>
      <w:r w:rsidRPr="00112381">
        <w:t>, 2025).</w:t>
      </w:r>
      <w:r w:rsidRPr="00E14EF7">
        <w:t xml:space="preserve"> The findings from this analysis are presented further in Chapter 4.</w:t>
      </w:r>
      <w:r w:rsidRPr="00A20072">
        <w:rPr>
          <w:noProof/>
        </w:rPr>
        <w:drawing>
          <wp:inline distT="0" distB="0" distL="0" distR="0" wp14:anchorId="6C21C3DB" wp14:editId="6663A6F6">
            <wp:extent cx="5731510" cy="2664460"/>
            <wp:effectExtent l="0" t="0" r="2540" b="0"/>
            <wp:docPr id="12276875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664460"/>
                    </a:xfrm>
                    <a:prstGeom prst="rect">
                      <a:avLst/>
                    </a:prstGeom>
                    <a:noFill/>
                    <a:ln>
                      <a:noFill/>
                    </a:ln>
                  </pic:spPr>
                </pic:pic>
              </a:graphicData>
            </a:graphic>
          </wp:inline>
        </w:drawing>
      </w:r>
    </w:p>
    <w:p w14:paraId="1E7027AB" w14:textId="4F48AC71" w:rsidR="00CD23A3" w:rsidRDefault="00CD23A3" w:rsidP="00CD23A3">
      <w:pPr>
        <w:pStyle w:val="Caption"/>
        <w:jc w:val="both"/>
      </w:pPr>
      <w:bookmarkStart w:id="83" w:name="_Toc233030681"/>
      <w:r>
        <w:t xml:space="preserve">Figure </w:t>
      </w:r>
      <w:r w:rsidR="00231AA7">
        <w:fldChar w:fldCharType="begin"/>
      </w:r>
      <w:r w:rsidR="00231AA7">
        <w:instrText xml:space="preserve"> SEQ Figure \* ARABIC </w:instrText>
      </w:r>
      <w:r w:rsidR="00231AA7">
        <w:fldChar w:fldCharType="separate"/>
      </w:r>
      <w:r w:rsidR="00231AA7">
        <w:rPr>
          <w:noProof/>
        </w:rPr>
        <w:t>2</w:t>
      </w:r>
      <w:r w:rsidR="00231AA7">
        <w:rPr>
          <w:noProof/>
        </w:rPr>
        <w:fldChar w:fldCharType="end"/>
      </w:r>
      <w:r>
        <w:t>- Six Theme Analysis</w:t>
      </w:r>
      <w:r w:rsidR="00231AA7">
        <w:t>- (Adapted from Braun and Clarke, 2006)</w:t>
      </w:r>
      <w:bookmarkEnd w:id="83"/>
    </w:p>
    <w:p w14:paraId="50E311C3" w14:textId="77777777" w:rsidR="00A74165" w:rsidRPr="00FF3A1A" w:rsidRDefault="00A74165" w:rsidP="0002646C">
      <w:pPr>
        <w:pStyle w:val="2Sectionheading"/>
        <w:jc w:val="both"/>
      </w:pPr>
      <w:bookmarkStart w:id="84" w:name="_Toc233030664"/>
      <w:r w:rsidRPr="00FF3A1A">
        <w:t>3.10 Validity and Reliability</w:t>
      </w:r>
      <w:bookmarkEnd w:id="81"/>
      <w:bookmarkEnd w:id="84"/>
    </w:p>
    <w:p w14:paraId="322D387D" w14:textId="681557E8" w:rsidR="00A74165" w:rsidRDefault="00A74165" w:rsidP="0002646C">
      <w:pPr>
        <w:pStyle w:val="Uni-Normal"/>
        <w:jc w:val="both"/>
      </w:pPr>
      <w:r w:rsidRPr="00FF3A1A">
        <w:t>A pilot survey was conducted to assess the validity and reliability of the questionnaire prior to full distribution. The questionnaire items were developed directly from the themes identified in the literature review to support content validity. Pilot testing is a useful method for identifying unclear, ambiguous</w:t>
      </w:r>
      <w:r w:rsidR="00E5168E">
        <w:t xml:space="preserve"> </w:t>
      </w:r>
      <w:r w:rsidRPr="00FF3A1A">
        <w:t xml:space="preserve">or leading questions and for ensuring that the survey measures what it intends to measure (Roberts et al., 2006; Fisher &amp; </w:t>
      </w:r>
      <w:proofErr w:type="spellStart"/>
      <w:r w:rsidRPr="00FF3A1A">
        <w:t>Buglear</w:t>
      </w:r>
      <w:proofErr w:type="spellEnd"/>
      <w:r w:rsidRPr="00FF3A1A">
        <w:t xml:space="preserve">, 2010). </w:t>
      </w:r>
    </w:p>
    <w:p w14:paraId="0BDCD44D" w14:textId="792D3BE2" w:rsidR="00A74165" w:rsidRPr="00FF3A1A" w:rsidRDefault="00A74165" w:rsidP="0002646C">
      <w:pPr>
        <w:pStyle w:val="Uni-Normal"/>
        <w:jc w:val="both"/>
      </w:pPr>
      <w:r w:rsidRPr="003A5F9B">
        <w:t xml:space="preserve">To strengthen face validity, three colleagues reviewed the </w:t>
      </w:r>
      <w:proofErr w:type="gramStart"/>
      <w:r w:rsidR="00353D6A" w:rsidRPr="003A5F9B">
        <w:t>questionnaire</w:t>
      </w:r>
      <w:proofErr w:type="gramEnd"/>
      <w:r w:rsidR="003A5F9B" w:rsidRPr="003A5F9B">
        <w:rPr>
          <w:rFonts w:ascii="Segoe UI" w:eastAsia="Times New Roman" w:hAnsi="Segoe UI" w:cs="Segoe UI"/>
          <w:sz w:val="21"/>
          <w:szCs w:val="21"/>
          <w:lang w:eastAsia="en-GB"/>
        </w:rPr>
        <w:t xml:space="preserve"> </w:t>
      </w:r>
      <w:r w:rsidR="003A5F9B" w:rsidRPr="003A5F9B">
        <w:t xml:space="preserve">and it was also reviewed by two HR colleagues and the dissertation supervisor. Feedback was implemented prior to full distribution. </w:t>
      </w:r>
      <w:r w:rsidRPr="00231303">
        <w:t xml:space="preserve">The pilot highlighted that minor wording adjustments were required to improve clarity and reduce the risk of respondent misinterpretation. For example, in the career development statement in Question 8, the wording was revised from </w:t>
      </w:r>
      <w:r w:rsidRPr="00025579">
        <w:t>“I have clear opportunities for career development within the Council” to “There are clear opportunities for my career development within the Council”.</w:t>
      </w:r>
      <w:r w:rsidRPr="00231303">
        <w:t xml:space="preserve"> This change was made to reduce potential ambiguity and self</w:t>
      </w:r>
      <w:r w:rsidRPr="00231303">
        <w:noBreakHyphen/>
        <w:t xml:space="preserve">attribution bias, ensuring the </w:t>
      </w:r>
      <w:r>
        <w:t xml:space="preserve">statement </w:t>
      </w:r>
      <w:r w:rsidRPr="00231303">
        <w:t>more accurately captured perceptions of organisational provision rather than personal confidence.</w:t>
      </w:r>
      <w:r>
        <w:t xml:space="preserve"> </w:t>
      </w:r>
      <w:r w:rsidRPr="00231303">
        <w:t xml:space="preserve">Pilot feedback also </w:t>
      </w:r>
      <w:r w:rsidRPr="00231303">
        <w:lastRenderedPageBreak/>
        <w:t xml:space="preserve">indicated that respondents may hold differing understandings of the term </w:t>
      </w:r>
      <w:r w:rsidRPr="00864517">
        <w:t>talent management.</w:t>
      </w:r>
      <w:r w:rsidRPr="00231303">
        <w:t xml:space="preserve"> To address this limitation and strengthen content validity, a definition of talent management was added at the beginning of the survey</w:t>
      </w:r>
      <w:r>
        <w:t>.</w:t>
      </w:r>
    </w:p>
    <w:p w14:paraId="31C94CFD" w14:textId="741372B7" w:rsidR="00A74165" w:rsidRPr="00A63A53" w:rsidRDefault="00A74165" w:rsidP="0002646C">
      <w:pPr>
        <w:pStyle w:val="Uni-Normal"/>
        <w:jc w:val="both"/>
      </w:pPr>
      <w:r w:rsidRPr="00FF3A1A">
        <w:t xml:space="preserve">This external review helped minimise the risk of unintentional researcher bias, which can affect the accuracy and credibility of research instruments. Ensuring validity also allowed the researcher to confirm that the survey accurately captured information across the defined cohort, while pilot testing contributed to reliability by helping ensure that the instrument would produce stable and consistent results (Roberts et al., 2006). </w:t>
      </w:r>
      <w:r w:rsidRPr="00A63A53">
        <w:t>Despite these measures, some threats to reliability remain. As the study relied on self</w:t>
      </w:r>
      <w:r w:rsidRPr="00A63A53">
        <w:noBreakHyphen/>
        <w:t xml:space="preserve">reported data, responses may be influenced </w:t>
      </w:r>
      <w:r>
        <w:t xml:space="preserve">by recall error </w:t>
      </w:r>
      <w:r w:rsidRPr="00A63A53">
        <w:t>and response behaviour, which is a recognised limitation of survey research (Groves et al., 2009).</w:t>
      </w:r>
    </w:p>
    <w:p w14:paraId="129B5689" w14:textId="39CB6654" w:rsidR="00A74165" w:rsidRPr="00FF3A1A" w:rsidRDefault="00A74165" w:rsidP="0002646C">
      <w:pPr>
        <w:pStyle w:val="Uni-Normal"/>
        <w:jc w:val="both"/>
      </w:pPr>
      <w:r w:rsidRPr="00FF3A1A">
        <w:t>A key limitation is that the survey was designed specifically for</w:t>
      </w:r>
      <w:r w:rsidR="00865CD5">
        <w:t xml:space="preserve"> NCC</w:t>
      </w:r>
      <w:r w:rsidRPr="00FF3A1A">
        <w:t>. As many questionnaires are context</w:t>
      </w:r>
      <w:r w:rsidRPr="00FF3A1A">
        <w:noBreakHyphen/>
        <w:t>bound rather than generalisable instruments (Cobern &amp; Adams, 2020), its validity cannot be assumed in other councils or sectors. Time constraints also prevented a wider Wales</w:t>
      </w:r>
      <w:r w:rsidRPr="00FF3A1A">
        <w:noBreakHyphen/>
        <w:t>based pilot, which further limits generalisability, although this remains appropriate for a case study situated within a single organisational setting.</w:t>
      </w:r>
    </w:p>
    <w:p w14:paraId="6C538A54" w14:textId="77777777" w:rsidR="00A74165" w:rsidRPr="00FF3A1A" w:rsidRDefault="00A74165" w:rsidP="0002646C">
      <w:pPr>
        <w:pStyle w:val="2Sectionheading"/>
        <w:jc w:val="both"/>
      </w:pPr>
      <w:bookmarkStart w:id="85" w:name="_Toc224743109"/>
      <w:bookmarkStart w:id="86" w:name="_Toc233030665"/>
      <w:r w:rsidRPr="00FF3A1A">
        <w:t>3.11 Ethical Considerations</w:t>
      </w:r>
      <w:bookmarkEnd w:id="85"/>
      <w:bookmarkEnd w:id="86"/>
    </w:p>
    <w:p w14:paraId="5BEE9A12" w14:textId="594C1283" w:rsidR="00A74165" w:rsidRPr="00FF3A1A" w:rsidRDefault="00A74165" w:rsidP="0002646C">
      <w:pPr>
        <w:pStyle w:val="Uni-Normal"/>
        <w:jc w:val="both"/>
      </w:pPr>
      <w:r w:rsidRPr="00FF3A1A">
        <w:t xml:space="preserve">This study adhered to the </w:t>
      </w:r>
      <w:r w:rsidRPr="00FF3A1A">
        <w:rPr>
          <w:i/>
          <w:iCs/>
        </w:rPr>
        <w:t>University of Wales Trinity Saint David Research Ethics and Integrity Code of Practice</w:t>
      </w:r>
      <w:r w:rsidRPr="00FF3A1A">
        <w:t xml:space="preserve"> (2022), with full ethical approval granted through the PG2 E1 process prior to data collection see (Appendix </w:t>
      </w:r>
      <w:r w:rsidR="006752DD">
        <w:t>1</w:t>
      </w:r>
      <w:r w:rsidRPr="00FF3A1A">
        <w:t xml:space="preserve">). Organisational permission was also obtained from the Service Manager for Human Resources to recruit </w:t>
      </w:r>
      <w:r w:rsidR="0017563B">
        <w:t>Gen Z</w:t>
      </w:r>
      <w:r w:rsidRPr="00FF3A1A">
        <w:t xml:space="preserve"> employees within </w:t>
      </w:r>
      <w:r w:rsidR="00865CD5">
        <w:t>NCC</w:t>
      </w:r>
      <w:r w:rsidRPr="00FF3A1A">
        <w:t>. Participants received clear information outlining the purpose of the study, the voluntary nature of their involvement, how their data would be used and their right to withdraw at any time (UK Research and Innovation, 2024). Informed consent was obtained electronically before the survey began, reflecting Bryman’s (2016) principles of ethical participation and protection. The survey design intentionally limited data collection to avoid identifying individuals by not requesting names, contact detail</w:t>
      </w:r>
      <w:r w:rsidR="00E5168E">
        <w:t>s</w:t>
      </w:r>
      <w:r w:rsidRPr="00FF3A1A">
        <w:t xml:space="preserve"> or any information that could reveal identity. Age category was the only demographic item included and was used solely to confirm eligibility for the study. </w:t>
      </w:r>
      <w:r w:rsidR="000800DA">
        <w:t>This is consistent</w:t>
      </w:r>
      <w:r w:rsidRPr="00FF3A1A">
        <w:t xml:space="preserve"> with Fleming and </w:t>
      </w:r>
      <w:proofErr w:type="spellStart"/>
      <w:r w:rsidRPr="00FF3A1A">
        <w:t>Zegwaard’s</w:t>
      </w:r>
      <w:proofErr w:type="spellEnd"/>
      <w:r w:rsidRPr="00FF3A1A">
        <w:t xml:space="preserve"> (2018) emphasis on limiting personal data collection, ensuring anonymity and protecting human participants from harm. As the researcher is employed within </w:t>
      </w:r>
      <w:r w:rsidR="00865CD5">
        <w:t>NCC</w:t>
      </w:r>
      <w:r w:rsidRPr="00FF3A1A">
        <w:t xml:space="preserve">, the study also acknowledged the ethical considerations associated with insider research. These include the possibility of implicit coercion, a desire for </w:t>
      </w:r>
      <w:r w:rsidRPr="00FF3A1A">
        <w:lastRenderedPageBreak/>
        <w:t xml:space="preserve">positive outcomes and the risk of taking organisational norms for granted, as highlighted by Fleming and </w:t>
      </w:r>
      <w:proofErr w:type="spellStart"/>
      <w:r w:rsidRPr="00FF3A1A">
        <w:t>Zegwaard</w:t>
      </w:r>
      <w:proofErr w:type="spellEnd"/>
      <w:r w:rsidRPr="00FF3A1A">
        <w:t xml:space="preserve"> (2018). These concerns were addressed by ensuring full anonymity for participants, making participation entirely voluntary and handling data independently to minimise the potential for bias.</w:t>
      </w:r>
    </w:p>
    <w:p w14:paraId="6B99918F" w14:textId="77777777" w:rsidR="00A74165" w:rsidRPr="00FF3A1A" w:rsidRDefault="00A74165" w:rsidP="0002646C">
      <w:pPr>
        <w:pStyle w:val="2Sectionheading"/>
        <w:jc w:val="both"/>
      </w:pPr>
      <w:bookmarkStart w:id="87" w:name="_Toc224743110"/>
      <w:bookmarkStart w:id="88" w:name="_Toc233030666"/>
      <w:r w:rsidRPr="00FF3A1A">
        <w:t>3.12 Research Limitations</w:t>
      </w:r>
      <w:bookmarkEnd w:id="87"/>
      <w:bookmarkEnd w:id="88"/>
      <w:r w:rsidRPr="00FF3A1A">
        <w:t xml:space="preserve"> </w:t>
      </w:r>
    </w:p>
    <w:p w14:paraId="7D71FFCD" w14:textId="77777777" w:rsidR="00A74165" w:rsidRPr="00F43B7E" w:rsidRDefault="00A74165" w:rsidP="0002646C">
      <w:pPr>
        <w:pStyle w:val="Uni-Normal"/>
        <w:jc w:val="both"/>
      </w:pPr>
      <w:bookmarkStart w:id="89" w:name="_Toc224743111"/>
      <w:bookmarkEnd w:id="64"/>
      <w:r w:rsidRPr="00F43B7E">
        <w:t>This study has several limitations that should be acknowledged. While steps were taken to strengthen validity and reliability, as outlined in Section 3.10, these measures do not fully remove limitations that may influence how the findings are interpreted</w:t>
      </w:r>
      <w:r>
        <w:rPr>
          <w:rFonts w:ascii="Segoe UI" w:eastAsia="Times New Roman" w:hAnsi="Segoe UI" w:cs="Segoe UI"/>
          <w:sz w:val="21"/>
          <w:szCs w:val="21"/>
          <w:lang w:eastAsia="en-GB"/>
        </w:rPr>
        <w:t xml:space="preserve">. </w:t>
      </w:r>
      <w:r w:rsidRPr="00F43B7E">
        <w:t>While</w:t>
      </w:r>
      <w:r>
        <w:t xml:space="preserve">, </w:t>
      </w:r>
      <w:r w:rsidRPr="00F43B7E">
        <w:t xml:space="preserve">case studies offer rich contextual insight, insider case study research also presents limitations. Fleming and </w:t>
      </w:r>
      <w:proofErr w:type="spellStart"/>
      <w:r w:rsidRPr="00F43B7E">
        <w:t>Zegwaard</w:t>
      </w:r>
      <w:proofErr w:type="spellEnd"/>
      <w:r w:rsidRPr="00F43B7E">
        <w:t xml:space="preserve"> (2018) note that researching participants within this context can lead to implicit coercion and response effects arising from existing relationships and power dynamics, despite assurances of anonymity.</w:t>
      </w:r>
      <w:r>
        <w:t xml:space="preserve"> </w:t>
      </w:r>
      <w:r w:rsidRPr="00F43B7E">
        <w:t>The quantitative design further limits the depth of insight, as survey methods are effective for identifying patterns and trends but provide limited opportunity to explore the underlying reasons for participants’ responses (Creswell, 2009).</w:t>
      </w:r>
    </w:p>
    <w:p w14:paraId="196F4832" w14:textId="69FEB2E1" w:rsidR="00A74165" w:rsidRPr="00F43B7E" w:rsidRDefault="00A74165" w:rsidP="0002646C">
      <w:pPr>
        <w:pStyle w:val="Uni-Normal"/>
        <w:jc w:val="both"/>
      </w:pPr>
      <w:r w:rsidRPr="00F43B7E">
        <w:t>In addition, reliance on self</w:t>
      </w:r>
      <w:r w:rsidRPr="00F43B7E">
        <w:noBreakHyphen/>
        <w:t xml:space="preserve">reported survey data means responses may be shaped by individual interpretation and subjective judgement, which can affect data accuracy (Cobern &amp; Adams, 2020). The focus on a single local authority also limits how far the findings can be applied elsewhere, as organisational culture and management practices vary across councils. The findings should therefore be </w:t>
      </w:r>
      <w:r w:rsidR="000800DA">
        <w:t>viewed</w:t>
      </w:r>
      <w:r w:rsidRPr="00F43B7E">
        <w:t xml:space="preserve"> as context</w:t>
      </w:r>
      <w:r w:rsidRPr="00F43B7E">
        <w:noBreakHyphen/>
        <w:t>specific rather than broadly generalisable (Creswell, 2009). If time constraints had not been a factor, a mixed</w:t>
      </w:r>
      <w:r w:rsidRPr="00F43B7E">
        <w:noBreakHyphen/>
        <w:t>methods design incorporating interviews or focus groups could have strengthened the study by offering richer contextual understanding. Future research could adopt a mixed</w:t>
      </w:r>
      <w:r w:rsidRPr="00F43B7E">
        <w:noBreakHyphen/>
        <w:t>methods approach and extend the study across multiple departments to explore whether responses vary across different local government roles</w:t>
      </w:r>
      <w:r w:rsidR="00D67C15">
        <w:t xml:space="preserve"> or</w:t>
      </w:r>
      <w:r w:rsidRPr="00F43B7E">
        <w:t xml:space="preserve"> authorities to assess the transferability of the findings.</w:t>
      </w:r>
    </w:p>
    <w:p w14:paraId="5D316F38" w14:textId="77777777" w:rsidR="00A74165" w:rsidRPr="00FF3A1A" w:rsidRDefault="00A74165" w:rsidP="0002646C">
      <w:pPr>
        <w:pStyle w:val="2Sectionheading"/>
        <w:jc w:val="both"/>
      </w:pPr>
      <w:bookmarkStart w:id="90" w:name="_Toc233030667"/>
      <w:r w:rsidRPr="00FF3A1A">
        <w:t>3.13 Chapter Summary</w:t>
      </w:r>
      <w:bookmarkEnd w:id="89"/>
      <w:bookmarkEnd w:id="90"/>
      <w:r w:rsidRPr="00FF3A1A">
        <w:t xml:space="preserve"> </w:t>
      </w:r>
    </w:p>
    <w:p w14:paraId="4C849501" w14:textId="43EF295C" w:rsidR="00A74165" w:rsidRDefault="00A74165" w:rsidP="0002646C">
      <w:pPr>
        <w:pStyle w:val="Uni-Normal"/>
        <w:jc w:val="both"/>
      </w:pPr>
      <w:r w:rsidRPr="00A50195">
        <w:t xml:space="preserve">This chapter outlined the methodology used to examine Gen Z’s perceptions of talent management within </w:t>
      </w:r>
      <w:r w:rsidR="00865CD5">
        <w:t>NCC</w:t>
      </w:r>
      <w:r w:rsidRPr="00A50195">
        <w:t xml:space="preserve">. It justified the adoption of a positivist stance, a deductive </w:t>
      </w:r>
      <w:r w:rsidR="00353D6A" w:rsidRPr="00A50195">
        <w:t>approach</w:t>
      </w:r>
      <w:r w:rsidR="00353D6A">
        <w:t xml:space="preserve"> </w:t>
      </w:r>
      <w:r w:rsidR="00353D6A" w:rsidRPr="00A50195">
        <w:t>and</w:t>
      </w:r>
      <w:r w:rsidRPr="00A50195">
        <w:t xml:space="preserve"> a quantitative case study design using a structured online survey. The chapter also detailed the sampling strategy, data collection and analysis procedures and ethical considerations, before acknowledging key methodological limitations.</w:t>
      </w:r>
      <w:r>
        <w:t xml:space="preserve"> </w:t>
      </w:r>
      <w:r w:rsidRPr="00FF3A1A">
        <w:t>The next chapter presents the analysis of findings, highlighting the main patterns emerging from the survey responses.</w:t>
      </w:r>
    </w:p>
    <w:p w14:paraId="0137AD4E" w14:textId="77777777" w:rsidR="00A74165" w:rsidRDefault="00A74165" w:rsidP="0002646C">
      <w:pPr>
        <w:spacing w:after="240" w:line="360" w:lineRule="auto"/>
        <w:ind w:left="360"/>
        <w:jc w:val="both"/>
        <w:rPr>
          <w:rFonts w:eastAsia="Times New Roman"/>
          <w:szCs w:val="24"/>
          <w:lang w:eastAsia="en-GB"/>
        </w:rPr>
      </w:pPr>
    </w:p>
    <w:p w14:paraId="20258A3A" w14:textId="77777777" w:rsidR="006A5985" w:rsidRPr="006D6120" w:rsidRDefault="006A5985" w:rsidP="00A1377F">
      <w:pPr>
        <w:spacing w:line="360" w:lineRule="auto"/>
        <w:jc w:val="center"/>
        <w:rPr>
          <w:b/>
          <w:bCs/>
        </w:rPr>
      </w:pPr>
      <w:r w:rsidRPr="006D6120">
        <w:rPr>
          <w:b/>
          <w:bCs/>
        </w:rPr>
        <w:t>CHAPTER 4</w:t>
      </w:r>
    </w:p>
    <w:p w14:paraId="5B349A67" w14:textId="77777777" w:rsidR="006A5985" w:rsidRPr="006D6120" w:rsidRDefault="006A5985" w:rsidP="00A1377F">
      <w:pPr>
        <w:spacing w:line="360" w:lineRule="auto"/>
        <w:jc w:val="center"/>
        <w:rPr>
          <w:b/>
          <w:bCs/>
        </w:rPr>
      </w:pPr>
      <w:r w:rsidRPr="006D6120">
        <w:rPr>
          <w:b/>
          <w:bCs/>
        </w:rPr>
        <w:t>DATA ANALYSIS</w:t>
      </w:r>
    </w:p>
    <w:p w14:paraId="0C143843" w14:textId="77777777" w:rsidR="006A5985" w:rsidRPr="006D6120" w:rsidRDefault="006A5985" w:rsidP="00A1377F">
      <w:pPr>
        <w:spacing w:line="360" w:lineRule="auto"/>
        <w:jc w:val="both"/>
        <w:rPr>
          <w:b/>
          <w:bCs/>
        </w:rPr>
      </w:pPr>
      <w:r w:rsidRPr="006D6120">
        <w:rPr>
          <w:b/>
          <w:bCs/>
        </w:rPr>
        <w:t>4.1 Chapter Introduction</w:t>
      </w:r>
    </w:p>
    <w:p w14:paraId="7EBF29D1" w14:textId="77777777" w:rsidR="006A5985" w:rsidRPr="001474A3" w:rsidRDefault="006A5985" w:rsidP="00A1377F">
      <w:pPr>
        <w:spacing w:line="360" w:lineRule="auto"/>
        <w:jc w:val="both"/>
      </w:pPr>
      <w:r w:rsidRPr="001474A3">
        <w:t>This chapter presents the findings from a survey exploring how Gen Z employees experience talent management at NCC. Structured around three research objectives, it examines employee experiences, engagement and retention, and the relationship between the findings and existing literature. The survey generated 96 responses, while qualitative data were analysed thematically to identify six key themes. Full results are provided in Appendix 4.</w:t>
      </w:r>
    </w:p>
    <w:p w14:paraId="06B44212" w14:textId="77777777" w:rsidR="006A5985" w:rsidRPr="006D6120" w:rsidRDefault="006A5985" w:rsidP="00A1377F">
      <w:pPr>
        <w:spacing w:line="360" w:lineRule="auto"/>
        <w:jc w:val="both"/>
        <w:rPr>
          <w:b/>
          <w:bCs/>
        </w:rPr>
      </w:pPr>
      <w:r w:rsidRPr="006D6120">
        <w:rPr>
          <w:b/>
          <w:bCs/>
        </w:rPr>
        <w:t xml:space="preserve">4.2 Description and Analysis of Results </w:t>
      </w:r>
    </w:p>
    <w:p w14:paraId="4C576BDA" w14:textId="77777777" w:rsidR="006A5985" w:rsidRPr="006D6120" w:rsidRDefault="006A5985" w:rsidP="00A1377F">
      <w:pPr>
        <w:spacing w:line="360" w:lineRule="auto"/>
        <w:jc w:val="both"/>
        <w:rPr>
          <w:b/>
          <w:bCs/>
        </w:rPr>
      </w:pPr>
      <w:r w:rsidRPr="006D6120">
        <w:rPr>
          <w:b/>
          <w:bCs/>
        </w:rPr>
        <w:t xml:space="preserve"> Objective 1: To explore the role of talent management in shaping the workplace </w:t>
      </w:r>
      <w:r w:rsidRPr="006D6120">
        <w:rPr>
          <w:b/>
          <w:bCs/>
          <w:lang w:eastAsia="en-GB"/>
        </w:rPr>
        <w:t>expectations, preferences and behaviours</w:t>
      </w:r>
      <w:r w:rsidRPr="006D6120">
        <w:rPr>
          <w:b/>
          <w:bCs/>
        </w:rPr>
        <w:t xml:space="preserve"> of Gen Z within UK local government</w:t>
      </w:r>
    </w:p>
    <w:p w14:paraId="50D176B1" w14:textId="77777777" w:rsidR="006A5985" w:rsidRPr="006D6120" w:rsidRDefault="006A5985" w:rsidP="00A1377F">
      <w:pPr>
        <w:spacing w:line="360" w:lineRule="auto"/>
        <w:jc w:val="both"/>
      </w:pPr>
      <w:r w:rsidRPr="002D6486">
        <w:t>The findings indicate that Gen Z expectations at NCC are shaped primarily by practical employment conditions and visible opportunities for growth rather than a broader motivation to work in the public sector.</w:t>
      </w:r>
      <w:r>
        <w:t xml:space="preserve"> </w:t>
      </w:r>
      <w:r w:rsidRPr="006D6120">
        <w:t>When respondents were asked what most influenced their decision to join NCC, the most frequently selected factor was work–life balance or flexible working (43.8%), followed by opportunities for development and progression (39.6%) and job security (38.5%). Public service values or meaningful work were also selected by 35.4% of respondents, although this remained lower than the proportion prioritising flexibility. By contrast, salary was selected by 18.8% and a specific desire to work in the public sector by only 12.5%.</w:t>
      </w:r>
    </w:p>
    <w:p w14:paraId="0EC33EBE" w14:textId="77777777" w:rsidR="006A5985" w:rsidRPr="006D6120" w:rsidRDefault="006A5985" w:rsidP="00A1377F">
      <w:pPr>
        <w:spacing w:line="360" w:lineRule="auto"/>
        <w:jc w:val="both"/>
      </w:pPr>
      <w:r w:rsidRPr="006D6120">
        <w:t>Although meaningful work remains important, practical factors such as flexibility, stability and development opportunities are more influential in attraction decisions.</w:t>
      </w:r>
      <w:r>
        <w:t xml:space="preserve"> </w:t>
      </w:r>
      <w:r w:rsidRPr="006D6120">
        <w:t xml:space="preserve">This is reflected in the high importance attached to meaningful work, with 46.9% of respondents rating it as very important and 36.5% rating it as important, meaning that 83.4% attached substantial value to doing work that felt worthwhile. </w:t>
      </w:r>
      <w:r w:rsidRPr="002D6486">
        <w:t>While purpose is valued, it is not sufficient on its own</w:t>
      </w:r>
      <w:r>
        <w:t xml:space="preserve"> </w:t>
      </w:r>
      <w:r w:rsidRPr="006D6120">
        <w:t>to shape attraction without visible opportunities for progression, flexibility and security.</w:t>
      </w:r>
    </w:p>
    <w:p w14:paraId="734ABBB6" w14:textId="77777777" w:rsidR="006A5985" w:rsidRPr="006D6120" w:rsidRDefault="006A5985" w:rsidP="00A1377F">
      <w:pPr>
        <w:spacing w:line="360" w:lineRule="auto"/>
        <w:jc w:val="both"/>
      </w:pPr>
      <w:r w:rsidRPr="006D6120">
        <w:t xml:space="preserve">Expectations of progression further highlight how respondents evaluate their early career prospects. A total of 47% of respondents expected their first significant progression within one to two years, while a further 25% expected this within three to four years. At the same time, 18% reported that they did not expect progression within their current role. When asked about </w:t>
      </w:r>
      <w:r w:rsidRPr="006D6120">
        <w:lastRenderedPageBreak/>
        <w:t>the importance of rapid career progression,</w:t>
      </w:r>
      <w:r>
        <w:t xml:space="preserve"> </w:t>
      </w:r>
      <w:r w:rsidRPr="006D6120">
        <w:t xml:space="preserve">40% rated it as moderately important, while 27% selected important and 19% selected very important. </w:t>
      </w:r>
      <w:r w:rsidRPr="002D6486">
        <w:t>This indicates a consistent expectation that progression should be visible despite variation in timing.</w:t>
      </w:r>
      <w:r>
        <w:t xml:space="preserve"> </w:t>
      </w:r>
      <w:r w:rsidRPr="006D6120">
        <w:t>This expectation is reinforced by qualitative responses, with one participant noting that “Gen Z employees want to understand how they can grow within the organisation rather than feeling stagnant” (P4).</w:t>
      </w:r>
    </w:p>
    <w:p w14:paraId="15103A45" w14:textId="77777777" w:rsidR="006A5985" w:rsidRPr="006D6120" w:rsidRDefault="006A5985" w:rsidP="00A1377F">
      <w:pPr>
        <w:spacing w:line="360" w:lineRule="auto"/>
        <w:jc w:val="both"/>
      </w:pPr>
      <w:r w:rsidRPr="006D6120">
        <w:t xml:space="preserve">Approximately half of respondents (49%) agreed or strongly agreed that there is a clear career path within their role, while 31.3% disagreed or strongly disagreed and the remainder were neutral. A similar pattern is evident in relation to time dedicated to development, where 50% agreed or strongly agreed that sufficient time is allocated to career development but 25.1% disagreed or strongly disagreed. </w:t>
      </w:r>
      <w:r w:rsidRPr="00480AF2">
        <w:t>While development opportunities exist, inconsistencies limit confidence in progression pathways and contribute to uncertainty.</w:t>
      </w:r>
    </w:p>
    <w:p w14:paraId="2A981401" w14:textId="77777777" w:rsidR="006A5985" w:rsidRPr="006D6120" w:rsidRDefault="006A5985" w:rsidP="00A1377F">
      <w:pPr>
        <w:spacing w:line="360" w:lineRule="auto"/>
        <w:jc w:val="both"/>
      </w:pPr>
      <w:r w:rsidRPr="006D6120">
        <w:t xml:space="preserve">Limited visibility of progression pathways emerges as a consistent concern across qualitative responses. Career progression, learning and development </w:t>
      </w:r>
      <w:r w:rsidRPr="00480AF2">
        <w:t>emerg</w:t>
      </w:r>
      <w:r>
        <w:t>ed</w:t>
      </w:r>
      <w:r w:rsidRPr="00480AF2">
        <w:t xml:space="preserve"> as the most prominent theme (33 references)</w:t>
      </w:r>
      <w:r>
        <w:t xml:space="preserve">. </w:t>
      </w:r>
      <w:r w:rsidRPr="00480AF2">
        <w:t>Participants frequently referred to limited transparency in progression pathways.</w:t>
      </w:r>
      <w:r>
        <w:t xml:space="preserve"> O</w:t>
      </w:r>
      <w:r w:rsidRPr="002B49BA">
        <w:t>ne respondent highlighted the need for “greater transparency around progression pathways” (P2)</w:t>
      </w:r>
      <w:r w:rsidRPr="006D6120">
        <w:t xml:space="preserve">, while another described team structures where there were “junior members but seemingly </w:t>
      </w:r>
      <w:proofErr w:type="gramStart"/>
      <w:r w:rsidRPr="006D6120">
        <w:t>no</w:t>
      </w:r>
      <w:proofErr w:type="gramEnd"/>
      <w:r w:rsidRPr="006D6120">
        <w:t xml:space="preserve"> in between” roles (P28). This is further reinforced by participants explicitly linking these concerns to attraction, with one stating that “</w:t>
      </w:r>
      <w:r w:rsidRPr="00BA222E">
        <w:t>To attract Gen Z employees I think it's important to advertise opportunities for progression whether that is career or the opportunity for training / other projects that they can get involved in.</w:t>
      </w:r>
      <w:r w:rsidRPr="006D6120">
        <w:t>” (P3). These accounts highlight the importance of visible structure and clarity in shaping whether progression is perceived as achievable.</w:t>
      </w:r>
    </w:p>
    <w:p w14:paraId="274420EA" w14:textId="77777777" w:rsidR="006A5985" w:rsidRPr="006D6120" w:rsidRDefault="006A5985" w:rsidP="00A1377F">
      <w:pPr>
        <w:spacing w:line="360" w:lineRule="auto"/>
        <w:jc w:val="both"/>
      </w:pPr>
      <w:r w:rsidRPr="006D6120">
        <w:t xml:space="preserve">Preferences for structured development are </w:t>
      </w:r>
      <w:proofErr w:type="gramStart"/>
      <w:r w:rsidRPr="006D6120">
        <w:t>clearly evident</w:t>
      </w:r>
      <w:proofErr w:type="gramEnd"/>
      <w:r w:rsidRPr="006D6120">
        <w:t xml:space="preserve"> in the types of opportunities respondents prioritise. The most frequently selected options were opportunities to gain a formal qualification (62.9%), mentoring or coaching from experienced colleagues (50.5%) and job rotation or shadowing opportunities (48.5%). In contrast, fewer respondents selected more individualised approaches such as self-directed online learning (19.6%), indicating a preference for structured and supported development. This is reflected in qualitative responses, where participants highlighted the value of mentorship and clearly defined development pathways (P4; P12), further reinforcing the importance of visibility and structure in shaping perceptions of development.</w:t>
      </w:r>
    </w:p>
    <w:p w14:paraId="7BAF6D79" w14:textId="77777777" w:rsidR="006A5985" w:rsidRPr="006D6120" w:rsidRDefault="006A5985" w:rsidP="00A1377F">
      <w:pPr>
        <w:pStyle w:val="NoSpacing"/>
        <w:spacing w:line="360" w:lineRule="auto"/>
        <w:jc w:val="both"/>
      </w:pPr>
      <w:r w:rsidRPr="006D6120">
        <w:lastRenderedPageBreak/>
        <w:t xml:space="preserve">Flexibility also emerged as a significant influencing factor. Work–life balance or flexible working was the most frequently selected influence on attraction and 71.8% of respondents agreed or strongly agreed that the flexibility provided by the Council meets their expectations. Qualitative responses further link flexibility to wellbeing, autonomy and trust, with participants highlighting how flexible working supports overall work–life balance. For example, </w:t>
      </w:r>
      <w:r w:rsidRPr="002B49BA">
        <w:t xml:space="preserve">one participant highlighted flexibility </w:t>
      </w:r>
      <w:r w:rsidRPr="001474A3">
        <w:t>in terms of</w:t>
      </w:r>
      <w:r w:rsidRPr="002B49BA">
        <w:t xml:space="preserve"> “</w:t>
      </w:r>
      <w:r w:rsidRPr="00BA222E">
        <w:t xml:space="preserve">Hybrid working, Flexible hours. We’re not children and </w:t>
      </w:r>
      <w:proofErr w:type="gramStart"/>
      <w:r w:rsidRPr="00BA222E">
        <w:t>as long as</w:t>
      </w:r>
      <w:proofErr w:type="gramEnd"/>
      <w:r w:rsidRPr="00BA222E">
        <w:t xml:space="preserve"> we get our work done that should be paramount</w:t>
      </w:r>
      <w:r w:rsidRPr="002B49BA">
        <w:t>” (P71)</w:t>
      </w:r>
      <w:r>
        <w:t xml:space="preserve">, </w:t>
      </w:r>
      <w:r w:rsidRPr="006D6120">
        <w:t xml:space="preserve">illustrating the importance of autonomy and personal responsibility. Similarly, another respondent highlighted that “Gen Z values… flexibility” and that this should be more clearly promoted to potential employees (P28), indicating the role of flexibility in shaping attraction. </w:t>
      </w:r>
    </w:p>
    <w:p w14:paraId="1407AB34" w14:textId="77777777" w:rsidR="006A5985" w:rsidRPr="006D6120" w:rsidRDefault="006A5985" w:rsidP="00A1377F">
      <w:pPr>
        <w:spacing w:line="360" w:lineRule="auto"/>
        <w:jc w:val="both"/>
      </w:pPr>
      <w:r w:rsidRPr="006D6120">
        <w:t xml:space="preserve">Perceptions of digital capability further shape how respondents evaluate the organisation as a modern employer. While 64.6% of respondents agreed or strongly agreed that they have access to appropriate technology and 62.5% agreed that digital tools support effective working, a higher proportion (73%) indicated a preference for employers that are modern and digitally advanced. In addition, 57.3% agreed that enhanced digital tools would influence engagement and retention. This </w:t>
      </w:r>
      <w:r>
        <w:t>indicates</w:t>
      </w:r>
      <w:r w:rsidRPr="006D6120">
        <w:t xml:space="preserve"> that digital capability is interpreted not only in functional terms but also as an indicator of whether the organisation is perceived as modern. This expectation is also reflected in qualitative responses, with one participant emphasising the importance of “Investment in digital tools and modern working practices as Gen Z value efficiency, flexibility and innovation.” (P2), highlighting how digital capability contributes to employer attractiveness for Gen Z.</w:t>
      </w:r>
    </w:p>
    <w:p w14:paraId="053FA144" w14:textId="77777777" w:rsidR="006A5985" w:rsidRPr="006D6120" w:rsidRDefault="006A5985" w:rsidP="00A1377F">
      <w:pPr>
        <w:spacing w:line="360" w:lineRule="auto"/>
        <w:jc w:val="both"/>
        <w:rPr>
          <w:b/>
          <w:bCs/>
        </w:rPr>
      </w:pPr>
      <w:r w:rsidRPr="006D6120">
        <w:rPr>
          <w:b/>
          <w:bCs/>
        </w:rPr>
        <w:t>Objective 2: To investigate the challenges and opportunities of engaging and retaining Gen Z in UK local government, focusing on the impact of talent management practices on organisational culture, career development and employee engagement</w:t>
      </w:r>
    </w:p>
    <w:p w14:paraId="751A6A18" w14:textId="77777777" w:rsidR="006A5985" w:rsidRPr="006D6120" w:rsidRDefault="006A5985" w:rsidP="00A1377F">
      <w:pPr>
        <w:spacing w:line="360" w:lineRule="auto"/>
        <w:jc w:val="both"/>
      </w:pPr>
      <w:r w:rsidRPr="006D6120">
        <w:t xml:space="preserve">Building on the findings relating to attraction, engagement and retention present a more complex picture </w:t>
      </w:r>
      <w:r>
        <w:t xml:space="preserve">emerges </w:t>
      </w:r>
      <w:r w:rsidRPr="006D6120">
        <w:t xml:space="preserve">for Gen Z employees at NCC. </w:t>
      </w:r>
      <w:r w:rsidRPr="00480AF2">
        <w:t>While attraction is shaped by meaningful work and practical factors, retention is influenced more strongly by longer-term and tangible conditions.</w:t>
      </w:r>
      <w:r>
        <w:t xml:space="preserve"> </w:t>
      </w:r>
      <w:r w:rsidRPr="006D6120">
        <w:t xml:space="preserve">When respondents were asked to identify the three talent management factors most significant to their retention, work–life balance (47.4%) remained the most important, followed by opportunities for career progression (42.3%) and competitive salary (42.3%). This was followed by job security (32%), supportive leadership and management (32%) and flexible working arrangements (30.9%). By contrast, factors such as purpose and meaningful work (23.7%), feeling valued and recognised (21.6%), access to training and </w:t>
      </w:r>
      <w:r w:rsidRPr="006D6120">
        <w:lastRenderedPageBreak/>
        <w:t xml:space="preserve">development (16.5%) and organisational culture and values (8.2%) were selected less frequently. This indicates a shift from attraction, where purpose remains relatively important, to retention, where financial and developmental conditions become more significant once employed. </w:t>
      </w:r>
    </w:p>
    <w:p w14:paraId="116503FF" w14:textId="77777777" w:rsidR="006A5985" w:rsidRPr="001474A3" w:rsidRDefault="006A5985" w:rsidP="00A1377F">
      <w:pPr>
        <w:spacing w:line="360" w:lineRule="auto"/>
        <w:jc w:val="both"/>
      </w:pPr>
      <w:r w:rsidRPr="006D6120">
        <w:t>This shift is also reflected in broader measures of engagement and organisational commitment. Overall, 60.4% of respondents agreed or strongly agreed that they see themselves working at NCC for the next five years, indicating a moderate but not universal level of organisational commitment. Perceptions of recognition were more positive, with 68.8% agreeing that they feel valued for their contributions</w:t>
      </w:r>
      <w:r>
        <w:t>,</w:t>
      </w:r>
      <w:r w:rsidRPr="006D6120">
        <w:t xml:space="preserve"> however, the presence of neutral and negative responses implies that this experience is not consistent across the organisation. In contrast, perceptions of development and progression were more mixed. While 60.4% of respondents felt they had access to learning and development opportunities, fewer expressed confidence in longer-term progression, with only 42.7% agreeing or strongly agreeing that there were clear career development opportunities and a substantial proportion remaining neutral or dissatisfied. This reflects that although development activity is present, it is not always experienced as a clear pathway for progression. By comparison, line management emerged as a more consistent strength, with 78.1% of respondents agreeing that their manager supports their development and future aspirations</w:t>
      </w:r>
      <w:r w:rsidRPr="001474A3">
        <w:t>. Overall, this indicates that while employees often feel supported in their immediate roles, there is less confidence in progression and development within the organisation.</w:t>
      </w:r>
    </w:p>
    <w:p w14:paraId="6B57090D" w14:textId="77777777" w:rsidR="006A5985" w:rsidRPr="006D6120" w:rsidRDefault="006A5985" w:rsidP="00A1377F">
      <w:pPr>
        <w:spacing w:line="360" w:lineRule="auto"/>
        <w:jc w:val="both"/>
      </w:pPr>
      <w:r w:rsidRPr="006D6120">
        <w:t>Qualitative findings provide further insight, with career progression and development emerging as central to both attraction and ongoing engagement. Participants frequently described situations where development existed in principle but did not appear clearly connected to realistic movement within the organisation. For example, one respondent stated that there was “No room for career growth, can't move into a higher role unless someone leaves” (P27), while another referred to “not being given the opportunity or option to be able to career progress” (P46). In some cases, this was linked to structural limitations, with participants highlighting gaps in organisational hierarchies and “lack of promotion within” (P32). These responses demonstrate that engagement is weakened when development does not lead to visible progression, highlighting that opportunities are not always experienced as leading to meaningful career outcomes.</w:t>
      </w:r>
    </w:p>
    <w:p w14:paraId="05033981" w14:textId="77777777" w:rsidR="006A5985" w:rsidRPr="00BA222E" w:rsidRDefault="006A5985" w:rsidP="00A1377F">
      <w:pPr>
        <w:spacing w:line="360" w:lineRule="auto"/>
        <w:jc w:val="both"/>
      </w:pPr>
      <w:r w:rsidRPr="006D6120">
        <w:lastRenderedPageBreak/>
        <w:t>Experiences of leadership and organisational culture were mixed, reflecting variation in how employees experience support and management across the organisation. The theme of leadership, management and organisational culture generated 17 coded references, with responses highlighting both positive and more critical perspectives. Immediate managerial support was clearly valued, which helps explain the strong quantitative result for manager encouragement. However, respondents also described frustrations with organisational pace, hierarchy and inconsistent management practices. One participant noted that “slow/delayed decision making can be frustrating, especially when it’s much higher level than yourself” (P30), suggesting that organisational structures can create distance between employees and those with decision</w:t>
      </w:r>
      <w:r>
        <w:t xml:space="preserve"> </w:t>
      </w:r>
      <w:r w:rsidRPr="006D6120">
        <w:t xml:space="preserve">making authority. Another referred to a “lack of recognition of workload from management / job creep” (P80), highlighting a perceived gap between effort and acknowledgement. P40 identified “supportive leadership and management teams, flexible working and recognition for work you do” as key to retaining and attracting younger staff. </w:t>
      </w:r>
      <w:r w:rsidRPr="00BA222E">
        <w:t xml:space="preserve">A smaller but notable set of responses also reflected a lack of peer connection, with participants highlighting limited opportunities to interact with colleagues of a similar age or build wider social networks across </w:t>
      </w:r>
      <w:r>
        <w:t>NCC.</w:t>
      </w:r>
    </w:p>
    <w:p w14:paraId="67C1AE0D" w14:textId="77777777" w:rsidR="006A5985" w:rsidRPr="006D6120" w:rsidRDefault="006A5985" w:rsidP="00A1377F">
      <w:pPr>
        <w:spacing w:line="360" w:lineRule="auto"/>
        <w:jc w:val="both"/>
      </w:pPr>
      <w:r w:rsidRPr="006D6120">
        <w:t>Age-related bias and lack of respect emerge as a notable challenge within the qualitative data, which generated 17 coded references. Although the survey results on inclusion and employee voice were broadly positive, the qualitative findings differ. Participants repeatedly described being underestimated, overlooked or not taken seriously because of their age. One respondent wrote that they were “often seen as young and naive” (P5), while another stated that they were “not being taken seriously as I’m younger than most of my colleagues” (P21). P13 referred to “judgement that often comes from older generations”, suggesting that younger employees are frequently interpreted through stereotypes rather than as individuals. These findings suggest that positive perceptions of inclusion do not always reflect the lived experiences of Gen Z employees.</w:t>
      </w:r>
    </w:p>
    <w:p w14:paraId="0C3F1EAA" w14:textId="77777777" w:rsidR="006A5985" w:rsidRPr="006D6120" w:rsidRDefault="006A5985" w:rsidP="00A1377F">
      <w:pPr>
        <w:spacing w:line="360" w:lineRule="auto"/>
        <w:jc w:val="both"/>
      </w:pPr>
      <w:r w:rsidRPr="006D6120">
        <w:t xml:space="preserve">Pay and job security also appear more significant in shaping retention than attraction. The prominence of competitive salary (42.3%) as a retention factor, compared with its lower influence on attraction, is one of the clearest shifts across the survey. The theme </w:t>
      </w:r>
      <w:proofErr w:type="gramStart"/>
      <w:r w:rsidRPr="006D6120">
        <w:t>pay</w:t>
      </w:r>
      <w:proofErr w:type="gramEnd"/>
      <w:r w:rsidRPr="006D6120">
        <w:t xml:space="preserve">, job security and rewards also generated 16 coded references, with participants referring to fixed-term contracts, workload pressures and effort–reward imbalance. One respondent observed that while younger workers may be attracted by public service values, “rising living costs mean </w:t>
      </w:r>
      <w:r w:rsidRPr="00BA222E">
        <w:t>competitive pay, fair reward and visible recognition of effort are increasingly important</w:t>
      </w:r>
      <w:r w:rsidRPr="006D6120">
        <w:t xml:space="preserve">” (P15). </w:t>
      </w:r>
      <w:r w:rsidRPr="006D6120">
        <w:lastRenderedPageBreak/>
        <w:t>Others referred to contracts being “subject to funding” (P11) or to situations where “scope of work increases but pay does not” (P68). These responses indicate that while values may support attraction, financial and contractual conditions become increasingly important in shaping longer-term retention decisions.</w:t>
      </w:r>
    </w:p>
    <w:p w14:paraId="6C880F7C" w14:textId="77777777" w:rsidR="006A5985" w:rsidRPr="006D6120" w:rsidRDefault="006A5985" w:rsidP="00A1377F">
      <w:pPr>
        <w:spacing w:line="360" w:lineRule="auto"/>
        <w:jc w:val="both"/>
      </w:pPr>
      <w:r w:rsidRPr="006D6120">
        <w:t xml:space="preserve">Flexibility continued to play a central role in shaping retention, with participants emphasising its importance not only as a working arrangement but as a key condition for remaining within the organisation. Qualitative responses consistently highlighted the value of flexible working, with participants calling for a “better approach to flexible working, more flexibility with carrying leave over.” (P70). In some cases, participants linked flexibility more broadly to Gen Z expectations, noting that </w:t>
      </w:r>
      <w:r>
        <w:t>“</w:t>
      </w:r>
      <w:r w:rsidRPr="00BA222E">
        <w:t>I think Gen Z values fair pay, plenty of opportunities for growth but also flexibility…</w:t>
      </w:r>
      <w:r w:rsidRPr="006D6120">
        <w:t>” (P28). This highlights that flexibility is not only expected but is central to how employees evaluate whether to remain within the organisation.</w:t>
      </w:r>
    </w:p>
    <w:p w14:paraId="3AC6FCF0" w14:textId="77777777" w:rsidR="006A5985" w:rsidRPr="006D6120" w:rsidRDefault="006A5985" w:rsidP="00A1377F">
      <w:pPr>
        <w:spacing w:line="360" w:lineRule="auto"/>
        <w:jc w:val="both"/>
        <w:rPr>
          <w:b/>
          <w:bCs/>
        </w:rPr>
      </w:pPr>
      <w:r w:rsidRPr="006D6120">
        <w:rPr>
          <w:b/>
          <w:bCs/>
        </w:rPr>
        <w:t>Objective 3: To critically evaluate the effectiveness and alignment of current talent management strategies and initiatives in attracting and retaining Gen Z employees within local government</w:t>
      </w:r>
    </w:p>
    <w:p w14:paraId="7EE24472" w14:textId="77777777" w:rsidR="006A5985" w:rsidRPr="006D6120" w:rsidRDefault="006A5985" w:rsidP="00A1377F">
      <w:pPr>
        <w:spacing w:line="360" w:lineRule="auto"/>
        <w:jc w:val="both"/>
      </w:pPr>
      <w:r w:rsidRPr="006D6120">
        <w:t>NCC’s current talent management approach is perceived as only partially effective by Gen Z employees, largely because key elements of the strategy are not consistently visible, understood or experienced as relevant. This is particularly evident in relation to the low level of familiarity with the Council’s Talent Management Framework. A total of 57.3% of respondents disagreed or strongly disagreed that they were familiar with it, 22.9% selected neutral and only 19.8% agreed or strongly agreed. When asked whether the framework meets their needs, 46.9% selected a neutral response and among these respondents, 91.1% also reported limited familiarity or uncertainty. This implies that many employees are unable to evaluate the framework meaningfully due to limited awareness, indicating that the issue lies less in its existence and more in its visibility and accessibility.</w:t>
      </w:r>
    </w:p>
    <w:p w14:paraId="4968D1A2" w14:textId="77777777" w:rsidR="006A5985" w:rsidRPr="00C45DB8" w:rsidRDefault="006A5985" w:rsidP="00A1377F">
      <w:pPr>
        <w:spacing w:line="360" w:lineRule="auto"/>
        <w:jc w:val="both"/>
      </w:pPr>
      <w:r w:rsidRPr="00C45DB8">
        <w:t>This lack of visibility is also reflected in wider evaluations of talent management. NCC’s overall approach received an average score of 5.99 and an NPS of −53, compared with a higher employer recommendation score of 6.77 and NPS of −22. This suggests that respondents recognise some strengths in NCC as an employer</w:t>
      </w:r>
      <w:r>
        <w:t xml:space="preserve"> </w:t>
      </w:r>
      <w:r w:rsidRPr="00C45DB8">
        <w:t>but have less confidence in how effectively talent management supports development and progression.</w:t>
      </w:r>
    </w:p>
    <w:p w14:paraId="553F1662" w14:textId="77777777" w:rsidR="006A5985" w:rsidRPr="006D6120" w:rsidRDefault="006A5985" w:rsidP="00A1377F">
      <w:pPr>
        <w:spacing w:line="360" w:lineRule="auto"/>
        <w:jc w:val="both"/>
      </w:pPr>
      <w:r w:rsidRPr="006D6120">
        <w:t xml:space="preserve">Perceptions of local government as an employer provide further insight into these findings. Respondents most frequently described it as stable (30.9%) and inclusive (29.9%) however, a </w:t>
      </w:r>
      <w:r w:rsidRPr="006D6120">
        <w:lastRenderedPageBreak/>
        <w:t>substantial proportion also selected slow-moving (25.8%), hierarchical (21.6%), outdated (15.5%), traditional (15.5%) and bureaucratic (14.4%). By contrast, only 6.2% described it as innovative and 5.2% as modern. These perceptions are also reflected in qualitative responses, with one participant highlighting “misconceptions around council employees lacking ambition and innovation” (P28)</w:t>
      </w:r>
      <w:r>
        <w:t>.</w:t>
      </w:r>
      <w:r w:rsidRPr="006D6120">
        <w:t xml:space="preserve"> These findings highlight that while local government is associated with stability and inclusion, it is less strongly associated with being modern or progressive.</w:t>
      </w:r>
    </w:p>
    <w:p w14:paraId="704A81F8" w14:textId="77777777" w:rsidR="006A5985" w:rsidRPr="006D6120" w:rsidRDefault="006A5985" w:rsidP="00A1377F">
      <w:pPr>
        <w:spacing w:line="360" w:lineRule="auto"/>
        <w:jc w:val="both"/>
      </w:pPr>
      <w:r w:rsidRPr="006D6120">
        <w:t xml:space="preserve">Digital capability further shapes how the organisation is perceived in terms of modernity and innovation. 73% agreed or strongly agreed that they would prefer to work for employers who are modern and digitally advanced, while 57.3% agreed or strongly agreed that enhancing digital tools would improve engagement and influence retention. The qualitative findings reinforce this interpretation. The theme digital systems, skills and modernisation generated 15 coded references and participants repeatedly referred to older systems and outdated processes as signs that the organisation had not kept pace with contemporary working expectations. One respondent referred to “outdated digital systems i.e. IDOX, </w:t>
      </w:r>
      <w:proofErr w:type="spellStart"/>
      <w:r w:rsidRPr="006D6120">
        <w:t>PeopleSafe</w:t>
      </w:r>
      <w:proofErr w:type="spellEnd"/>
      <w:r w:rsidRPr="006D6120">
        <w:t xml:space="preserve"> app” (P23), while another described NCC as being “stuck in the ‘past’” (P52). P79 reduced the same issue to a single</w:t>
      </w:r>
      <w:r>
        <w:t xml:space="preserve"> </w:t>
      </w:r>
      <w:r w:rsidRPr="006D6120">
        <w:t>word recommendation: “Modernise.” These comments indicate that digital capability is interpreted not only as a functional issue but as a reflection of how modern and responsive NCC is perceived to be.</w:t>
      </w:r>
    </w:p>
    <w:p w14:paraId="7568F529" w14:textId="0F27B71C" w:rsidR="006A5985" w:rsidRPr="001474A3" w:rsidRDefault="006A5985" w:rsidP="00A1377F">
      <w:pPr>
        <w:spacing w:line="360" w:lineRule="auto"/>
        <w:jc w:val="both"/>
      </w:pPr>
      <w:r w:rsidRPr="006D6120">
        <w:t xml:space="preserve">A lack of awareness and visibility of talent management initiatives is also evident in qualitative responses. P50 explained they were unaware these talent management practices existed before this survey and suggested that it would be helpful to meet with someone who could provide advice on progression at NCC. P79 similarly commented, “This is the first I’ve heard of talent management practices.” P54 questioned the visibility of longer-term impact by noting that “it would be good to know from the last wave of apprenticeships how many retained a career within NCC.” </w:t>
      </w:r>
      <w:r w:rsidRPr="001474A3">
        <w:t>These comments indicate that the issue is not only whether opportunities such as apprenticeships, shadowing or development routes exis</w:t>
      </w:r>
      <w:r w:rsidR="006C72F7">
        <w:t>t</w:t>
      </w:r>
      <w:r w:rsidRPr="001474A3">
        <w:t xml:space="preserve"> but whether employees can see how those initiatives contribute to actual progression, retention and future opportunity.</w:t>
      </w:r>
    </w:p>
    <w:p w14:paraId="56921FA7" w14:textId="77777777" w:rsidR="006A5985" w:rsidRPr="006D6120" w:rsidRDefault="006A5985" w:rsidP="00A1377F">
      <w:pPr>
        <w:spacing w:line="360" w:lineRule="auto"/>
        <w:jc w:val="both"/>
      </w:pPr>
      <w:r w:rsidRPr="006D6120">
        <w:t xml:space="preserve">This is reinforced by wider development findings. Respondents clearly valued structured learning, mentoring, coaching and qualifications, with opportunities to gain formal qualifications (62.9%), mentoring or coaching (50.5%) and job rotation or shadowing (48.5%) among the most frequently selected options. However, fewer than half agreed that there </w:t>
      </w:r>
      <w:proofErr w:type="gramStart"/>
      <w:r w:rsidRPr="006D6120">
        <w:t>w</w:t>
      </w:r>
      <w:r>
        <w:t>as</w:t>
      </w:r>
      <w:proofErr w:type="gramEnd"/>
      <w:r w:rsidRPr="006D6120">
        <w:t xml:space="preserve"> a clear career path (49%) or clear opportunities for career development within the Council </w:t>
      </w:r>
      <w:r w:rsidRPr="006D6120">
        <w:lastRenderedPageBreak/>
        <w:t>(42.7%). This mismatch suggests that while elements of the talent management offer are present, they are not experienced as part of a coherent progression pathway.</w:t>
      </w:r>
    </w:p>
    <w:p w14:paraId="3ED529F4" w14:textId="77777777" w:rsidR="006A5985" w:rsidRPr="001474A3" w:rsidRDefault="006A5985" w:rsidP="00A1377F">
      <w:pPr>
        <w:spacing w:line="360" w:lineRule="auto"/>
        <w:jc w:val="both"/>
        <w:rPr>
          <w:b/>
          <w:bCs/>
        </w:rPr>
      </w:pPr>
      <w:r w:rsidRPr="006D6120">
        <w:rPr>
          <w:b/>
          <w:bCs/>
        </w:rPr>
        <w:t xml:space="preserve">4.5 </w:t>
      </w:r>
      <w:r w:rsidRPr="001474A3">
        <w:rPr>
          <w:b/>
          <w:bCs/>
        </w:rPr>
        <w:t>Synthesis of Findings with the Literature Review</w:t>
      </w:r>
    </w:p>
    <w:p w14:paraId="12B738C8" w14:textId="77777777" w:rsidR="006A5985" w:rsidRPr="006D6120" w:rsidRDefault="006A5985" w:rsidP="00A1377F">
      <w:pPr>
        <w:spacing w:line="360" w:lineRule="auto"/>
        <w:jc w:val="both"/>
        <w:rPr>
          <w:b/>
          <w:bCs/>
        </w:rPr>
      </w:pPr>
      <w:r w:rsidRPr="006D6120">
        <w:rPr>
          <w:b/>
          <w:bCs/>
        </w:rPr>
        <w:t>Career Progression, Learning and Development</w:t>
      </w:r>
    </w:p>
    <w:p w14:paraId="1A09FA8B" w14:textId="77777777" w:rsidR="006A5985" w:rsidRPr="006D6120" w:rsidRDefault="006A5985" w:rsidP="00A1377F">
      <w:pPr>
        <w:spacing w:line="360" w:lineRule="auto"/>
        <w:jc w:val="both"/>
      </w:pPr>
      <w:r w:rsidRPr="00C45DB8">
        <w:t>Career progression, learning and development emerged as central factors shaping the Gen Z employee experience, aligning with literature that identifies growth and progression as key expectations among this cohort (</w:t>
      </w:r>
      <w:proofErr w:type="spellStart"/>
      <w:r w:rsidRPr="00C45DB8">
        <w:t>Iorgulescu</w:t>
      </w:r>
      <w:proofErr w:type="spellEnd"/>
      <w:r w:rsidRPr="00C45DB8">
        <w:t>, 2016; Silicon UK, 2024). Public sector research similarly highlights development and progression as important for attracting and retaining younger employees (Mazars, 2023; Deegan et al., 2024).</w:t>
      </w:r>
      <w:r>
        <w:t xml:space="preserve"> </w:t>
      </w:r>
      <w:r w:rsidRPr="006D6120">
        <w:t>Deegan et al. (2024) are particularly relevant, finding that early-career employees in local government often expressed frustration at “hitting the ceiling” when promotion opportunities did not align with their career ambitions. This supports the findings presented here, where unclear progression routes appeared to create a disconnect between the development opportunities available and employees’ expectations of career progression.</w:t>
      </w:r>
    </w:p>
    <w:p w14:paraId="0BDD6E95" w14:textId="77777777" w:rsidR="006A5985" w:rsidRPr="006D6120" w:rsidRDefault="006A5985" w:rsidP="00A1377F">
      <w:pPr>
        <w:spacing w:line="360" w:lineRule="auto"/>
        <w:jc w:val="both"/>
      </w:pPr>
      <w:r w:rsidRPr="006D6120">
        <w:t>The findings also provide further insight into self-directed learning. Although Gen Z is often described as proactive, digitally confident and self-directed (Pandita, 2022), survey responses suggested a lower preference for self-directed or online learning and revealed a stronger preference for structured learning, such as gaining formal qualifications or through mentoring and coaching. The findings therefore challenge both Pandita’s (2022) description of Gen Z as self-directed learners and Agarwal and Vaghela’s (2018) argument that Gen Z prefers fast, on-demand and flexible learning. Instead, in this context, learning appears to be valued most when it is organised, recognised and clearly linked to progression.</w:t>
      </w:r>
      <w:r w:rsidRPr="006D6120">
        <w:rPr>
          <w:rFonts w:ascii="Segoe UI" w:eastAsia="Times New Roman" w:hAnsi="Segoe UI" w:cs="Segoe UI"/>
          <w:sz w:val="21"/>
          <w:szCs w:val="21"/>
          <w:lang w:eastAsia="en-GB"/>
        </w:rPr>
        <w:t xml:space="preserve"> </w:t>
      </w:r>
      <w:r w:rsidRPr="006D6120">
        <w:t xml:space="preserve">Limited awareness of NCC’s Talent Management Framework may also contribute to this by reducing the visibility of structured development pathways. </w:t>
      </w:r>
      <w:r>
        <w:t>T</w:t>
      </w:r>
      <w:r w:rsidRPr="006D6120">
        <w:t>his reflects wider public sector literature showing that talent management can be difficult to operationalise where organisations face traditional employment models, limited progression routes, resource constraints and challenges in workforce planning (</w:t>
      </w:r>
      <w:proofErr w:type="spellStart"/>
      <w:r w:rsidRPr="006D6120">
        <w:t>Boselie</w:t>
      </w:r>
      <w:proofErr w:type="spellEnd"/>
      <w:r w:rsidRPr="006D6120">
        <w:t xml:space="preserve"> and </w:t>
      </w:r>
      <w:proofErr w:type="spellStart"/>
      <w:r w:rsidRPr="006D6120">
        <w:t>Thunnissen</w:t>
      </w:r>
      <w:proofErr w:type="spellEnd"/>
      <w:r w:rsidRPr="006D6120">
        <w:t xml:space="preserve">, 2017; </w:t>
      </w:r>
      <w:proofErr w:type="spellStart"/>
      <w:r w:rsidRPr="006D6120">
        <w:t>Kravariti</w:t>
      </w:r>
      <w:proofErr w:type="spellEnd"/>
      <w:r w:rsidRPr="006D6120">
        <w:t xml:space="preserve"> and Johnston, 2020; Mazars, 2023; Public Services Staff Commission, 2017). Overall, the findings demonstrate that development opportunities are most meaningful when employees can clearly see how learning contributes to future career progression, reinforcing the importance of visible and structured career pathways.</w:t>
      </w:r>
    </w:p>
    <w:p w14:paraId="48E7F390" w14:textId="77777777" w:rsidR="006A5985" w:rsidRPr="006D6120" w:rsidRDefault="006A5985" w:rsidP="00A1377F">
      <w:pPr>
        <w:spacing w:line="360" w:lineRule="auto"/>
        <w:jc w:val="both"/>
        <w:rPr>
          <w:b/>
          <w:bCs/>
        </w:rPr>
      </w:pPr>
      <w:r w:rsidRPr="006D6120">
        <w:rPr>
          <w:b/>
          <w:bCs/>
        </w:rPr>
        <w:t>Age-Related Bias and Lack of Respect</w:t>
      </w:r>
    </w:p>
    <w:p w14:paraId="0577C650" w14:textId="77777777" w:rsidR="006A5985" w:rsidRPr="006D6120" w:rsidRDefault="006A5985" w:rsidP="00A1377F">
      <w:pPr>
        <w:spacing w:line="360" w:lineRule="auto"/>
        <w:jc w:val="both"/>
      </w:pPr>
      <w:r w:rsidRPr="006D6120">
        <w:lastRenderedPageBreak/>
        <w:t>Experiences of age-related bias and respect provide further insight into how Gen Z employees perceive their role within the organisation.</w:t>
      </w:r>
      <w:r>
        <w:t xml:space="preserve"> </w:t>
      </w:r>
      <w:r w:rsidRPr="006D6120">
        <w:t>While respondents rated NCC positively in broad terms of inclusion, the qualitative findings revealed more specific concerns around being underestimated or not taken seriously because of age. This supports literature suggesting that Gen Z places strong importance on equality, fair treatment and inclusive workplace cultures (Schroth, 2019; Zahra et al., 2025) but extends it by showing that inclusion is also experienced through everyday interactions involving age, respect and credibility. It also aligns with literature suggesting that Gen Z may prefer less hierarchical environments where contribution is not limited by job title or seniority (Pandita, 2022; Schroth, 2019). Organisational culture therefore plays a key role in shaping whether employees feel recognised, respected and trusted in practice.</w:t>
      </w:r>
    </w:p>
    <w:p w14:paraId="5EFFAD39" w14:textId="77777777" w:rsidR="006A5985" w:rsidRPr="006D6120" w:rsidRDefault="006A5985" w:rsidP="00A1377F">
      <w:pPr>
        <w:spacing w:line="360" w:lineRule="auto"/>
        <w:jc w:val="both"/>
        <w:rPr>
          <w:b/>
          <w:bCs/>
        </w:rPr>
      </w:pPr>
      <w:r w:rsidRPr="006D6120">
        <w:rPr>
          <w:b/>
          <w:bCs/>
        </w:rPr>
        <w:t>Leadership, Management and Organisational Culture</w:t>
      </w:r>
    </w:p>
    <w:p w14:paraId="11A54C76" w14:textId="77777777" w:rsidR="006A5985" w:rsidRPr="006D6120" w:rsidRDefault="006A5985" w:rsidP="00A1377F">
      <w:pPr>
        <w:spacing w:line="360" w:lineRule="auto"/>
        <w:jc w:val="both"/>
      </w:pPr>
      <w:r w:rsidRPr="006D6120">
        <w:t xml:space="preserve">Leadership, management and organisational culture were identified as important influences on the Gen Z employee experience at NCC. The importance of supportive management is consistent with Clarke (2017) and Clarke and Scurry (2020), who highlight the role of line managers in shaping development and engagement within the public sector. However, the findings add to this literature by showing that positive line manager relationships do not necessarily overcome wider organisational challenges, particularly around communication, decision-making and consistency. These challenges reflect public sector literature which </w:t>
      </w:r>
      <w:r>
        <w:t>highlights how</w:t>
      </w:r>
      <w:r w:rsidRPr="006D6120">
        <w:t xml:space="preserve"> talent management can be constrained by bureaucratic structures, traditional employment models and resource limitations (</w:t>
      </w:r>
      <w:proofErr w:type="spellStart"/>
      <w:r w:rsidRPr="006D6120">
        <w:t>Boselie</w:t>
      </w:r>
      <w:proofErr w:type="spellEnd"/>
      <w:r w:rsidRPr="006D6120">
        <w:t xml:space="preserve"> and </w:t>
      </w:r>
      <w:proofErr w:type="spellStart"/>
      <w:r w:rsidRPr="006D6120">
        <w:t>Thunnissen</w:t>
      </w:r>
      <w:proofErr w:type="spellEnd"/>
      <w:r w:rsidRPr="006D6120">
        <w:t xml:space="preserve">, 2017; </w:t>
      </w:r>
      <w:proofErr w:type="spellStart"/>
      <w:r w:rsidRPr="006D6120">
        <w:t>Kravariti</w:t>
      </w:r>
      <w:proofErr w:type="spellEnd"/>
      <w:r w:rsidRPr="006D6120">
        <w:t xml:space="preserve"> and Johnston, 2020). This implies that while line managers can strengthen employee experience, wider organisational systems shape whether talent management is experienced as visible and credible.</w:t>
      </w:r>
    </w:p>
    <w:p w14:paraId="0D72FBCC" w14:textId="77777777" w:rsidR="006A5985" w:rsidRPr="006D6120" w:rsidRDefault="006A5985" w:rsidP="00A1377F">
      <w:pPr>
        <w:spacing w:line="360" w:lineRule="auto"/>
        <w:jc w:val="both"/>
        <w:rPr>
          <w:b/>
          <w:bCs/>
        </w:rPr>
      </w:pPr>
      <w:r w:rsidRPr="006D6120">
        <w:rPr>
          <w:b/>
          <w:bCs/>
        </w:rPr>
        <w:t>Flexible Working and Work–Life Balance</w:t>
      </w:r>
    </w:p>
    <w:p w14:paraId="0F328C0A" w14:textId="77777777" w:rsidR="006A5985" w:rsidRPr="006D6120" w:rsidRDefault="006A5985" w:rsidP="00A1377F">
      <w:pPr>
        <w:spacing w:line="360" w:lineRule="auto"/>
        <w:jc w:val="both"/>
      </w:pPr>
      <w:r w:rsidRPr="006D6120">
        <w:t xml:space="preserve">Flexible working and work–life balance were consistently identified as important factors across both attraction and retention. This supports one of the most clearly established themes in the literature, where flexibility is widely recognised as a key expectation among Gen Z employees (Kästner and </w:t>
      </w:r>
      <w:proofErr w:type="spellStart"/>
      <w:r w:rsidRPr="006D6120">
        <w:t>Mattutat</w:t>
      </w:r>
      <w:proofErr w:type="spellEnd"/>
      <w:r w:rsidRPr="006D6120">
        <w:t xml:space="preserve">, 2024; Zahra et al., 2025; Shinde and Surve, 2025). Although this study did not directly examine COVID-19, the findings are also consistent with literature suggesting that life experiences, including the pandemic, have shaped Gen Z expectations around flexibility, autonomy and wellbeing (Strauss and Howe, 1991; Harari et al., 2023; Jayathilake </w:t>
      </w:r>
      <w:r w:rsidRPr="006D6120">
        <w:lastRenderedPageBreak/>
        <w:t>et al., 2021). Within NCC, respondents’ emphasis on flexible working further reinforces Deegan et al.’s (2024) finding that hybrid and remote working are important to younger employees in local government contexts.</w:t>
      </w:r>
    </w:p>
    <w:p w14:paraId="213327B0" w14:textId="77777777" w:rsidR="006A5985" w:rsidRPr="006D6120" w:rsidRDefault="006A5985" w:rsidP="00A1377F">
      <w:pPr>
        <w:spacing w:line="360" w:lineRule="auto"/>
        <w:jc w:val="both"/>
        <w:rPr>
          <w:b/>
          <w:bCs/>
        </w:rPr>
      </w:pPr>
      <w:r w:rsidRPr="006D6120">
        <w:rPr>
          <w:b/>
          <w:bCs/>
        </w:rPr>
        <w:t>Pay, Job Security and Rewards</w:t>
      </w:r>
    </w:p>
    <w:p w14:paraId="42864C6D" w14:textId="77777777" w:rsidR="006A5985" w:rsidRPr="006D6120" w:rsidRDefault="006A5985" w:rsidP="00A1377F">
      <w:pPr>
        <w:spacing w:line="360" w:lineRule="auto"/>
        <w:jc w:val="both"/>
      </w:pPr>
      <w:r w:rsidRPr="006D6120">
        <w:t>Pay, job security and rewards were identified as important factors in the findings, although their influence varied across attraction and retention. Notably, NCC respondents continued to value traditional public sector employment features, particularly stability, security and longer-term career prospects, which have historically shaped public sector workforce models (</w:t>
      </w:r>
      <w:proofErr w:type="spellStart"/>
      <w:r w:rsidRPr="006D6120">
        <w:t>Boselie</w:t>
      </w:r>
      <w:proofErr w:type="spellEnd"/>
      <w:r w:rsidRPr="006D6120">
        <w:t xml:space="preserve"> and </w:t>
      </w:r>
      <w:proofErr w:type="spellStart"/>
      <w:r w:rsidRPr="006D6120">
        <w:t>Thunnissen</w:t>
      </w:r>
      <w:proofErr w:type="spellEnd"/>
      <w:r w:rsidRPr="006D6120">
        <w:t xml:space="preserve">, 2017; </w:t>
      </w:r>
      <w:proofErr w:type="spellStart"/>
      <w:r w:rsidRPr="006D6120">
        <w:t>Kravariti</w:t>
      </w:r>
      <w:proofErr w:type="spellEnd"/>
      <w:r w:rsidRPr="006D6120">
        <w:t xml:space="preserve"> and Johnston, 2020). Salary was especially prominent in relation to retention, with job security also ranking above factors such as meaningful work and development, suggesting that extrinsic rewards were prioritised more strongly when respondents considered retention.</w:t>
      </w:r>
    </w:p>
    <w:p w14:paraId="352EC1FF" w14:textId="77777777" w:rsidR="006A5985" w:rsidRPr="006D6120" w:rsidRDefault="006A5985" w:rsidP="00A1377F">
      <w:pPr>
        <w:spacing w:line="360" w:lineRule="auto"/>
        <w:jc w:val="both"/>
      </w:pPr>
      <w:r w:rsidRPr="006D6120">
        <w:t xml:space="preserve">However, the findings partially support but also challenge Madan and Nandan’s (2024) study, which identifies intrinsic factors such as meaning and purpose as more important than salary. In NCC, meaningful work and development remained important but competitive salary and job security ranked more highly in relation to retention. This reinforces that while public service purpose is valued, it is not sufficient to sustain retention, as intrinsic motivators appear to be most effective when supported by more tangible outcomes such as pay, security and progression (Acheampong, 2021). Together, these findings </w:t>
      </w:r>
      <w:r>
        <w:t xml:space="preserve">reinforce </w:t>
      </w:r>
      <w:r w:rsidRPr="006D6120">
        <w:t>that Gen Z employees continue to value traditional public sector offerings alongside development, flexibility and meaningful work.</w:t>
      </w:r>
    </w:p>
    <w:p w14:paraId="5DD529A7" w14:textId="77777777" w:rsidR="006A5985" w:rsidRPr="006D6120" w:rsidRDefault="006A5985" w:rsidP="00A1377F">
      <w:pPr>
        <w:spacing w:line="360" w:lineRule="auto"/>
        <w:jc w:val="both"/>
        <w:rPr>
          <w:b/>
          <w:bCs/>
        </w:rPr>
      </w:pPr>
      <w:r w:rsidRPr="006D6120">
        <w:rPr>
          <w:b/>
          <w:bCs/>
        </w:rPr>
        <w:t>Digital Systems, Skills and Modernisation</w:t>
      </w:r>
    </w:p>
    <w:p w14:paraId="55ABD996" w14:textId="77777777" w:rsidR="006A5985" w:rsidRPr="006D6120" w:rsidRDefault="006A5985" w:rsidP="00A1377F">
      <w:pPr>
        <w:spacing w:line="360" w:lineRule="auto"/>
        <w:jc w:val="both"/>
      </w:pPr>
      <w:r w:rsidRPr="006D6120">
        <w:t xml:space="preserve">Digital systems, skills and modernisation influenced how respondents perceived NCC as an employer. This supports literature </w:t>
      </w:r>
      <w:r>
        <w:t xml:space="preserve">indicating </w:t>
      </w:r>
      <w:r w:rsidRPr="006D6120">
        <w:t xml:space="preserve">that Gen Z expects technology to be embedded throughout the employee experience, including recruitment, onboarding, development and daily work (Vieira et al., 2024). At the same time, the findings reflect wider public sector challenges, where digital transformation is often constrained by legacy systems, financial pressures and skills gaps (Civica, 2025). The findings therefore suggest that digital capability is not only an operational issue but also part of how younger employees judge organisational modernity and adaptability. </w:t>
      </w:r>
    </w:p>
    <w:p w14:paraId="3CC73B3D" w14:textId="77777777" w:rsidR="006A5985" w:rsidRPr="006D6120" w:rsidRDefault="006A5985" w:rsidP="00A1377F">
      <w:pPr>
        <w:spacing w:line="360" w:lineRule="auto"/>
        <w:jc w:val="both"/>
        <w:rPr>
          <w:b/>
          <w:bCs/>
        </w:rPr>
      </w:pPr>
      <w:r w:rsidRPr="006D6120">
        <w:rPr>
          <w:b/>
          <w:bCs/>
        </w:rPr>
        <w:t>4.6 Chapter Summary</w:t>
      </w:r>
    </w:p>
    <w:p w14:paraId="423874A4" w14:textId="77777777" w:rsidR="006A5985" w:rsidRPr="008554E1" w:rsidRDefault="006A5985" w:rsidP="00A1377F">
      <w:pPr>
        <w:spacing w:line="360" w:lineRule="auto"/>
        <w:jc w:val="both"/>
      </w:pPr>
      <w:r w:rsidRPr="00480AF2">
        <w:lastRenderedPageBreak/>
        <w:t>This chapter presented and analysed findings on how Gen Z employees experience talent management at NCC, structured around three research objectives.</w:t>
      </w:r>
      <w:r>
        <w:t xml:space="preserve"> </w:t>
      </w:r>
      <w:r w:rsidRPr="006D6120">
        <w:t>It also synthesised these findings with the literature to explore areas of alignment and contrast. Overall, the findings highlight a gap between formal talent management provision and how it is experienced in practice. The next chapter draws together these insights to present conclusions and recommendations.</w:t>
      </w:r>
    </w:p>
    <w:p w14:paraId="0ADF9D7C" w14:textId="77777777" w:rsidR="006A5985" w:rsidRDefault="006A5985" w:rsidP="00A1377F">
      <w:pPr>
        <w:jc w:val="both"/>
      </w:pPr>
    </w:p>
    <w:p w14:paraId="36297237" w14:textId="77777777" w:rsidR="00A74165" w:rsidRDefault="00A74165" w:rsidP="00A1377F">
      <w:pPr>
        <w:spacing w:after="240" w:line="360" w:lineRule="auto"/>
        <w:ind w:left="360"/>
        <w:jc w:val="both"/>
        <w:rPr>
          <w:rFonts w:eastAsia="Times New Roman"/>
          <w:szCs w:val="24"/>
          <w:lang w:eastAsia="en-GB"/>
        </w:rPr>
      </w:pPr>
    </w:p>
    <w:p w14:paraId="41E87BF8" w14:textId="77777777" w:rsidR="00A74165" w:rsidRDefault="00A74165" w:rsidP="00A1377F">
      <w:pPr>
        <w:spacing w:after="240" w:line="360" w:lineRule="auto"/>
        <w:ind w:left="360"/>
        <w:jc w:val="both"/>
        <w:rPr>
          <w:rFonts w:eastAsia="Times New Roman"/>
          <w:szCs w:val="24"/>
          <w:lang w:eastAsia="en-GB"/>
        </w:rPr>
      </w:pPr>
    </w:p>
    <w:p w14:paraId="0F5655D0" w14:textId="77777777" w:rsidR="00A74165" w:rsidRDefault="00A74165" w:rsidP="00A1377F">
      <w:pPr>
        <w:spacing w:after="240" w:line="360" w:lineRule="auto"/>
        <w:ind w:left="360"/>
        <w:jc w:val="both"/>
        <w:rPr>
          <w:rFonts w:eastAsia="Times New Roman"/>
          <w:szCs w:val="24"/>
          <w:lang w:eastAsia="en-GB"/>
        </w:rPr>
      </w:pPr>
    </w:p>
    <w:p w14:paraId="2E09E3AC" w14:textId="77777777" w:rsidR="00A74165" w:rsidRDefault="00A74165" w:rsidP="00A1377F">
      <w:pPr>
        <w:jc w:val="both"/>
        <w:rPr>
          <w:lang w:eastAsia="en-GB"/>
        </w:rPr>
      </w:pPr>
    </w:p>
    <w:p w14:paraId="1742091F" w14:textId="77777777" w:rsidR="00016AF2" w:rsidRDefault="00016AF2" w:rsidP="00A1377F">
      <w:pPr>
        <w:jc w:val="both"/>
      </w:pPr>
      <w:bookmarkStart w:id="91" w:name="_Toc207618256"/>
    </w:p>
    <w:p w14:paraId="3F997B19" w14:textId="77777777" w:rsidR="00016AF2" w:rsidRDefault="00016AF2" w:rsidP="00A1377F">
      <w:pPr>
        <w:pStyle w:val="Uni-Normal"/>
        <w:jc w:val="both"/>
      </w:pPr>
    </w:p>
    <w:p w14:paraId="2490C304" w14:textId="77777777" w:rsidR="00016AF2" w:rsidRDefault="00016AF2" w:rsidP="00A1377F">
      <w:pPr>
        <w:jc w:val="both"/>
      </w:pPr>
    </w:p>
    <w:p w14:paraId="1B24B5D9" w14:textId="77777777" w:rsidR="00025579" w:rsidRDefault="00025579" w:rsidP="00A1377F">
      <w:pPr>
        <w:jc w:val="both"/>
      </w:pPr>
    </w:p>
    <w:p w14:paraId="26BA11D6" w14:textId="77777777" w:rsidR="00025579" w:rsidRDefault="00025579" w:rsidP="00A1377F">
      <w:pPr>
        <w:jc w:val="both"/>
      </w:pPr>
    </w:p>
    <w:p w14:paraId="4AA9F708" w14:textId="77777777" w:rsidR="00025579" w:rsidRDefault="00025579" w:rsidP="00A1377F">
      <w:pPr>
        <w:jc w:val="both"/>
      </w:pPr>
    </w:p>
    <w:bookmarkEnd w:id="91"/>
    <w:p w14:paraId="6B2043D1" w14:textId="77777777" w:rsidR="00A74165" w:rsidRDefault="00A74165" w:rsidP="00A1377F">
      <w:pPr>
        <w:spacing w:after="240" w:line="360" w:lineRule="auto"/>
        <w:ind w:left="360"/>
        <w:jc w:val="both"/>
        <w:rPr>
          <w:rFonts w:eastAsia="Times New Roman"/>
          <w:szCs w:val="24"/>
          <w:lang w:eastAsia="en-GB"/>
        </w:rPr>
      </w:pPr>
    </w:p>
    <w:p w14:paraId="76A50571" w14:textId="77777777" w:rsidR="00A74165" w:rsidRDefault="00A74165" w:rsidP="00A1377F">
      <w:pPr>
        <w:spacing w:after="240" w:line="360" w:lineRule="auto"/>
        <w:ind w:left="360"/>
        <w:jc w:val="both"/>
        <w:rPr>
          <w:rFonts w:eastAsia="Times New Roman"/>
          <w:szCs w:val="24"/>
          <w:lang w:eastAsia="en-GB"/>
        </w:rPr>
      </w:pPr>
    </w:p>
    <w:p w14:paraId="1DCC2E20" w14:textId="77777777" w:rsidR="00A74165" w:rsidRDefault="00A74165" w:rsidP="00A1377F">
      <w:pPr>
        <w:spacing w:after="240" w:line="360" w:lineRule="auto"/>
        <w:ind w:left="360"/>
        <w:jc w:val="both"/>
        <w:rPr>
          <w:rFonts w:eastAsia="Times New Roman"/>
          <w:szCs w:val="24"/>
          <w:lang w:eastAsia="en-GB"/>
        </w:rPr>
      </w:pPr>
    </w:p>
    <w:p w14:paraId="7EAB96B1" w14:textId="77777777" w:rsidR="00A74165" w:rsidRDefault="00A74165" w:rsidP="00A1377F">
      <w:pPr>
        <w:spacing w:after="240" w:line="360" w:lineRule="auto"/>
        <w:ind w:left="360"/>
        <w:jc w:val="both"/>
        <w:rPr>
          <w:rFonts w:eastAsia="Times New Roman"/>
          <w:szCs w:val="24"/>
          <w:lang w:eastAsia="en-GB"/>
        </w:rPr>
      </w:pPr>
    </w:p>
    <w:p w14:paraId="61BA0756" w14:textId="77777777" w:rsidR="00A74165" w:rsidRDefault="00A74165" w:rsidP="00A1377F">
      <w:pPr>
        <w:spacing w:after="240" w:line="360" w:lineRule="auto"/>
        <w:ind w:left="360"/>
        <w:jc w:val="both"/>
        <w:rPr>
          <w:rFonts w:eastAsia="Times New Roman"/>
          <w:szCs w:val="24"/>
          <w:lang w:eastAsia="en-GB"/>
        </w:rPr>
      </w:pPr>
    </w:p>
    <w:p w14:paraId="040C9CD0" w14:textId="4CFCBC05" w:rsidR="0097613E" w:rsidRPr="0097613E" w:rsidRDefault="0097613E" w:rsidP="00A1377F">
      <w:pPr>
        <w:spacing w:after="240" w:line="360" w:lineRule="auto"/>
        <w:jc w:val="both"/>
      </w:pPr>
    </w:p>
    <w:p w14:paraId="5BD570BE" w14:textId="16787038" w:rsidR="006A5985" w:rsidRPr="006A5985" w:rsidRDefault="006A5985" w:rsidP="00A1377F">
      <w:pPr>
        <w:pStyle w:val="1ChapterHeading"/>
      </w:pPr>
      <w:bookmarkStart w:id="92" w:name="_Toc207618261"/>
      <w:bookmarkStart w:id="93" w:name="_Toc233023199"/>
      <w:bookmarkStart w:id="94" w:name="_Toc233030668"/>
      <w:r w:rsidRPr="006A5985">
        <w:lastRenderedPageBreak/>
        <w:t>CHAPTER 5</w:t>
      </w:r>
      <w:bookmarkEnd w:id="94"/>
    </w:p>
    <w:p w14:paraId="14AA3CDB" w14:textId="61ED6ABC" w:rsidR="006A5985" w:rsidRPr="006A5985" w:rsidRDefault="006A5985" w:rsidP="00A1377F">
      <w:pPr>
        <w:pStyle w:val="1ChapterHeading"/>
      </w:pPr>
      <w:bookmarkStart w:id="95" w:name="_Toc233030669"/>
      <w:r w:rsidRPr="006A5985">
        <w:t>CONCLUSIONS AND RECOMMENDATIONS</w:t>
      </w:r>
      <w:bookmarkEnd w:id="95"/>
    </w:p>
    <w:p w14:paraId="0021B1C4" w14:textId="150E2CB2" w:rsidR="006A5985" w:rsidRPr="006A5985" w:rsidRDefault="006A5985" w:rsidP="00A1377F">
      <w:pPr>
        <w:pStyle w:val="2Sectionheading"/>
        <w:jc w:val="both"/>
      </w:pPr>
      <w:bookmarkStart w:id="96" w:name="_Toc233030670"/>
      <w:r w:rsidRPr="006A5985">
        <w:t>5.1 Chapter Introduction</w:t>
      </w:r>
      <w:bookmarkEnd w:id="92"/>
      <w:bookmarkEnd w:id="93"/>
      <w:bookmarkEnd w:id="96"/>
      <w:r w:rsidRPr="006A5985">
        <w:t xml:space="preserve"> </w:t>
      </w:r>
    </w:p>
    <w:p w14:paraId="27AD6A65" w14:textId="2AE25E09" w:rsidR="006A5985" w:rsidRPr="006A5985" w:rsidRDefault="006A5985" w:rsidP="00A1377F">
      <w:pPr>
        <w:pStyle w:val="Uni-Normal"/>
        <w:jc w:val="both"/>
      </w:pPr>
      <w:r w:rsidRPr="006A5985">
        <w:t>This final chapter draws together the key findings from Chapter 4 in relation to the research objectives and questions, examining how Gen Z employees experience talent management within NCC and the effectiveness of current strategies for engagement and retention. The conclusions are structured around the research objective</w:t>
      </w:r>
      <w:r w:rsidR="002E6631">
        <w:t>s</w:t>
      </w:r>
      <w:r w:rsidRPr="006A5985">
        <w:t>, followed by evidence-based recommendations in response to Research Question 4. The chapter concludes by outlining implementation considerations, the study’s contribution, its limitations and areas for future research.</w:t>
      </w:r>
    </w:p>
    <w:p w14:paraId="42D77564" w14:textId="77777777" w:rsidR="006A5985" w:rsidRPr="006A5985" w:rsidRDefault="006A5985" w:rsidP="00A1377F">
      <w:pPr>
        <w:pStyle w:val="2Sectionheading"/>
        <w:jc w:val="both"/>
      </w:pPr>
      <w:bookmarkStart w:id="97" w:name="_Toc233023200"/>
      <w:bookmarkStart w:id="98" w:name="_Toc233030671"/>
      <w:r w:rsidRPr="006A5985">
        <w:t>5.2 Conclusions</w:t>
      </w:r>
      <w:bookmarkEnd w:id="97"/>
      <w:bookmarkEnd w:id="98"/>
      <w:r w:rsidRPr="006A5985">
        <w:t xml:space="preserve"> </w:t>
      </w:r>
    </w:p>
    <w:p w14:paraId="5EBF573E" w14:textId="31614456" w:rsidR="006A5985" w:rsidRPr="006A5985" w:rsidRDefault="006A5985" w:rsidP="00A1377F">
      <w:pPr>
        <w:pStyle w:val="Uni-Normal"/>
        <w:jc w:val="both"/>
        <w:rPr>
          <w:b/>
        </w:rPr>
      </w:pPr>
      <w:r w:rsidRPr="006A5985">
        <w:rPr>
          <w:b/>
        </w:rPr>
        <w:t>Objective 1: To explore the role of talent management in shaping the workplace expectations, preferences</w:t>
      </w:r>
      <w:r w:rsidR="006C72F7">
        <w:rPr>
          <w:b/>
        </w:rPr>
        <w:t xml:space="preserve"> </w:t>
      </w:r>
      <w:r w:rsidRPr="006A5985">
        <w:rPr>
          <w:b/>
        </w:rPr>
        <w:t>and behaviours of Gen Z within UK local government</w:t>
      </w:r>
    </w:p>
    <w:p w14:paraId="6D82BE29" w14:textId="0F18B619" w:rsidR="006A5985" w:rsidRPr="006A5985" w:rsidRDefault="006A5985" w:rsidP="00A1377F">
      <w:pPr>
        <w:pStyle w:val="Uni-Normal"/>
        <w:jc w:val="both"/>
      </w:pPr>
      <w:r w:rsidRPr="006A5985">
        <w:t>Talent management plays a central role in shaping Gen Z workplace expectations, however, expectations primarily reflect the credibility of employment conditions rather than organisational purpose alone. Flexibility, job securit</w:t>
      </w:r>
      <w:r w:rsidR="006C72F7">
        <w:t>y</w:t>
      </w:r>
      <w:r w:rsidRPr="006A5985">
        <w:t xml:space="preserve"> and development opportunities are the strongest drivers of attraction, while meaningful work, although valued, does not independently sustain interest without visible structural support. Progression expectations are particularly prominent, with employees seeking visible and attainable career advancement</w:t>
      </w:r>
      <w:r w:rsidR="002E6631">
        <w:t>,</w:t>
      </w:r>
      <w:r w:rsidRPr="006A5985">
        <w:t xml:space="preserve"> however, inconsistent progression pathways reduce confidence in whether such progression is realistically achievable.</w:t>
      </w:r>
      <w:r w:rsidRPr="006A5985">
        <w:rPr>
          <w:rFonts w:ascii="Segoe UI" w:eastAsia="Times New Roman" w:hAnsi="Segoe UI" w:cs="Segoe UI"/>
          <w:sz w:val="21"/>
          <w:szCs w:val="21"/>
          <w:lang w:eastAsia="en-GB"/>
        </w:rPr>
        <w:t xml:space="preserve"> O</w:t>
      </w:r>
      <w:r w:rsidRPr="006A5985">
        <w:t xml:space="preserve">verall, talent management functions as an indicator of organisational credibility, particularly in relation to progression, development and working conditions, </w:t>
      </w:r>
      <w:r w:rsidR="002E6631">
        <w:t xml:space="preserve">are </w:t>
      </w:r>
      <w:r w:rsidRPr="006A5985">
        <w:t>shaping how Gen</w:t>
      </w:r>
      <w:r w:rsidR="00A459AB">
        <w:t xml:space="preserve"> </w:t>
      </w:r>
      <w:r w:rsidRPr="006A5985">
        <w:t>Z evaluates local government employment.</w:t>
      </w:r>
    </w:p>
    <w:p w14:paraId="4BC62687" w14:textId="762226A1" w:rsidR="006A5985" w:rsidRPr="009367EF" w:rsidRDefault="006A5985" w:rsidP="00A1377F">
      <w:pPr>
        <w:pStyle w:val="Uni-Normal"/>
        <w:jc w:val="both"/>
        <w:rPr>
          <w:b/>
        </w:rPr>
      </w:pPr>
      <w:r w:rsidRPr="009367EF">
        <w:rPr>
          <w:b/>
        </w:rPr>
        <w:t xml:space="preserve">Objective 2: </w:t>
      </w:r>
      <w:r w:rsidR="009367EF" w:rsidRPr="009367EF">
        <w:rPr>
          <w:b/>
          <w:lang w:eastAsia="en-GB"/>
        </w:rPr>
        <w:t>To investigate the challenges and opportunities of engaging and retaining Gen Z in UK local government, focusing on the impact of talent management practices on organisational culture, career development and employee engagement</w:t>
      </w:r>
    </w:p>
    <w:p w14:paraId="0BC0D7CC" w14:textId="5100D34A" w:rsidR="006A5985" w:rsidRPr="006A5985" w:rsidRDefault="006A5985" w:rsidP="000C40B8">
      <w:pPr>
        <w:pStyle w:val="Uni-Normal"/>
        <w:jc w:val="both"/>
      </w:pPr>
      <w:r w:rsidRPr="006A5985">
        <w:t xml:space="preserve">Engagement and retention are influenced more by long-term and tangible employment conditions than by those shaping initial attraction. While purpose and flexibility support attraction, retention is more strongly associated with salary, job security and opportunities for progression, highlighting a clear shift in priorities once employees enter the organisation. </w:t>
      </w:r>
      <w:r w:rsidRPr="006A5985">
        <w:lastRenderedPageBreak/>
        <w:t>However, structural challenges, particularly limited visibility of progression pathways, hierarchical organisational structures and inconsistencies in how development translates into advancement, undermine long-term career confidence and weaken sustained engagement.</w:t>
      </w:r>
      <w:r w:rsidRPr="006A5985">
        <w:rPr>
          <w:rFonts w:ascii="Segoe UI" w:eastAsia="Times New Roman" w:hAnsi="Segoe UI" w:cs="Segoe UI"/>
          <w:sz w:val="21"/>
          <w:szCs w:val="21"/>
          <w:lang w:eastAsia="en-GB"/>
        </w:rPr>
        <w:t xml:space="preserve"> </w:t>
      </w:r>
      <w:r w:rsidRPr="006A5985">
        <w:t>These issues are further reinforced by experiences of age-related bias and aspects of organisational culture that limit employees’ sense of recognition and influence. Although strengths exist, particularly in flexible working and line management support they do not fully compensate for broader structural and cultural limitations.</w:t>
      </w:r>
      <w:r w:rsidRPr="006A5985">
        <w:rPr>
          <w:rFonts w:ascii="Segoe UI" w:eastAsia="Times New Roman" w:hAnsi="Segoe UI" w:cs="Segoe UI"/>
          <w:sz w:val="21"/>
          <w:szCs w:val="21"/>
          <w:lang w:eastAsia="en-GB"/>
        </w:rPr>
        <w:t xml:space="preserve"> </w:t>
      </w:r>
      <w:r w:rsidRPr="006A5985">
        <w:t>This demonstrates a disconnect between development provision and progression outcomes, indicating that improving retention requires a more coherent and experience-led approach to talent management.</w:t>
      </w:r>
    </w:p>
    <w:p w14:paraId="0A399A8F" w14:textId="6877A549" w:rsidR="009367EF" w:rsidRPr="009367EF" w:rsidRDefault="009367EF" w:rsidP="009367EF">
      <w:pPr>
        <w:pStyle w:val="Uni-Normal"/>
        <w:jc w:val="both"/>
        <w:rPr>
          <w:b/>
          <w:bCs/>
          <w:lang w:eastAsia="en-GB"/>
        </w:rPr>
      </w:pPr>
      <w:r w:rsidRPr="009367EF">
        <w:rPr>
          <w:b/>
          <w:bCs/>
          <w:lang w:eastAsia="en-GB"/>
        </w:rPr>
        <w:t xml:space="preserve">Objective 3: </w:t>
      </w:r>
      <w:r w:rsidRPr="009367EF">
        <w:rPr>
          <w:b/>
          <w:bCs/>
          <w:lang w:eastAsia="en-GB"/>
        </w:rPr>
        <w:t>To critically evaluate the effectiveness and alignment of current talent management strategies and initiatives in attracting and retaining Gen Z employees within local government.</w:t>
      </w:r>
    </w:p>
    <w:p w14:paraId="67B05280" w14:textId="781ED1CF" w:rsidR="006A5985" w:rsidRPr="00A459AB" w:rsidRDefault="006A5985" w:rsidP="000C40B8">
      <w:pPr>
        <w:pStyle w:val="Uni-Normal"/>
        <w:jc w:val="both"/>
      </w:pPr>
      <w:r w:rsidRPr="00A459AB">
        <w:t>The current talent management approach at NCC demonstrates partial effectiveness but lacks coherence and strategic visibility in its implementation.</w:t>
      </w:r>
      <w:r w:rsidRPr="00A459AB">
        <w:rPr>
          <w:rFonts w:ascii="Segoe UI" w:eastAsia="Times New Roman" w:hAnsi="Segoe UI" w:cs="Segoe UI"/>
          <w:sz w:val="21"/>
          <w:szCs w:val="21"/>
          <w:lang w:eastAsia="en-GB"/>
        </w:rPr>
        <w:t xml:space="preserve"> W</w:t>
      </w:r>
      <w:r w:rsidRPr="00A459AB">
        <w:t>hile individual components, such as development opportunities, flexible working</w:t>
      </w:r>
      <w:r w:rsidR="006C72F7">
        <w:t xml:space="preserve"> </w:t>
      </w:r>
      <w:r w:rsidRPr="00A459AB">
        <w:t xml:space="preserve">and managerial support exist, they are not consistently experienced as part of an integrated or accessible strategy. Limited awareness of the Talent Management Framework significantly constrains its </w:t>
      </w:r>
      <w:proofErr w:type="gramStart"/>
      <w:r w:rsidRPr="00A459AB">
        <w:t>effectiveness</w:t>
      </w:r>
      <w:proofErr w:type="gramEnd"/>
      <w:r w:rsidRPr="00A459AB">
        <w:t xml:space="preserve"> and employees often struggle to connect these initiatives to meaningful progression outcomes. Consequently, talent management is not reliably perceived as enabling long-term career development. </w:t>
      </w:r>
      <w:proofErr w:type="gramStart"/>
      <w:r w:rsidRPr="00A459AB">
        <w:t>It’s</w:t>
      </w:r>
      <w:proofErr w:type="gramEnd"/>
      <w:r w:rsidRPr="00A459AB">
        <w:t xml:space="preserve"> effectiveness is therefore determined less by its formal design and more by its visibility, communication and translation into everyday employee experience.</w:t>
      </w:r>
    </w:p>
    <w:p w14:paraId="7259DC01" w14:textId="77777777" w:rsidR="006A5985" w:rsidRPr="006A5985" w:rsidRDefault="006A5985" w:rsidP="000C40B8">
      <w:pPr>
        <w:pStyle w:val="Uni-Normal"/>
        <w:jc w:val="both"/>
        <w:rPr>
          <w:b/>
        </w:rPr>
      </w:pPr>
      <w:r w:rsidRPr="006A5985">
        <w:rPr>
          <w:b/>
        </w:rPr>
        <w:t xml:space="preserve">Overall conclusion </w:t>
      </w:r>
    </w:p>
    <w:p w14:paraId="7C5A02FA" w14:textId="4EF81B44" w:rsidR="006A5985" w:rsidRPr="000B00F7" w:rsidRDefault="006A5985" w:rsidP="000C40B8">
      <w:pPr>
        <w:pStyle w:val="Uni-Normal"/>
        <w:jc w:val="both"/>
      </w:pPr>
      <w:r w:rsidRPr="006A5985">
        <w:t xml:space="preserve">Collectively, the study demonstrates that while talent management is present within NCC, its impact is constrained by a misalignment between organisational intent and employee experience. A consistent gap exists between the formal design of talent management initiatives and how they are experienced in practice. </w:t>
      </w:r>
      <w:r w:rsidR="000B00F7" w:rsidRPr="000B00F7">
        <w:t>This gap represents a strategic risk within a wider context of workforce ageing, recruitment pressure and increasing competition for early-career talent.</w:t>
      </w:r>
      <w:r w:rsidR="000B00F7">
        <w:t xml:space="preserve"> </w:t>
      </w:r>
      <w:r w:rsidRPr="006A5985">
        <w:t xml:space="preserve">If not addressed, this misalignment may contribute to increased turnover, reduced engagement and growing difficulty in attracting and retaining early-career talent, ultimately affecting workforce sustainability and long-term service delivery. These findings reflect wider public sector evidence, which identifies workforce pressures, recruitment challenges and </w:t>
      </w:r>
      <w:r w:rsidRPr="006A5985">
        <w:lastRenderedPageBreak/>
        <w:t>increasing competition as critical issues across local government (Deegan, 2024). This suggests that the challenges identified at NCC are not isolated but reflect broader structural pressures within the sector, reinforcing the need for proactive adaptation.</w:t>
      </w:r>
    </w:p>
    <w:p w14:paraId="24313153" w14:textId="77777777" w:rsidR="006A5985" w:rsidRPr="006A5985" w:rsidRDefault="006A5985" w:rsidP="000C40B8">
      <w:pPr>
        <w:pStyle w:val="2Sectionheading"/>
        <w:jc w:val="both"/>
      </w:pPr>
      <w:bookmarkStart w:id="99" w:name="_Toc233023201"/>
      <w:bookmarkStart w:id="100" w:name="_Toc233030672"/>
      <w:r w:rsidRPr="006A5985">
        <w:t>5.3 Recommendations</w:t>
      </w:r>
      <w:bookmarkEnd w:id="99"/>
      <w:bookmarkEnd w:id="100"/>
    </w:p>
    <w:p w14:paraId="231DEB0B" w14:textId="46F58385" w:rsidR="000B00F7" w:rsidRPr="000B00F7" w:rsidRDefault="000B00F7" w:rsidP="000B00F7">
      <w:pPr>
        <w:pStyle w:val="Uni-Normal"/>
        <w:rPr>
          <w:lang w:eastAsia="en-GB"/>
        </w:rPr>
      </w:pPr>
      <w:r w:rsidRPr="000B00F7">
        <w:rPr>
          <w:lang w:eastAsia="en-GB"/>
        </w:rPr>
        <w:t xml:space="preserve">In response to the findings, NCC should adopt a more integrated and strategically aligned approach to talent management that strengthens engagement, retention and long-term workforce sustainability. Although many of the conditions valued by Gen Z are already present, their impact is limited by inconsistent visibility, communication and application in practice. </w:t>
      </w:r>
      <w:r w:rsidR="00E63570" w:rsidRPr="00E63570">
        <w:rPr>
          <w:lang w:eastAsia="en-GB"/>
        </w:rPr>
        <w:t>This reflects the literature’s emphasis on the need for public sector talent management to move beyond formal policy design towards visible, accessible and consistently implemented workforce practices.</w:t>
      </w:r>
      <w:r w:rsidR="00A07E42">
        <w:rPr>
          <w:lang w:eastAsia="en-GB"/>
        </w:rPr>
        <w:t xml:space="preserve"> </w:t>
      </w:r>
      <w:r w:rsidRPr="000B00F7">
        <w:rPr>
          <w:lang w:eastAsia="en-GB"/>
        </w:rPr>
        <w:t>The following recommendations therefore focus on improving progression clarity, strengthening the visibility of talent initiatives and enhancing the employee experience.</w:t>
      </w:r>
    </w:p>
    <w:p w14:paraId="6FB48D18" w14:textId="49E890CE" w:rsidR="00AC53CC" w:rsidRPr="00AC53CC" w:rsidRDefault="00AC53CC" w:rsidP="00AC53CC">
      <w:pPr>
        <w:pStyle w:val="Uni-Normal"/>
        <w:rPr>
          <w:lang w:eastAsia="en-GB"/>
        </w:rPr>
      </w:pPr>
      <w:r w:rsidRPr="00AC53CC">
        <w:rPr>
          <w:lang w:eastAsia="en-GB"/>
        </w:rPr>
        <w:t>The following recommendations address key gaps identified in the findings</w:t>
      </w:r>
      <w:r>
        <w:rPr>
          <w:lang w:eastAsia="en-GB"/>
        </w:rPr>
        <w:t>:</w:t>
      </w:r>
    </w:p>
    <w:p w14:paraId="48C66C5A" w14:textId="77777777" w:rsidR="006A5985" w:rsidRPr="006A5985" w:rsidRDefault="006A5985" w:rsidP="000C40B8">
      <w:pPr>
        <w:pStyle w:val="Uni-Normal"/>
        <w:numPr>
          <w:ilvl w:val="0"/>
          <w:numId w:val="24"/>
        </w:numPr>
        <w:jc w:val="both"/>
        <w:rPr>
          <w:b/>
        </w:rPr>
      </w:pPr>
      <w:r w:rsidRPr="006A5985">
        <w:rPr>
          <w:b/>
        </w:rPr>
        <w:t>Develop clear and structured career pathways</w:t>
      </w:r>
    </w:p>
    <w:p w14:paraId="7341C561" w14:textId="6856E9ED" w:rsidR="000C40B8" w:rsidRPr="00281D5F" w:rsidRDefault="000C40B8" w:rsidP="000C40B8">
      <w:pPr>
        <w:pStyle w:val="Uni-Normal"/>
        <w:jc w:val="both"/>
        <w:rPr>
          <w:kern w:val="2"/>
          <w14:ligatures w14:val="standardContextual"/>
        </w:rPr>
      </w:pPr>
      <w:r w:rsidRPr="000A2C0B">
        <w:t xml:space="preserve">Clear and accessible career pathways should be developed across services, outlining </w:t>
      </w:r>
      <w:r w:rsidRPr="000C40B8">
        <w:rPr>
          <w:rStyle w:val="Uni-NormalChar"/>
        </w:rPr>
        <w:t xml:space="preserve">progression routes, expected criteria and links between current roles, development activity and future opportunities. </w:t>
      </w:r>
      <w:r w:rsidR="00281D5F" w:rsidRPr="00281D5F">
        <w:rPr>
          <w:kern w:val="2"/>
          <w14:ligatures w14:val="standardContextual"/>
        </w:rPr>
        <w:t>This would address limited confidence around progression and reduce perceptions of stagnation, which were identified as key drivers of disengagement. Improving clarity around advancement is critical to retaining Gen Z employees who expect visible and timely career progression.</w:t>
      </w:r>
    </w:p>
    <w:p w14:paraId="0F935F40" w14:textId="77777777" w:rsidR="006A5985" w:rsidRPr="006A5985" w:rsidRDefault="006A5985" w:rsidP="000C40B8">
      <w:pPr>
        <w:pStyle w:val="Uni-Normal"/>
        <w:numPr>
          <w:ilvl w:val="0"/>
          <w:numId w:val="24"/>
        </w:numPr>
        <w:jc w:val="both"/>
        <w:rPr>
          <w:b/>
        </w:rPr>
      </w:pPr>
      <w:r w:rsidRPr="006A5985">
        <w:rPr>
          <w:b/>
        </w:rPr>
        <w:t>Improve the visibility and communication of talent management initiatives</w:t>
      </w:r>
    </w:p>
    <w:p w14:paraId="3DC80A0D" w14:textId="77777777" w:rsidR="00281D5F" w:rsidRPr="00281D5F" w:rsidRDefault="000C40B8" w:rsidP="00281D5F">
      <w:pPr>
        <w:pStyle w:val="Uni-Normal"/>
        <w:jc w:val="both"/>
      </w:pPr>
      <w:r w:rsidRPr="000A2C0B">
        <w:t xml:space="preserve">The visibility of NCC’s Talent Management Framework should be improved by centralising information on development opportunities, talent initiatives and progression pathways in one accessible place. The framework should also be embedded into 1:1 discussions, induction, internal communications and HR guidance, </w:t>
      </w:r>
      <w:r w:rsidR="00281D5F" w:rsidRPr="00281D5F">
        <w:t>ensuring employees understand how to access and use available support, rather than remaining unaware of existing provision.</w:t>
      </w:r>
    </w:p>
    <w:p w14:paraId="2A94A48E" w14:textId="3E3678C1" w:rsidR="006A5985" w:rsidRPr="006A5985" w:rsidRDefault="006A5985" w:rsidP="00281D5F">
      <w:pPr>
        <w:pStyle w:val="Uni-Normal"/>
        <w:numPr>
          <w:ilvl w:val="0"/>
          <w:numId w:val="24"/>
        </w:numPr>
        <w:jc w:val="both"/>
        <w:rPr>
          <w:b/>
        </w:rPr>
      </w:pPr>
      <w:r w:rsidRPr="006A5985">
        <w:rPr>
          <w:b/>
        </w:rPr>
        <w:t>Align learning and development with progression outcomes</w:t>
      </w:r>
    </w:p>
    <w:p w14:paraId="34B01DC9" w14:textId="07F71B18" w:rsidR="006A5985" w:rsidRPr="006A5985" w:rsidRDefault="006A5985" w:rsidP="000C40B8">
      <w:pPr>
        <w:pStyle w:val="Uni-Normal"/>
        <w:jc w:val="both"/>
      </w:pPr>
      <w:r w:rsidRPr="006A5985">
        <w:lastRenderedPageBreak/>
        <w:t>Greater emphasis should be placed on linking learning and development to progression outcomes by advertising qualifications, training and workplace learning to specific pathways.</w:t>
      </w:r>
      <w:r w:rsidRPr="006A5985">
        <w:rPr>
          <w:rFonts w:ascii="Segoe UI" w:eastAsia="Times New Roman" w:hAnsi="Segoe UI" w:cs="Segoe UI"/>
          <w:sz w:val="21"/>
          <w:szCs w:val="21"/>
          <w:lang w:eastAsia="en-GB"/>
        </w:rPr>
        <w:t xml:space="preserve"> </w:t>
      </w:r>
      <w:r w:rsidRPr="006A5985">
        <w:t xml:space="preserve">Expanding mentoring, coaching and job rotation would further strengthen this link, </w:t>
      </w:r>
      <w:proofErr w:type="gramStart"/>
      <w:r w:rsidRPr="006A5985">
        <w:t>reinforcing</w:t>
      </w:r>
      <w:proofErr w:type="gramEnd"/>
      <w:r w:rsidRPr="006A5985">
        <w:t xml:space="preserve"> the relevance of development activity and supporting longer-term retention.</w:t>
      </w:r>
    </w:p>
    <w:p w14:paraId="63738215" w14:textId="77777777" w:rsidR="006A5985" w:rsidRPr="006A5985" w:rsidRDefault="006A5985" w:rsidP="000C40B8">
      <w:pPr>
        <w:pStyle w:val="Uni-Normal"/>
        <w:numPr>
          <w:ilvl w:val="0"/>
          <w:numId w:val="24"/>
        </w:numPr>
        <w:jc w:val="both"/>
        <w:rPr>
          <w:b/>
        </w:rPr>
      </w:pPr>
      <w:r w:rsidRPr="006A5985">
        <w:rPr>
          <w:b/>
        </w:rPr>
        <w:t>Maintain and enhance flexible working arrangements</w:t>
      </w:r>
    </w:p>
    <w:p w14:paraId="26267AF9" w14:textId="5537FD1A" w:rsidR="000C40B8" w:rsidRPr="000A2C0B" w:rsidRDefault="000C40B8" w:rsidP="000C40B8">
      <w:pPr>
        <w:pStyle w:val="Uni-Normal"/>
        <w:jc w:val="both"/>
      </w:pPr>
      <w:r w:rsidRPr="000A2C0B">
        <w:t>Flexible working should remain a core strength of NCC’s employee offer. Hybrid working, flexible hours and work–life balance initiatives should continue to be prioritised and applied consistently across departments. This would protect a key factor influencing attraction and retention among Gen Z employees.</w:t>
      </w:r>
      <w:r w:rsidR="00281D5F" w:rsidRPr="00281D5F">
        <w:rPr>
          <w:rFonts w:ascii="Segoe UI" w:eastAsia="Times New Roman" w:hAnsi="Segoe UI" w:cs="Segoe UI"/>
          <w:sz w:val="21"/>
          <w:szCs w:val="21"/>
          <w:lang w:eastAsia="en-GB"/>
        </w:rPr>
        <w:t xml:space="preserve"> </w:t>
      </w:r>
      <w:r w:rsidR="00281D5F" w:rsidRPr="00281D5F">
        <w:t>Failure to maintain this consistency may weaken NCC’s attractiveness relative to other employers offering more flexible and adaptable working models.</w:t>
      </w:r>
    </w:p>
    <w:p w14:paraId="2C5C2C48" w14:textId="77777777" w:rsidR="006A5985" w:rsidRPr="006A5985" w:rsidRDefault="006A5985" w:rsidP="000C40B8">
      <w:pPr>
        <w:pStyle w:val="Uni-Normal"/>
        <w:numPr>
          <w:ilvl w:val="0"/>
          <w:numId w:val="24"/>
        </w:numPr>
        <w:jc w:val="both"/>
        <w:rPr>
          <w:b/>
        </w:rPr>
      </w:pPr>
      <w:r w:rsidRPr="006A5985">
        <w:rPr>
          <w:b/>
        </w:rPr>
        <w:t>Strengthen the transparency of pay, reward and job security</w:t>
      </w:r>
    </w:p>
    <w:p w14:paraId="3EC1AE61" w14:textId="77777777" w:rsidR="000C40B8" w:rsidRPr="000A2C0B" w:rsidRDefault="000C40B8" w:rsidP="000C40B8">
      <w:pPr>
        <w:pStyle w:val="Uni-Normal"/>
        <w:jc w:val="both"/>
      </w:pPr>
      <w:r w:rsidRPr="000A2C0B">
        <w:t>Improving transparency around pay structures, progression, job security and wider public sector benefits would help reinforce the value of NCC’s employment offer. Clearer communication of reward, recognition and employment stability would support retention by helping employees understand the full value of remaining within the organisation.</w:t>
      </w:r>
    </w:p>
    <w:p w14:paraId="28435D6A" w14:textId="77777777" w:rsidR="006A5985" w:rsidRPr="006A5985" w:rsidRDefault="006A5985" w:rsidP="000C40B8">
      <w:pPr>
        <w:pStyle w:val="Uni-Normal"/>
        <w:numPr>
          <w:ilvl w:val="0"/>
          <w:numId w:val="24"/>
        </w:numPr>
        <w:jc w:val="both"/>
        <w:rPr>
          <w:b/>
        </w:rPr>
      </w:pPr>
      <w:r w:rsidRPr="006A5985">
        <w:rPr>
          <w:b/>
        </w:rPr>
        <w:t>Address organisational culture and age-related bias</w:t>
      </w:r>
    </w:p>
    <w:p w14:paraId="5335DA4D" w14:textId="57A55DBC" w:rsidR="004C2E54" w:rsidRPr="000A2C0B" w:rsidRDefault="000C40B8" w:rsidP="000C40B8">
      <w:pPr>
        <w:pStyle w:val="Uni-Normal"/>
        <w:jc w:val="both"/>
      </w:pPr>
      <w:r w:rsidRPr="000A2C0B">
        <w:t>A stronger focus should be placed on inclusive leadership, generational awareness and cross-generational collaboration. Manager training and inclusive team practices would help address experiences of age-related bias, ensuring younger employees feel respected, recognised and able to contribute meaningfully.</w:t>
      </w:r>
      <w:r w:rsidR="00281D5F" w:rsidRPr="00281D5F">
        <w:rPr>
          <w:rFonts w:ascii="Segoe UI" w:eastAsia="Times New Roman" w:hAnsi="Segoe UI" w:cs="Segoe UI"/>
          <w:sz w:val="21"/>
          <w:szCs w:val="21"/>
          <w:lang w:eastAsia="en-GB"/>
        </w:rPr>
        <w:t xml:space="preserve"> </w:t>
      </w:r>
      <w:r w:rsidR="00281D5F" w:rsidRPr="00281D5F">
        <w:t>This should be supported by targeted management development, ensuring line managers are equipped to provide effective feedback, support development conversations and foster inclusive team environments.</w:t>
      </w:r>
    </w:p>
    <w:p w14:paraId="7427B731" w14:textId="77777777" w:rsidR="006A5985" w:rsidRPr="006A5985" w:rsidRDefault="006A5985" w:rsidP="000C40B8">
      <w:pPr>
        <w:pStyle w:val="Uni-Normal"/>
        <w:numPr>
          <w:ilvl w:val="0"/>
          <w:numId w:val="24"/>
        </w:numPr>
        <w:jc w:val="both"/>
        <w:rPr>
          <w:b/>
        </w:rPr>
      </w:pPr>
      <w:r w:rsidRPr="006A5985">
        <w:rPr>
          <w:b/>
        </w:rPr>
        <w:t>Prioritise digital modernisation and improve systems</w:t>
      </w:r>
    </w:p>
    <w:p w14:paraId="5676E698" w14:textId="77777777" w:rsidR="00281D5F" w:rsidRPr="00281D5F" w:rsidRDefault="000C40B8" w:rsidP="00281D5F">
      <w:pPr>
        <w:pStyle w:val="Uni-Normal"/>
        <w:jc w:val="both"/>
      </w:pPr>
      <w:r w:rsidRPr="000A2C0B">
        <w:t xml:space="preserve">Investment in digital modernisation should be prioritised to improve both operational efficiency and perceptions of NCC as a modern employer. Employees should be involved in identifying areas for improvement, ensuring systems better support effective working and </w:t>
      </w:r>
      <w:r w:rsidR="00281D5F" w:rsidRPr="00281D5F">
        <w:t>align with Gen Z expectations of a technologically enabled workplace, which is increasingly associated with organisational credibility and engagement.</w:t>
      </w:r>
    </w:p>
    <w:p w14:paraId="33A9A265" w14:textId="2A792E89" w:rsidR="006A5985" w:rsidRPr="006A5985" w:rsidRDefault="006A5985" w:rsidP="00281D5F">
      <w:pPr>
        <w:pStyle w:val="Uni-Normal"/>
        <w:numPr>
          <w:ilvl w:val="0"/>
          <w:numId w:val="24"/>
        </w:numPr>
        <w:jc w:val="both"/>
        <w:rPr>
          <w:b/>
        </w:rPr>
      </w:pPr>
      <w:r w:rsidRPr="006A5985">
        <w:rPr>
          <w:b/>
        </w:rPr>
        <w:lastRenderedPageBreak/>
        <w:t>Strengthen employer branding and the employee value proposition</w:t>
      </w:r>
    </w:p>
    <w:p w14:paraId="057C514C" w14:textId="77777777" w:rsidR="00281D5F" w:rsidRPr="00281D5F" w:rsidRDefault="00A1377F" w:rsidP="00281D5F">
      <w:pPr>
        <w:pStyle w:val="Uni-Normal"/>
        <w:jc w:val="both"/>
      </w:pPr>
      <w:r w:rsidRPr="00A1377F">
        <w:t xml:space="preserve">NCC should strengthen its employer brand by clearly communicating aspects valued by this cohort, including flexibility, career development, job security and organisational purpose. This should be supported by more targeted and contemporary recruitment approaches, including the use of Gen Z–oriented messaging and the representation of younger employees within promotional materials to enhance relatability and inclusivity. Showcasing authentic employee experiences and visible career pathways would further strengthen the credibility of the employee value proposition, </w:t>
      </w:r>
      <w:bookmarkStart w:id="101" w:name="_Toc233023202"/>
      <w:bookmarkStart w:id="102" w:name="_Toc233030673"/>
      <w:r w:rsidR="00281D5F" w:rsidRPr="00281D5F">
        <w:t>which reflect the key factors shaping attraction decisions among this cohort and highlight the importance of effectively communicating these through recruitment and employer branding practices.</w:t>
      </w:r>
    </w:p>
    <w:p w14:paraId="468F474E" w14:textId="0D477747" w:rsidR="006A5985" w:rsidRPr="006A5985" w:rsidRDefault="006A5985" w:rsidP="00281D5F">
      <w:pPr>
        <w:pStyle w:val="2Sectionheading"/>
      </w:pPr>
      <w:r w:rsidRPr="006A5985">
        <w:t>5.4 Implementation considerations</w:t>
      </w:r>
      <w:bookmarkEnd w:id="101"/>
      <w:bookmarkEnd w:id="102"/>
    </w:p>
    <w:p w14:paraId="36D7E6F6" w14:textId="77777777" w:rsidR="00327548" w:rsidRPr="00327548" w:rsidRDefault="00327548" w:rsidP="00327548">
      <w:pPr>
        <w:pStyle w:val="Uni-Normal"/>
        <w:jc w:val="both"/>
      </w:pPr>
      <w:r w:rsidRPr="00327548">
        <w:t>While the recommendations provide a clear strategic direction for improving talent management, their successful implementation will depend on organisational capacity, leadership commitment and resource availability. Financial constraints, competing service demands and existing organisational structures may limit the pace of change. NCC should therefore adopt a phased and prioritised approach, initially focusing on high-impact areas such as improving career pathway visibility and strengthening communication of existing initiatives.</w:t>
      </w:r>
    </w:p>
    <w:p w14:paraId="50778A2C" w14:textId="77826AA4" w:rsidR="00327548" w:rsidRPr="006A5985" w:rsidRDefault="00327548" w:rsidP="000C40B8">
      <w:pPr>
        <w:pStyle w:val="Uni-Normal"/>
        <w:jc w:val="both"/>
      </w:pPr>
      <w:r w:rsidRPr="00327548">
        <w:t>This is particularly significant given the relatively low proportion of Gen Z employees within the workforce (11%), which increases the strategic importance of attracting, retaining and developing this cohort to sustain future workforce capacity and leadership in the context of an ageing workforce (Newport City Council, 2025).</w:t>
      </w:r>
      <w:r w:rsidR="00A07E42">
        <w:t xml:space="preserve"> </w:t>
      </w:r>
      <w:r w:rsidR="00A07E42" w:rsidRPr="00A07E42">
        <w:t>This local workforce profile reflects wider demographic pressures in Wales, where a declining working-age population and increasing replacement demand are likely to intensify competition for early-career talent (Universities Wales, 2019; Public Services Staff Commission, 2017).</w:t>
      </w:r>
      <w:r w:rsidR="00A07E42">
        <w:t xml:space="preserve"> </w:t>
      </w:r>
      <w:r w:rsidRPr="00327548">
        <w:t xml:space="preserve"> Timely and targeted action is therefore necessary to maintain competitiveness in attracting early-career talent. Sustained leadership engagement and cross-departmental alignment will also be critical to embedding these changes and ensuring consistent implementation across the organisation.</w:t>
      </w:r>
    </w:p>
    <w:p w14:paraId="3F0189E8" w14:textId="77777777" w:rsidR="006A5985" w:rsidRPr="006A5985" w:rsidRDefault="006A5985" w:rsidP="000C40B8">
      <w:pPr>
        <w:pStyle w:val="2Sectionheading"/>
        <w:jc w:val="both"/>
      </w:pPr>
      <w:bookmarkStart w:id="103" w:name="_Toc233023203"/>
      <w:bookmarkStart w:id="104" w:name="_Toc233030674"/>
      <w:r w:rsidRPr="006A5985">
        <w:t>5.5 Contribution to Knowledge</w:t>
      </w:r>
      <w:bookmarkEnd w:id="103"/>
      <w:bookmarkEnd w:id="104"/>
    </w:p>
    <w:p w14:paraId="39146632" w14:textId="6F003D72" w:rsidR="006A5985" w:rsidRPr="006A5985" w:rsidRDefault="006A5985" w:rsidP="000C40B8">
      <w:pPr>
        <w:pStyle w:val="Uni-Normal"/>
        <w:jc w:val="both"/>
      </w:pPr>
      <w:r w:rsidRPr="006A5985">
        <w:t>This study makes a clear contribution to knowledge by addressing a recognised gap in the literature concerning Gen</w:t>
      </w:r>
      <w:r w:rsidR="00A459AB">
        <w:t xml:space="preserve"> </w:t>
      </w:r>
      <w:r w:rsidRPr="006A5985">
        <w:t xml:space="preserve">Z talent management within UK local government, particularly in a Welsh context, where empirical evidence remains limited. By drawing on primary data from </w:t>
      </w:r>
      <w:r w:rsidRPr="006A5985">
        <w:lastRenderedPageBreak/>
        <w:t>NCC, it extends existing theory through a context-specific examination of how talent management is experienced in practice. The findings both support and challenge existing literature. While flexibility, career development and meaningful work remain important to Gen Z, the study demonstrates that structured development and clearly defined progression pathways are more influential than self-directed learning, challenging assumptions that this cohort prefers primarily independent, digital approaches. Overall, the study highlights the need for clearer progression pathways, improved visibility of talent initiatives and continued investment in flexible working and digital modernisation, providing practical insights for local government organisations seeking to improve early-career attraction and retention strategies.</w:t>
      </w:r>
    </w:p>
    <w:p w14:paraId="5EA15FA2" w14:textId="77777777" w:rsidR="006A5985" w:rsidRPr="006A5985" w:rsidRDefault="006A5985" w:rsidP="000C40B8">
      <w:pPr>
        <w:pStyle w:val="2Sectionheading"/>
        <w:jc w:val="both"/>
      </w:pPr>
      <w:bookmarkStart w:id="105" w:name="_Toc233023204"/>
      <w:bookmarkStart w:id="106" w:name="_Toc233030675"/>
      <w:r w:rsidRPr="006A5985">
        <w:t>5.6 Limitations of the Study</w:t>
      </w:r>
      <w:bookmarkEnd w:id="105"/>
      <w:bookmarkEnd w:id="106"/>
    </w:p>
    <w:p w14:paraId="6FDEB106" w14:textId="77777777" w:rsidR="006A5985" w:rsidRPr="006A5985" w:rsidRDefault="006A5985" w:rsidP="000C40B8">
      <w:pPr>
        <w:pStyle w:val="Uni-Normal"/>
        <w:jc w:val="both"/>
      </w:pPr>
      <w:r w:rsidRPr="006A5985">
        <w:t>This study has several limitations that should be considered when interpreting the findings. The research focused on a single local authority, which limits the generalisability of the results to other councils or public sector organisations operating within different organisational, structural or resource contexts. The findings should therefore be interpreted as context-specific rather than directly transferable across the wider local government sector. The study also focuses exclusively on Gen Z employees and does not consider perspectives from other generations. As a result, the findings reflect generation-specific experiences and may not capture wider workforce dynamics or differences between age groups.</w:t>
      </w:r>
    </w:p>
    <w:p w14:paraId="4D3A37F4" w14:textId="77777777" w:rsidR="006A5985" w:rsidRPr="006A5985" w:rsidRDefault="006A5985" w:rsidP="000C40B8">
      <w:pPr>
        <w:pStyle w:val="Uni-Normal"/>
        <w:jc w:val="both"/>
      </w:pPr>
      <w:r w:rsidRPr="006A5985">
        <w:t xml:space="preserve">The sample size also presents limitations. Although the survey generated 96 valid responses, it may not fully represent the diversity of experiences across different service areas, job roles and contract types. In addition, the use of self-reported survey data introduces the potential for response bias, including social desirability and perception-based responses at a single point in time. As participation was voluntary, there is also a risk of self-selection bias, </w:t>
      </w:r>
      <w:bookmarkStart w:id="107" w:name="_Toc233023205"/>
      <w:r w:rsidRPr="006A5985">
        <w:t>as individuals with stronger views or experiences may have been more inclined to participate (Saunders et al., 2019).</w:t>
      </w:r>
    </w:p>
    <w:p w14:paraId="4D816062" w14:textId="77777777" w:rsidR="006A5985" w:rsidRPr="006A5985" w:rsidRDefault="006A5985" w:rsidP="000C40B8">
      <w:pPr>
        <w:pStyle w:val="2Sectionheading"/>
        <w:jc w:val="both"/>
      </w:pPr>
      <w:bookmarkStart w:id="108" w:name="_Toc233030676"/>
      <w:r w:rsidRPr="006A5985">
        <w:t>5.7 Future Research Directions</w:t>
      </w:r>
      <w:bookmarkEnd w:id="107"/>
      <w:bookmarkEnd w:id="108"/>
    </w:p>
    <w:p w14:paraId="775B7A26" w14:textId="633B2FF4" w:rsidR="006A5985" w:rsidRPr="006A5985" w:rsidRDefault="006A5985" w:rsidP="000C40B8">
      <w:pPr>
        <w:pStyle w:val="Uni-Normal"/>
        <w:jc w:val="both"/>
      </w:pPr>
      <w:r w:rsidRPr="006A5985">
        <w:t xml:space="preserve">Several opportunities for future research emerge from this study. Comparative research across multiple local authorities would allow the findings to be tested in different organisational contexts, helping to determine whether the patterns identified at NCC are consistent across councils facing varying levels of workforce ageing, recruitment pressure and service demand. Future research could also extend beyond Gen Z to examine whether similar experiences are shared across the wider workforce, enabling comparison between generational cohorts and </w:t>
      </w:r>
      <w:r w:rsidRPr="006A5985">
        <w:lastRenderedPageBreak/>
        <w:t>identifying whether the challenges identified reflect generational preferences or broader organisational and structural factors.</w:t>
      </w:r>
    </w:p>
    <w:p w14:paraId="0B69E8E3" w14:textId="77777777" w:rsidR="006A5985" w:rsidRPr="006A5985" w:rsidRDefault="006A5985" w:rsidP="000C40B8">
      <w:pPr>
        <w:pStyle w:val="Uni-Normal"/>
        <w:jc w:val="both"/>
      </w:pPr>
      <w:r w:rsidRPr="006A5985">
        <w:t>Longitudinal research would be valuable to explore how Gen Z expectations, engagement and retention intentions evolve as individuals progress beyond early career stages. Future research could also examine how early</w:t>
      </w:r>
      <w:r w:rsidRPr="006A5985">
        <w:noBreakHyphen/>
        <w:t>career development translates into long</w:t>
      </w:r>
      <w:r w:rsidRPr="006A5985">
        <w:noBreakHyphen/>
        <w:t>term retention, particularly in the context of workforce ageing and increasing replacement demand. This would support a clearer understanding of how councils can sustain organisational capability amid ongoing demographic change and help to inform more effective recruitment and retention strategies for future generations, including Generation Alpha.</w:t>
      </w:r>
      <w:r w:rsidRPr="006A5985">
        <w:rPr>
          <w:rFonts w:ascii="Segoe UI" w:eastAsia="Times New Roman" w:hAnsi="Segoe UI" w:cs="Segoe UI"/>
          <w:sz w:val="21"/>
          <w:szCs w:val="21"/>
          <w:lang w:eastAsia="en-GB"/>
        </w:rPr>
        <w:t xml:space="preserve"> </w:t>
      </w:r>
      <w:r w:rsidRPr="006A5985">
        <w:t>Such research would provide greater insight into how talent management strategies can support workforce sustainability over time and inform approaches to managing future generational cohorts.</w:t>
      </w:r>
    </w:p>
    <w:p w14:paraId="79180149" w14:textId="77777777" w:rsidR="006A5985" w:rsidRPr="006A5985" w:rsidRDefault="006A5985" w:rsidP="000C40B8">
      <w:pPr>
        <w:pStyle w:val="2Sectionheading"/>
        <w:jc w:val="both"/>
      </w:pPr>
      <w:bookmarkStart w:id="109" w:name="_Toc233023206"/>
      <w:bookmarkStart w:id="110" w:name="_Toc233030677"/>
      <w:r w:rsidRPr="006A5985">
        <w:t>5.8 Chapter Summary</w:t>
      </w:r>
      <w:bookmarkEnd w:id="109"/>
      <w:bookmarkEnd w:id="110"/>
      <w:r w:rsidRPr="006A5985">
        <w:t xml:space="preserve"> </w:t>
      </w:r>
    </w:p>
    <w:p w14:paraId="28F64FE6" w14:textId="77777777" w:rsidR="006A5985" w:rsidRPr="00104164" w:rsidRDefault="006A5985" w:rsidP="000C40B8">
      <w:pPr>
        <w:pStyle w:val="Uni-Normal"/>
        <w:jc w:val="both"/>
      </w:pPr>
      <w:r w:rsidRPr="006A5985">
        <w:t>This final chapter has discussed the study’s findings in relation to the research objectives, examining how talent management shapes Gen Z expectations, experiences and retention within a local government context. It has presented key conclusions, provided recommendations for NCC and outlined the study’s limitations and areas for future research. Overall, the findings demonstrate how this research can support NCC in strengthening talent management practices, while also contributing context-specific evidence to the wider literature on Generation Z and talent management within UK local government.</w:t>
      </w:r>
    </w:p>
    <w:p w14:paraId="0C63E022" w14:textId="77777777" w:rsidR="006A5985" w:rsidRPr="00E253E5" w:rsidRDefault="006A5985" w:rsidP="006A5985">
      <w:pPr>
        <w:pStyle w:val="Uni-Normal"/>
      </w:pPr>
    </w:p>
    <w:p w14:paraId="3F997BC0" w14:textId="77777777" w:rsidR="00A74165" w:rsidRDefault="00A74165" w:rsidP="0002646C">
      <w:pPr>
        <w:spacing w:after="240" w:line="360" w:lineRule="auto"/>
        <w:ind w:left="360"/>
        <w:jc w:val="both"/>
        <w:rPr>
          <w:rFonts w:eastAsia="Times New Roman"/>
          <w:szCs w:val="24"/>
          <w:lang w:eastAsia="en-GB"/>
        </w:rPr>
      </w:pPr>
    </w:p>
    <w:p w14:paraId="2BE1E062" w14:textId="77777777" w:rsidR="00A74165" w:rsidRDefault="00A74165" w:rsidP="0002646C">
      <w:pPr>
        <w:spacing w:after="240" w:line="360" w:lineRule="auto"/>
        <w:ind w:left="360"/>
        <w:jc w:val="both"/>
        <w:rPr>
          <w:rFonts w:eastAsia="Times New Roman"/>
          <w:szCs w:val="24"/>
          <w:lang w:eastAsia="en-GB"/>
        </w:rPr>
      </w:pPr>
    </w:p>
    <w:p w14:paraId="5CB55931" w14:textId="77777777" w:rsidR="00A74165" w:rsidRDefault="00A74165" w:rsidP="0002646C">
      <w:pPr>
        <w:spacing w:after="240" w:line="360" w:lineRule="auto"/>
        <w:ind w:left="360"/>
        <w:jc w:val="both"/>
        <w:rPr>
          <w:rFonts w:eastAsia="Times New Roman"/>
          <w:szCs w:val="24"/>
          <w:lang w:eastAsia="en-GB"/>
        </w:rPr>
      </w:pPr>
    </w:p>
    <w:p w14:paraId="091D621C" w14:textId="77777777" w:rsidR="00A74165" w:rsidRDefault="00A74165" w:rsidP="0002646C">
      <w:pPr>
        <w:spacing w:after="240" w:line="360" w:lineRule="auto"/>
        <w:ind w:left="360"/>
        <w:jc w:val="both"/>
        <w:rPr>
          <w:rFonts w:eastAsia="Times New Roman"/>
          <w:szCs w:val="24"/>
          <w:lang w:eastAsia="en-GB"/>
        </w:rPr>
      </w:pPr>
    </w:p>
    <w:p w14:paraId="6AAA09DA" w14:textId="77777777" w:rsidR="00A74165" w:rsidRDefault="00A74165" w:rsidP="0002646C">
      <w:pPr>
        <w:spacing w:after="240" w:line="360" w:lineRule="auto"/>
        <w:ind w:left="360"/>
        <w:jc w:val="both"/>
        <w:rPr>
          <w:rFonts w:eastAsia="Times New Roman"/>
          <w:szCs w:val="24"/>
          <w:lang w:eastAsia="en-GB"/>
        </w:rPr>
      </w:pPr>
    </w:p>
    <w:p w14:paraId="3FCB5B48" w14:textId="77777777" w:rsidR="00A74165" w:rsidRDefault="00A74165" w:rsidP="0002646C">
      <w:pPr>
        <w:spacing w:after="240" w:line="360" w:lineRule="auto"/>
        <w:ind w:left="360"/>
        <w:jc w:val="both"/>
        <w:rPr>
          <w:rFonts w:eastAsia="Times New Roman"/>
          <w:szCs w:val="24"/>
          <w:lang w:eastAsia="en-GB"/>
        </w:rPr>
      </w:pPr>
    </w:p>
    <w:p w14:paraId="115383A4" w14:textId="77777777" w:rsidR="00A74165" w:rsidRDefault="00A74165" w:rsidP="0002646C">
      <w:pPr>
        <w:spacing w:after="240" w:line="360" w:lineRule="auto"/>
        <w:ind w:left="360"/>
        <w:jc w:val="both"/>
        <w:rPr>
          <w:rFonts w:eastAsia="Times New Roman"/>
          <w:szCs w:val="24"/>
          <w:lang w:eastAsia="en-GB"/>
        </w:rPr>
      </w:pPr>
    </w:p>
    <w:p w14:paraId="019FF76A" w14:textId="77777777" w:rsidR="00A74165" w:rsidRDefault="00A74165" w:rsidP="0002646C">
      <w:pPr>
        <w:spacing w:after="240" w:line="360" w:lineRule="auto"/>
        <w:ind w:left="360"/>
        <w:jc w:val="both"/>
        <w:rPr>
          <w:rFonts w:eastAsia="Times New Roman"/>
          <w:szCs w:val="24"/>
          <w:lang w:eastAsia="en-GB"/>
        </w:rPr>
      </w:pPr>
    </w:p>
    <w:p w14:paraId="5B44E99E" w14:textId="77777777" w:rsidR="00A74165" w:rsidRDefault="00A74165" w:rsidP="0002646C">
      <w:pPr>
        <w:spacing w:after="240" w:line="360" w:lineRule="auto"/>
        <w:ind w:left="360"/>
        <w:jc w:val="both"/>
        <w:rPr>
          <w:rFonts w:eastAsia="Times New Roman"/>
          <w:szCs w:val="24"/>
          <w:lang w:eastAsia="en-GB"/>
        </w:rPr>
      </w:pPr>
    </w:p>
    <w:p w14:paraId="4619E80D" w14:textId="77777777" w:rsidR="00C6518D" w:rsidRDefault="00C6518D" w:rsidP="0002646C">
      <w:pPr>
        <w:spacing w:after="240" w:line="360" w:lineRule="auto"/>
        <w:jc w:val="both"/>
        <w:rPr>
          <w:rFonts w:eastAsia="Times New Roman"/>
          <w:szCs w:val="24"/>
          <w:lang w:eastAsia="en-GB"/>
        </w:rPr>
      </w:pPr>
    </w:p>
    <w:p w14:paraId="35210388" w14:textId="77777777" w:rsidR="00A459AB" w:rsidRDefault="00A459AB" w:rsidP="0002646C">
      <w:pPr>
        <w:spacing w:after="240" w:line="360" w:lineRule="auto"/>
        <w:jc w:val="both"/>
        <w:rPr>
          <w:rFonts w:eastAsia="Times New Roman"/>
          <w:szCs w:val="24"/>
          <w:lang w:eastAsia="en-GB"/>
        </w:rPr>
      </w:pPr>
    </w:p>
    <w:p w14:paraId="372716E8" w14:textId="77777777" w:rsidR="00A459AB" w:rsidRDefault="00A459AB" w:rsidP="0002646C">
      <w:pPr>
        <w:spacing w:after="240" w:line="360" w:lineRule="auto"/>
        <w:jc w:val="both"/>
        <w:rPr>
          <w:rFonts w:eastAsia="Times New Roman"/>
          <w:szCs w:val="24"/>
          <w:lang w:eastAsia="en-GB"/>
        </w:rPr>
      </w:pPr>
    </w:p>
    <w:p w14:paraId="63CF8FE3" w14:textId="77777777" w:rsidR="00A459AB" w:rsidRDefault="00A459AB" w:rsidP="0002646C">
      <w:pPr>
        <w:spacing w:after="240" w:line="360" w:lineRule="auto"/>
        <w:jc w:val="both"/>
        <w:rPr>
          <w:rFonts w:eastAsia="Times New Roman"/>
          <w:szCs w:val="24"/>
          <w:lang w:eastAsia="en-GB"/>
        </w:rPr>
      </w:pPr>
    </w:p>
    <w:p w14:paraId="3329B40F" w14:textId="77777777" w:rsidR="00A459AB" w:rsidRDefault="00A459AB" w:rsidP="0002646C">
      <w:pPr>
        <w:spacing w:after="240" w:line="360" w:lineRule="auto"/>
        <w:jc w:val="both"/>
        <w:rPr>
          <w:rFonts w:eastAsia="Times New Roman"/>
          <w:szCs w:val="24"/>
          <w:lang w:eastAsia="en-GB"/>
        </w:rPr>
      </w:pPr>
    </w:p>
    <w:p w14:paraId="2694FFC6" w14:textId="77777777" w:rsidR="00A459AB" w:rsidRDefault="00A459AB" w:rsidP="0002646C">
      <w:pPr>
        <w:spacing w:after="240" w:line="360" w:lineRule="auto"/>
        <w:jc w:val="both"/>
        <w:rPr>
          <w:rFonts w:eastAsia="Times New Roman"/>
          <w:szCs w:val="24"/>
          <w:lang w:eastAsia="en-GB"/>
        </w:rPr>
      </w:pPr>
    </w:p>
    <w:p w14:paraId="138D3958" w14:textId="77777777" w:rsidR="00A459AB" w:rsidRDefault="00A459AB" w:rsidP="0002646C">
      <w:pPr>
        <w:spacing w:after="240" w:line="360" w:lineRule="auto"/>
        <w:jc w:val="both"/>
        <w:rPr>
          <w:rFonts w:eastAsia="Times New Roman"/>
          <w:szCs w:val="24"/>
          <w:lang w:eastAsia="en-GB"/>
        </w:rPr>
      </w:pPr>
    </w:p>
    <w:p w14:paraId="13EF695A" w14:textId="55FD448C" w:rsidR="0018277C" w:rsidRPr="00025579" w:rsidRDefault="00C6518D" w:rsidP="00025579">
      <w:pPr>
        <w:pStyle w:val="1ChapterHeading"/>
        <w:jc w:val="both"/>
        <w:rPr>
          <w:rFonts w:eastAsia="Times New Roman"/>
          <w:lang w:eastAsia="en-GB"/>
        </w:rPr>
      </w:pPr>
      <w:bookmarkStart w:id="111" w:name="_Toc233030678"/>
      <w:r>
        <w:rPr>
          <w:rFonts w:eastAsia="Times New Roman"/>
          <w:lang w:eastAsia="en-GB"/>
        </w:rPr>
        <w:t xml:space="preserve">6.0 </w:t>
      </w:r>
      <w:r w:rsidR="00A74165" w:rsidRPr="00C6518D">
        <w:rPr>
          <w:rFonts w:eastAsia="Times New Roman"/>
          <w:lang w:eastAsia="en-GB"/>
        </w:rPr>
        <w:t>REFERENCES</w:t>
      </w:r>
      <w:bookmarkEnd w:id="111"/>
    </w:p>
    <w:p w14:paraId="2D92C2DD" w14:textId="77777777" w:rsidR="00025579" w:rsidRDefault="00025579" w:rsidP="00F0718D">
      <w:pPr>
        <w:pStyle w:val="Uni-Normal"/>
        <w:jc w:val="both"/>
        <w:rPr>
          <w:lang w:eastAsia="en-GB"/>
        </w:rPr>
      </w:pPr>
      <w:r w:rsidRPr="009A2E8D">
        <w:rPr>
          <w:lang w:eastAsia="en-GB"/>
        </w:rPr>
        <w:t>Acharya, M.S.N. and Seshadri, M.A. 'Evolution in talent management strategies: Navigating the modern workforce landscape', </w:t>
      </w:r>
      <w:r w:rsidRPr="009A2E8D">
        <w:rPr>
          <w:i/>
          <w:iCs/>
          <w:lang w:eastAsia="en-GB"/>
        </w:rPr>
        <w:t>Commerce Management &amp; Economics,</w:t>
      </w:r>
      <w:r w:rsidRPr="009A2E8D">
        <w:rPr>
          <w:lang w:eastAsia="en-GB"/>
        </w:rPr>
        <w:t xml:space="preserve"> pp. </w:t>
      </w:r>
      <w:proofErr w:type="gramStart"/>
      <w:r w:rsidRPr="009A2E8D">
        <w:rPr>
          <w:lang w:eastAsia="en-GB"/>
        </w:rPr>
        <w:t>40..</w:t>
      </w:r>
      <w:proofErr w:type="gramEnd"/>
      <w:r w:rsidRPr="009A2E8D">
        <w:rPr>
          <w:lang w:eastAsia="en-GB"/>
        </w:rPr>
        <w:t xml:space="preserve"> </w:t>
      </w:r>
    </w:p>
    <w:p w14:paraId="724A6C80" w14:textId="77777777" w:rsidR="00025579" w:rsidRPr="00DD2640" w:rsidRDefault="00025579" w:rsidP="00F0718D">
      <w:pPr>
        <w:pStyle w:val="Uni-Normal"/>
        <w:jc w:val="both"/>
      </w:pPr>
      <w:r w:rsidRPr="00DD2640">
        <w:t>Acheampong, N.A.A. (2021) 'Reward Preferences of the Youngest Generation: Attracting, Recruiting</w:t>
      </w:r>
      <w:r>
        <w:t xml:space="preserve"> and</w:t>
      </w:r>
      <w:r w:rsidRPr="00DD2640">
        <w:t xml:space="preserve"> Retaining </w:t>
      </w:r>
      <w:r>
        <w:t>Gen Z</w:t>
      </w:r>
      <w:r w:rsidRPr="00DD2640">
        <w:t xml:space="preserve"> into Public Sector Organizations', </w:t>
      </w:r>
      <w:r w:rsidRPr="00DD2640">
        <w:rPr>
          <w:i/>
          <w:iCs/>
        </w:rPr>
        <w:t>Compensation and benefits review,</w:t>
      </w:r>
      <w:r w:rsidRPr="00DD2640">
        <w:t>53(2), pp. 75–97. Available at: </w:t>
      </w:r>
      <w:hyperlink r:id="rId11" w:tgtFrame="_blank" w:history="1">
        <w:r w:rsidRPr="00DD2640">
          <w:rPr>
            <w:rStyle w:val="Hyperlink"/>
          </w:rPr>
          <w:t>https://doi.org/10.1177/0886368720954803</w:t>
        </w:r>
      </w:hyperlink>
      <w:r w:rsidRPr="00DD2640">
        <w:t>.</w:t>
      </w:r>
    </w:p>
    <w:p w14:paraId="2C3170FF" w14:textId="77777777" w:rsidR="00025579" w:rsidRDefault="00025579" w:rsidP="00F0718D">
      <w:pPr>
        <w:pStyle w:val="Uni-Normal"/>
        <w:jc w:val="both"/>
      </w:pPr>
      <w:r w:rsidRPr="009A2E8D">
        <w:t xml:space="preserve">Agarwal, H. and Vaghela, </w:t>
      </w:r>
      <w:proofErr w:type="gramStart"/>
      <w:r w:rsidRPr="009A2E8D">
        <w:t>P. ,</w:t>
      </w:r>
      <w:proofErr w:type="gramEnd"/>
      <w:r w:rsidRPr="009A2E8D">
        <w:t xml:space="preserve"> (2018) 'Work values of Gen Z: Bridging the gap to the next generation', </w:t>
      </w:r>
      <w:r w:rsidRPr="009A2E8D">
        <w:rPr>
          <w:i/>
          <w:iCs/>
        </w:rPr>
        <w:t>National conference on innovative business management practices in 21st century </w:t>
      </w:r>
      <w:r w:rsidRPr="009A2E8D">
        <w:t xml:space="preserve">Parul </w:t>
      </w:r>
      <w:proofErr w:type="gramStart"/>
      <w:r w:rsidRPr="009A2E8D">
        <w:t>University ,</w:t>
      </w:r>
      <w:proofErr w:type="gramEnd"/>
      <w:r w:rsidRPr="009A2E8D">
        <w:t> .</w:t>
      </w:r>
    </w:p>
    <w:p w14:paraId="7FC8C245" w14:textId="77777777" w:rsidR="00025579" w:rsidRPr="00DD2640" w:rsidRDefault="00025579" w:rsidP="00F0718D">
      <w:pPr>
        <w:pStyle w:val="Uni-Normal"/>
        <w:jc w:val="both"/>
        <w:rPr>
          <w:color w:val="000000"/>
        </w:rPr>
      </w:pPr>
      <w:r w:rsidRPr="00DD2640">
        <w:rPr>
          <w:color w:val="000000"/>
        </w:rPr>
        <w:t>Al Jawali, H., Darwish, T.K., Scullion, H. and Haak-Saheem, W. (2022) 'Talent management in the public sector: empirical evidence from the Emerging Economy of Dubai', </w:t>
      </w:r>
      <w:r w:rsidRPr="00DD2640">
        <w:rPr>
          <w:i/>
          <w:iCs/>
          <w:color w:val="000000"/>
        </w:rPr>
        <w:t>International journal of human resource management,</w:t>
      </w:r>
      <w:r w:rsidRPr="00DD2640">
        <w:rPr>
          <w:color w:val="000000"/>
        </w:rPr>
        <w:t>33, pp. 2256–2284(11) Available at: </w:t>
      </w:r>
      <w:hyperlink r:id="rId12" w:tgtFrame="_blank" w:history="1">
        <w:r w:rsidRPr="00DD2640">
          <w:rPr>
            <w:rStyle w:val="Hyperlink"/>
            <w:rFonts w:eastAsiaTheme="majorEastAsia"/>
            <w:color w:val="0066CC"/>
          </w:rPr>
          <w:t>https://doi.org/10.1080/09585192.2021.2001764</w:t>
        </w:r>
      </w:hyperlink>
      <w:r w:rsidRPr="00DD2640">
        <w:rPr>
          <w:color w:val="000000"/>
        </w:rPr>
        <w:t>.</w:t>
      </w:r>
    </w:p>
    <w:p w14:paraId="53D1D6E3" w14:textId="77777777" w:rsidR="00025579" w:rsidRPr="00DD2640" w:rsidRDefault="00025579" w:rsidP="00F0718D">
      <w:pPr>
        <w:pStyle w:val="Uni-Normal"/>
        <w:jc w:val="both"/>
        <w:rPr>
          <w:i/>
          <w:iCs/>
        </w:rPr>
      </w:pPr>
      <w:r w:rsidRPr="00DD2640">
        <w:rPr>
          <w:lang w:eastAsia="en-GB"/>
        </w:rPr>
        <w:t xml:space="preserve">Arora, M., Ahmad, V., Arora, T. and Kumar, R. (2024) 'Digital transformation and talent management' </w:t>
      </w:r>
      <w:r w:rsidRPr="00DD2640">
        <w:rPr>
          <w:i/>
          <w:iCs/>
          <w:lang w:eastAsia="en-GB"/>
        </w:rPr>
        <w:t>Green metaverse for greener economies. </w:t>
      </w:r>
      <w:r w:rsidRPr="00DD2640">
        <w:rPr>
          <w:lang w:eastAsia="en-GB"/>
        </w:rPr>
        <w:t>CRC Press, pp. 50–70.</w:t>
      </w:r>
    </w:p>
    <w:p w14:paraId="342DAC31" w14:textId="77777777" w:rsidR="00025579" w:rsidRPr="00FA2A9E" w:rsidRDefault="00025579" w:rsidP="00F0718D">
      <w:pPr>
        <w:pStyle w:val="Uni-Normal"/>
        <w:jc w:val="both"/>
        <w:rPr>
          <w:lang w:eastAsia="en-GB"/>
        </w:rPr>
      </w:pPr>
      <w:r w:rsidRPr="00FA2A9E">
        <w:rPr>
          <w:lang w:eastAsia="en-GB"/>
        </w:rPr>
        <w:lastRenderedPageBreak/>
        <w:t xml:space="preserve">Audit Wales (2023) </w:t>
      </w:r>
      <w:r w:rsidRPr="00FA2A9E">
        <w:rPr>
          <w:i/>
          <w:iCs/>
          <w:lang w:eastAsia="en-GB"/>
        </w:rPr>
        <w:t>Springing Forward: Lessons from our work on workforce and assets in local government.</w:t>
      </w:r>
      <w:r w:rsidRPr="00FA2A9E">
        <w:rPr>
          <w:lang w:eastAsia="en-GB"/>
        </w:rPr>
        <w:t xml:space="preserve"> Audit Wales. Available at: </w:t>
      </w:r>
      <w:hyperlink r:id="rId13" w:history="1">
        <w:r w:rsidRPr="00FA2A9E">
          <w:rPr>
            <w:rStyle w:val="Hyperlink"/>
            <w:lang w:eastAsia="en-GB"/>
          </w:rPr>
          <w:t>https://www.audit.wales/publication/springing-forward-lessons-our-work-workforce-and-assets</w:t>
        </w:r>
      </w:hyperlink>
      <w:r w:rsidRPr="00FA2A9E">
        <w:rPr>
          <w:lang w:eastAsia="en-GB"/>
        </w:rPr>
        <w:t xml:space="preserve">  (Accessed: 11 February 2026).</w:t>
      </w:r>
    </w:p>
    <w:p w14:paraId="57339297" w14:textId="77777777" w:rsidR="00025579" w:rsidRPr="00DD2640" w:rsidRDefault="00025579" w:rsidP="00F0718D">
      <w:pPr>
        <w:pStyle w:val="Uni-Normal"/>
        <w:jc w:val="both"/>
        <w:rPr>
          <w:i/>
          <w:iCs/>
        </w:rPr>
      </w:pPr>
      <w:r w:rsidRPr="00DD2640">
        <w:t xml:space="preserve">Becker, G. S. (1993). </w:t>
      </w:r>
      <w:r w:rsidRPr="00DD2640">
        <w:rPr>
          <w:i/>
          <w:iCs/>
        </w:rPr>
        <w:t xml:space="preserve">Human capital: A theoretical and empirical analysis with special reference to education. </w:t>
      </w:r>
    </w:p>
    <w:p w14:paraId="708B8CEF" w14:textId="77777777" w:rsidR="00025579" w:rsidRPr="00DD2640" w:rsidRDefault="00025579" w:rsidP="00F0718D">
      <w:pPr>
        <w:pStyle w:val="Uni-Normal"/>
        <w:jc w:val="both"/>
        <w:rPr>
          <w:color w:val="000000"/>
        </w:rPr>
      </w:pPr>
      <w:r w:rsidRPr="00DD2640">
        <w:rPr>
          <w:color w:val="000000"/>
        </w:rPr>
        <w:t xml:space="preserve">Boselie, P., </w:t>
      </w:r>
      <w:proofErr w:type="spellStart"/>
      <w:r w:rsidRPr="00DD2640">
        <w:rPr>
          <w:color w:val="000000"/>
        </w:rPr>
        <w:t>Thunnissen</w:t>
      </w:r>
      <w:proofErr w:type="spellEnd"/>
      <w:r w:rsidRPr="00DD2640">
        <w:rPr>
          <w:color w:val="000000"/>
        </w:rPr>
        <w:t xml:space="preserve">, M., </w:t>
      </w:r>
      <w:proofErr w:type="spellStart"/>
      <w:r w:rsidRPr="00DD2640">
        <w:rPr>
          <w:color w:val="000000"/>
        </w:rPr>
        <w:t>Mellahi</w:t>
      </w:r>
      <w:proofErr w:type="spellEnd"/>
      <w:r w:rsidRPr="00DD2640">
        <w:rPr>
          <w:color w:val="000000"/>
        </w:rPr>
        <w:t>, K., Collings, D.G. and Cascio, W.F. (2017) 'Talent Management in the Public Sector: Managing Tensions and Dualities</w:t>
      </w:r>
      <w:r>
        <w:rPr>
          <w:color w:val="000000"/>
        </w:rPr>
        <w:t xml:space="preserve"> </w:t>
      </w:r>
      <w:r w:rsidRPr="00DD2640">
        <w:rPr>
          <w:color w:val="000000"/>
        </w:rPr>
        <w:t>'Oxford Handbooks Oxford University Press.</w:t>
      </w:r>
    </w:p>
    <w:p w14:paraId="34AAA41C" w14:textId="77777777" w:rsidR="00025579" w:rsidRDefault="00025579" w:rsidP="00F0718D">
      <w:pPr>
        <w:pStyle w:val="Uni-Normal"/>
        <w:jc w:val="both"/>
        <w:rPr>
          <w:lang w:eastAsia="en-GB"/>
        </w:rPr>
      </w:pPr>
      <w:r w:rsidRPr="0073656C">
        <w:rPr>
          <w:lang w:eastAsia="en-GB"/>
        </w:rPr>
        <w:t>Braun, V. and Clarke, V. (2006) 'Using thematic analysis in psychology', </w:t>
      </w:r>
      <w:r w:rsidRPr="0073656C">
        <w:rPr>
          <w:i/>
          <w:iCs/>
          <w:lang w:eastAsia="en-GB"/>
        </w:rPr>
        <w:t>Qualitative Research in Psychology,</w:t>
      </w:r>
      <w:r w:rsidRPr="0073656C">
        <w:rPr>
          <w:lang w:eastAsia="en-GB"/>
        </w:rPr>
        <w:t> 3(2), pp. 77–101. Available at: </w:t>
      </w:r>
      <w:hyperlink r:id="rId14" w:tgtFrame="_blank" w:history="1">
        <w:r w:rsidRPr="0073656C">
          <w:rPr>
            <w:rStyle w:val="Hyperlink"/>
            <w:rFonts w:eastAsia="Times New Roman"/>
            <w:szCs w:val="24"/>
            <w:lang w:eastAsia="en-GB"/>
          </w:rPr>
          <w:t>https://doi.org/10.1191/1478088706qp063oa</w:t>
        </w:r>
      </w:hyperlink>
      <w:r w:rsidRPr="0073656C">
        <w:rPr>
          <w:lang w:eastAsia="en-GB"/>
        </w:rPr>
        <w:t>.</w:t>
      </w:r>
    </w:p>
    <w:p w14:paraId="1166A69C" w14:textId="77777777" w:rsidR="00025579" w:rsidRPr="002370A4" w:rsidRDefault="00025579" w:rsidP="00F0718D">
      <w:pPr>
        <w:pStyle w:val="Uni-Normal"/>
        <w:jc w:val="both"/>
        <w:rPr>
          <w:lang w:eastAsia="en-GB"/>
        </w:rPr>
      </w:pPr>
      <w:r w:rsidRPr="002370A4">
        <w:t>Bryman, A. (2016) </w:t>
      </w:r>
      <w:r w:rsidRPr="002370A4">
        <w:rPr>
          <w:i/>
          <w:iCs/>
        </w:rPr>
        <w:t>Social research methods</w:t>
      </w:r>
      <w:r w:rsidRPr="002370A4">
        <w:t xml:space="preserve">. 5th ed. </w:t>
      </w:r>
      <w:proofErr w:type="gramStart"/>
      <w:r w:rsidRPr="002370A4">
        <w:t>Oxford ;</w:t>
      </w:r>
      <w:proofErr w:type="gramEnd"/>
      <w:r w:rsidRPr="002370A4">
        <w:t xml:space="preserve"> Oxford University Press.</w:t>
      </w:r>
    </w:p>
    <w:p w14:paraId="2A125962" w14:textId="77777777" w:rsidR="00025579" w:rsidRPr="00D20010" w:rsidRDefault="00025579" w:rsidP="00F0718D">
      <w:pPr>
        <w:pStyle w:val="Uni-Normal"/>
        <w:jc w:val="both"/>
        <w:rPr>
          <w:lang w:eastAsia="en-GB"/>
        </w:rPr>
      </w:pPr>
      <w:r w:rsidRPr="00D20010">
        <w:rPr>
          <w:lang w:eastAsia="en-GB"/>
        </w:rPr>
        <w:t xml:space="preserve">Calo, T.J. (2008) ‘Talent management in the era of the aging workforce: The critical role of knowledge transfer’, </w:t>
      </w:r>
      <w:r w:rsidRPr="00D20010">
        <w:rPr>
          <w:i/>
          <w:iCs/>
          <w:lang w:eastAsia="en-GB"/>
        </w:rPr>
        <w:t>Public Personnel Management</w:t>
      </w:r>
      <w:r w:rsidRPr="00D20010">
        <w:rPr>
          <w:lang w:eastAsia="en-GB"/>
        </w:rPr>
        <w:t xml:space="preserve">, 37(4), pp. 403–416. Available at: </w:t>
      </w:r>
      <w:hyperlink r:id="rId15" w:history="1">
        <w:r w:rsidRPr="00D20010">
          <w:rPr>
            <w:rStyle w:val="Hyperlink"/>
            <w:lang w:eastAsia="en-GB"/>
          </w:rPr>
          <w:t>https://doi.org/10.1177/009102600803700403</w:t>
        </w:r>
      </w:hyperlink>
      <w:r w:rsidRPr="00D20010">
        <w:rPr>
          <w:lang w:eastAsia="en-GB"/>
        </w:rPr>
        <w:t>.</w:t>
      </w:r>
      <w:r>
        <w:rPr>
          <w:lang w:eastAsia="en-GB"/>
        </w:rPr>
        <w:t xml:space="preserve"> </w:t>
      </w:r>
    </w:p>
    <w:p w14:paraId="1CFBCC9C" w14:textId="77777777" w:rsidR="00025579" w:rsidRPr="00CF5C5E" w:rsidRDefault="00025579" w:rsidP="00CF5C5E">
      <w:pPr>
        <w:pStyle w:val="Uni-Normal"/>
        <w:jc w:val="both"/>
        <w:rPr>
          <w:color w:val="000000"/>
        </w:rPr>
      </w:pPr>
      <w:r w:rsidRPr="00CF5C5E">
        <w:rPr>
          <w:color w:val="000000"/>
        </w:rPr>
        <w:t>Cappelli, P. and Keller, J.R. (2017) ‘The Historical Context of Talent Management’, in The Oxford Handbook of Talent Management. Oxford: Oxford University Press.</w:t>
      </w:r>
    </w:p>
    <w:p w14:paraId="02E54582" w14:textId="77777777" w:rsidR="00025579" w:rsidRDefault="00025579" w:rsidP="00F0718D">
      <w:pPr>
        <w:pStyle w:val="Uni-Normal"/>
        <w:jc w:val="both"/>
        <w:rPr>
          <w:lang w:eastAsia="en-GB"/>
        </w:rPr>
      </w:pPr>
      <w:r w:rsidRPr="002C5232">
        <w:rPr>
          <w:lang w:eastAsia="en-GB"/>
        </w:rPr>
        <w:t xml:space="preserve">CIPD (2024) </w:t>
      </w:r>
      <w:r w:rsidRPr="002C5232">
        <w:rPr>
          <w:i/>
          <w:iCs/>
          <w:lang w:eastAsia="en-GB"/>
        </w:rPr>
        <w:t>Talent Management</w:t>
      </w:r>
      <w:r w:rsidRPr="002C5232">
        <w:rPr>
          <w:lang w:eastAsia="en-GB"/>
        </w:rPr>
        <w:t xml:space="preserve">, </w:t>
      </w:r>
      <w:r w:rsidRPr="002C5232">
        <w:rPr>
          <w:i/>
          <w:iCs/>
          <w:lang w:eastAsia="en-GB"/>
        </w:rPr>
        <w:t>CIPD</w:t>
      </w:r>
      <w:r w:rsidRPr="002C5232">
        <w:rPr>
          <w:lang w:eastAsia="en-GB"/>
        </w:rPr>
        <w:t xml:space="preserve">. Available at: </w:t>
      </w:r>
      <w:hyperlink r:id="rId16" w:history="1">
        <w:r w:rsidRPr="002C5232">
          <w:rPr>
            <w:rStyle w:val="Hyperlink"/>
            <w:lang w:eastAsia="en-GB"/>
          </w:rPr>
          <w:t>https://www.cipd.org/uk/knowledge/factsheets/talent-factsheet/</w:t>
        </w:r>
      </w:hyperlink>
      <w:r>
        <w:rPr>
          <w:lang w:eastAsia="en-GB"/>
        </w:rPr>
        <w:t xml:space="preserve"> </w:t>
      </w:r>
      <w:r w:rsidRPr="002C5232">
        <w:rPr>
          <w:lang w:eastAsia="en-GB"/>
        </w:rPr>
        <w:t xml:space="preserve"> (Accessed: 8 January 2026).</w:t>
      </w:r>
      <w:r>
        <w:rPr>
          <w:lang w:eastAsia="en-GB"/>
        </w:rPr>
        <w:t xml:space="preserve"> </w:t>
      </w:r>
    </w:p>
    <w:p w14:paraId="30A82E9F" w14:textId="77777777" w:rsidR="00025579" w:rsidRPr="00DD2640" w:rsidRDefault="00025579" w:rsidP="00F0718D">
      <w:pPr>
        <w:pStyle w:val="Uni-Normal"/>
        <w:jc w:val="both"/>
        <w:rPr>
          <w:lang w:eastAsia="en-GB"/>
        </w:rPr>
      </w:pPr>
      <w:r w:rsidRPr="00DD2640">
        <w:rPr>
          <w:lang w:eastAsia="en-GB"/>
        </w:rPr>
        <w:t xml:space="preserve">CIPD (2024a) </w:t>
      </w:r>
      <w:r w:rsidRPr="00DD2640">
        <w:rPr>
          <w:i/>
          <w:iCs/>
          <w:lang w:eastAsia="en-GB"/>
        </w:rPr>
        <w:t>Strategic Human Resource Management | Factsheets</w:t>
      </w:r>
      <w:r w:rsidRPr="00DD2640">
        <w:rPr>
          <w:lang w:eastAsia="en-GB"/>
        </w:rPr>
        <w:t xml:space="preserve">, </w:t>
      </w:r>
      <w:r w:rsidRPr="00DD2640">
        <w:rPr>
          <w:i/>
          <w:iCs/>
          <w:lang w:eastAsia="en-GB"/>
        </w:rPr>
        <w:t>CIPD</w:t>
      </w:r>
      <w:r w:rsidRPr="00DD2640">
        <w:rPr>
          <w:lang w:eastAsia="en-GB"/>
        </w:rPr>
        <w:t xml:space="preserve">. Available at: </w:t>
      </w:r>
      <w:hyperlink r:id="rId17" w:history="1">
        <w:r w:rsidRPr="00DD2640">
          <w:rPr>
            <w:rStyle w:val="Hyperlink"/>
            <w:rFonts w:eastAsia="Times New Roman"/>
            <w:szCs w:val="24"/>
            <w:lang w:eastAsia="en-GB"/>
          </w:rPr>
          <w:t>https://www.cipd.org/en/knowledge/factsheets/strategic-hrm-factsheet/</w:t>
        </w:r>
      </w:hyperlink>
      <w:r w:rsidRPr="00DD2640">
        <w:rPr>
          <w:lang w:eastAsia="en-GB"/>
        </w:rPr>
        <w:t xml:space="preserve">. </w:t>
      </w:r>
      <w:r w:rsidRPr="00DD2640">
        <w:t>(Accessed: 22 December 2025).</w:t>
      </w:r>
    </w:p>
    <w:p w14:paraId="3F114B8D" w14:textId="77777777" w:rsidR="00025579" w:rsidRPr="00DD2640" w:rsidRDefault="00025579" w:rsidP="00F0718D">
      <w:pPr>
        <w:pStyle w:val="Uni-Normal"/>
        <w:jc w:val="both"/>
      </w:pPr>
      <w:r w:rsidRPr="00DD2640">
        <w:rPr>
          <w:lang w:eastAsia="en-GB"/>
        </w:rPr>
        <w:t xml:space="preserve">Civica (2025) </w:t>
      </w:r>
      <w:r w:rsidRPr="00DD2640">
        <w:rPr>
          <w:i/>
          <w:iCs/>
          <w:lang w:eastAsia="en-GB"/>
        </w:rPr>
        <w:t>How digital transformation shapes the future of local governments.</w:t>
      </w:r>
      <w:r w:rsidRPr="00DD2640">
        <w:rPr>
          <w:lang w:eastAsia="en-GB"/>
        </w:rPr>
        <w:br/>
        <w:t xml:space="preserve">Available at: </w:t>
      </w:r>
      <w:hyperlink r:id="rId18" w:history="1">
        <w:r w:rsidRPr="00DD2640">
          <w:rPr>
            <w:rStyle w:val="Hyperlink"/>
            <w:szCs w:val="24"/>
            <w:lang w:eastAsia="en-GB"/>
          </w:rPr>
          <w:t>https://www.civica.com/en-gb/reports/all-uk-reports/the-future-of-local-government-report-2025</w:t>
        </w:r>
      </w:hyperlink>
      <w:r w:rsidRPr="00DD2640">
        <w:rPr>
          <w:lang w:eastAsia="en-GB"/>
        </w:rPr>
        <w:t xml:space="preserve">  (Accessed: 21 January 2026).</w:t>
      </w:r>
    </w:p>
    <w:p w14:paraId="158C3D23" w14:textId="77777777" w:rsidR="00025579" w:rsidRPr="00DD2640" w:rsidRDefault="00025579" w:rsidP="00F0718D">
      <w:pPr>
        <w:pStyle w:val="Uni-Normal"/>
        <w:jc w:val="both"/>
      </w:pPr>
      <w:r w:rsidRPr="00DD2640">
        <w:t>Clarke, M. (2017) 'Building employability through graduate development programmes: A case study in an Australian public sector organisation', </w:t>
      </w:r>
      <w:r w:rsidRPr="00DD2640">
        <w:rPr>
          <w:i/>
          <w:iCs/>
        </w:rPr>
        <w:t>Personnel Review,</w:t>
      </w:r>
      <w:r w:rsidRPr="00DD2640">
        <w:t>46(4). Available at: </w:t>
      </w:r>
      <w:hyperlink r:id="rId19" w:tgtFrame="_blank" w:history="1">
        <w:r w:rsidRPr="00DD2640">
          <w:rPr>
            <w:rStyle w:val="Hyperlink"/>
          </w:rPr>
          <w:t>https://doi.org/10.1108/PR-12-2015-0321</w:t>
        </w:r>
      </w:hyperlink>
      <w:r w:rsidRPr="00DD2640">
        <w:t xml:space="preserve">. </w:t>
      </w:r>
    </w:p>
    <w:p w14:paraId="4012242F" w14:textId="77777777" w:rsidR="00025579" w:rsidRPr="00DD2640" w:rsidRDefault="00025579" w:rsidP="00F0718D">
      <w:pPr>
        <w:pStyle w:val="Uni-Normal"/>
        <w:jc w:val="both"/>
        <w:rPr>
          <w:color w:val="000000"/>
        </w:rPr>
      </w:pPr>
      <w:r w:rsidRPr="00DD2640">
        <w:rPr>
          <w:color w:val="000000"/>
        </w:rPr>
        <w:lastRenderedPageBreak/>
        <w:t>Clarke, M. and Scurry, T. (2020) 'The role of the psychological contract in shaping graduate experiences: a study of public sector talent management programmes in the UK and Australia', </w:t>
      </w:r>
      <w:r w:rsidRPr="00DD2640">
        <w:rPr>
          <w:i/>
          <w:iCs/>
          <w:color w:val="000000"/>
        </w:rPr>
        <w:t>International journal of human resource management,</w:t>
      </w:r>
      <w:r w:rsidRPr="00DD2640">
        <w:rPr>
          <w:color w:val="000000"/>
        </w:rPr>
        <w:t>31, pp. 965–991(8) Available at: </w:t>
      </w:r>
      <w:hyperlink r:id="rId20" w:tgtFrame="_blank" w:history="1">
        <w:r w:rsidRPr="00DD2640">
          <w:rPr>
            <w:rStyle w:val="Hyperlink"/>
            <w:rFonts w:eastAsiaTheme="majorEastAsia"/>
            <w:color w:val="0066CC"/>
          </w:rPr>
          <w:t>https://doi.org/10.1080/09585192.2017.1396545</w:t>
        </w:r>
      </w:hyperlink>
      <w:r w:rsidRPr="00DD2640">
        <w:rPr>
          <w:color w:val="000000"/>
        </w:rPr>
        <w:t>.</w:t>
      </w:r>
    </w:p>
    <w:p w14:paraId="1302E8F5" w14:textId="77777777" w:rsidR="00025579" w:rsidRDefault="00025579" w:rsidP="00F0718D">
      <w:pPr>
        <w:pStyle w:val="Uni-Normal"/>
        <w:jc w:val="both"/>
        <w:rPr>
          <w:lang w:eastAsia="en-GB"/>
        </w:rPr>
      </w:pPr>
      <w:r w:rsidRPr="0087346F">
        <w:rPr>
          <w:lang w:eastAsia="en-GB"/>
        </w:rPr>
        <w:t>Cobern, W. and Adams, B. (2020) 'Establishing survey validity: A practical guide', </w:t>
      </w:r>
      <w:r w:rsidRPr="0087346F">
        <w:rPr>
          <w:i/>
          <w:iCs/>
          <w:lang w:eastAsia="en-GB"/>
        </w:rPr>
        <w:t>International Journal of Assessment Tools in Education,</w:t>
      </w:r>
      <w:r w:rsidRPr="0087346F">
        <w:rPr>
          <w:lang w:eastAsia="en-GB"/>
        </w:rPr>
        <w:t> 7(3), pp. 404–</w:t>
      </w:r>
      <w:proofErr w:type="gramStart"/>
      <w:r w:rsidRPr="0087346F">
        <w:rPr>
          <w:lang w:eastAsia="en-GB"/>
        </w:rPr>
        <w:t>419..</w:t>
      </w:r>
      <w:proofErr w:type="gramEnd"/>
    </w:p>
    <w:p w14:paraId="71AFB639" w14:textId="77777777" w:rsidR="00025579" w:rsidRPr="00DD2640" w:rsidRDefault="00025579" w:rsidP="00F0718D">
      <w:pPr>
        <w:pStyle w:val="Uni-Normal"/>
        <w:jc w:val="both"/>
      </w:pPr>
      <w:r w:rsidRPr="00DD2640">
        <w:rPr>
          <w:i/>
          <w:iCs/>
        </w:rPr>
        <w:t>Council research into talent management 2024/2025</w:t>
      </w:r>
      <w:r w:rsidRPr="00DD2640">
        <w:t xml:space="preserve"> (2024) </w:t>
      </w:r>
      <w:r w:rsidRPr="00DD2640">
        <w:rPr>
          <w:i/>
          <w:iCs/>
        </w:rPr>
        <w:t>Local.gov.uk</w:t>
      </w:r>
      <w:r w:rsidRPr="00DD2640">
        <w:t xml:space="preserve">. Local Government Association. Available at: </w:t>
      </w:r>
      <w:hyperlink r:id="rId21" w:history="1">
        <w:r w:rsidRPr="00DD2640">
          <w:rPr>
            <w:rStyle w:val="Hyperlink"/>
          </w:rPr>
          <w:t>https://www.local.gov.uk/our-support/workforce-and-hr-support/recruitment-and-retention/council-research-talent-management</w:t>
        </w:r>
      </w:hyperlink>
      <w:r w:rsidRPr="00DD2640">
        <w:t xml:space="preserve">  (Accessed: 12 December 2025).</w:t>
      </w:r>
    </w:p>
    <w:p w14:paraId="7CEEA3E3" w14:textId="77777777" w:rsidR="00025579" w:rsidRDefault="00025579" w:rsidP="00F0718D">
      <w:pPr>
        <w:pStyle w:val="Uni-Normal"/>
        <w:jc w:val="both"/>
        <w:rPr>
          <w:lang w:eastAsia="en-GB"/>
        </w:rPr>
      </w:pPr>
      <w:r w:rsidRPr="00CC7BA2">
        <w:rPr>
          <w:lang w:eastAsia="en-GB"/>
        </w:rPr>
        <w:t>Creswell, J.W. (2014) Research design: Qualitative, quantitative</w:t>
      </w:r>
      <w:r>
        <w:rPr>
          <w:lang w:eastAsia="en-GB"/>
        </w:rPr>
        <w:t xml:space="preserve"> and</w:t>
      </w:r>
      <w:r w:rsidRPr="00CC7BA2">
        <w:rPr>
          <w:lang w:eastAsia="en-GB"/>
        </w:rPr>
        <w:t xml:space="preserve"> mixed methods </w:t>
      </w:r>
      <w:proofErr w:type="gramStart"/>
      <w:r w:rsidRPr="00CC7BA2">
        <w:rPr>
          <w:lang w:eastAsia="en-GB"/>
        </w:rPr>
        <w:t>approaches</w:t>
      </w:r>
      <w:proofErr w:type="gramEnd"/>
      <w:r w:rsidRPr="00CC7BA2">
        <w:rPr>
          <w:lang w:eastAsia="en-GB"/>
        </w:rPr>
        <w:t>. New Delhi: SAGE Publications.</w:t>
      </w:r>
    </w:p>
    <w:p w14:paraId="6A122CFB" w14:textId="77777777" w:rsidR="00025579" w:rsidRPr="00DD2640" w:rsidRDefault="00025579" w:rsidP="00F0718D">
      <w:pPr>
        <w:pStyle w:val="Uni-Normal"/>
        <w:jc w:val="both"/>
      </w:pPr>
      <w:r w:rsidRPr="00DD2640">
        <w:t>Cross Walker, T. (2020) 'Inclusive talent management in the public sector: theory and practice', </w:t>
      </w:r>
      <w:r w:rsidRPr="00DD2640">
        <w:rPr>
          <w:i/>
          <w:iCs/>
        </w:rPr>
        <w:t>Transnational Corporations Review,</w:t>
      </w:r>
      <w:r w:rsidRPr="00DD2640">
        <w:t>12, pp. 140–148(2) Available at: </w:t>
      </w:r>
      <w:hyperlink r:id="rId22" w:tgtFrame="_blank" w:history="1">
        <w:r w:rsidRPr="00DD2640">
          <w:rPr>
            <w:rStyle w:val="Hyperlink"/>
          </w:rPr>
          <w:t>https://doi.org/10.1080/19186444.2020.1741296</w:t>
        </w:r>
      </w:hyperlink>
      <w:r w:rsidRPr="00DD2640">
        <w:t>.</w:t>
      </w:r>
    </w:p>
    <w:p w14:paraId="56547A37" w14:textId="77777777" w:rsidR="00025579" w:rsidRDefault="00025579" w:rsidP="00F0718D">
      <w:pPr>
        <w:pStyle w:val="Uni-Normal"/>
        <w:jc w:val="both"/>
        <w:rPr>
          <w:lang w:eastAsia="en-GB"/>
        </w:rPr>
      </w:pPr>
      <w:r w:rsidRPr="00A90CCB">
        <w:rPr>
          <w:lang w:eastAsia="en-GB"/>
        </w:rPr>
        <w:t>Crotty, M. (1998) </w:t>
      </w:r>
      <w:r w:rsidRPr="00A90CCB">
        <w:rPr>
          <w:i/>
          <w:iCs/>
          <w:lang w:eastAsia="en-GB"/>
        </w:rPr>
        <w:t xml:space="preserve">The foundations of social </w:t>
      </w:r>
      <w:proofErr w:type="gramStart"/>
      <w:r w:rsidRPr="00A90CCB">
        <w:rPr>
          <w:i/>
          <w:iCs/>
          <w:lang w:eastAsia="en-GB"/>
        </w:rPr>
        <w:t>research :</w:t>
      </w:r>
      <w:proofErr w:type="gramEnd"/>
      <w:r w:rsidRPr="00A90CCB">
        <w:rPr>
          <w:i/>
          <w:iCs/>
          <w:lang w:eastAsia="en-GB"/>
        </w:rPr>
        <w:t xml:space="preserve"> meaning and perspective in the research process. </w:t>
      </w:r>
      <w:r w:rsidRPr="00A90CCB">
        <w:rPr>
          <w:lang w:eastAsia="en-GB"/>
        </w:rPr>
        <w:t>SAGE.</w:t>
      </w:r>
    </w:p>
    <w:p w14:paraId="01E17271" w14:textId="77777777" w:rsidR="00025579" w:rsidRPr="00CC7BA2" w:rsidRDefault="00025579" w:rsidP="0018277C">
      <w:pPr>
        <w:pStyle w:val="Uni-Normal"/>
        <w:rPr>
          <w:lang w:eastAsia="en-GB"/>
        </w:rPr>
      </w:pPr>
      <w:r w:rsidRPr="00D20010">
        <w:rPr>
          <w:lang w:eastAsia="en-GB"/>
        </w:rPr>
        <w:t xml:space="preserve">Cruse, M. (2025) ‘Study: Different generations &amp; attitude to work in the UK’, </w:t>
      </w:r>
      <w:proofErr w:type="spellStart"/>
      <w:r w:rsidRPr="00D20010">
        <w:rPr>
          <w:i/>
          <w:iCs/>
          <w:lang w:eastAsia="en-GB"/>
        </w:rPr>
        <w:t>CreatePay</w:t>
      </w:r>
      <w:proofErr w:type="spellEnd"/>
      <w:r w:rsidRPr="00D20010">
        <w:rPr>
          <w:lang w:eastAsia="en-GB"/>
        </w:rPr>
        <w:t xml:space="preserve">. Available at: </w:t>
      </w:r>
      <w:hyperlink r:id="rId23" w:history="1">
        <w:r w:rsidRPr="00D20010">
          <w:rPr>
            <w:rStyle w:val="Hyperlink"/>
            <w:lang w:eastAsia="en-GB"/>
          </w:rPr>
          <w:t>https://www.createpay.com/study-different-generations-attitude-to-work-in-the-uk/</w:t>
        </w:r>
      </w:hyperlink>
      <w:r>
        <w:rPr>
          <w:lang w:eastAsia="en-GB"/>
        </w:rPr>
        <w:t xml:space="preserve"> </w:t>
      </w:r>
      <w:r w:rsidRPr="00D20010">
        <w:rPr>
          <w:lang w:eastAsia="en-GB"/>
        </w:rPr>
        <w:t xml:space="preserve"> (Accessed: 30 November 2025).</w:t>
      </w:r>
    </w:p>
    <w:p w14:paraId="40F00017" w14:textId="77777777" w:rsidR="00025579" w:rsidRPr="00DD2640" w:rsidRDefault="00025579" w:rsidP="00F0718D">
      <w:pPr>
        <w:pStyle w:val="Uni-Normal"/>
        <w:jc w:val="both"/>
        <w:rPr>
          <w:color w:val="000000"/>
        </w:rPr>
      </w:pPr>
      <w:r w:rsidRPr="00DD2640">
        <w:rPr>
          <w:color w:val="000000"/>
        </w:rPr>
        <w:t xml:space="preserve">da Vieira, J., Costa, C.G. and Santos, V. (2024) 'Talent management and </w:t>
      </w:r>
      <w:r>
        <w:rPr>
          <w:color w:val="000000"/>
        </w:rPr>
        <w:t>Gen Z</w:t>
      </w:r>
      <w:r w:rsidRPr="00DD2640">
        <w:rPr>
          <w:color w:val="000000"/>
        </w:rPr>
        <w:t>: A systematic literature review through the lens of employer branding', </w:t>
      </w:r>
      <w:r w:rsidRPr="00DD2640">
        <w:rPr>
          <w:i/>
          <w:iCs/>
          <w:color w:val="000000"/>
        </w:rPr>
        <w:t>Administrative sciences,</w:t>
      </w:r>
      <w:r w:rsidRPr="00DD2640">
        <w:rPr>
          <w:color w:val="000000"/>
        </w:rPr>
        <w:t>14, pp. 1–24(3) Available at: </w:t>
      </w:r>
      <w:hyperlink r:id="rId24" w:tgtFrame="_blank" w:history="1">
        <w:r w:rsidRPr="00DD2640">
          <w:rPr>
            <w:rStyle w:val="Hyperlink"/>
            <w:rFonts w:eastAsiaTheme="majorEastAsia"/>
            <w:color w:val="0066CC"/>
          </w:rPr>
          <w:t>https://doi.org/10.3390/admsci14030049</w:t>
        </w:r>
      </w:hyperlink>
      <w:r w:rsidRPr="00DD2640">
        <w:rPr>
          <w:color w:val="000000"/>
        </w:rPr>
        <w:t>.</w:t>
      </w:r>
    </w:p>
    <w:p w14:paraId="52403E2F" w14:textId="77777777" w:rsidR="00025579" w:rsidRPr="00DD2640" w:rsidRDefault="00025579" w:rsidP="00F0718D">
      <w:pPr>
        <w:pStyle w:val="Uni-Normal"/>
        <w:jc w:val="both"/>
      </w:pPr>
      <w:r w:rsidRPr="00DD2640">
        <w:t xml:space="preserve">Dangmei, J. and Singh, A. (2016) 'Understanding the </w:t>
      </w:r>
      <w:r>
        <w:t>Gen Z</w:t>
      </w:r>
      <w:r w:rsidRPr="00DD2640">
        <w:t>: the future workforce', </w:t>
      </w:r>
      <w:r w:rsidRPr="00DD2640">
        <w:rPr>
          <w:i/>
          <w:iCs/>
        </w:rPr>
        <w:t>South-Asian journal of multidisciplinary studies,</w:t>
      </w:r>
      <w:r w:rsidRPr="00DD2640">
        <w:t>3, pp. 1–5(3).</w:t>
      </w:r>
    </w:p>
    <w:p w14:paraId="059E7B07" w14:textId="77777777" w:rsidR="00025579" w:rsidRPr="00D20010" w:rsidRDefault="00025579" w:rsidP="00F0718D">
      <w:pPr>
        <w:pStyle w:val="Uni-Normal"/>
        <w:jc w:val="both"/>
        <w:rPr>
          <w:lang w:eastAsia="en-GB"/>
        </w:rPr>
      </w:pPr>
      <w:r w:rsidRPr="00D20010">
        <w:rPr>
          <w:lang w:eastAsia="en-GB"/>
        </w:rPr>
        <w:t xml:space="preserve">Deegan, P., Thomas, E., Pykett, B., Ballmann, E., Edwards, S., Maker, J. and Woods, A. (2024) ‘Workforce of the future industry in focus’, </w:t>
      </w:r>
      <w:r w:rsidRPr="00D20010">
        <w:rPr>
          <w:i/>
          <w:iCs/>
          <w:lang w:eastAsia="en-GB"/>
        </w:rPr>
        <w:t>County Councils Network</w:t>
      </w:r>
      <w:r w:rsidRPr="00D20010">
        <w:rPr>
          <w:lang w:eastAsia="en-GB"/>
        </w:rPr>
        <w:t xml:space="preserve">. Available at: </w:t>
      </w:r>
      <w:hyperlink r:id="rId25" w:history="1">
        <w:r w:rsidRPr="00D20010">
          <w:rPr>
            <w:rStyle w:val="Hyperlink"/>
            <w:lang w:eastAsia="en-GB"/>
          </w:rPr>
          <w:t>https://www.countycouncilsnetwork.org.uk/wp-content/uploads/County-Councils-Network-Workforce-of-the-Future_final.pdf</w:t>
        </w:r>
      </w:hyperlink>
      <w:r>
        <w:rPr>
          <w:lang w:eastAsia="en-GB"/>
        </w:rPr>
        <w:t xml:space="preserve"> </w:t>
      </w:r>
      <w:r w:rsidRPr="00D20010">
        <w:rPr>
          <w:lang w:eastAsia="en-GB"/>
        </w:rPr>
        <w:t xml:space="preserve"> (Accessed: 30 November 2025).</w:t>
      </w:r>
    </w:p>
    <w:p w14:paraId="2BE268E0" w14:textId="77777777" w:rsidR="00025579" w:rsidRPr="00DD2640" w:rsidRDefault="00025579" w:rsidP="00F0718D">
      <w:pPr>
        <w:pStyle w:val="Uni-Normal"/>
        <w:jc w:val="both"/>
      </w:pPr>
      <w:r w:rsidRPr="00DD2640">
        <w:t xml:space="preserve">Demetriou, N. (2024) </w:t>
      </w:r>
      <w:r w:rsidRPr="00DD2640">
        <w:rPr>
          <w:i/>
          <w:iCs/>
        </w:rPr>
        <w:t>Gen Z at Work: How They Compare (Infographic) | Human Resources</w:t>
      </w:r>
      <w:r w:rsidRPr="00DD2640">
        <w:t xml:space="preserve">, </w:t>
      </w:r>
      <w:r w:rsidRPr="00DD2640">
        <w:rPr>
          <w:i/>
          <w:iCs/>
        </w:rPr>
        <w:t>DPG</w:t>
      </w:r>
      <w:r w:rsidRPr="00DD2640">
        <w:t xml:space="preserve">. Available at: </w:t>
      </w:r>
      <w:hyperlink r:id="rId26" w:history="1">
        <w:r w:rsidRPr="00DD2640">
          <w:rPr>
            <w:rStyle w:val="Hyperlink"/>
          </w:rPr>
          <w:t>https://dpglearn.co.uk/blog/human-resources/gen-z-at-work-how-they-compare-infographic/</w:t>
        </w:r>
      </w:hyperlink>
      <w:r w:rsidRPr="00DD2640">
        <w:t xml:space="preserve">  (Accessed: 14 November 2025).</w:t>
      </w:r>
    </w:p>
    <w:p w14:paraId="27DE2F18" w14:textId="77777777" w:rsidR="00025579" w:rsidRPr="000C6679" w:rsidRDefault="00025579" w:rsidP="00F0718D">
      <w:pPr>
        <w:pStyle w:val="Uni-Normal"/>
        <w:jc w:val="both"/>
        <w:rPr>
          <w:lang w:eastAsia="en-GB"/>
        </w:rPr>
      </w:pPr>
      <w:r w:rsidRPr="000C6679">
        <w:rPr>
          <w:lang w:eastAsia="en-GB"/>
        </w:rPr>
        <w:t xml:space="preserve">Denzin, N.K. and Lincoln, Y.S. (2005) </w:t>
      </w:r>
      <w:r w:rsidRPr="000C6679">
        <w:rPr>
          <w:i/>
          <w:iCs/>
          <w:lang w:eastAsia="en-GB"/>
        </w:rPr>
        <w:t>The Sage handbook of qualitative research</w:t>
      </w:r>
      <w:r w:rsidRPr="000C6679">
        <w:rPr>
          <w:lang w:eastAsia="en-GB"/>
        </w:rPr>
        <w:t xml:space="preserve">. 3rd </w:t>
      </w:r>
      <w:proofErr w:type="spellStart"/>
      <w:r w:rsidRPr="000C6679">
        <w:rPr>
          <w:lang w:eastAsia="en-GB"/>
        </w:rPr>
        <w:t>edn</w:t>
      </w:r>
      <w:proofErr w:type="spellEnd"/>
      <w:r w:rsidRPr="000C6679">
        <w:rPr>
          <w:lang w:eastAsia="en-GB"/>
        </w:rPr>
        <w:t>. Thousand Oaks, CA: Sage Publications.</w:t>
      </w:r>
    </w:p>
    <w:p w14:paraId="11C17DC5" w14:textId="77777777" w:rsidR="00025579" w:rsidRPr="002370A4" w:rsidRDefault="00025579" w:rsidP="00F0718D">
      <w:pPr>
        <w:pStyle w:val="Uni-Normal"/>
        <w:jc w:val="both"/>
      </w:pPr>
      <w:r w:rsidRPr="002370A4">
        <w:t>Dillman, D.A. (2007) </w:t>
      </w:r>
      <w:r w:rsidRPr="002370A4">
        <w:rPr>
          <w:i/>
          <w:iCs/>
        </w:rPr>
        <w:t xml:space="preserve">Mail and internet </w:t>
      </w:r>
      <w:proofErr w:type="gramStart"/>
      <w:r w:rsidRPr="002370A4">
        <w:rPr>
          <w:i/>
          <w:iCs/>
        </w:rPr>
        <w:t>surveys :</w:t>
      </w:r>
      <w:proofErr w:type="gramEnd"/>
      <w:r w:rsidRPr="002370A4">
        <w:rPr>
          <w:i/>
          <w:iCs/>
        </w:rPr>
        <w:t xml:space="preserve"> the tailored design method. </w:t>
      </w:r>
      <w:r w:rsidRPr="002370A4">
        <w:t xml:space="preserve">2nd </w:t>
      </w:r>
      <w:proofErr w:type="spellStart"/>
      <w:r w:rsidRPr="002370A4">
        <w:t>edn</w:t>
      </w:r>
      <w:proofErr w:type="spellEnd"/>
      <w:r w:rsidRPr="002370A4">
        <w:t>. John Wiley &amp; Sons, Inc.</w:t>
      </w:r>
    </w:p>
    <w:p w14:paraId="47029E12" w14:textId="77777777" w:rsidR="00025579" w:rsidRDefault="00025579" w:rsidP="00F0718D">
      <w:pPr>
        <w:pStyle w:val="Uni-Normal"/>
        <w:jc w:val="both"/>
      </w:pPr>
      <w:proofErr w:type="spellStart"/>
      <w:r>
        <w:t>Evandrou</w:t>
      </w:r>
      <w:proofErr w:type="spellEnd"/>
      <w:r>
        <w:t xml:space="preserve">, M. </w:t>
      </w:r>
      <w:r>
        <w:rPr>
          <w:i/>
          <w:iCs/>
        </w:rPr>
        <w:t>et al.</w:t>
      </w:r>
      <w:r>
        <w:t xml:space="preserve"> (2015) </w:t>
      </w:r>
      <w:r>
        <w:rPr>
          <w:i/>
          <w:iCs/>
        </w:rPr>
        <w:t xml:space="preserve">Local Government Knowledge Navigator Local Government and the Demography of Ageing </w:t>
      </w:r>
      <w:proofErr w:type="gramStart"/>
      <w:r>
        <w:rPr>
          <w:i/>
          <w:iCs/>
        </w:rPr>
        <w:t>A</w:t>
      </w:r>
      <w:proofErr w:type="gramEnd"/>
      <w:r>
        <w:rPr>
          <w:i/>
          <w:iCs/>
        </w:rPr>
        <w:t xml:space="preserve"> Joint Commission by the Local Government Knowledge Navigator and the Local Government Association Review Number Five NEED KNOW CPC centre for population change</w:t>
      </w:r>
      <w:r>
        <w:t xml:space="preserve">. Available at: </w:t>
      </w:r>
      <w:hyperlink r:id="rId27" w:history="1">
        <w:r w:rsidRPr="00C0319D">
          <w:rPr>
            <w:rStyle w:val="Hyperlink"/>
          </w:rPr>
          <w:t>https://www2.local.gov.uk/sites/default/files/documents/knowledge%20navigator%20and%20the%20demography%20of%20ageing.pdf</w:t>
        </w:r>
      </w:hyperlink>
      <w:r>
        <w:t xml:space="preserve">  (Accessed: 20 January 2026).</w:t>
      </w:r>
    </w:p>
    <w:p w14:paraId="4A76F886" w14:textId="77777777" w:rsidR="00025579" w:rsidRDefault="00025579" w:rsidP="00F0718D">
      <w:pPr>
        <w:pStyle w:val="Uni-Normal"/>
        <w:jc w:val="both"/>
        <w:rPr>
          <w:lang w:eastAsia="en-GB"/>
        </w:rPr>
      </w:pPr>
      <w:r w:rsidRPr="00702644">
        <w:rPr>
          <w:lang w:eastAsia="en-GB"/>
        </w:rPr>
        <w:t xml:space="preserve">Fisher, C.M. and </w:t>
      </w:r>
      <w:proofErr w:type="spellStart"/>
      <w:r w:rsidRPr="00702644">
        <w:rPr>
          <w:lang w:eastAsia="en-GB"/>
        </w:rPr>
        <w:t>Buglear</w:t>
      </w:r>
      <w:proofErr w:type="spellEnd"/>
      <w:r w:rsidRPr="00702644">
        <w:rPr>
          <w:lang w:eastAsia="en-GB"/>
        </w:rPr>
        <w:t>, J. (2010) </w:t>
      </w:r>
      <w:r w:rsidRPr="00702644">
        <w:rPr>
          <w:i/>
          <w:iCs/>
          <w:lang w:eastAsia="en-GB"/>
        </w:rPr>
        <w:t xml:space="preserve">Researching and writing a </w:t>
      </w:r>
      <w:proofErr w:type="gramStart"/>
      <w:r w:rsidRPr="00702644">
        <w:rPr>
          <w:i/>
          <w:iCs/>
          <w:lang w:eastAsia="en-GB"/>
        </w:rPr>
        <w:t>dissertation :</w:t>
      </w:r>
      <w:proofErr w:type="gramEnd"/>
      <w:r w:rsidRPr="00702644">
        <w:rPr>
          <w:i/>
          <w:iCs/>
          <w:lang w:eastAsia="en-GB"/>
        </w:rPr>
        <w:t xml:space="preserve"> an essential guide for business students. </w:t>
      </w:r>
      <w:r w:rsidRPr="00702644">
        <w:rPr>
          <w:lang w:eastAsia="en-GB"/>
        </w:rPr>
        <w:t xml:space="preserve">3rd </w:t>
      </w:r>
      <w:proofErr w:type="spellStart"/>
      <w:r w:rsidRPr="00702644">
        <w:rPr>
          <w:lang w:eastAsia="en-GB"/>
        </w:rPr>
        <w:t>edn</w:t>
      </w:r>
      <w:proofErr w:type="spellEnd"/>
      <w:r w:rsidRPr="00702644">
        <w:rPr>
          <w:lang w:eastAsia="en-GB"/>
        </w:rPr>
        <w:t>. Financial Times/Prentice Hall.</w:t>
      </w:r>
    </w:p>
    <w:p w14:paraId="5128FA4E" w14:textId="77777777" w:rsidR="00025579" w:rsidRPr="002370A4" w:rsidRDefault="00025579" w:rsidP="00F0718D">
      <w:pPr>
        <w:pStyle w:val="Uni-Normal"/>
        <w:jc w:val="both"/>
        <w:rPr>
          <w:lang w:eastAsia="en-GB"/>
        </w:rPr>
      </w:pPr>
      <w:r w:rsidRPr="002370A4">
        <w:rPr>
          <w:lang w:eastAsia="en-GB"/>
        </w:rPr>
        <w:t xml:space="preserve">Fleming, J. and </w:t>
      </w:r>
      <w:proofErr w:type="spellStart"/>
      <w:r w:rsidRPr="002370A4">
        <w:rPr>
          <w:lang w:eastAsia="en-GB"/>
        </w:rPr>
        <w:t>Zegwaard</w:t>
      </w:r>
      <w:proofErr w:type="spellEnd"/>
      <w:r w:rsidRPr="002370A4">
        <w:rPr>
          <w:lang w:eastAsia="en-GB"/>
        </w:rPr>
        <w:t>, K.E. (2018) “Methodologies, methods and ethical considerations for conducting research in work-integrated learning,” </w:t>
      </w:r>
      <w:r w:rsidRPr="002370A4">
        <w:rPr>
          <w:i/>
          <w:iCs/>
          <w:lang w:eastAsia="en-GB"/>
        </w:rPr>
        <w:t>International journal of work-integrated learning</w:t>
      </w:r>
      <w:r w:rsidRPr="002370A4">
        <w:rPr>
          <w:lang w:eastAsia="en-GB"/>
        </w:rPr>
        <w:t>, 19(3), p. 205.</w:t>
      </w:r>
    </w:p>
    <w:p w14:paraId="2C176312" w14:textId="77777777" w:rsidR="00025579" w:rsidRPr="00DD2640" w:rsidRDefault="00025579" w:rsidP="00F0718D">
      <w:pPr>
        <w:pStyle w:val="Uni-Normal"/>
        <w:jc w:val="both"/>
      </w:pPr>
      <w:proofErr w:type="spellStart"/>
      <w:r w:rsidRPr="00DD2640">
        <w:t>Forvis</w:t>
      </w:r>
      <w:proofErr w:type="spellEnd"/>
      <w:r w:rsidRPr="00DD2640">
        <w:t xml:space="preserve"> Mazars (2023) </w:t>
      </w:r>
      <w:r w:rsidRPr="00DD2640">
        <w:rPr>
          <w:i/>
          <w:iCs/>
        </w:rPr>
        <w:t xml:space="preserve">Recruitment crisis in the public and social sector - </w:t>
      </w:r>
      <w:proofErr w:type="spellStart"/>
      <w:r w:rsidRPr="00DD2640">
        <w:rPr>
          <w:i/>
          <w:iCs/>
        </w:rPr>
        <w:t>Forvis</w:t>
      </w:r>
      <w:proofErr w:type="spellEnd"/>
      <w:r w:rsidRPr="00DD2640">
        <w:rPr>
          <w:i/>
          <w:iCs/>
        </w:rPr>
        <w:t xml:space="preserve"> Mazars</w:t>
      </w:r>
      <w:r w:rsidRPr="00DD2640">
        <w:t xml:space="preserve">, </w:t>
      </w:r>
      <w:r w:rsidRPr="00DD2640">
        <w:rPr>
          <w:i/>
          <w:iCs/>
        </w:rPr>
        <w:t>Forvismazars.com</w:t>
      </w:r>
      <w:r w:rsidRPr="00DD2640">
        <w:t xml:space="preserve">. Available at: </w:t>
      </w:r>
      <w:hyperlink r:id="rId28" w:history="1">
        <w:r w:rsidRPr="00DD2640">
          <w:rPr>
            <w:rStyle w:val="Hyperlink"/>
          </w:rPr>
          <w:t>https://www.forvismazars.com/uk/en/industries/public-social-sector/public-and-social-sector-insights/recruitment-crisis-in-the-public-and-social-sector</w:t>
        </w:r>
      </w:hyperlink>
      <w:r w:rsidRPr="00DD2640">
        <w:t xml:space="preserve">  (Accessed: 19 November 2025).</w:t>
      </w:r>
    </w:p>
    <w:p w14:paraId="18407020" w14:textId="77777777" w:rsidR="00025579" w:rsidRPr="00030F7F" w:rsidRDefault="00025579" w:rsidP="00030F7F">
      <w:pPr>
        <w:pStyle w:val="Uni-Normal"/>
        <w:jc w:val="both"/>
      </w:pPr>
      <w:proofErr w:type="spellStart"/>
      <w:r w:rsidRPr="00030F7F">
        <w:t>Forvis</w:t>
      </w:r>
      <w:proofErr w:type="spellEnd"/>
      <w:r w:rsidRPr="00030F7F">
        <w:t xml:space="preserve"> Mazars (2026) </w:t>
      </w:r>
      <w:r w:rsidRPr="00030F7F">
        <w:rPr>
          <w:i/>
          <w:iCs/>
        </w:rPr>
        <w:t>Public sector in focus: Charting the road ahead</w:t>
      </w:r>
      <w:r w:rsidRPr="00030F7F">
        <w:t xml:space="preserve">. Available at: </w:t>
      </w:r>
      <w:hyperlink r:id="rId29" w:history="1">
        <w:r w:rsidRPr="00C94AEA">
          <w:rPr>
            <w:rStyle w:val="Hyperlink"/>
          </w:rPr>
          <w:t>https://www.forvismazars.com/uk/en/industries/public-social-sector/our-public-and-social-sector-reports/public-sector-in-focus-charting-the-road-ahead</w:t>
        </w:r>
      </w:hyperlink>
      <w:r>
        <w:t xml:space="preserve"> </w:t>
      </w:r>
      <w:r w:rsidRPr="00030F7F">
        <w:t xml:space="preserve"> (Accessed: 21 January 2026).</w:t>
      </w:r>
    </w:p>
    <w:p w14:paraId="7B1A3325" w14:textId="77777777" w:rsidR="00025579" w:rsidRPr="00DD2640" w:rsidRDefault="00025579" w:rsidP="00F0718D">
      <w:pPr>
        <w:pStyle w:val="Uni-Normal"/>
        <w:jc w:val="both"/>
      </w:pPr>
      <w:r w:rsidRPr="00DD2640">
        <w:lastRenderedPageBreak/>
        <w:t xml:space="preserve">Francis, T. and Hoefel, F. (2018) </w:t>
      </w:r>
      <w:r w:rsidRPr="00DD2640">
        <w:rPr>
          <w:i/>
          <w:iCs/>
        </w:rPr>
        <w:t xml:space="preserve">True gen: </w:t>
      </w:r>
      <w:r>
        <w:rPr>
          <w:i/>
          <w:iCs/>
        </w:rPr>
        <w:t>Gen Z</w:t>
      </w:r>
      <w:r w:rsidRPr="00DD2640">
        <w:rPr>
          <w:i/>
          <w:iCs/>
        </w:rPr>
        <w:t xml:space="preserve"> and Its Implications for Companies</w:t>
      </w:r>
      <w:r w:rsidRPr="00DD2640">
        <w:t xml:space="preserve">, </w:t>
      </w:r>
      <w:r w:rsidRPr="00DD2640">
        <w:rPr>
          <w:i/>
          <w:iCs/>
        </w:rPr>
        <w:t>McKinsey &amp; Company</w:t>
      </w:r>
      <w:r w:rsidRPr="00DD2640">
        <w:t xml:space="preserve">. Available at: </w:t>
      </w:r>
      <w:hyperlink r:id="rId30" w:history="1">
        <w:r w:rsidRPr="00DD2640">
          <w:rPr>
            <w:rStyle w:val="Hyperlink"/>
          </w:rPr>
          <w:t>https://www.mckinsey.com/industries/consumer-packaged-goods/our-insights/true-gen-generation-z-and-its-implications-for-companies</w:t>
        </w:r>
      </w:hyperlink>
      <w:r w:rsidRPr="00DD2640">
        <w:t xml:space="preserve">  (Accessed: 14 November 2025).</w:t>
      </w:r>
    </w:p>
    <w:p w14:paraId="37290322" w14:textId="77777777" w:rsidR="00025579" w:rsidRDefault="00025579" w:rsidP="00F0718D">
      <w:pPr>
        <w:pStyle w:val="Uni-Normal"/>
        <w:jc w:val="both"/>
      </w:pPr>
      <w:r w:rsidRPr="00BD5B0D">
        <w:t xml:space="preserve">George, A.S., Baskar, T. and </w:t>
      </w:r>
      <w:proofErr w:type="spellStart"/>
      <w:r w:rsidRPr="00BD5B0D">
        <w:t>Srikaanth</w:t>
      </w:r>
      <w:proofErr w:type="spellEnd"/>
      <w:r w:rsidRPr="00BD5B0D">
        <w:t>, P.B. (2024) 'Bridging the generational divide: Fostering intergenerational collaboration and innovation in the modern workplace', </w:t>
      </w:r>
      <w:r w:rsidRPr="00BD5B0D">
        <w:rPr>
          <w:i/>
          <w:iCs/>
        </w:rPr>
        <w:t>Partners Universal International Innovation Journal,</w:t>
      </w:r>
      <w:r w:rsidRPr="00BD5B0D">
        <w:t> 2(3), pp. 198–</w:t>
      </w:r>
      <w:proofErr w:type="gramStart"/>
      <w:r w:rsidRPr="00BD5B0D">
        <w:t>217..</w:t>
      </w:r>
      <w:proofErr w:type="gramEnd"/>
      <w:r w:rsidRPr="00BD5B0D">
        <w:t xml:space="preserve"> </w:t>
      </w:r>
    </w:p>
    <w:p w14:paraId="3B6A1062" w14:textId="77777777" w:rsidR="00025579" w:rsidRPr="00DD2640" w:rsidRDefault="00025579" w:rsidP="00F0718D">
      <w:pPr>
        <w:pStyle w:val="Uni-Normal"/>
        <w:jc w:val="both"/>
      </w:pPr>
      <w:r w:rsidRPr="00DD2640">
        <w:t xml:space="preserve">Gifford, J. (2020) </w:t>
      </w:r>
      <w:r w:rsidRPr="00DD2640">
        <w:rPr>
          <w:i/>
          <w:iCs/>
        </w:rPr>
        <w:t xml:space="preserve">CIPD | Should we stop talking about generational </w:t>
      </w:r>
      <w:proofErr w:type="gramStart"/>
      <w:r w:rsidRPr="00DD2640">
        <w:rPr>
          <w:i/>
          <w:iCs/>
        </w:rPr>
        <w:t>differences?</w:t>
      </w:r>
      <w:r w:rsidRPr="00DD2640">
        <w:t>,</w:t>
      </w:r>
      <w:proofErr w:type="gramEnd"/>
      <w:r w:rsidRPr="00DD2640">
        <w:t xml:space="preserve"> </w:t>
      </w:r>
      <w:r w:rsidRPr="00DD2640">
        <w:rPr>
          <w:i/>
          <w:iCs/>
        </w:rPr>
        <w:t>CIPD</w:t>
      </w:r>
      <w:r w:rsidRPr="00DD2640">
        <w:t xml:space="preserve">. Available at: </w:t>
      </w:r>
      <w:hyperlink r:id="rId31" w:history="1">
        <w:r w:rsidRPr="00072CAC">
          <w:rPr>
            <w:rStyle w:val="Hyperlink"/>
          </w:rPr>
          <w:t>https://www.cipd.org/uk/views-and-insights/thought-leadership/the-world-of-work/generational-differences/</w:t>
        </w:r>
      </w:hyperlink>
      <w:r>
        <w:t xml:space="preserve"> </w:t>
      </w:r>
      <w:r w:rsidRPr="00DD2640">
        <w:t xml:space="preserve"> (Accessed: 22 December 2025).</w:t>
      </w:r>
    </w:p>
    <w:p w14:paraId="6F03620E" w14:textId="77777777" w:rsidR="00025579" w:rsidRPr="00DD2640" w:rsidRDefault="00025579" w:rsidP="00F0718D">
      <w:pPr>
        <w:pStyle w:val="Uni-Normal"/>
        <w:jc w:val="both"/>
      </w:pPr>
      <w:r w:rsidRPr="00DD2640">
        <w:t xml:space="preserve">Groenewald, E., Groenewald, C.A., Kilag, </w:t>
      </w:r>
      <w:proofErr w:type="spellStart"/>
      <w:r w:rsidRPr="00DD2640">
        <w:t>O.</w:t>
      </w:r>
      <w:proofErr w:type="gramStart"/>
      <w:r w:rsidRPr="00DD2640">
        <w:t>K.</w:t>
      </w:r>
      <w:r>
        <w:t>and</w:t>
      </w:r>
      <w:r w:rsidRPr="00DD2640">
        <w:t>rin</w:t>
      </w:r>
      <w:proofErr w:type="spellEnd"/>
      <w:proofErr w:type="gramEnd"/>
      <w:r w:rsidRPr="00DD2640">
        <w:t xml:space="preserve">, G., </w:t>
      </w:r>
      <w:proofErr w:type="spellStart"/>
      <w:r w:rsidRPr="00DD2640">
        <w:t>Pernites</w:t>
      </w:r>
      <w:proofErr w:type="spellEnd"/>
      <w:r w:rsidRPr="00DD2640">
        <w:t xml:space="preserve">, M.J. and </w:t>
      </w:r>
      <w:proofErr w:type="spellStart"/>
      <w:r w:rsidRPr="00DD2640">
        <w:t>Macapaz</w:t>
      </w:r>
      <w:proofErr w:type="spellEnd"/>
      <w:r w:rsidRPr="00DD2640">
        <w:t>, M.K. (2024) 'Talent Management in the 21st Century: a comprehensive review and prospects for Innovation', </w:t>
      </w:r>
      <w:r w:rsidRPr="00DD2640">
        <w:rPr>
          <w:i/>
          <w:iCs/>
        </w:rPr>
        <w:t xml:space="preserve">International Multidisciplinary Journal of Research for Innovation, </w:t>
      </w:r>
      <w:proofErr w:type="spellStart"/>
      <w:r w:rsidRPr="00DD2640">
        <w:rPr>
          <w:i/>
          <w:iCs/>
        </w:rPr>
        <w:t>Sustainability</w:t>
      </w:r>
      <w:r>
        <w:rPr>
          <w:i/>
          <w:iCs/>
        </w:rPr>
        <w:t>and</w:t>
      </w:r>
      <w:proofErr w:type="spellEnd"/>
      <w:r w:rsidRPr="00DD2640">
        <w:rPr>
          <w:i/>
          <w:iCs/>
        </w:rPr>
        <w:t xml:space="preserve"> Excellence (IMJRISE),</w:t>
      </w:r>
      <w:r w:rsidRPr="00DD2640">
        <w:t xml:space="preserve">1, pp. 93–99(3). </w:t>
      </w:r>
    </w:p>
    <w:p w14:paraId="6FD5A6D9" w14:textId="77777777" w:rsidR="00025579" w:rsidRDefault="00025579" w:rsidP="00F0718D">
      <w:pPr>
        <w:pStyle w:val="Uni-Normal"/>
        <w:jc w:val="both"/>
        <w:rPr>
          <w:lang w:eastAsia="en-GB"/>
        </w:rPr>
      </w:pPr>
      <w:r w:rsidRPr="002529B3">
        <w:rPr>
          <w:lang w:eastAsia="en-GB"/>
        </w:rPr>
        <w:t>Groves, R.M., Fowler Jr, F.J., Couper, M.P., Lepkowski, J.M., Singer, E. and Tourangeau, R. (2011) </w:t>
      </w:r>
      <w:r w:rsidRPr="002529B3">
        <w:rPr>
          <w:i/>
          <w:iCs/>
          <w:lang w:eastAsia="en-GB"/>
        </w:rPr>
        <w:t>Survey methodology. </w:t>
      </w:r>
      <w:r w:rsidRPr="002529B3">
        <w:rPr>
          <w:lang w:eastAsia="en-GB"/>
        </w:rPr>
        <w:t>John Wiley &amp; Sons.</w:t>
      </w:r>
    </w:p>
    <w:p w14:paraId="726EC518" w14:textId="77777777" w:rsidR="00025579" w:rsidRDefault="00025579" w:rsidP="00F0718D">
      <w:pPr>
        <w:pStyle w:val="Uni-Normal"/>
        <w:jc w:val="both"/>
        <w:rPr>
          <w:lang w:eastAsia="en-GB"/>
        </w:rPr>
      </w:pPr>
      <w:r w:rsidRPr="00A63A53">
        <w:rPr>
          <w:lang w:eastAsia="en-GB"/>
        </w:rPr>
        <w:t>Groves, R.M., Fowler Jr, F.J., Couper, M.P., Lepkowski, J.M., Singer, E. and Tourangeau, R. (2009) </w:t>
      </w:r>
      <w:r w:rsidRPr="00A63A53">
        <w:rPr>
          <w:i/>
          <w:iCs/>
          <w:lang w:eastAsia="en-GB"/>
        </w:rPr>
        <w:t>Survey Methodology. </w:t>
      </w:r>
      <w:r w:rsidRPr="00A63A53">
        <w:rPr>
          <w:lang w:eastAsia="en-GB"/>
        </w:rPr>
        <w:t>John Wiley &amp; Sons.</w:t>
      </w:r>
    </w:p>
    <w:p w14:paraId="1E8C2A13" w14:textId="77777777" w:rsidR="00025579" w:rsidRPr="00DD2640" w:rsidRDefault="00025579" w:rsidP="00F0718D">
      <w:pPr>
        <w:pStyle w:val="Uni-Normal"/>
        <w:jc w:val="both"/>
      </w:pPr>
      <w:r w:rsidRPr="00DD2640">
        <w:t xml:space="preserve">Harari, T.T., Sela, Y. and </w:t>
      </w:r>
      <w:proofErr w:type="spellStart"/>
      <w:r w:rsidRPr="00DD2640">
        <w:t>Bareket-Bojmel</w:t>
      </w:r>
      <w:proofErr w:type="spellEnd"/>
      <w:r w:rsidRPr="00DD2640">
        <w:t>, L. (2023) 'Gen Z during the COVID-19 crisis: a comparative analysis of the differences between Gen Z and Gen X in resilience, values and attitudes', </w:t>
      </w:r>
      <w:r w:rsidRPr="00DD2640">
        <w:rPr>
          <w:i/>
          <w:iCs/>
        </w:rPr>
        <w:t>Current psychology (New Brunswick, N.J.),</w:t>
      </w:r>
      <w:r w:rsidRPr="00DD2640">
        <w:t>42, pp. 24223–24232(28) Available at: </w:t>
      </w:r>
      <w:hyperlink r:id="rId32" w:tgtFrame="_blank" w:history="1">
        <w:r w:rsidRPr="00DD2640">
          <w:rPr>
            <w:rStyle w:val="Hyperlink"/>
          </w:rPr>
          <w:t>https://doi.org/10.1007/s12144-022-03501-4</w:t>
        </w:r>
      </w:hyperlink>
      <w:r w:rsidRPr="00DD2640">
        <w:t>.</w:t>
      </w:r>
    </w:p>
    <w:p w14:paraId="0236D43A" w14:textId="77777777" w:rsidR="00025579" w:rsidRDefault="00025579" w:rsidP="00F0718D">
      <w:pPr>
        <w:pStyle w:val="Uni-Normal"/>
        <w:jc w:val="both"/>
        <w:rPr>
          <w:lang w:eastAsia="en-GB"/>
        </w:rPr>
      </w:pPr>
      <w:r w:rsidRPr="00B8420A">
        <w:rPr>
          <w:lang w:eastAsia="en-GB"/>
        </w:rPr>
        <w:t xml:space="preserve">Harpe, S.E. (2015) 'How to </w:t>
      </w:r>
      <w:proofErr w:type="spellStart"/>
      <w:r w:rsidRPr="00B8420A">
        <w:rPr>
          <w:lang w:eastAsia="en-GB"/>
        </w:rPr>
        <w:t>analyze</w:t>
      </w:r>
      <w:proofErr w:type="spellEnd"/>
      <w:r w:rsidRPr="00B8420A">
        <w:rPr>
          <w:lang w:eastAsia="en-GB"/>
        </w:rPr>
        <w:t xml:space="preserve"> </w:t>
      </w:r>
      <w:proofErr w:type="spellStart"/>
      <w:r w:rsidRPr="00B8420A">
        <w:rPr>
          <w:lang w:eastAsia="en-GB"/>
        </w:rPr>
        <w:t>likert</w:t>
      </w:r>
      <w:proofErr w:type="spellEnd"/>
      <w:r w:rsidRPr="00B8420A">
        <w:rPr>
          <w:lang w:eastAsia="en-GB"/>
        </w:rPr>
        <w:t xml:space="preserve"> and other rating scale data', </w:t>
      </w:r>
      <w:r w:rsidRPr="00B8420A">
        <w:rPr>
          <w:i/>
          <w:iCs/>
          <w:lang w:eastAsia="en-GB"/>
        </w:rPr>
        <w:t>Currents in Pharmacy Teaching and Learning,</w:t>
      </w:r>
      <w:r w:rsidRPr="00B8420A">
        <w:rPr>
          <w:lang w:eastAsia="en-GB"/>
        </w:rPr>
        <w:t> 7(6), pp. 836–850. Available at: </w:t>
      </w:r>
      <w:hyperlink r:id="rId33" w:tgtFrame="_blank" w:history="1">
        <w:r w:rsidRPr="00B8420A">
          <w:rPr>
            <w:rStyle w:val="Hyperlink"/>
            <w:rFonts w:eastAsia="Times New Roman"/>
            <w:szCs w:val="24"/>
            <w:lang w:eastAsia="en-GB"/>
          </w:rPr>
          <w:t>https://doi.org/10.1016/j.cptl.2015.08.001</w:t>
        </w:r>
      </w:hyperlink>
      <w:r w:rsidRPr="00B8420A">
        <w:rPr>
          <w:lang w:eastAsia="en-GB"/>
        </w:rPr>
        <w:t>.</w:t>
      </w:r>
    </w:p>
    <w:p w14:paraId="0C7866D4" w14:textId="77777777" w:rsidR="00025579" w:rsidRPr="00882BEE" w:rsidRDefault="00025579" w:rsidP="00F0718D">
      <w:pPr>
        <w:pStyle w:val="Uni-Normal"/>
        <w:jc w:val="both"/>
      </w:pPr>
      <w:r w:rsidRPr="00882BEE">
        <w:rPr>
          <w:i/>
          <w:iCs/>
        </w:rPr>
        <w:t>Hybrid hiccups: Moving to distributed work in the public sector</w:t>
      </w:r>
      <w:r w:rsidRPr="00882BEE">
        <w:t xml:space="preserve"> (2022) </w:t>
      </w:r>
      <w:r w:rsidRPr="00882BEE">
        <w:rPr>
          <w:i/>
          <w:iCs/>
        </w:rPr>
        <w:t>Deloitte Insights</w:t>
      </w:r>
      <w:r w:rsidRPr="00882BEE">
        <w:t xml:space="preserve">. Deloitte. Available at: </w:t>
      </w:r>
      <w:hyperlink r:id="rId34" w:history="1">
        <w:r w:rsidRPr="00C94AEA">
          <w:rPr>
            <w:rStyle w:val="Hyperlink"/>
          </w:rPr>
          <w:t>https://www.deloitte.com/us/en/insights/industry/government-public-sector-services/hybrid-work-challenges.html</w:t>
        </w:r>
      </w:hyperlink>
      <w:proofErr w:type="gramStart"/>
      <w:r>
        <w:t xml:space="preserve"> </w:t>
      </w:r>
      <w:r w:rsidRPr="00882BEE">
        <w:t xml:space="preserve"> </w:t>
      </w:r>
      <w:r w:rsidRPr="00DD2640">
        <w:t xml:space="preserve"> </w:t>
      </w:r>
      <w:r w:rsidRPr="00882BEE">
        <w:t>(</w:t>
      </w:r>
      <w:proofErr w:type="gramEnd"/>
      <w:r w:rsidRPr="00882BEE">
        <w:t>Accessed: 21 January 2026).</w:t>
      </w:r>
    </w:p>
    <w:p w14:paraId="020D7783" w14:textId="77777777" w:rsidR="00025579" w:rsidRPr="00DD2640" w:rsidRDefault="00025579" w:rsidP="00F0718D">
      <w:pPr>
        <w:pStyle w:val="Uni-Normal"/>
        <w:jc w:val="both"/>
      </w:pPr>
      <w:r w:rsidRPr="00DD2640">
        <w:lastRenderedPageBreak/>
        <w:t>Iorgulescu, M. (2016) '</w:t>
      </w:r>
      <w:r>
        <w:t>Gen Z</w:t>
      </w:r>
      <w:r w:rsidRPr="00DD2640">
        <w:t xml:space="preserve"> and its perception of work', </w:t>
      </w:r>
      <w:r w:rsidRPr="00DD2640">
        <w:rPr>
          <w:i/>
          <w:iCs/>
        </w:rPr>
        <w:t>Cross-Cultural Management Journal,</w:t>
      </w:r>
      <w:r w:rsidRPr="00DD2640">
        <w:t xml:space="preserve">18, pp. 47–54(01). </w:t>
      </w:r>
    </w:p>
    <w:p w14:paraId="59AE924E" w14:textId="77777777" w:rsidR="00025579" w:rsidRPr="00DD2640" w:rsidRDefault="00025579" w:rsidP="00F0718D">
      <w:pPr>
        <w:pStyle w:val="Uni-Normal"/>
        <w:jc w:val="both"/>
      </w:pPr>
      <w:r w:rsidRPr="00DD2640">
        <w:t>Jayathilake, H.D., Daud, D., Hooi Cheng Eaw and Annuar, N. (2021) 'Employee development and retention of Generation-Z employees in the post-COVID-19 workplace: a conceptual framework', </w:t>
      </w:r>
      <w:r w:rsidRPr="00DD2640">
        <w:rPr>
          <w:i/>
          <w:iCs/>
        </w:rPr>
        <w:t>Benchmarking,</w:t>
      </w:r>
      <w:r w:rsidRPr="00DD2640">
        <w:t>28(7) Available at: </w:t>
      </w:r>
      <w:hyperlink r:id="rId35" w:tgtFrame="_blank" w:history="1">
        <w:r w:rsidRPr="00DD2640">
          <w:rPr>
            <w:rStyle w:val="Hyperlink"/>
          </w:rPr>
          <w:t>https://doi.org/10.1108/BIJ-06-2020-0311</w:t>
        </w:r>
      </w:hyperlink>
      <w:r w:rsidRPr="00DD2640">
        <w:t xml:space="preserve">. </w:t>
      </w:r>
    </w:p>
    <w:p w14:paraId="192F8DFD" w14:textId="77777777" w:rsidR="00025579" w:rsidRPr="00DD2640" w:rsidRDefault="00025579" w:rsidP="00F0718D">
      <w:pPr>
        <w:pStyle w:val="Uni-Normal"/>
        <w:jc w:val="both"/>
      </w:pPr>
      <w:r w:rsidRPr="00DD2640">
        <w:t xml:space="preserve">Jobs Go Public (n.d.) What’s your story? Developing an Employee Value Proposition in the Public Sector. Available at: </w:t>
      </w:r>
      <w:hyperlink r:id="rId36" w:history="1">
        <w:r w:rsidRPr="00DD2640">
          <w:rPr>
            <w:rStyle w:val="Hyperlink"/>
          </w:rPr>
          <w:t>https://7551541.fs1.hubspotusercontent-na1.net/hubfs/7551541/Downloadable%20resources%20for%20clients/Jobs%20Go%20Public%20Whats%20Your%20Story%20Digital%20Booklet%20EVP.pdf</w:t>
        </w:r>
      </w:hyperlink>
      <w:proofErr w:type="gramStart"/>
      <w:r w:rsidRPr="00DD2640">
        <w:t xml:space="preserve">   (</w:t>
      </w:r>
      <w:proofErr w:type="gramEnd"/>
      <w:r w:rsidRPr="00DD2640">
        <w:t>Accessed: 19 December 2025).</w:t>
      </w:r>
    </w:p>
    <w:p w14:paraId="5066E9B7" w14:textId="77777777" w:rsidR="00025579" w:rsidRPr="00CC7BA2" w:rsidRDefault="00025579" w:rsidP="00F0718D">
      <w:pPr>
        <w:pStyle w:val="Uni-Normal"/>
        <w:jc w:val="both"/>
        <w:rPr>
          <w:lang w:eastAsia="en-GB"/>
        </w:rPr>
      </w:pPr>
      <w:r w:rsidRPr="00025ED6">
        <w:rPr>
          <w:lang w:eastAsia="en-GB"/>
        </w:rPr>
        <w:t xml:space="preserve">Johnson, B. &amp; Christensen, L.B. (2012) Educational Research: Quantitative, </w:t>
      </w:r>
      <w:proofErr w:type="spellStart"/>
      <w:r w:rsidRPr="00025ED6">
        <w:rPr>
          <w:lang w:eastAsia="en-GB"/>
        </w:rPr>
        <w:t>Qualitative</w:t>
      </w:r>
      <w:r>
        <w:rPr>
          <w:lang w:eastAsia="en-GB"/>
        </w:rPr>
        <w:t>and</w:t>
      </w:r>
      <w:proofErr w:type="spellEnd"/>
      <w:r w:rsidRPr="00025ED6">
        <w:rPr>
          <w:lang w:eastAsia="en-GB"/>
        </w:rPr>
        <w:t xml:space="preserve"> Mixed Approaches. India: SAGE Publications.</w:t>
      </w:r>
    </w:p>
    <w:p w14:paraId="17210446" w14:textId="77777777" w:rsidR="00025579" w:rsidRDefault="00025579" w:rsidP="00F0718D">
      <w:pPr>
        <w:pStyle w:val="Uni-Normal"/>
        <w:jc w:val="both"/>
      </w:pPr>
      <w:r w:rsidRPr="00BD5B0D">
        <w:t xml:space="preserve">Kästner, E. and </w:t>
      </w:r>
      <w:proofErr w:type="spellStart"/>
      <w:r w:rsidRPr="00BD5B0D">
        <w:t>Mattutat</w:t>
      </w:r>
      <w:proofErr w:type="spellEnd"/>
      <w:r w:rsidRPr="00BD5B0D">
        <w:t xml:space="preserve">, O., </w:t>
      </w:r>
      <w:r>
        <w:t>(</w:t>
      </w:r>
      <w:r w:rsidRPr="00BD5B0D">
        <w:t>2024</w:t>
      </w:r>
      <w:r>
        <w:t>)</w:t>
      </w:r>
      <w:r w:rsidRPr="00BD5B0D">
        <w:t>. “Gen Z’s workplace expectations: an international comparison. In </w:t>
      </w:r>
      <w:r w:rsidRPr="00BD5B0D">
        <w:rPr>
          <w:i/>
          <w:iCs/>
        </w:rPr>
        <w:t>European Marketing Academy Annual Conference (EMAC), May</w:t>
      </w:r>
      <w:r w:rsidRPr="00BD5B0D">
        <w:t xml:space="preserve"> (pp. 28-31). </w:t>
      </w:r>
      <w:r>
        <w:t xml:space="preserve"> </w:t>
      </w:r>
    </w:p>
    <w:p w14:paraId="68ADAF65" w14:textId="77777777" w:rsidR="00025579" w:rsidRPr="00844924" w:rsidRDefault="00025579" w:rsidP="00F0718D">
      <w:pPr>
        <w:pStyle w:val="Uni-Normal"/>
        <w:jc w:val="both"/>
        <w:rPr>
          <w:lang w:eastAsia="en-GB"/>
        </w:rPr>
      </w:pPr>
      <w:proofErr w:type="spellStart"/>
      <w:r w:rsidRPr="00C428D9">
        <w:rPr>
          <w:lang w:eastAsia="en-GB"/>
        </w:rPr>
        <w:t>Kotronoulas</w:t>
      </w:r>
      <w:proofErr w:type="spellEnd"/>
      <w:r w:rsidRPr="00C428D9">
        <w:rPr>
          <w:lang w:eastAsia="en-GB"/>
        </w:rPr>
        <w:t>, G., Miguel, S., Dowling, M., Fernández-Ortega, P., Colomer-</w:t>
      </w:r>
      <w:proofErr w:type="spellStart"/>
      <w:r w:rsidRPr="00C428D9">
        <w:rPr>
          <w:lang w:eastAsia="en-GB"/>
        </w:rPr>
        <w:t>Lahiguera</w:t>
      </w:r>
      <w:proofErr w:type="spellEnd"/>
      <w:r w:rsidRPr="00C428D9">
        <w:rPr>
          <w:lang w:eastAsia="en-GB"/>
        </w:rPr>
        <w:t xml:space="preserve">, S., </w:t>
      </w:r>
      <w:proofErr w:type="spellStart"/>
      <w:r w:rsidRPr="00C428D9">
        <w:rPr>
          <w:lang w:eastAsia="en-GB"/>
        </w:rPr>
        <w:t>Bağçivan</w:t>
      </w:r>
      <w:proofErr w:type="spellEnd"/>
      <w:r w:rsidRPr="00C428D9">
        <w:rPr>
          <w:lang w:eastAsia="en-GB"/>
        </w:rPr>
        <w:t xml:space="preserve">, G., Pape, E., Drury, A., Semple, C. and </w:t>
      </w:r>
      <w:proofErr w:type="spellStart"/>
      <w:r w:rsidRPr="00C428D9">
        <w:rPr>
          <w:lang w:eastAsia="en-GB"/>
        </w:rPr>
        <w:t>Dieperink</w:t>
      </w:r>
      <w:proofErr w:type="spellEnd"/>
      <w:r w:rsidRPr="00C428D9">
        <w:rPr>
          <w:lang w:eastAsia="en-GB"/>
        </w:rPr>
        <w:t>, K.B. , (2023) 'An overview of the fundamentals of data management, analysis</w:t>
      </w:r>
      <w:r>
        <w:rPr>
          <w:lang w:eastAsia="en-GB"/>
        </w:rPr>
        <w:t xml:space="preserve"> and</w:t>
      </w:r>
      <w:r w:rsidRPr="00C428D9">
        <w:rPr>
          <w:lang w:eastAsia="en-GB"/>
        </w:rPr>
        <w:t xml:space="preserve"> interpretation in quantitative research', </w:t>
      </w:r>
      <w:r w:rsidRPr="00844924">
        <w:rPr>
          <w:i/>
          <w:iCs/>
          <w:lang w:eastAsia="en-GB"/>
        </w:rPr>
        <w:t>Seminars in oncology nursing </w:t>
      </w:r>
      <w:r w:rsidRPr="00C428D9">
        <w:rPr>
          <w:lang w:eastAsia="en-GB"/>
        </w:rPr>
        <w:t>Elsevier , pp. 151398. .</w:t>
      </w:r>
    </w:p>
    <w:p w14:paraId="6A2E97D8" w14:textId="77777777" w:rsidR="00025579" w:rsidRPr="00DD2640" w:rsidRDefault="00025579" w:rsidP="00F0718D">
      <w:pPr>
        <w:pStyle w:val="Uni-Normal"/>
        <w:jc w:val="both"/>
      </w:pPr>
      <w:r w:rsidRPr="00DD2640">
        <w:t xml:space="preserve">KRAJEC, L. and BUZETI, J. (2024) 'Talent Management in the Slovenian Public Administration for Young Talented Individuals from </w:t>
      </w:r>
      <w:r>
        <w:t>Gen Z</w:t>
      </w:r>
      <w:r w:rsidRPr="00DD2640">
        <w:t>', </w:t>
      </w:r>
      <w:r w:rsidRPr="00DD2640">
        <w:rPr>
          <w:i/>
          <w:iCs/>
        </w:rPr>
        <w:t>Journal of human resource management,</w:t>
      </w:r>
      <w:r w:rsidRPr="00DD2640">
        <w:t>27(2), pp. 78–94. Available at: </w:t>
      </w:r>
      <w:hyperlink r:id="rId37" w:tgtFrame="_blank" w:history="1">
        <w:r w:rsidRPr="00DD2640">
          <w:rPr>
            <w:rStyle w:val="Hyperlink"/>
          </w:rPr>
          <w:t>https://doi.org/10.46287/SFWH7638</w:t>
        </w:r>
      </w:hyperlink>
      <w:r w:rsidRPr="00DD2640">
        <w:t>.</w:t>
      </w:r>
    </w:p>
    <w:p w14:paraId="188437BA" w14:textId="77777777" w:rsidR="00025579" w:rsidRPr="00D20010" w:rsidRDefault="00025579" w:rsidP="00F0718D">
      <w:pPr>
        <w:pStyle w:val="Uni-Normal"/>
        <w:jc w:val="both"/>
        <w:rPr>
          <w:lang w:eastAsia="en-GB"/>
        </w:rPr>
      </w:pPr>
      <w:proofErr w:type="spellStart"/>
      <w:r w:rsidRPr="00D20010">
        <w:rPr>
          <w:lang w:eastAsia="en-GB"/>
        </w:rPr>
        <w:t>Kravariti</w:t>
      </w:r>
      <w:proofErr w:type="spellEnd"/>
      <w:r w:rsidRPr="00D20010">
        <w:rPr>
          <w:lang w:eastAsia="en-GB"/>
        </w:rPr>
        <w:t xml:space="preserve">, F. and Johnston, K. (2020) ‘Talent management: a critical literature review and research agenda for public sector human resource management’, </w:t>
      </w:r>
      <w:r w:rsidRPr="00D20010">
        <w:rPr>
          <w:i/>
          <w:iCs/>
          <w:lang w:eastAsia="en-GB"/>
        </w:rPr>
        <w:t>Public Management Review</w:t>
      </w:r>
      <w:r w:rsidRPr="00D20010">
        <w:rPr>
          <w:lang w:eastAsia="en-GB"/>
        </w:rPr>
        <w:t xml:space="preserve">, 22(1), pp. 75–95. Available at: </w:t>
      </w:r>
      <w:hyperlink r:id="rId38" w:history="1">
        <w:r w:rsidRPr="00D20010">
          <w:rPr>
            <w:rStyle w:val="Hyperlink"/>
            <w:lang w:eastAsia="en-GB"/>
          </w:rPr>
          <w:t>https://doi.org/10.1080/14719037.2019.1638439</w:t>
        </w:r>
      </w:hyperlink>
      <w:r w:rsidRPr="00D20010">
        <w:rPr>
          <w:lang w:eastAsia="en-GB"/>
        </w:rPr>
        <w:t>.</w:t>
      </w:r>
      <w:r>
        <w:rPr>
          <w:lang w:eastAsia="en-GB"/>
        </w:rPr>
        <w:t xml:space="preserve"> </w:t>
      </w:r>
    </w:p>
    <w:p w14:paraId="235A9085" w14:textId="77777777" w:rsidR="00025579" w:rsidRPr="00DD2640" w:rsidRDefault="00025579" w:rsidP="00F0718D">
      <w:pPr>
        <w:pStyle w:val="Uni-Normal"/>
        <w:jc w:val="both"/>
      </w:pPr>
      <w:r w:rsidRPr="00DD2640">
        <w:t xml:space="preserve">Kurniawan, A. and </w:t>
      </w:r>
      <w:proofErr w:type="spellStart"/>
      <w:r w:rsidRPr="00DD2640">
        <w:t>Wijoyo</w:t>
      </w:r>
      <w:proofErr w:type="spellEnd"/>
      <w:r w:rsidRPr="00DD2640">
        <w:t>, S. (2024) 'Leveraging Talent for a Sustainable Future: A Multidisciplinary Examination of Public Sector Talent Management Strategies', </w:t>
      </w:r>
      <w:r w:rsidRPr="00DD2640">
        <w:rPr>
          <w:i/>
          <w:iCs/>
        </w:rPr>
        <w:t xml:space="preserve">RSF Conference </w:t>
      </w:r>
      <w:proofErr w:type="gramStart"/>
      <w:r w:rsidRPr="00DD2640">
        <w:rPr>
          <w:i/>
          <w:iCs/>
        </w:rPr>
        <w:t>Series :</w:t>
      </w:r>
      <w:proofErr w:type="gramEnd"/>
      <w:r w:rsidRPr="00DD2640">
        <w:rPr>
          <w:i/>
          <w:iCs/>
        </w:rPr>
        <w:t xml:space="preserve"> Business, Management and Social Sciences,</w:t>
      </w:r>
      <w:r w:rsidRPr="00DD2640">
        <w:t>4, pp. 42–49(1) Available at: </w:t>
      </w:r>
      <w:hyperlink r:id="rId39" w:tgtFrame="_blank" w:history="1">
        <w:r w:rsidRPr="00DD2640">
          <w:rPr>
            <w:rStyle w:val="Hyperlink"/>
          </w:rPr>
          <w:t>https://doi.org/10.31098/bmss.v4i1.857</w:t>
        </w:r>
      </w:hyperlink>
      <w:r w:rsidRPr="00DD2640">
        <w:t xml:space="preserve">. </w:t>
      </w:r>
    </w:p>
    <w:p w14:paraId="64670FC3" w14:textId="77777777" w:rsidR="00025579" w:rsidRPr="00D20010" w:rsidRDefault="00025579" w:rsidP="00F0718D">
      <w:pPr>
        <w:pStyle w:val="Uni-Normal"/>
        <w:jc w:val="both"/>
        <w:rPr>
          <w:lang w:eastAsia="en-GB"/>
        </w:rPr>
      </w:pPr>
      <w:r w:rsidRPr="00D20010">
        <w:rPr>
          <w:lang w:eastAsia="en-GB"/>
        </w:rPr>
        <w:lastRenderedPageBreak/>
        <w:t xml:space="preserve">Local Government Association (2024) ‘Local government workforce summary data – the latest </w:t>
      </w:r>
      <w:proofErr w:type="gramStart"/>
      <w:r w:rsidRPr="00D20010">
        <w:rPr>
          <w:lang w:eastAsia="en-GB"/>
        </w:rPr>
        <w:t>figures’</w:t>
      </w:r>
      <w:proofErr w:type="gramEnd"/>
      <w:r w:rsidRPr="00D20010">
        <w:rPr>
          <w:lang w:eastAsia="en-GB"/>
        </w:rPr>
        <w:t xml:space="preserve">. Available at: </w:t>
      </w:r>
      <w:hyperlink r:id="rId40" w:history="1">
        <w:r w:rsidRPr="00D20010">
          <w:rPr>
            <w:rStyle w:val="Hyperlink"/>
            <w:lang w:eastAsia="en-GB"/>
          </w:rPr>
          <w:t>https://www.local.gov.uk/our-support/workforce-and-hr-support/local-government-workforce-data/local-government-workforce</w:t>
        </w:r>
      </w:hyperlink>
      <w:r>
        <w:rPr>
          <w:lang w:eastAsia="en-GB"/>
        </w:rPr>
        <w:t xml:space="preserve"> </w:t>
      </w:r>
      <w:r w:rsidRPr="00D20010">
        <w:rPr>
          <w:lang w:eastAsia="en-GB"/>
        </w:rPr>
        <w:t xml:space="preserve"> (Accessed: 13 October 2025).</w:t>
      </w:r>
    </w:p>
    <w:p w14:paraId="60D496B0" w14:textId="77777777" w:rsidR="00025579" w:rsidRPr="00D80BC1" w:rsidRDefault="00025579" w:rsidP="00F0718D">
      <w:pPr>
        <w:pStyle w:val="Uni-Normal"/>
        <w:jc w:val="both"/>
        <w:rPr>
          <w:lang w:eastAsia="en-GB"/>
        </w:rPr>
      </w:pPr>
      <w:r w:rsidRPr="00D80BC1">
        <w:rPr>
          <w:lang w:eastAsia="en-GB"/>
        </w:rPr>
        <w:t xml:space="preserve">Local Government Association (n.d.) </w:t>
      </w:r>
      <w:r w:rsidRPr="00D80BC1">
        <w:rPr>
          <w:i/>
          <w:iCs/>
          <w:lang w:eastAsia="en-GB"/>
        </w:rPr>
        <w:t>The three dimensions of workforce planning.</w:t>
      </w:r>
      <w:r w:rsidRPr="00D80BC1">
        <w:rPr>
          <w:lang w:eastAsia="en-GB"/>
        </w:rPr>
        <w:t xml:space="preserve"> London: LGA. Available at:</w:t>
      </w:r>
      <w:r w:rsidRPr="00D80BC1">
        <w:rPr>
          <w:lang w:eastAsia="en-GB"/>
        </w:rPr>
        <w:br/>
      </w:r>
      <w:hyperlink r:id="rId41" w:history="1">
        <w:r w:rsidRPr="00D80BC1">
          <w:rPr>
            <w:rStyle w:val="Hyperlink"/>
            <w:rFonts w:eastAsia="Times New Roman"/>
            <w:szCs w:val="24"/>
            <w:lang w:eastAsia="en-GB"/>
          </w:rPr>
          <w:t>https://www.local.gov.uk/sites/default/files/documents/three-dimensions-workforc-7fb.pdf</w:t>
        </w:r>
      </w:hyperlink>
      <w:proofErr w:type="gramStart"/>
      <w:r w:rsidRPr="00DD2640">
        <w:rPr>
          <w:lang w:eastAsia="en-GB"/>
        </w:rPr>
        <w:t xml:space="preserve"> </w:t>
      </w:r>
      <w:r w:rsidRPr="00D80BC1">
        <w:rPr>
          <w:lang w:eastAsia="en-GB"/>
        </w:rPr>
        <w:t xml:space="preserve"> </w:t>
      </w:r>
      <w:r w:rsidRPr="00DD2640">
        <w:rPr>
          <w:lang w:eastAsia="en-GB"/>
        </w:rPr>
        <w:t xml:space="preserve"> </w:t>
      </w:r>
      <w:r w:rsidRPr="00D80BC1">
        <w:rPr>
          <w:lang w:eastAsia="en-GB"/>
        </w:rPr>
        <w:t>(</w:t>
      </w:r>
      <w:proofErr w:type="gramEnd"/>
      <w:r w:rsidRPr="00D80BC1">
        <w:rPr>
          <w:lang w:eastAsia="en-GB"/>
        </w:rPr>
        <w:t>Accessed: 21 January 2026).</w:t>
      </w:r>
    </w:p>
    <w:p w14:paraId="56A5B886" w14:textId="77777777" w:rsidR="00025579" w:rsidRPr="00DD2640" w:rsidRDefault="00025579" w:rsidP="00F0718D">
      <w:pPr>
        <w:pStyle w:val="Uni-Normal"/>
        <w:jc w:val="both"/>
      </w:pPr>
      <w:r w:rsidRPr="00DD2640">
        <w:rPr>
          <w:i/>
          <w:iCs/>
        </w:rPr>
        <w:t>Local government workforce summary data - the latest figures</w:t>
      </w:r>
      <w:r w:rsidRPr="00DD2640">
        <w:t xml:space="preserve"> (2024) </w:t>
      </w:r>
      <w:r w:rsidRPr="00DD2640">
        <w:rPr>
          <w:i/>
          <w:iCs/>
        </w:rPr>
        <w:t>Local.gov.uk</w:t>
      </w:r>
      <w:r w:rsidRPr="00DD2640">
        <w:t xml:space="preserve">. Local Government Association. Available at: </w:t>
      </w:r>
      <w:hyperlink r:id="rId42" w:history="1">
        <w:r w:rsidRPr="00DD2640">
          <w:rPr>
            <w:rStyle w:val="Hyperlink"/>
          </w:rPr>
          <w:t>https://www.local.gov.uk/our-support/workforce-and-hr-support/local-government-workforce-data/local-government-workforce</w:t>
        </w:r>
      </w:hyperlink>
      <w:r w:rsidRPr="00DD2640">
        <w:t xml:space="preserve">  (Accessed: 13 October 2025).</w:t>
      </w:r>
    </w:p>
    <w:p w14:paraId="2EA4DDAC" w14:textId="77777777" w:rsidR="00025579" w:rsidRPr="00DD2640" w:rsidRDefault="00025579" w:rsidP="00F0718D">
      <w:pPr>
        <w:pStyle w:val="Uni-Normal"/>
        <w:jc w:val="both"/>
      </w:pPr>
      <w:r w:rsidRPr="00DD2640">
        <w:t xml:space="preserve">Madan, S. and Nandan, S. (2024) 'Job Expectations of </w:t>
      </w:r>
      <w:r>
        <w:t>Gen Z</w:t>
      </w:r>
      <w:r w:rsidRPr="00DD2640">
        <w:t>: A Gender-Driven Perspective', </w:t>
      </w:r>
      <w:proofErr w:type="spellStart"/>
      <w:r w:rsidRPr="00DD2640">
        <w:rPr>
          <w:i/>
          <w:iCs/>
        </w:rPr>
        <w:t>Unnayan</w:t>
      </w:r>
      <w:proofErr w:type="spellEnd"/>
      <w:r w:rsidRPr="00DD2640">
        <w:rPr>
          <w:i/>
          <w:iCs/>
        </w:rPr>
        <w:t>: Journal of Management,</w:t>
      </w:r>
      <w:r w:rsidRPr="00DD2640">
        <w:t>16, pp. 1–15(1).</w:t>
      </w:r>
    </w:p>
    <w:p w14:paraId="05D8E608" w14:textId="77777777" w:rsidR="00025579" w:rsidRPr="00E604AC" w:rsidRDefault="00025579" w:rsidP="00F0718D">
      <w:pPr>
        <w:pStyle w:val="Uni-Normal"/>
        <w:jc w:val="both"/>
        <w:rPr>
          <w:lang w:eastAsia="en-GB"/>
        </w:rPr>
      </w:pPr>
      <w:r w:rsidRPr="00E604AC">
        <w:rPr>
          <w:lang w:eastAsia="en-GB"/>
        </w:rPr>
        <w:t>Makwana, D., Engineer, P., Dabhi, A. and Chudasama, H. (2023) 'Sampling methods in research: A review', </w:t>
      </w:r>
      <w:r w:rsidRPr="00E604AC">
        <w:rPr>
          <w:i/>
          <w:iCs/>
          <w:lang w:eastAsia="en-GB"/>
        </w:rPr>
        <w:t>International Journal of Trend in Scientific Research and Development,</w:t>
      </w:r>
      <w:r w:rsidRPr="00E604AC">
        <w:rPr>
          <w:lang w:eastAsia="en-GB"/>
        </w:rPr>
        <w:t> 7(3), pp. 762–</w:t>
      </w:r>
      <w:proofErr w:type="gramStart"/>
      <w:r w:rsidRPr="00E604AC">
        <w:rPr>
          <w:lang w:eastAsia="en-GB"/>
        </w:rPr>
        <w:t>768..</w:t>
      </w:r>
      <w:proofErr w:type="gramEnd"/>
    </w:p>
    <w:p w14:paraId="6CFD6C83" w14:textId="77777777" w:rsidR="00025579" w:rsidRPr="00DD2640" w:rsidRDefault="00025579" w:rsidP="00F0718D">
      <w:pPr>
        <w:pStyle w:val="Uni-Normal"/>
        <w:jc w:val="both"/>
      </w:pPr>
      <w:r w:rsidRPr="00DD2640">
        <w:t>Mangan, C., Needham, C., McKenna, D. and Lowther, J. (2024) 'Making a difference? Attracting new generations into local government', </w:t>
      </w:r>
      <w:r w:rsidRPr="00DD2640">
        <w:rPr>
          <w:i/>
          <w:iCs/>
        </w:rPr>
        <w:t>Local government studies,</w:t>
      </w:r>
      <w:r w:rsidRPr="00DD2640">
        <w:t>50(6), pp. 1074–1083. Available at: </w:t>
      </w:r>
      <w:hyperlink r:id="rId43" w:tgtFrame="_blank" w:history="1">
        <w:r w:rsidRPr="00DD2640">
          <w:rPr>
            <w:rStyle w:val="Hyperlink"/>
          </w:rPr>
          <w:t>https://doi.org/10.1080/03003930.2024.2417254</w:t>
        </w:r>
      </w:hyperlink>
      <w:r w:rsidRPr="00DD2640">
        <w:t xml:space="preserve">. </w:t>
      </w:r>
    </w:p>
    <w:p w14:paraId="5138D2DA" w14:textId="77777777" w:rsidR="00025579" w:rsidRDefault="00025579" w:rsidP="00F0718D">
      <w:pPr>
        <w:pStyle w:val="Uni-Normal"/>
        <w:jc w:val="both"/>
        <w:rPr>
          <w:lang w:eastAsia="en-GB"/>
        </w:rPr>
      </w:pPr>
      <w:r w:rsidRPr="00F0718D">
        <w:rPr>
          <w:lang w:eastAsia="en-GB"/>
        </w:rPr>
        <w:t xml:space="preserve">Marsh McLennan Agency (2024) </w:t>
      </w:r>
      <w:r w:rsidRPr="00F0718D">
        <w:rPr>
          <w:i/>
          <w:iCs/>
          <w:lang w:eastAsia="en-GB"/>
        </w:rPr>
        <w:t>Four Generations in the Workplace, One Workforce</w:t>
      </w:r>
      <w:r w:rsidRPr="00F0718D">
        <w:rPr>
          <w:lang w:eastAsia="en-GB"/>
        </w:rPr>
        <w:t xml:space="preserve">. Available at: </w:t>
      </w:r>
      <w:hyperlink r:id="rId44" w:history="1">
        <w:r w:rsidRPr="00C94AEA">
          <w:rPr>
            <w:rStyle w:val="Hyperlink"/>
            <w:lang w:eastAsia="en-GB"/>
          </w:rPr>
          <w:t>https://www.marshmma.com/us/insights/details/generations-in-the-workplace.html</w:t>
        </w:r>
      </w:hyperlink>
      <w:r>
        <w:rPr>
          <w:lang w:eastAsia="en-GB"/>
        </w:rPr>
        <w:t xml:space="preserve"> </w:t>
      </w:r>
      <w:r>
        <w:t>(</w:t>
      </w:r>
      <w:r w:rsidRPr="00487152">
        <w:t>Accessed 9 Jan</w:t>
      </w:r>
      <w:r>
        <w:t>uary</w:t>
      </w:r>
      <w:r w:rsidRPr="00487152">
        <w:t>. 2026</w:t>
      </w:r>
      <w:r>
        <w:t>)</w:t>
      </w:r>
      <w:r w:rsidRPr="00487152">
        <w:t>.</w:t>
      </w:r>
    </w:p>
    <w:p w14:paraId="0BFDD961" w14:textId="77777777" w:rsidR="00025579" w:rsidRPr="00D20010" w:rsidRDefault="00025579" w:rsidP="00F0718D">
      <w:pPr>
        <w:pStyle w:val="Uni-Normal"/>
        <w:jc w:val="both"/>
        <w:rPr>
          <w:lang w:eastAsia="en-GB"/>
        </w:rPr>
      </w:pPr>
      <w:r w:rsidRPr="00D20010">
        <w:rPr>
          <w:lang w:eastAsia="en-GB"/>
        </w:rPr>
        <w:t xml:space="preserve">Mazars (2023) </w:t>
      </w:r>
      <w:r w:rsidRPr="00D20010">
        <w:rPr>
          <w:i/>
          <w:iCs/>
          <w:lang w:eastAsia="en-GB"/>
        </w:rPr>
        <w:t>Recruitment crisis in the public and social sector</w:t>
      </w:r>
      <w:r w:rsidRPr="00D20010">
        <w:rPr>
          <w:lang w:eastAsia="en-GB"/>
        </w:rPr>
        <w:t xml:space="preserve">. </w:t>
      </w:r>
      <w:proofErr w:type="spellStart"/>
      <w:r w:rsidRPr="00D20010">
        <w:rPr>
          <w:i/>
          <w:iCs/>
          <w:lang w:eastAsia="en-GB"/>
        </w:rPr>
        <w:t>Forvis</w:t>
      </w:r>
      <w:proofErr w:type="spellEnd"/>
      <w:r w:rsidRPr="00D20010">
        <w:rPr>
          <w:i/>
          <w:iCs/>
          <w:lang w:eastAsia="en-GB"/>
        </w:rPr>
        <w:t xml:space="preserve"> Mazars</w:t>
      </w:r>
      <w:r w:rsidRPr="00D20010">
        <w:rPr>
          <w:lang w:eastAsia="en-GB"/>
        </w:rPr>
        <w:t xml:space="preserve">. Available at: </w:t>
      </w:r>
      <w:hyperlink r:id="rId45" w:history="1">
        <w:r w:rsidRPr="00D20010">
          <w:rPr>
            <w:rStyle w:val="Hyperlink"/>
            <w:lang w:eastAsia="en-GB"/>
          </w:rPr>
          <w:t>https://www.forvismazars.com/uk/en/industries/public-social-sector/public-and-social-sector-insights/recruitment-crisis-in-the-public-and-social-sector</w:t>
        </w:r>
      </w:hyperlink>
      <w:r>
        <w:rPr>
          <w:lang w:eastAsia="en-GB"/>
        </w:rPr>
        <w:t xml:space="preserve"> </w:t>
      </w:r>
      <w:r w:rsidRPr="00D20010">
        <w:rPr>
          <w:lang w:eastAsia="en-GB"/>
        </w:rPr>
        <w:t xml:space="preserve"> (Accessed: 19 November 2025).</w:t>
      </w:r>
    </w:p>
    <w:p w14:paraId="24890C19" w14:textId="77777777" w:rsidR="00025579" w:rsidRPr="00DD2640" w:rsidRDefault="00025579" w:rsidP="00F0718D">
      <w:pPr>
        <w:pStyle w:val="Uni-Normal"/>
        <w:jc w:val="both"/>
      </w:pPr>
      <w:r w:rsidRPr="00DD2640">
        <w:t xml:space="preserve">McConnell, M. and Blackburn, S. (2025) </w:t>
      </w:r>
      <w:r w:rsidRPr="00DD2640">
        <w:rPr>
          <w:i/>
          <w:iCs/>
        </w:rPr>
        <w:t>Attracting Gen Z talent into US public service</w:t>
      </w:r>
      <w:r w:rsidRPr="00DD2640">
        <w:t xml:space="preserve">, </w:t>
      </w:r>
      <w:r w:rsidRPr="00DD2640">
        <w:rPr>
          <w:i/>
          <w:iCs/>
        </w:rPr>
        <w:t>McKinsey &amp; Company</w:t>
      </w:r>
      <w:r w:rsidRPr="00DD2640">
        <w:t xml:space="preserve">. Available at: </w:t>
      </w:r>
      <w:hyperlink r:id="rId46" w:history="1">
        <w:r w:rsidRPr="00DD2640">
          <w:rPr>
            <w:rStyle w:val="Hyperlink"/>
          </w:rPr>
          <w:t>https://www.mckinsey.com/industries/public-sector/our-insights/attracting-gen-z-talent-into-us-public-service</w:t>
        </w:r>
      </w:hyperlink>
      <w:r w:rsidRPr="00DD2640">
        <w:t xml:space="preserve">  (Accessed: 2 December 2025).</w:t>
      </w:r>
    </w:p>
    <w:p w14:paraId="38A1D4DA" w14:textId="77777777" w:rsidR="00025579" w:rsidRDefault="00025579" w:rsidP="00F0718D">
      <w:pPr>
        <w:pStyle w:val="Uni-Normal"/>
        <w:jc w:val="both"/>
        <w:rPr>
          <w:lang w:eastAsia="en-GB"/>
        </w:rPr>
      </w:pPr>
      <w:r w:rsidRPr="00DF4B9D">
        <w:rPr>
          <w:lang w:eastAsia="en-GB"/>
        </w:rPr>
        <w:lastRenderedPageBreak/>
        <w:t>McEwan, B. (2020) 'Sampling and validity', </w:t>
      </w:r>
      <w:r w:rsidRPr="00DF4B9D">
        <w:rPr>
          <w:i/>
          <w:iCs/>
          <w:lang w:eastAsia="en-GB"/>
        </w:rPr>
        <w:t>Annals of the International Communication Association,</w:t>
      </w:r>
      <w:r w:rsidRPr="00DF4B9D">
        <w:rPr>
          <w:lang w:eastAsia="en-GB"/>
        </w:rPr>
        <w:t> 44(3), pp. 235–</w:t>
      </w:r>
      <w:proofErr w:type="gramStart"/>
      <w:r w:rsidRPr="00DF4B9D">
        <w:rPr>
          <w:lang w:eastAsia="en-GB"/>
        </w:rPr>
        <w:t>247..</w:t>
      </w:r>
      <w:proofErr w:type="gramEnd"/>
      <w:r>
        <w:rPr>
          <w:lang w:eastAsia="en-GB"/>
        </w:rPr>
        <w:t xml:space="preserve"> </w:t>
      </w:r>
    </w:p>
    <w:p w14:paraId="336F8AC2" w14:textId="77777777" w:rsidR="00025579" w:rsidRDefault="00025579" w:rsidP="00F0718D">
      <w:pPr>
        <w:pStyle w:val="Uni-Normal"/>
        <w:jc w:val="both"/>
      </w:pPr>
      <w:proofErr w:type="spellStart"/>
      <w:r w:rsidRPr="00112381">
        <w:t>Mortelmans</w:t>
      </w:r>
      <w:proofErr w:type="spellEnd"/>
      <w:r w:rsidRPr="00112381">
        <w:t xml:space="preserve">, D. (2025) </w:t>
      </w:r>
      <w:r w:rsidRPr="00112381">
        <w:rPr>
          <w:i/>
          <w:iCs/>
        </w:rPr>
        <w:t>Doing qualitative data analysis with NVivo</w:t>
      </w:r>
      <w:r w:rsidRPr="00112381">
        <w:t xml:space="preserve">. Cham: Springer. </w:t>
      </w:r>
      <w:hyperlink r:id="rId47" w:history="1">
        <w:r w:rsidRPr="0057766E">
          <w:rPr>
            <w:rStyle w:val="Hyperlink"/>
            <w:szCs w:val="24"/>
          </w:rPr>
          <w:t>https://doi.org/10.1007/978-3-031-66014-6</w:t>
        </w:r>
      </w:hyperlink>
    </w:p>
    <w:p w14:paraId="592B0CF7" w14:textId="77777777" w:rsidR="00025579" w:rsidRDefault="00025579" w:rsidP="00F0718D">
      <w:pPr>
        <w:pStyle w:val="Uni-Normal"/>
        <w:jc w:val="both"/>
        <w:rPr>
          <w:lang w:eastAsia="en-GB"/>
        </w:rPr>
      </w:pPr>
      <w:r w:rsidRPr="004F59A2">
        <w:rPr>
          <w:lang w:eastAsia="en-GB"/>
        </w:rPr>
        <w:t>Nayak, M. and Narayan, K.A. (2019) 'Strengths and weaknesses of online surveys', </w:t>
      </w:r>
      <w:r w:rsidRPr="004F59A2">
        <w:rPr>
          <w:i/>
          <w:iCs/>
          <w:lang w:eastAsia="en-GB"/>
        </w:rPr>
        <w:t>Technology,</w:t>
      </w:r>
      <w:r w:rsidRPr="004F59A2">
        <w:rPr>
          <w:lang w:eastAsia="en-GB"/>
        </w:rPr>
        <w:t> 6(7), pp. 0837–</w:t>
      </w:r>
      <w:proofErr w:type="gramStart"/>
      <w:r w:rsidRPr="004F59A2">
        <w:rPr>
          <w:lang w:eastAsia="en-GB"/>
        </w:rPr>
        <w:t>2405053138..</w:t>
      </w:r>
      <w:proofErr w:type="gramEnd"/>
    </w:p>
    <w:p w14:paraId="639D4D6C" w14:textId="77777777" w:rsidR="00025579" w:rsidRPr="00D20010" w:rsidRDefault="00025579" w:rsidP="00F0718D">
      <w:pPr>
        <w:pStyle w:val="Uni-Normal"/>
        <w:jc w:val="both"/>
        <w:rPr>
          <w:lang w:eastAsia="en-GB"/>
        </w:rPr>
      </w:pPr>
      <w:r w:rsidRPr="009479F0">
        <w:rPr>
          <w:lang w:eastAsia="en-GB"/>
        </w:rPr>
        <w:t xml:space="preserve">Newport City Council (2023) </w:t>
      </w:r>
      <w:r w:rsidRPr="009479F0">
        <w:rPr>
          <w:i/>
          <w:iCs/>
          <w:lang w:eastAsia="en-GB"/>
        </w:rPr>
        <w:t>PEOPLE PLAN 2023 - 2028</w:t>
      </w:r>
      <w:r w:rsidRPr="009479F0">
        <w:rPr>
          <w:lang w:eastAsia="en-GB"/>
        </w:rPr>
        <w:t xml:space="preserve"> </w:t>
      </w:r>
      <w:r>
        <w:rPr>
          <w:lang w:eastAsia="en-GB"/>
        </w:rPr>
        <w:t>(</w:t>
      </w:r>
      <w:r w:rsidRPr="009479F0">
        <w:rPr>
          <w:lang w:eastAsia="en-GB"/>
        </w:rPr>
        <w:t>Anonymised producer</w:t>
      </w:r>
      <w:r>
        <w:rPr>
          <w:lang w:eastAsia="en-GB"/>
        </w:rPr>
        <w:t xml:space="preserve">) </w:t>
      </w:r>
      <w:r w:rsidRPr="009479F0">
        <w:rPr>
          <w:lang w:eastAsia="en-GB"/>
        </w:rPr>
        <w:t>Unpublished</w:t>
      </w:r>
    </w:p>
    <w:p w14:paraId="252D9710" w14:textId="77777777" w:rsidR="00AB7E16" w:rsidRPr="00D20010" w:rsidRDefault="00AB7E16" w:rsidP="00AB7E16">
      <w:pPr>
        <w:pStyle w:val="Uni-Normal"/>
        <w:jc w:val="both"/>
        <w:rPr>
          <w:lang w:eastAsia="en-GB"/>
        </w:rPr>
      </w:pPr>
      <w:r w:rsidRPr="00D20010">
        <w:rPr>
          <w:lang w:eastAsia="en-GB"/>
        </w:rPr>
        <w:t xml:space="preserve">Newport City Council (2025) </w:t>
      </w:r>
      <w:r w:rsidRPr="00D20010">
        <w:rPr>
          <w:i/>
          <w:iCs/>
          <w:lang w:eastAsia="en-GB"/>
        </w:rPr>
        <w:t>Ages and continuous service</w:t>
      </w:r>
      <w:r w:rsidRPr="00D20010">
        <w:rPr>
          <w:lang w:eastAsia="en-GB"/>
        </w:rPr>
        <w:t xml:space="preserve">. </w:t>
      </w:r>
      <w:r>
        <w:rPr>
          <w:lang w:eastAsia="en-GB"/>
        </w:rPr>
        <w:t>(</w:t>
      </w:r>
      <w:r w:rsidRPr="00D20010">
        <w:rPr>
          <w:lang w:eastAsia="en-GB"/>
        </w:rPr>
        <w:t xml:space="preserve">Confidential </w:t>
      </w:r>
      <w:r>
        <w:rPr>
          <w:lang w:eastAsia="en-GB"/>
        </w:rPr>
        <w:t>document)</w:t>
      </w:r>
      <w:r w:rsidRPr="00D20010">
        <w:rPr>
          <w:lang w:eastAsia="en-GB"/>
        </w:rPr>
        <w:t>.</w:t>
      </w:r>
    </w:p>
    <w:p w14:paraId="14992789" w14:textId="77777777" w:rsidR="00025579" w:rsidRPr="00D20010" w:rsidRDefault="00025579" w:rsidP="00F0718D">
      <w:pPr>
        <w:pStyle w:val="Uni-Normal"/>
        <w:jc w:val="both"/>
        <w:rPr>
          <w:lang w:eastAsia="en-GB"/>
        </w:rPr>
      </w:pPr>
      <w:r w:rsidRPr="00D20010">
        <w:rPr>
          <w:lang w:eastAsia="en-GB"/>
        </w:rPr>
        <w:t xml:space="preserve">Newport City Council (n.d.) </w:t>
      </w:r>
      <w:r w:rsidRPr="00D20010">
        <w:rPr>
          <w:i/>
          <w:iCs/>
          <w:lang w:eastAsia="en-GB"/>
        </w:rPr>
        <w:t>Strategic Plan for Procurement 2020–2024</w:t>
      </w:r>
      <w:r w:rsidRPr="00D20010">
        <w:rPr>
          <w:lang w:eastAsia="en-GB"/>
        </w:rPr>
        <w:t xml:space="preserve">. Available at: </w:t>
      </w:r>
      <w:hyperlink r:id="rId48" w:history="1">
        <w:r w:rsidRPr="00D20010">
          <w:rPr>
            <w:rStyle w:val="Hyperlink"/>
            <w:lang w:eastAsia="en-GB"/>
          </w:rPr>
          <w:t>https://www.newport.gov.uk/sites/default/files/media/media-documents/Procurement%20Strategy%202020-24_2.pdf</w:t>
        </w:r>
      </w:hyperlink>
      <w:r>
        <w:rPr>
          <w:lang w:eastAsia="en-GB"/>
        </w:rPr>
        <w:t xml:space="preserve"> </w:t>
      </w:r>
      <w:r w:rsidRPr="00D20010">
        <w:rPr>
          <w:lang w:eastAsia="en-GB"/>
        </w:rPr>
        <w:t xml:space="preserve"> (Accessed: 28 August 2025).</w:t>
      </w:r>
    </w:p>
    <w:p w14:paraId="528E712F" w14:textId="77777777" w:rsidR="00025579" w:rsidRDefault="00025579" w:rsidP="00F0718D">
      <w:pPr>
        <w:pStyle w:val="Uni-Normal"/>
        <w:jc w:val="both"/>
      </w:pPr>
      <w:proofErr w:type="spellStart"/>
      <w:r w:rsidRPr="00DD2640">
        <w:t>Nieżurawska-Zając</w:t>
      </w:r>
      <w:proofErr w:type="spellEnd"/>
      <w:r w:rsidRPr="00DD2640">
        <w:t>, J., Kycia, R.A. and Niemczynowicz, A. (2023) </w:t>
      </w:r>
      <w:r w:rsidRPr="00DD2640">
        <w:rPr>
          <w:i/>
          <w:iCs/>
        </w:rPr>
        <w:t xml:space="preserve">Managing </w:t>
      </w:r>
      <w:r>
        <w:rPr>
          <w:i/>
          <w:iCs/>
        </w:rPr>
        <w:t xml:space="preserve">Gen </w:t>
      </w:r>
      <w:proofErr w:type="gramStart"/>
      <w:r>
        <w:rPr>
          <w:i/>
          <w:iCs/>
        </w:rPr>
        <w:t>Z</w:t>
      </w:r>
      <w:r w:rsidRPr="00DD2640">
        <w:rPr>
          <w:i/>
          <w:iCs/>
        </w:rPr>
        <w:t xml:space="preserve"> :</w:t>
      </w:r>
      <w:proofErr w:type="gramEnd"/>
      <w:r w:rsidRPr="00DD2640">
        <w:rPr>
          <w:i/>
          <w:iCs/>
        </w:rPr>
        <w:t xml:space="preserve"> Motivation, Engagement and Loyalty</w:t>
      </w:r>
      <w:r w:rsidRPr="00DD2640">
        <w:t xml:space="preserve"> Taylor &amp; Francis. </w:t>
      </w:r>
    </w:p>
    <w:p w14:paraId="3D98FDAD" w14:textId="77777777" w:rsidR="00025579" w:rsidRPr="00030F7F" w:rsidRDefault="00025579" w:rsidP="00030F7F">
      <w:pPr>
        <w:pStyle w:val="Uni-Normal"/>
      </w:pPr>
      <w:bookmarkStart w:id="112" w:name="_Hlk220168842"/>
      <w:r w:rsidRPr="00030F7F">
        <w:t xml:space="preserve">OECD (2021) Ageing and talent management in European public administrations: A report prepared by the OECD for the Slovenian Presidency of the Council of the European Union. Paris: OECD Publishing. Available at: </w:t>
      </w:r>
      <w:hyperlink r:id="rId49" w:history="1">
        <w:r w:rsidRPr="00C94AEA">
          <w:rPr>
            <w:rStyle w:val="Hyperlink"/>
          </w:rPr>
          <w:t>https://www.eipa.eu/wp-content/uploads/2022/04/Ageing-and-talent-management-in-European-pub-admin_OECD-Slovenia.pdf</w:t>
        </w:r>
      </w:hyperlink>
      <w:r>
        <w:t xml:space="preserve"> </w:t>
      </w:r>
      <w:r w:rsidRPr="00030F7F">
        <w:t xml:space="preserve"> (Accessed: 22 May 2026).</w:t>
      </w:r>
    </w:p>
    <w:p w14:paraId="3148BB60" w14:textId="77777777" w:rsidR="00025579" w:rsidRPr="00DD2640" w:rsidRDefault="00025579" w:rsidP="00F0718D">
      <w:pPr>
        <w:pStyle w:val="Uni-Normal"/>
        <w:jc w:val="both"/>
      </w:pPr>
      <w:r w:rsidRPr="00B11D4C">
        <w:t xml:space="preserve">Office for National Statistics (2023) How life has changed in Newport: Census 2021. Available at: </w:t>
      </w:r>
      <w:hyperlink r:id="rId50" w:history="1">
        <w:r w:rsidRPr="003E30F5">
          <w:rPr>
            <w:rStyle w:val="Hyperlink"/>
          </w:rPr>
          <w:t>https://www.ons.gov.uk/visualisations/censusareachanges/W06000022/</w:t>
        </w:r>
      </w:hyperlink>
      <w:r>
        <w:t xml:space="preserve"> </w:t>
      </w:r>
      <w:r w:rsidRPr="00B11D4C">
        <w:t xml:space="preserve"> (Accessed: 4 June 2026)</w:t>
      </w:r>
    </w:p>
    <w:bookmarkEnd w:id="112"/>
    <w:p w14:paraId="4E49306F" w14:textId="77777777" w:rsidR="00025579" w:rsidRPr="00DD2640" w:rsidRDefault="00025579" w:rsidP="00F0718D">
      <w:pPr>
        <w:pStyle w:val="Uni-Normal"/>
        <w:jc w:val="both"/>
        <w:rPr>
          <w:color w:val="000000"/>
        </w:rPr>
      </w:pPr>
      <w:r w:rsidRPr="00DD2640">
        <w:rPr>
          <w:color w:val="000000"/>
        </w:rPr>
        <w:t>Oliver, C. (1997) 'Sustainable competitive advantage: combining institutional and resource-based views', </w:t>
      </w:r>
      <w:r w:rsidRPr="00DD2640">
        <w:rPr>
          <w:i/>
          <w:iCs/>
          <w:color w:val="000000"/>
        </w:rPr>
        <w:t>Strategic Management Journal,</w:t>
      </w:r>
      <w:r w:rsidRPr="00DD2640">
        <w:rPr>
          <w:color w:val="000000"/>
        </w:rPr>
        <w:t>18, pp. 697–713(9) Available at: </w:t>
      </w:r>
      <w:hyperlink r:id="rId51" w:tgtFrame="_blank" w:history="1">
        <w:r w:rsidRPr="00DD2640">
          <w:rPr>
            <w:rStyle w:val="Hyperlink"/>
            <w:rFonts w:eastAsiaTheme="majorEastAsia"/>
            <w:color w:val="0066CC"/>
          </w:rPr>
          <w:t>https://doi.org/10.1002/(SICI)1097-0266(199710)18:9</w:t>
        </w:r>
      </w:hyperlink>
      <w:r w:rsidRPr="00DD2640">
        <w:rPr>
          <w:color w:val="000000"/>
        </w:rPr>
        <w:t>.</w:t>
      </w:r>
    </w:p>
    <w:p w14:paraId="68D3F501" w14:textId="77777777" w:rsidR="00025579" w:rsidRDefault="00025579" w:rsidP="00F0718D">
      <w:pPr>
        <w:pStyle w:val="Uni-Normal"/>
        <w:jc w:val="both"/>
        <w:rPr>
          <w:lang w:eastAsia="en-GB"/>
        </w:rPr>
      </w:pPr>
      <w:r w:rsidRPr="00E17FF2">
        <w:rPr>
          <w:lang w:eastAsia="en-GB"/>
        </w:rPr>
        <w:lastRenderedPageBreak/>
        <w:t xml:space="preserve">Open University. (2024) </w:t>
      </w:r>
      <w:r w:rsidRPr="00E17FF2">
        <w:rPr>
          <w:i/>
          <w:iCs/>
          <w:lang w:eastAsia="en-GB"/>
        </w:rPr>
        <w:t>Mind the gap: employers and Gen Z out of sync on skills</w:t>
      </w:r>
      <w:r w:rsidRPr="00E17FF2">
        <w:rPr>
          <w:lang w:eastAsia="en-GB"/>
        </w:rPr>
        <w:t xml:space="preserve">. Available at: </w:t>
      </w:r>
      <w:hyperlink r:id="rId52" w:history="1">
        <w:r w:rsidRPr="00C94AEA">
          <w:rPr>
            <w:rStyle w:val="Hyperlink"/>
            <w:lang w:eastAsia="en-GB"/>
          </w:rPr>
          <w:t>https://university.open.ac.uk/wales/en/news/mind-gap-employers-and-gen-z-out-sync-skills</w:t>
        </w:r>
      </w:hyperlink>
      <w:r>
        <w:rPr>
          <w:lang w:eastAsia="en-GB"/>
        </w:rPr>
        <w:t xml:space="preserve"> </w:t>
      </w:r>
      <w:r w:rsidRPr="00E17FF2">
        <w:rPr>
          <w:lang w:eastAsia="en-GB"/>
        </w:rPr>
        <w:t>(Accessed: 13 February 2026).</w:t>
      </w:r>
    </w:p>
    <w:p w14:paraId="266B09AC" w14:textId="77777777" w:rsidR="00025579" w:rsidRPr="00DD2640" w:rsidRDefault="00025579" w:rsidP="00F0718D">
      <w:pPr>
        <w:pStyle w:val="Uni-Normal"/>
        <w:jc w:val="both"/>
      </w:pPr>
      <w:r w:rsidRPr="00DD2640">
        <w:t xml:space="preserve">Pandita, D. (2022) 'Innovation in talent management practices: creating an innovative employer branding strategy to attract </w:t>
      </w:r>
      <w:r>
        <w:t>Gen Z</w:t>
      </w:r>
      <w:r w:rsidRPr="00DD2640">
        <w:t>', </w:t>
      </w:r>
      <w:r w:rsidRPr="00DD2640">
        <w:rPr>
          <w:i/>
          <w:iCs/>
        </w:rPr>
        <w:t>International Journal of Innovation Science,</w:t>
      </w:r>
      <w:r w:rsidRPr="00DD2640">
        <w:t>14(3/4) Available at: </w:t>
      </w:r>
      <w:hyperlink r:id="rId53" w:tgtFrame="_blank" w:history="1">
        <w:r w:rsidRPr="00DD2640">
          <w:rPr>
            <w:rStyle w:val="Hyperlink"/>
          </w:rPr>
          <w:t>https://doi.org/10.1108/IJIS-10-2020-0217</w:t>
        </w:r>
      </w:hyperlink>
      <w:r w:rsidRPr="00DD2640">
        <w:t>.</w:t>
      </w:r>
    </w:p>
    <w:p w14:paraId="735ECAF2" w14:textId="77777777" w:rsidR="00025579" w:rsidRPr="00844924" w:rsidRDefault="00025579" w:rsidP="00F0718D">
      <w:pPr>
        <w:pStyle w:val="Uni-Normal"/>
        <w:jc w:val="both"/>
        <w:rPr>
          <w:lang w:eastAsia="en-GB"/>
        </w:rPr>
      </w:pPr>
      <w:r w:rsidRPr="00C428D9">
        <w:t xml:space="preserve">Patrick, M. (2020) </w:t>
      </w:r>
      <w:r w:rsidRPr="00844924">
        <w:rPr>
          <w:i/>
          <w:iCs/>
        </w:rPr>
        <w:t>Surveys: Introduction to Jisc Online Surveys and Microsoft Forms.</w:t>
      </w:r>
      <w:r w:rsidRPr="00C428D9">
        <w:t xml:space="preserve"> University of Oxford IT Services.</w:t>
      </w:r>
    </w:p>
    <w:p w14:paraId="169CA05A" w14:textId="77777777" w:rsidR="00025579" w:rsidRDefault="00025579" w:rsidP="00F0718D">
      <w:pPr>
        <w:pStyle w:val="Uni-Normal"/>
        <w:jc w:val="both"/>
        <w:rPr>
          <w:lang w:eastAsia="en-GB"/>
        </w:rPr>
      </w:pPr>
      <w:r w:rsidRPr="00C04BFF">
        <w:rPr>
          <w:lang w:eastAsia="en-GB"/>
        </w:rPr>
        <w:t>Pretorius, L. (2024) 'Demystifying research paradigms: Navigating ontology, epistemology</w:t>
      </w:r>
      <w:r>
        <w:rPr>
          <w:lang w:eastAsia="en-GB"/>
        </w:rPr>
        <w:t xml:space="preserve"> and</w:t>
      </w:r>
      <w:r w:rsidRPr="00C04BFF">
        <w:rPr>
          <w:lang w:eastAsia="en-GB"/>
        </w:rPr>
        <w:t xml:space="preserve"> axiology in research', </w:t>
      </w:r>
      <w:r w:rsidRPr="00C04BFF">
        <w:rPr>
          <w:i/>
          <w:iCs/>
          <w:lang w:eastAsia="en-GB"/>
        </w:rPr>
        <w:t>The Qualitative Report,</w:t>
      </w:r>
      <w:r w:rsidRPr="00C04BFF">
        <w:rPr>
          <w:lang w:eastAsia="en-GB"/>
        </w:rPr>
        <w:t> 29(10), pp. 2698–</w:t>
      </w:r>
      <w:proofErr w:type="gramStart"/>
      <w:r w:rsidRPr="00C04BFF">
        <w:rPr>
          <w:lang w:eastAsia="en-GB"/>
        </w:rPr>
        <w:t>2715..</w:t>
      </w:r>
      <w:proofErr w:type="gramEnd"/>
    </w:p>
    <w:p w14:paraId="11C048AE" w14:textId="77777777" w:rsidR="00025579" w:rsidRDefault="00025579" w:rsidP="00F0718D">
      <w:pPr>
        <w:pStyle w:val="Uni-Normal"/>
        <w:jc w:val="both"/>
        <w:rPr>
          <w:lang w:eastAsia="en-GB"/>
        </w:rPr>
      </w:pPr>
      <w:r w:rsidRPr="00D16E05">
        <w:rPr>
          <w:lang w:eastAsia="en-GB"/>
        </w:rPr>
        <w:t xml:space="preserve">Public Services Staff Commission (2017) </w:t>
      </w:r>
      <w:r w:rsidRPr="00D16E05">
        <w:rPr>
          <w:i/>
          <w:iCs/>
          <w:lang w:eastAsia="en-GB"/>
        </w:rPr>
        <w:t>Principles and guidance to support joint workforce planning in public services in Wales</w:t>
      </w:r>
      <w:r w:rsidRPr="00D16E05">
        <w:rPr>
          <w:lang w:eastAsia="en-GB"/>
        </w:rPr>
        <w:t xml:space="preserve">. Cardiff: Welsh Government. Available at: </w:t>
      </w:r>
      <w:hyperlink r:id="rId54" w:history="1">
        <w:r w:rsidRPr="00CA6245">
          <w:rPr>
            <w:rStyle w:val="Hyperlink"/>
            <w:lang w:eastAsia="en-GB"/>
          </w:rPr>
          <w:t>https://uniswales.ac.uk/sites/default/files/2021-10/Solving-Future-Skills-Challenges-in-Wales%20%286%29.pdf</w:t>
        </w:r>
      </w:hyperlink>
      <w:r>
        <w:rPr>
          <w:lang w:eastAsia="en-GB"/>
        </w:rPr>
        <w:t xml:space="preserve"> </w:t>
      </w:r>
      <w:r w:rsidRPr="00D16E05">
        <w:rPr>
          <w:lang w:eastAsia="en-GB"/>
        </w:rPr>
        <w:t xml:space="preserve"> (Accessed: 12 February 2026).</w:t>
      </w:r>
    </w:p>
    <w:p w14:paraId="18B10697" w14:textId="77777777" w:rsidR="00025579" w:rsidRDefault="00025579" w:rsidP="00F0718D">
      <w:pPr>
        <w:pStyle w:val="Uni-Normal"/>
        <w:jc w:val="both"/>
        <w:rPr>
          <w:lang w:eastAsia="en-GB"/>
        </w:rPr>
      </w:pPr>
      <w:r w:rsidRPr="00D83EA6">
        <w:rPr>
          <w:lang w:eastAsia="en-GB"/>
        </w:rPr>
        <w:t xml:space="preserve">Reynolds, A. (2025) </w:t>
      </w:r>
      <w:r w:rsidRPr="00D83EA6">
        <w:rPr>
          <w:i/>
          <w:iCs/>
          <w:lang w:eastAsia="en-GB"/>
        </w:rPr>
        <w:t xml:space="preserve">Market Research with </w:t>
      </w:r>
      <w:r>
        <w:rPr>
          <w:i/>
          <w:iCs/>
          <w:lang w:eastAsia="en-GB"/>
        </w:rPr>
        <w:t>Gen Z</w:t>
      </w:r>
      <w:r w:rsidRPr="00D83EA6">
        <w:rPr>
          <w:i/>
          <w:iCs/>
          <w:lang w:eastAsia="en-GB"/>
        </w:rPr>
        <w:t xml:space="preserve"> | 4 Things You Need to Know</w:t>
      </w:r>
      <w:r w:rsidRPr="00D83EA6">
        <w:rPr>
          <w:lang w:eastAsia="en-GB"/>
        </w:rPr>
        <w:t xml:space="preserve">, </w:t>
      </w:r>
      <w:r w:rsidRPr="00D83EA6">
        <w:rPr>
          <w:i/>
          <w:iCs/>
          <w:lang w:eastAsia="en-GB"/>
        </w:rPr>
        <w:t>www.driveresearch.com</w:t>
      </w:r>
      <w:r w:rsidRPr="00D83EA6">
        <w:rPr>
          <w:lang w:eastAsia="en-GB"/>
        </w:rPr>
        <w:t xml:space="preserve">. Available at: </w:t>
      </w:r>
      <w:hyperlink r:id="rId55" w:history="1">
        <w:r w:rsidRPr="00015901">
          <w:rPr>
            <w:rStyle w:val="Hyperlink"/>
            <w:rFonts w:eastAsia="Times New Roman"/>
            <w:szCs w:val="24"/>
            <w:lang w:eastAsia="en-GB"/>
          </w:rPr>
          <w:t>https://www.driveresearch.com/market-research-company-blog/market-research-with-generation-z/</w:t>
        </w:r>
      </w:hyperlink>
      <w:r w:rsidRPr="00D83EA6">
        <w:rPr>
          <w:lang w:eastAsia="en-GB"/>
        </w:rPr>
        <w:t>.</w:t>
      </w:r>
      <w:r>
        <w:rPr>
          <w:lang w:eastAsia="en-GB"/>
        </w:rPr>
        <w:t xml:space="preserve"> </w:t>
      </w:r>
      <w:r w:rsidRPr="0012520C">
        <w:rPr>
          <w:lang w:eastAsia="en-GB"/>
        </w:rPr>
        <w:t>(Accessed: 2</w:t>
      </w:r>
      <w:r>
        <w:rPr>
          <w:lang w:eastAsia="en-GB"/>
        </w:rPr>
        <w:t>5</w:t>
      </w:r>
      <w:r w:rsidRPr="0012520C">
        <w:rPr>
          <w:lang w:eastAsia="en-GB"/>
        </w:rPr>
        <w:t xml:space="preserve"> February 2026).</w:t>
      </w:r>
    </w:p>
    <w:p w14:paraId="5A569E5A" w14:textId="77777777" w:rsidR="00025579" w:rsidRPr="00DD2640" w:rsidRDefault="00025579" w:rsidP="00F0718D">
      <w:pPr>
        <w:pStyle w:val="Uni-Normal"/>
        <w:jc w:val="both"/>
      </w:pPr>
      <w:proofErr w:type="gramStart"/>
      <w:r w:rsidRPr="00DD2640">
        <w:t>Romero ,</w:t>
      </w:r>
      <w:proofErr w:type="gramEnd"/>
      <w:r w:rsidRPr="00DD2640">
        <w:t xml:space="preserve"> D. (2025) </w:t>
      </w:r>
      <w:r w:rsidRPr="00DD2640">
        <w:rPr>
          <w:i/>
          <w:iCs/>
        </w:rPr>
        <w:t>Young UK workers more eager for office return than older staff</w:t>
      </w:r>
      <w:r w:rsidRPr="00DD2640">
        <w:t xml:space="preserve">, </w:t>
      </w:r>
      <w:r w:rsidRPr="00DD2640">
        <w:rPr>
          <w:i/>
          <w:iCs/>
        </w:rPr>
        <w:t>Staffing Industry Analysts (SIA)</w:t>
      </w:r>
      <w:r w:rsidRPr="00DD2640">
        <w:t xml:space="preserve">. Available at: </w:t>
      </w:r>
      <w:hyperlink r:id="rId56" w:history="1">
        <w:r w:rsidRPr="00DD2640">
          <w:rPr>
            <w:rStyle w:val="Hyperlink"/>
          </w:rPr>
          <w:t>https://www.staffingindustry.com/news/global-daily-news/young-uk-workers-more-eager-for-office-return-than-older-staff</w:t>
        </w:r>
      </w:hyperlink>
      <w:r>
        <w:t xml:space="preserve"> </w:t>
      </w:r>
      <w:r w:rsidRPr="00DD2640">
        <w:t>(Accessed: 25 November 2025).</w:t>
      </w:r>
    </w:p>
    <w:p w14:paraId="4805D82F" w14:textId="77777777" w:rsidR="00025579" w:rsidRPr="00DD2640" w:rsidRDefault="00025579" w:rsidP="00F0718D">
      <w:pPr>
        <w:pStyle w:val="Uni-Normal"/>
        <w:jc w:val="both"/>
        <w:rPr>
          <w:lang w:eastAsia="en-GB"/>
        </w:rPr>
      </w:pPr>
      <w:r w:rsidRPr="00DD2640">
        <w:rPr>
          <w:lang w:eastAsia="en-GB"/>
        </w:rPr>
        <w:t>Roy, G.S. and Devi, V.R. (2017) 'Inclusive vs exclusive approach to talent management: A review agenda', </w:t>
      </w:r>
      <w:r w:rsidRPr="00DD2640">
        <w:rPr>
          <w:i/>
          <w:iCs/>
          <w:lang w:eastAsia="en-GB"/>
        </w:rPr>
        <w:t>IPE Journal of Management,</w:t>
      </w:r>
      <w:r w:rsidRPr="00DD2640">
        <w:rPr>
          <w:lang w:eastAsia="en-GB"/>
        </w:rPr>
        <w:t> 7(2) Available at: </w:t>
      </w:r>
      <w:hyperlink r:id="rId57" w:tgtFrame="_blank" w:history="1">
        <w:r w:rsidRPr="00DD2640">
          <w:rPr>
            <w:rStyle w:val="Hyperlink"/>
            <w:rFonts w:eastAsia="Times New Roman"/>
            <w:szCs w:val="24"/>
            <w:lang w:eastAsia="en-GB"/>
          </w:rPr>
          <w:t>https://www.proquest.com/scholarly-journals/inclusive-vs-exclusive-approach-talent-management/docview/2234979737/se-2?accountid=130472</w:t>
        </w:r>
      </w:hyperlink>
      <w:r w:rsidRPr="00DD2640">
        <w:rPr>
          <w:lang w:eastAsia="en-GB"/>
        </w:rPr>
        <w:t> </w:t>
      </w:r>
      <w:hyperlink r:id="rId58" w:tgtFrame="_blank" w:history="1">
        <w:r w:rsidRPr="00DD2640">
          <w:rPr>
            <w:rStyle w:val="Hyperlink"/>
            <w:rFonts w:eastAsia="Times New Roman"/>
            <w:szCs w:val="24"/>
            <w:lang w:eastAsia="en-GB"/>
          </w:rPr>
          <w:t>https://libkey.io/libraries/1422/openurl?ctx_ver=Z39.88-2004&amp;ctx_enc=info:ofi/enc:UTF-8&amp;rfr_id=info:sid/ProQuest&amp;rft_val_fmt=journal&amp;rft.genre=article&amp;rft.jtitle=IPE+Journal+of+Management&amp;rft.atitle=Inclusive+vs+Exclusive+Approach+to+Talent+Management%253</w:t>
        </w:r>
        <w:r w:rsidRPr="00DD2640">
          <w:rPr>
            <w:rStyle w:val="Hyperlink"/>
            <w:rFonts w:eastAsia="Times New Roman"/>
            <w:szCs w:val="24"/>
            <w:lang w:eastAsia="en-GB"/>
          </w:rPr>
          <w:lastRenderedPageBreak/>
          <w:t>A+A+Review+Agenda&amp;rft.au=Roy%252C+Geeta+Shree%253BDevi%252C+V+Rama.&amp;rft.aulast=Roy&amp;rft.aufirst=Geeta&amp;rft.date=2017-07-01&amp;rft.volume=7&amp;rft.issue=2&amp;rft.spage=77&amp;rft.isbn=&amp;rft.btitle=&amp;rft.title=IPE+Journal+of+Management&amp;rft.issn=22499040&amp;rft_id=info:doi/</w:t>
        </w:r>
      </w:hyperlink>
      <w:r w:rsidRPr="00DD2640">
        <w:rPr>
          <w:lang w:eastAsia="en-GB"/>
        </w:rPr>
        <w:t>.</w:t>
      </w:r>
    </w:p>
    <w:p w14:paraId="234355B9" w14:textId="77777777" w:rsidR="00025579" w:rsidRPr="00DD2640" w:rsidRDefault="00025579" w:rsidP="00F0718D">
      <w:pPr>
        <w:pStyle w:val="Uni-Normal"/>
        <w:jc w:val="both"/>
      </w:pPr>
      <w:proofErr w:type="spellStart"/>
      <w:r w:rsidRPr="00DD2640">
        <w:t>Rzemieniak</w:t>
      </w:r>
      <w:proofErr w:type="spellEnd"/>
      <w:r w:rsidRPr="00DD2640">
        <w:t xml:space="preserve">, M. and Wawer, M. (2021) 'Employer Branding in the Context of the Company’s Sustainable Development Strategy from the Perspective of Gender Diversity of </w:t>
      </w:r>
      <w:r>
        <w:t>Gen Z</w:t>
      </w:r>
      <w:r w:rsidRPr="00DD2640">
        <w:t>', </w:t>
      </w:r>
      <w:r w:rsidRPr="00DD2640">
        <w:rPr>
          <w:i/>
          <w:iCs/>
        </w:rPr>
        <w:t>Sustainability,</w:t>
      </w:r>
      <w:r w:rsidRPr="00DD2640">
        <w:t>13, pp. 828(2) Available at: </w:t>
      </w:r>
      <w:hyperlink r:id="rId59" w:tgtFrame="_blank" w:history="1">
        <w:r w:rsidRPr="00DD2640">
          <w:rPr>
            <w:rStyle w:val="Hyperlink"/>
          </w:rPr>
          <w:t>https://doi.org/10.3390/su13020828</w:t>
        </w:r>
      </w:hyperlink>
      <w:r w:rsidRPr="00DD2640">
        <w:t xml:space="preserve">. </w:t>
      </w:r>
    </w:p>
    <w:p w14:paraId="693C5B18" w14:textId="77777777" w:rsidR="00025579" w:rsidRPr="002370A4" w:rsidRDefault="00025579" w:rsidP="00F0718D">
      <w:pPr>
        <w:pStyle w:val="Uni-Normal"/>
        <w:jc w:val="both"/>
      </w:pPr>
      <w:r w:rsidRPr="002370A4">
        <w:t>Saunders, M. N. K., Thornhill, A., &amp; Lewis, P. (2016). </w:t>
      </w:r>
      <w:r w:rsidRPr="002370A4">
        <w:rPr>
          <w:i/>
          <w:iCs/>
        </w:rPr>
        <w:t>Research methods for business students</w:t>
      </w:r>
      <w:r w:rsidRPr="002370A4">
        <w:t xml:space="preserve"> (Seventh edition.). Pearson Education Limited. </w:t>
      </w:r>
    </w:p>
    <w:p w14:paraId="4B7F8D19" w14:textId="77777777" w:rsidR="00025579" w:rsidRPr="00DD2640" w:rsidRDefault="00025579" w:rsidP="00F0718D">
      <w:pPr>
        <w:pStyle w:val="Uni-Normal"/>
        <w:jc w:val="both"/>
      </w:pPr>
      <w:r w:rsidRPr="00DD2640">
        <w:t>Schroth, H. (2019) 'Are You Ready for Gen Z in the Workplace?', </w:t>
      </w:r>
      <w:r w:rsidRPr="00DD2640">
        <w:rPr>
          <w:i/>
          <w:iCs/>
        </w:rPr>
        <w:t>California management review,</w:t>
      </w:r>
      <w:r w:rsidRPr="00DD2640">
        <w:t>61, pp. 5–18(3) Available at: </w:t>
      </w:r>
      <w:hyperlink r:id="rId60" w:tgtFrame="_blank" w:history="1">
        <w:r w:rsidRPr="00DD2640">
          <w:rPr>
            <w:rStyle w:val="Hyperlink"/>
          </w:rPr>
          <w:t>https://doi.org/10.1177/0008125619841006</w:t>
        </w:r>
      </w:hyperlink>
      <w:r w:rsidRPr="00DD2640">
        <w:t xml:space="preserve">. </w:t>
      </w:r>
    </w:p>
    <w:p w14:paraId="7754C8B4" w14:textId="77777777" w:rsidR="00025579" w:rsidRPr="00DD2640" w:rsidRDefault="00025579" w:rsidP="00F0718D">
      <w:pPr>
        <w:pStyle w:val="Uni-Normal"/>
        <w:jc w:val="both"/>
        <w:rPr>
          <w:lang w:eastAsia="en-GB"/>
        </w:rPr>
      </w:pPr>
      <w:r w:rsidRPr="00DD2640">
        <w:rPr>
          <w:i/>
          <w:iCs/>
          <w:lang w:eastAsia="en-GB"/>
        </w:rPr>
        <w:t>Shaping tomorrow’s talent agenda for the public sector | McKinsey</w:t>
      </w:r>
      <w:r w:rsidRPr="00DD2640">
        <w:rPr>
          <w:lang w:eastAsia="en-GB"/>
        </w:rPr>
        <w:t xml:space="preserve"> (2024) </w:t>
      </w:r>
      <w:r w:rsidRPr="00DD2640">
        <w:rPr>
          <w:i/>
          <w:iCs/>
          <w:lang w:eastAsia="en-GB"/>
        </w:rPr>
        <w:t>www.mckinsey.com</w:t>
      </w:r>
      <w:r w:rsidRPr="00DD2640">
        <w:rPr>
          <w:lang w:eastAsia="en-GB"/>
        </w:rPr>
        <w:t xml:space="preserve">. Available at: </w:t>
      </w:r>
      <w:hyperlink r:id="rId61" w:history="1">
        <w:r w:rsidRPr="00DD2640">
          <w:rPr>
            <w:rStyle w:val="Hyperlink"/>
            <w:rFonts w:eastAsia="Times New Roman"/>
            <w:szCs w:val="24"/>
            <w:lang w:eastAsia="en-GB"/>
          </w:rPr>
          <w:t>https://www.mckinsey.com/industries/public-sector/our-insights/shaping-tomorrows-talent-agenda-for-the-public-sector</w:t>
        </w:r>
      </w:hyperlink>
      <w:r w:rsidRPr="00DD2640">
        <w:rPr>
          <w:lang w:eastAsia="en-GB"/>
        </w:rPr>
        <w:t xml:space="preserve">  (Accessed: 21 January 2026).</w:t>
      </w:r>
    </w:p>
    <w:p w14:paraId="0AA48C51" w14:textId="77777777" w:rsidR="00025579" w:rsidRPr="00834344" w:rsidRDefault="00025579" w:rsidP="00F0718D">
      <w:pPr>
        <w:pStyle w:val="Uni-Normal"/>
        <w:jc w:val="both"/>
        <w:rPr>
          <w:lang w:eastAsia="en-GB"/>
        </w:rPr>
      </w:pPr>
      <w:r w:rsidRPr="00834344">
        <w:rPr>
          <w:lang w:eastAsia="en-GB"/>
        </w:rPr>
        <w:t xml:space="preserve">Shinde, O. and Surve, M. (2025) ‘Understanding </w:t>
      </w:r>
      <w:r>
        <w:rPr>
          <w:lang w:eastAsia="en-GB"/>
        </w:rPr>
        <w:t>Gen Z</w:t>
      </w:r>
      <w:r w:rsidRPr="00834344">
        <w:rPr>
          <w:lang w:eastAsia="en-GB"/>
        </w:rPr>
        <w:t xml:space="preserve"> in the workplace: Adapting organisational strategies for a new era of work’, </w:t>
      </w:r>
      <w:r w:rsidRPr="00834344">
        <w:rPr>
          <w:i/>
          <w:iCs/>
          <w:lang w:eastAsia="en-GB"/>
        </w:rPr>
        <w:t>International Journal of Science and Research (IJSR)</w:t>
      </w:r>
      <w:r w:rsidRPr="00834344">
        <w:rPr>
          <w:lang w:eastAsia="en-GB"/>
        </w:rPr>
        <w:t>, 14(3), pp. 789–797.</w:t>
      </w:r>
      <w:r>
        <w:rPr>
          <w:lang w:eastAsia="en-GB"/>
        </w:rPr>
        <w:t xml:space="preserve">   </w:t>
      </w:r>
    </w:p>
    <w:p w14:paraId="65A7BAB1" w14:textId="77777777" w:rsidR="00025579" w:rsidRDefault="00025579" w:rsidP="00F0718D">
      <w:pPr>
        <w:pStyle w:val="Uni-Normal"/>
        <w:jc w:val="both"/>
        <w:rPr>
          <w:lang w:eastAsia="en-GB"/>
        </w:rPr>
      </w:pPr>
      <w:proofErr w:type="spellStart"/>
      <w:r w:rsidRPr="00710FAC">
        <w:rPr>
          <w:lang w:eastAsia="en-GB"/>
        </w:rPr>
        <w:t>Shiyab</w:t>
      </w:r>
      <w:proofErr w:type="spellEnd"/>
      <w:r w:rsidRPr="00710FAC">
        <w:rPr>
          <w:lang w:eastAsia="en-GB"/>
        </w:rPr>
        <w:t>, W., Ferguson, C., Rolls, K. and Halcomb, E. (2023) 'Solutions to address low response rates in online surveys', </w:t>
      </w:r>
      <w:r w:rsidRPr="00710FAC">
        <w:rPr>
          <w:i/>
          <w:iCs/>
          <w:lang w:eastAsia="en-GB"/>
        </w:rPr>
        <w:t>European Journal of Cardiovascular Nursing,</w:t>
      </w:r>
      <w:r w:rsidRPr="00710FAC">
        <w:rPr>
          <w:lang w:eastAsia="en-GB"/>
        </w:rPr>
        <w:t> 22(4), pp. 441–</w:t>
      </w:r>
      <w:proofErr w:type="gramStart"/>
      <w:r w:rsidRPr="00710FAC">
        <w:rPr>
          <w:lang w:eastAsia="en-GB"/>
        </w:rPr>
        <w:t>444..</w:t>
      </w:r>
      <w:proofErr w:type="gramEnd"/>
    </w:p>
    <w:p w14:paraId="6EB20C23" w14:textId="77777777" w:rsidR="00025579" w:rsidRPr="00DD2640" w:rsidRDefault="00025579" w:rsidP="00F0718D">
      <w:pPr>
        <w:pStyle w:val="Uni-Normal"/>
        <w:jc w:val="both"/>
      </w:pPr>
      <w:r w:rsidRPr="00DD2640">
        <w:t xml:space="preserve">Silicon UK (2024) </w:t>
      </w:r>
      <w:r w:rsidRPr="00DD2640">
        <w:rPr>
          <w:i/>
          <w:iCs/>
        </w:rPr>
        <w:t xml:space="preserve">New Research Finds 65% of </w:t>
      </w:r>
      <w:r>
        <w:rPr>
          <w:i/>
          <w:iCs/>
        </w:rPr>
        <w:t>Gen Z</w:t>
      </w:r>
      <w:r w:rsidRPr="00DD2640">
        <w:rPr>
          <w:i/>
          <w:iCs/>
        </w:rPr>
        <w:t xml:space="preserve"> is Eager for Professional Development and Career Growth, Challenging Stereotypes Toward Newest Members of the Workforce - Silicon UK</w:t>
      </w:r>
      <w:r w:rsidRPr="00DD2640">
        <w:t xml:space="preserve">, </w:t>
      </w:r>
      <w:r w:rsidRPr="00DD2640">
        <w:rPr>
          <w:i/>
          <w:iCs/>
        </w:rPr>
        <w:t>Silicon UK</w:t>
      </w:r>
      <w:r w:rsidRPr="00DD2640">
        <w:t xml:space="preserve">. silicon.co.uk. Available at: </w:t>
      </w:r>
      <w:hyperlink r:id="rId62" w:history="1">
        <w:r w:rsidRPr="00DD2640">
          <w:rPr>
            <w:rStyle w:val="Hyperlink"/>
          </w:rPr>
          <w:t>https://www.silicon.co.uk/press-release/new-research-finds-65-of-generation-z-is-eager-for-professional-development-and-career-growth-challenging-stereotypes-toward-newest-members-of-the-workforce</w:t>
        </w:r>
      </w:hyperlink>
      <w:r w:rsidRPr="00DD2640">
        <w:t xml:space="preserve">  (Accessed: 25 November 2025).</w:t>
      </w:r>
    </w:p>
    <w:p w14:paraId="3F8893E0" w14:textId="77777777" w:rsidR="00025579" w:rsidRPr="002370A4" w:rsidRDefault="00025579" w:rsidP="00F0718D">
      <w:pPr>
        <w:pStyle w:val="Uni-Normal"/>
        <w:jc w:val="both"/>
      </w:pPr>
      <w:r w:rsidRPr="002370A4">
        <w:t xml:space="preserve">Stevens, M. (2025) </w:t>
      </w:r>
      <w:r w:rsidRPr="002370A4">
        <w:rPr>
          <w:i/>
          <w:iCs/>
        </w:rPr>
        <w:t>Leveraging Microsoft Forms for Data Collection &amp; Surveys - Mark1 IT Solutions</w:t>
      </w:r>
      <w:r w:rsidRPr="002370A4">
        <w:t xml:space="preserve">, </w:t>
      </w:r>
      <w:r w:rsidRPr="002370A4">
        <w:rPr>
          <w:i/>
          <w:iCs/>
        </w:rPr>
        <w:t>Mark1 IT Solutions</w:t>
      </w:r>
      <w:r w:rsidRPr="002370A4">
        <w:t xml:space="preserve">. Available at: </w:t>
      </w:r>
      <w:hyperlink r:id="rId63" w:history="1">
        <w:r w:rsidRPr="002370A4">
          <w:rPr>
            <w:rStyle w:val="Hyperlink"/>
            <w:szCs w:val="24"/>
          </w:rPr>
          <w:t>https://mark1its.co.uk/leveraging-microsoft-forms-for-data-collection-surveys/</w:t>
        </w:r>
      </w:hyperlink>
      <w:r w:rsidRPr="002370A4">
        <w:t xml:space="preserve">  (Accessed: 5 February 2026).</w:t>
      </w:r>
    </w:p>
    <w:p w14:paraId="759DC746" w14:textId="77777777" w:rsidR="00025579" w:rsidRDefault="00025579" w:rsidP="00F0718D">
      <w:pPr>
        <w:pStyle w:val="Uni-Normal"/>
        <w:jc w:val="both"/>
      </w:pPr>
      <w:r w:rsidRPr="00B21F02">
        <w:lastRenderedPageBreak/>
        <w:t>Strauss, W. and Howe, N. (1991) 'Generations: The history of America's future, 1584 to 2069', </w:t>
      </w:r>
      <w:r>
        <w:t xml:space="preserve"> </w:t>
      </w:r>
    </w:p>
    <w:p w14:paraId="40F2AC89" w14:textId="77777777" w:rsidR="00025579" w:rsidRDefault="00025579" w:rsidP="00F0718D">
      <w:pPr>
        <w:pStyle w:val="Uni-Normal"/>
        <w:jc w:val="both"/>
        <w:rPr>
          <w:lang w:eastAsia="en-GB"/>
        </w:rPr>
      </w:pPr>
      <w:r w:rsidRPr="00291C2C">
        <w:rPr>
          <w:lang w:eastAsia="en-GB"/>
        </w:rPr>
        <w:t>Sturgis, P. and Brunton-Smith, I. (2023) 'Personality and survey satisficing', </w:t>
      </w:r>
      <w:r w:rsidRPr="00291C2C">
        <w:rPr>
          <w:i/>
          <w:iCs/>
          <w:lang w:eastAsia="en-GB"/>
        </w:rPr>
        <w:t>Public Opinion Quarterly,</w:t>
      </w:r>
      <w:r w:rsidRPr="00291C2C">
        <w:rPr>
          <w:lang w:eastAsia="en-GB"/>
        </w:rPr>
        <w:t> 87(3), pp. 689–718. Available</w:t>
      </w:r>
      <w:r>
        <w:rPr>
          <w:lang w:eastAsia="en-GB"/>
        </w:rPr>
        <w:t xml:space="preserve"> </w:t>
      </w:r>
      <w:r w:rsidRPr="00291C2C">
        <w:rPr>
          <w:lang w:eastAsia="en-GB"/>
        </w:rPr>
        <w:t>at: </w:t>
      </w:r>
      <w:hyperlink r:id="rId64" w:tgtFrame="_blank" w:history="1">
        <w:r w:rsidRPr="00291C2C">
          <w:rPr>
            <w:rStyle w:val="Hyperlink"/>
            <w:rFonts w:eastAsia="Times New Roman"/>
            <w:szCs w:val="24"/>
            <w:lang w:eastAsia="en-GB"/>
          </w:rPr>
          <w:t>https://doi.org/10.1093/poq/nfad036</w:t>
        </w:r>
      </w:hyperlink>
      <w:r w:rsidRPr="00291C2C">
        <w:rPr>
          <w:lang w:eastAsia="en-GB"/>
        </w:rPr>
        <w:t>.</w:t>
      </w:r>
    </w:p>
    <w:p w14:paraId="38D1D105" w14:textId="77777777" w:rsidR="00025579" w:rsidRPr="00DD2640" w:rsidRDefault="00025579" w:rsidP="00F0718D">
      <w:pPr>
        <w:pStyle w:val="Uni-Normal"/>
        <w:jc w:val="both"/>
      </w:pPr>
      <w:r w:rsidRPr="00DD2640">
        <w:rPr>
          <w:i/>
          <w:iCs/>
        </w:rPr>
        <w:t>Talent | People &amp; Organizational Performance | McKinsey &amp; Company</w:t>
      </w:r>
      <w:r w:rsidRPr="00DD2640">
        <w:t xml:space="preserve"> (</w:t>
      </w:r>
      <w:proofErr w:type="spellStart"/>
      <w:r w:rsidRPr="00DD2640">
        <w:t>n.d</w:t>
      </w:r>
      <w:proofErr w:type="spellEnd"/>
      <w:r w:rsidRPr="00DD2640">
        <w:t xml:space="preserve">) </w:t>
      </w:r>
      <w:r w:rsidRPr="00DD2640">
        <w:rPr>
          <w:i/>
          <w:iCs/>
        </w:rPr>
        <w:t>www.mckinsey.com</w:t>
      </w:r>
      <w:r w:rsidRPr="00DD2640">
        <w:t xml:space="preserve">. Available at: </w:t>
      </w:r>
      <w:hyperlink r:id="rId65" w:history="1">
        <w:r w:rsidRPr="00DD2640">
          <w:rPr>
            <w:rStyle w:val="Hyperlink"/>
          </w:rPr>
          <w:t>https://www.mckinsey.com/capabilities/people-and-organizational-performance/how-we-help-clients/talent</w:t>
        </w:r>
      </w:hyperlink>
      <w:r w:rsidRPr="00DD2640">
        <w:t xml:space="preserve">  (Accessed: 13 November 2025).</w:t>
      </w:r>
    </w:p>
    <w:p w14:paraId="644C9112" w14:textId="77777777" w:rsidR="00025579" w:rsidRDefault="00025579" w:rsidP="00F0718D">
      <w:pPr>
        <w:pStyle w:val="Uni-Normal"/>
        <w:jc w:val="both"/>
        <w:rPr>
          <w:lang w:eastAsia="en-GB"/>
        </w:rPr>
      </w:pPr>
      <w:proofErr w:type="spellStart"/>
      <w:r w:rsidRPr="00882BFA">
        <w:rPr>
          <w:lang w:eastAsia="en-GB"/>
        </w:rPr>
        <w:t>Tavory</w:t>
      </w:r>
      <w:proofErr w:type="spellEnd"/>
      <w:r w:rsidRPr="00882BFA">
        <w:rPr>
          <w:lang w:eastAsia="en-GB"/>
        </w:rPr>
        <w:t>, I. and Timmermans, S. (2014) Abductive analysis: theorizing qualitative research. Chicago: University of Chicago Press.</w:t>
      </w:r>
    </w:p>
    <w:p w14:paraId="68663ABA" w14:textId="77777777" w:rsidR="00025579" w:rsidRPr="00D20010" w:rsidRDefault="00025579" w:rsidP="00F0718D">
      <w:pPr>
        <w:pStyle w:val="Uni-Normal"/>
        <w:jc w:val="both"/>
        <w:rPr>
          <w:lang w:eastAsia="en-GB"/>
        </w:rPr>
      </w:pPr>
      <w:proofErr w:type="spellStart"/>
      <w:r w:rsidRPr="00D20010">
        <w:rPr>
          <w:lang w:eastAsia="en-GB"/>
        </w:rPr>
        <w:t>Thunnissen</w:t>
      </w:r>
      <w:proofErr w:type="spellEnd"/>
      <w:r w:rsidRPr="00D20010">
        <w:rPr>
          <w:lang w:eastAsia="en-GB"/>
        </w:rPr>
        <w:t xml:space="preserve">, M. and </w:t>
      </w:r>
      <w:proofErr w:type="spellStart"/>
      <w:r w:rsidRPr="00D20010">
        <w:rPr>
          <w:lang w:eastAsia="en-GB"/>
        </w:rPr>
        <w:t>Buttiens</w:t>
      </w:r>
      <w:proofErr w:type="spellEnd"/>
      <w:r w:rsidRPr="00D20010">
        <w:rPr>
          <w:lang w:eastAsia="en-GB"/>
        </w:rPr>
        <w:t xml:space="preserve">, D. (2017) ‘Talent management in public sector organizations: A study on the impact of contextual factors on the TM approach in Flemish and Dutch public sector organizations’, </w:t>
      </w:r>
      <w:r w:rsidRPr="00D20010">
        <w:rPr>
          <w:i/>
          <w:iCs/>
          <w:lang w:eastAsia="en-GB"/>
        </w:rPr>
        <w:t>Public Personnel Management</w:t>
      </w:r>
      <w:r w:rsidRPr="00D20010">
        <w:rPr>
          <w:lang w:eastAsia="en-GB"/>
        </w:rPr>
        <w:t xml:space="preserve">, 46(4), pp. 391–418. Available at: </w:t>
      </w:r>
      <w:hyperlink r:id="rId66" w:history="1">
        <w:r w:rsidRPr="00D20010">
          <w:rPr>
            <w:rStyle w:val="Hyperlink"/>
            <w:lang w:eastAsia="en-GB"/>
          </w:rPr>
          <w:t>https://doi.org/10.1177/0091026017721570</w:t>
        </w:r>
      </w:hyperlink>
      <w:r w:rsidRPr="00D20010">
        <w:rPr>
          <w:lang w:eastAsia="en-GB"/>
        </w:rPr>
        <w:t>.</w:t>
      </w:r>
      <w:r>
        <w:rPr>
          <w:lang w:eastAsia="en-GB"/>
        </w:rPr>
        <w:t xml:space="preserve"> </w:t>
      </w:r>
    </w:p>
    <w:p w14:paraId="34E7CD95" w14:textId="77777777" w:rsidR="00025579" w:rsidRPr="00D20010" w:rsidRDefault="00025579" w:rsidP="00F0718D">
      <w:pPr>
        <w:pStyle w:val="Uni-Normal"/>
        <w:jc w:val="both"/>
        <w:rPr>
          <w:lang w:eastAsia="en-GB"/>
        </w:rPr>
      </w:pPr>
      <w:r w:rsidRPr="00D20010">
        <w:rPr>
          <w:lang w:eastAsia="en-GB"/>
        </w:rPr>
        <w:t xml:space="preserve">Thusi, X. and Chauke, R. (2023) ‘Strategies for retaining scarce skills and reducing turnover in the South African public sector’, </w:t>
      </w:r>
      <w:r w:rsidRPr="00D20010">
        <w:rPr>
          <w:i/>
          <w:iCs/>
          <w:lang w:eastAsia="en-GB"/>
        </w:rPr>
        <w:t>International Journal of Management, Entrepreneurship, Social Science and Humanities</w:t>
      </w:r>
      <w:r w:rsidRPr="00D20010">
        <w:rPr>
          <w:lang w:eastAsia="en-GB"/>
        </w:rPr>
        <w:t>, 6(1), pp. 120–134.</w:t>
      </w:r>
    </w:p>
    <w:p w14:paraId="3BC6A911" w14:textId="77777777" w:rsidR="00025579" w:rsidRDefault="00025579" w:rsidP="00F0718D">
      <w:pPr>
        <w:pStyle w:val="Uni-Normal"/>
        <w:jc w:val="both"/>
        <w:rPr>
          <w:lang w:eastAsia="en-GB"/>
        </w:rPr>
      </w:pPr>
      <w:r w:rsidRPr="00AE42DF">
        <w:rPr>
          <w:lang w:eastAsia="en-GB"/>
        </w:rPr>
        <w:t>Tight, M. (2017). </w:t>
      </w:r>
      <w:r w:rsidRPr="00AE42DF">
        <w:rPr>
          <w:i/>
          <w:iCs/>
          <w:lang w:eastAsia="en-GB"/>
        </w:rPr>
        <w:t>Understanding Case Study Research</w:t>
      </w:r>
      <w:r w:rsidRPr="00AE42DF">
        <w:rPr>
          <w:lang w:eastAsia="en-GB"/>
        </w:rPr>
        <w:t>. SAGE.</w:t>
      </w:r>
      <w:r>
        <w:rPr>
          <w:lang w:eastAsia="en-GB"/>
        </w:rPr>
        <w:t xml:space="preserve"> </w:t>
      </w:r>
    </w:p>
    <w:p w14:paraId="4F50C625" w14:textId="77777777" w:rsidR="00025579" w:rsidRPr="00F0718D" w:rsidRDefault="00025579" w:rsidP="00F0718D">
      <w:pPr>
        <w:pStyle w:val="Uni-Normal"/>
        <w:jc w:val="both"/>
        <w:rPr>
          <w:rStyle w:val="Uni-NormalChar"/>
          <w:lang w:eastAsia="en-GB"/>
        </w:rPr>
      </w:pPr>
      <w:r w:rsidRPr="00F0718D">
        <w:rPr>
          <w:rFonts w:ascii="Segoe UI" w:hAnsi="Segoe UI" w:cs="Segoe UI"/>
          <w:sz w:val="21"/>
          <w:szCs w:val="21"/>
          <w:lang w:eastAsia="en-GB"/>
        </w:rPr>
        <w:t>T</w:t>
      </w:r>
      <w:r w:rsidRPr="00F0718D">
        <w:rPr>
          <w:rStyle w:val="Uni-NormalChar"/>
          <w:lang w:eastAsia="en-GB"/>
        </w:rPr>
        <w:t xml:space="preserve">op Employers Institute (2024) New study by Top Employers Institute reveals how Gen Z is shaping the future of work. Available at: </w:t>
      </w:r>
      <w:hyperlink r:id="rId67" w:history="1">
        <w:r w:rsidRPr="00C94AEA">
          <w:rPr>
            <w:rStyle w:val="Hyperlink"/>
            <w:kern w:val="2"/>
            <w:lang w:eastAsia="en-GB"/>
            <w14:ligatures w14:val="standardContextual"/>
          </w:rPr>
          <w:t>https://www.prweb.com/releases/new-study-by-top-employers-institute-reveals-how-gen-z-is-shaping-the-future-of-work-302251679.html</w:t>
        </w:r>
      </w:hyperlink>
      <w:r>
        <w:rPr>
          <w:rStyle w:val="Uni-NormalChar"/>
          <w:lang w:eastAsia="en-GB"/>
        </w:rPr>
        <w:t xml:space="preserve"> </w:t>
      </w:r>
      <w:r w:rsidRPr="00F0718D">
        <w:rPr>
          <w:rStyle w:val="Uni-NormalChar"/>
          <w:lang w:eastAsia="en-GB"/>
        </w:rPr>
        <w:t xml:space="preserve"> (Accessed: 22 May 2026).</w:t>
      </w:r>
    </w:p>
    <w:p w14:paraId="68CE5287" w14:textId="77777777" w:rsidR="00025579" w:rsidRDefault="00025579" w:rsidP="00F0718D">
      <w:pPr>
        <w:pStyle w:val="Uni-Normal"/>
        <w:jc w:val="both"/>
        <w:rPr>
          <w:lang w:eastAsia="en-GB"/>
        </w:rPr>
      </w:pPr>
      <w:r w:rsidRPr="0012520C">
        <w:rPr>
          <w:lang w:eastAsia="en-GB"/>
        </w:rPr>
        <w:t xml:space="preserve">UK Research and Innovation (2024) </w:t>
      </w:r>
      <w:r w:rsidRPr="0012520C">
        <w:rPr>
          <w:i/>
          <w:iCs/>
          <w:lang w:eastAsia="en-GB"/>
        </w:rPr>
        <w:t>Consent</w:t>
      </w:r>
      <w:r w:rsidRPr="0012520C">
        <w:rPr>
          <w:lang w:eastAsia="en-GB"/>
        </w:rPr>
        <w:t xml:space="preserve">, </w:t>
      </w:r>
      <w:r w:rsidRPr="0012520C">
        <w:rPr>
          <w:i/>
          <w:iCs/>
          <w:lang w:eastAsia="en-GB"/>
        </w:rPr>
        <w:t>www.ukri.org</w:t>
      </w:r>
      <w:r w:rsidRPr="0012520C">
        <w:rPr>
          <w:lang w:eastAsia="en-GB"/>
        </w:rPr>
        <w:t xml:space="preserve">. Available at: </w:t>
      </w:r>
      <w:hyperlink r:id="rId68" w:history="1">
        <w:r w:rsidRPr="005F5179">
          <w:rPr>
            <w:rStyle w:val="Hyperlink"/>
            <w:rFonts w:eastAsia="Times New Roman"/>
            <w:szCs w:val="24"/>
            <w:lang w:eastAsia="en-GB"/>
          </w:rPr>
          <w:t>https://www.ukri.org/councils/esrc/guidance-for-applicants/research-ethics-guidance/consent/</w:t>
        </w:r>
      </w:hyperlink>
      <w:r>
        <w:rPr>
          <w:lang w:eastAsia="en-GB"/>
        </w:rPr>
        <w:t xml:space="preserve"> </w:t>
      </w:r>
      <w:r w:rsidRPr="0012520C">
        <w:rPr>
          <w:lang w:eastAsia="en-GB"/>
        </w:rPr>
        <w:t xml:space="preserve"> (Accessed: 20 February 2026).</w:t>
      </w:r>
    </w:p>
    <w:p w14:paraId="4E41041F" w14:textId="77777777" w:rsidR="00025579" w:rsidRPr="00D16E05" w:rsidRDefault="00025579" w:rsidP="00F0718D">
      <w:pPr>
        <w:pStyle w:val="Uni-Normal"/>
        <w:jc w:val="both"/>
        <w:rPr>
          <w:lang w:eastAsia="en-GB"/>
        </w:rPr>
      </w:pPr>
      <w:r w:rsidRPr="00D16E05">
        <w:rPr>
          <w:lang w:eastAsia="en-GB"/>
        </w:rPr>
        <w:t xml:space="preserve">Universities Wales (2019) </w:t>
      </w:r>
      <w:r w:rsidRPr="00D16E05">
        <w:rPr>
          <w:i/>
          <w:iCs/>
          <w:lang w:eastAsia="en-GB"/>
        </w:rPr>
        <w:t>Solving future skills challenges in Wales</w:t>
      </w:r>
      <w:r w:rsidRPr="00D16E05">
        <w:rPr>
          <w:lang w:eastAsia="en-GB"/>
        </w:rPr>
        <w:t xml:space="preserve">. Available at: </w:t>
      </w:r>
      <w:hyperlink r:id="rId69" w:history="1">
        <w:r w:rsidRPr="00CA6245">
          <w:rPr>
            <w:rStyle w:val="Hyperlink"/>
            <w:lang w:eastAsia="en-GB"/>
          </w:rPr>
          <w:t>https://uniswales.ac.uk/sites/default/files/2021-10/Solving-Future-Skills-Challenges-in-Wales%20%286%29.pdf</w:t>
        </w:r>
      </w:hyperlink>
      <w:r>
        <w:rPr>
          <w:lang w:eastAsia="en-GB"/>
        </w:rPr>
        <w:t xml:space="preserve"> </w:t>
      </w:r>
      <w:r w:rsidRPr="00D16E05">
        <w:rPr>
          <w:lang w:eastAsia="en-GB"/>
        </w:rPr>
        <w:t xml:space="preserve"> (Accessed: 12 February 2026).</w:t>
      </w:r>
    </w:p>
    <w:p w14:paraId="2F47F580" w14:textId="77777777" w:rsidR="00025579" w:rsidRPr="00FA2A9E" w:rsidRDefault="00025579" w:rsidP="00F0718D">
      <w:pPr>
        <w:pStyle w:val="Uni-Normal"/>
        <w:jc w:val="both"/>
      </w:pPr>
      <w:r w:rsidRPr="00FA2A9E">
        <w:rPr>
          <w:lang w:eastAsia="en-GB"/>
        </w:rPr>
        <w:lastRenderedPageBreak/>
        <w:t xml:space="preserve">Welsh Government (2022). </w:t>
      </w:r>
      <w:r w:rsidRPr="00FA2A9E">
        <w:rPr>
          <w:i/>
          <w:iCs/>
          <w:lang w:eastAsia="en-GB"/>
        </w:rPr>
        <w:t>Number of staff at the Welsh Government</w:t>
      </w:r>
      <w:r w:rsidRPr="00FA2A9E">
        <w:rPr>
          <w:lang w:eastAsia="en-GB"/>
        </w:rPr>
        <w:t>.</w:t>
      </w:r>
      <w:r w:rsidRPr="00FA2A9E">
        <w:rPr>
          <w:lang w:eastAsia="en-GB"/>
        </w:rPr>
        <w:br/>
        <w:t xml:space="preserve">Available at: </w:t>
      </w:r>
      <w:hyperlink r:id="rId70" w:history="1">
        <w:r w:rsidRPr="00CA6245">
          <w:rPr>
            <w:rStyle w:val="Hyperlink"/>
            <w:lang w:eastAsia="en-GB"/>
          </w:rPr>
          <w:t>https://www.gov.wales/number-staff-welsh-government</w:t>
        </w:r>
      </w:hyperlink>
      <w:r>
        <w:rPr>
          <w:lang w:eastAsia="en-GB"/>
        </w:rPr>
        <w:t xml:space="preserve"> </w:t>
      </w:r>
      <w:r w:rsidRPr="00FA2A9E">
        <w:rPr>
          <w:lang w:eastAsia="en-GB"/>
        </w:rPr>
        <w:t xml:space="preserve"> (Accessed: 28 July 2022).</w:t>
      </w:r>
    </w:p>
    <w:p w14:paraId="76A1F9FA" w14:textId="77777777" w:rsidR="00025579" w:rsidRDefault="00025579" w:rsidP="00F0718D">
      <w:pPr>
        <w:pStyle w:val="Uni-Normal"/>
        <w:jc w:val="both"/>
        <w:rPr>
          <w:lang w:eastAsia="en-GB"/>
        </w:rPr>
      </w:pPr>
      <w:r w:rsidRPr="000D144D">
        <w:rPr>
          <w:lang w:eastAsia="en-GB"/>
        </w:rPr>
        <w:t>Yin, R.K. (2003) </w:t>
      </w:r>
      <w:r w:rsidRPr="000D144D">
        <w:rPr>
          <w:i/>
          <w:iCs/>
          <w:lang w:eastAsia="en-GB"/>
        </w:rPr>
        <w:t>Applications of case study research</w:t>
      </w:r>
      <w:r w:rsidRPr="000D144D">
        <w:rPr>
          <w:lang w:eastAsia="en-GB"/>
        </w:rPr>
        <w:t>. 2nd ed. London: SAGE</w:t>
      </w:r>
    </w:p>
    <w:p w14:paraId="3EFFDACA" w14:textId="77777777" w:rsidR="00025579" w:rsidRDefault="00025579" w:rsidP="00F0718D">
      <w:pPr>
        <w:pStyle w:val="Uni-Normal"/>
        <w:jc w:val="both"/>
        <w:rPr>
          <w:lang w:eastAsia="en-GB"/>
        </w:rPr>
      </w:pPr>
      <w:r w:rsidRPr="00BD5F88">
        <w:rPr>
          <w:lang w:eastAsia="en-GB"/>
        </w:rPr>
        <w:t>Yin, R.K. (2011) </w:t>
      </w:r>
      <w:r w:rsidRPr="00BD5F88">
        <w:rPr>
          <w:i/>
          <w:iCs/>
          <w:lang w:eastAsia="en-GB"/>
        </w:rPr>
        <w:t>Applications of case study research. </w:t>
      </w:r>
      <w:r w:rsidRPr="00BD5F88">
        <w:rPr>
          <w:lang w:eastAsia="en-GB"/>
        </w:rPr>
        <w:t>Sage publications.</w:t>
      </w:r>
    </w:p>
    <w:p w14:paraId="0AF17760" w14:textId="5F4BEA53" w:rsidR="00CF5C5E" w:rsidRPr="00025579" w:rsidRDefault="00025579" w:rsidP="00025579">
      <w:pPr>
        <w:pStyle w:val="Uni-Normal"/>
        <w:jc w:val="both"/>
      </w:pPr>
      <w:r w:rsidRPr="00DD2640">
        <w:t xml:space="preserve">Zahra, Y., </w:t>
      </w:r>
      <w:proofErr w:type="spellStart"/>
      <w:r w:rsidRPr="00DD2640">
        <w:t>Handoyo</w:t>
      </w:r>
      <w:proofErr w:type="spellEnd"/>
      <w:r w:rsidRPr="00DD2640">
        <w:t xml:space="preserve">, S. and </w:t>
      </w:r>
      <w:proofErr w:type="spellStart"/>
      <w:r w:rsidRPr="00DD2640">
        <w:t>Fajrianthi</w:t>
      </w:r>
      <w:proofErr w:type="spellEnd"/>
      <w:r w:rsidRPr="00DD2640">
        <w:t xml:space="preserve">, F. (2025) 'A comprehensive overview of </w:t>
      </w:r>
      <w:r>
        <w:t>Gen Z</w:t>
      </w:r>
      <w:r w:rsidRPr="00DD2640">
        <w:t xml:space="preserve"> in the workplace: Insights from a scoping review', </w:t>
      </w:r>
      <w:r w:rsidRPr="00DD2640">
        <w:rPr>
          <w:i/>
          <w:iCs/>
        </w:rPr>
        <w:t>SA Journal of Industrial Psychology,</w:t>
      </w:r>
      <w:r w:rsidRPr="00DD2640">
        <w:t>51 Available at: </w:t>
      </w:r>
      <w:hyperlink r:id="rId71" w:tgtFrame="_blank" w:history="1">
        <w:r w:rsidRPr="00DD2640">
          <w:rPr>
            <w:rStyle w:val="Hyperlink"/>
          </w:rPr>
          <w:t>https://doi.org/10.4102/sajip.v51i0.2263</w:t>
        </w:r>
      </w:hyperlink>
      <w:r w:rsidRPr="00DD2640">
        <w:t>.</w:t>
      </w:r>
      <w:bookmarkStart w:id="113" w:name="_Hlk219732296"/>
    </w:p>
    <w:p w14:paraId="02454D32" w14:textId="77777777" w:rsidR="003E76A5" w:rsidRPr="00F0718D" w:rsidRDefault="003E76A5" w:rsidP="00F0718D">
      <w:pPr>
        <w:spacing w:after="0" w:line="360" w:lineRule="auto"/>
        <w:jc w:val="both"/>
        <w:rPr>
          <w:rFonts w:eastAsia="Times New Roman"/>
          <w:szCs w:val="24"/>
          <w:lang w:eastAsia="en-GB"/>
        </w:rPr>
      </w:pPr>
    </w:p>
    <w:p w14:paraId="1B9D55A2" w14:textId="044D7D38" w:rsidR="00234A04" w:rsidRDefault="00C6530D" w:rsidP="0002646C">
      <w:pPr>
        <w:pStyle w:val="1ChapterHeading"/>
        <w:jc w:val="both"/>
        <w:rPr>
          <w:rFonts w:eastAsia="Times New Roman"/>
          <w:lang w:eastAsia="en-GB"/>
        </w:rPr>
      </w:pPr>
      <w:bookmarkStart w:id="114" w:name="_Toc233030679"/>
      <w:r>
        <w:rPr>
          <w:rFonts w:eastAsia="Times New Roman"/>
          <w:lang w:eastAsia="en-GB"/>
        </w:rPr>
        <w:t>7.0</w:t>
      </w:r>
      <w:r w:rsidR="00753EE8">
        <w:rPr>
          <w:rFonts w:eastAsia="Times New Roman"/>
          <w:lang w:eastAsia="en-GB"/>
        </w:rPr>
        <w:t xml:space="preserve"> APPENDICES</w:t>
      </w:r>
      <w:bookmarkEnd w:id="114"/>
      <w:r w:rsidR="00753EE8">
        <w:rPr>
          <w:rFonts w:eastAsia="Times New Roman"/>
          <w:lang w:eastAsia="en-GB"/>
        </w:rPr>
        <w:t xml:space="preserve"> </w:t>
      </w:r>
    </w:p>
    <w:p w14:paraId="5A0ECD4D" w14:textId="77777777" w:rsidR="006429FF" w:rsidRDefault="00D029DC" w:rsidP="0002646C">
      <w:pPr>
        <w:pStyle w:val="Uni-Normal"/>
        <w:numPr>
          <w:ilvl w:val="0"/>
          <w:numId w:val="18"/>
        </w:numPr>
        <w:jc w:val="both"/>
      </w:pPr>
      <w:r w:rsidRPr="006429FF">
        <w:t>Ethics Form</w:t>
      </w:r>
    </w:p>
    <w:bookmarkStart w:id="115" w:name="_MON_1842095938"/>
    <w:bookmarkEnd w:id="115"/>
    <w:p w14:paraId="180CAD06" w14:textId="47C134AE" w:rsidR="00D029DC" w:rsidRDefault="006429FF" w:rsidP="006429FF">
      <w:pPr>
        <w:pStyle w:val="Uni-Normal"/>
        <w:ind w:left="720"/>
        <w:jc w:val="both"/>
      </w:pPr>
      <w:r>
        <w:object w:dxaOrig="1504" w:dyaOrig="985" w14:anchorId="1071B60C">
          <v:shape id="_x0000_i1025" type="#_x0000_t75" style="width:75pt;height:49.5pt" o:ole="">
            <v:imagedata r:id="rId72" o:title=""/>
          </v:shape>
          <o:OLEObject Type="Embed" ProgID="Word.Document.12" ShapeID="_x0000_i1025" DrawAspect="Icon" ObjectID="_1843650765" r:id="rId73">
            <o:FieldCodes>\s</o:FieldCodes>
          </o:OLEObject>
        </w:object>
      </w:r>
    </w:p>
    <w:p w14:paraId="3CC318D0" w14:textId="77777777" w:rsidR="006429FF" w:rsidRDefault="00A9004C" w:rsidP="0002646C">
      <w:pPr>
        <w:pStyle w:val="Uni-Normal"/>
        <w:numPr>
          <w:ilvl w:val="0"/>
          <w:numId w:val="18"/>
        </w:numPr>
        <w:jc w:val="both"/>
      </w:pPr>
      <w:r>
        <w:t>Survey Invitation Email</w:t>
      </w:r>
    </w:p>
    <w:bookmarkStart w:id="116" w:name="_MON_1842095875"/>
    <w:bookmarkEnd w:id="116"/>
    <w:p w14:paraId="28846CAE" w14:textId="7924E542" w:rsidR="006429FF" w:rsidRDefault="006429FF" w:rsidP="006429FF">
      <w:pPr>
        <w:pStyle w:val="Uni-Normal"/>
        <w:ind w:left="720"/>
        <w:jc w:val="both"/>
      </w:pPr>
      <w:r>
        <w:object w:dxaOrig="1504" w:dyaOrig="985" w14:anchorId="1A5B10D2">
          <v:shape id="_x0000_i1026" type="#_x0000_t75" style="width:75pt;height:49.5pt" o:ole="">
            <v:imagedata r:id="rId74" o:title=""/>
          </v:shape>
          <o:OLEObject Type="Embed" ProgID="Word.Document.12" ShapeID="_x0000_i1026" DrawAspect="Icon" ObjectID="_1843650766" r:id="rId75">
            <o:FieldCodes>\s</o:FieldCodes>
          </o:OLEObject>
        </w:object>
      </w:r>
    </w:p>
    <w:p w14:paraId="26D2BE57" w14:textId="77777777" w:rsidR="006429FF" w:rsidRDefault="006752DD" w:rsidP="0002646C">
      <w:pPr>
        <w:pStyle w:val="Uni-Normal"/>
        <w:numPr>
          <w:ilvl w:val="0"/>
          <w:numId w:val="18"/>
        </w:numPr>
        <w:jc w:val="both"/>
      </w:pPr>
      <w:r>
        <w:t>Survey</w:t>
      </w:r>
    </w:p>
    <w:p w14:paraId="2BBF9A8D" w14:textId="7DDCE5C5" w:rsidR="006429FF" w:rsidRDefault="006429FF" w:rsidP="006429FF">
      <w:pPr>
        <w:pStyle w:val="Uni-Normal"/>
        <w:ind w:left="720"/>
        <w:jc w:val="both"/>
      </w:pPr>
      <w:r>
        <w:object w:dxaOrig="1504" w:dyaOrig="985" w14:anchorId="39E9C48D">
          <v:shape id="_x0000_i1027" type="#_x0000_t75" style="width:75pt;height:49.5pt" o:ole="">
            <v:imagedata r:id="rId76" o:title=""/>
          </v:shape>
          <o:OLEObject Type="Embed" ProgID="Acrobat.Document.DC" ShapeID="_x0000_i1027" DrawAspect="Icon" ObjectID="_1843650767" r:id="rId77"/>
        </w:object>
      </w:r>
    </w:p>
    <w:p w14:paraId="6C68D803" w14:textId="77777777" w:rsidR="006429FF" w:rsidRDefault="00A9004C" w:rsidP="0002646C">
      <w:pPr>
        <w:pStyle w:val="Uni-Normal"/>
        <w:numPr>
          <w:ilvl w:val="0"/>
          <w:numId w:val="18"/>
        </w:numPr>
        <w:jc w:val="both"/>
      </w:pPr>
      <w:r>
        <w:t>Survey Results and Analysis</w:t>
      </w:r>
    </w:p>
    <w:p w14:paraId="1A774E0A" w14:textId="3192EBB2" w:rsidR="00A9004C" w:rsidRDefault="006429FF" w:rsidP="006429FF">
      <w:pPr>
        <w:pStyle w:val="Uni-Normal"/>
        <w:ind w:left="720"/>
        <w:jc w:val="both"/>
      </w:pPr>
      <w:r>
        <w:object w:dxaOrig="1504" w:dyaOrig="985" w14:anchorId="02396676">
          <v:shape id="_x0000_i1028" type="#_x0000_t75" style="width:75pt;height:49.5pt" o:ole="">
            <v:imagedata r:id="rId78" o:title=""/>
          </v:shape>
          <o:OLEObject Type="Embed" ProgID="Excel.Sheet.12" ShapeID="_x0000_i1028" DrawAspect="Icon" ObjectID="_1843650768" r:id="rId79"/>
        </w:object>
      </w:r>
    </w:p>
    <w:p w14:paraId="0B34BCD1" w14:textId="77777777" w:rsidR="006429FF" w:rsidRDefault="006429FF" w:rsidP="006429FF">
      <w:pPr>
        <w:pStyle w:val="Uni-Normal"/>
        <w:ind w:left="720"/>
        <w:jc w:val="both"/>
      </w:pPr>
    </w:p>
    <w:p w14:paraId="384A91FD" w14:textId="12C569AD" w:rsidR="00A9004C" w:rsidRPr="00A9004C" w:rsidRDefault="00A9004C" w:rsidP="006752DD">
      <w:pPr>
        <w:pStyle w:val="Uni-Normal"/>
        <w:ind w:left="720"/>
        <w:jc w:val="both"/>
      </w:pPr>
    </w:p>
    <w:p w14:paraId="3509E168" w14:textId="77777777" w:rsidR="00234A04" w:rsidRPr="00BD5F88" w:rsidRDefault="00234A04" w:rsidP="00234A04">
      <w:pPr>
        <w:pStyle w:val="ListParagraph"/>
        <w:spacing w:after="240" w:line="360" w:lineRule="auto"/>
        <w:rPr>
          <w:rFonts w:eastAsia="Times New Roman"/>
          <w:szCs w:val="24"/>
          <w:lang w:eastAsia="en-GB"/>
        </w:rPr>
      </w:pPr>
    </w:p>
    <w:p w14:paraId="5719188A" w14:textId="77777777" w:rsidR="00234A04" w:rsidRPr="00D83EA6" w:rsidRDefault="00234A04" w:rsidP="00234A04">
      <w:pPr>
        <w:pStyle w:val="ListParagraph"/>
        <w:spacing w:after="240" w:line="360" w:lineRule="auto"/>
        <w:rPr>
          <w:rFonts w:eastAsia="Times New Roman"/>
          <w:szCs w:val="24"/>
          <w:lang w:eastAsia="en-GB"/>
        </w:rPr>
      </w:pPr>
    </w:p>
    <w:p w14:paraId="78CF4417" w14:textId="77777777" w:rsidR="00234A04" w:rsidRPr="0012520C" w:rsidRDefault="00234A04" w:rsidP="00234A04">
      <w:pPr>
        <w:pStyle w:val="ListParagraph"/>
        <w:spacing w:after="240" w:line="360" w:lineRule="auto"/>
        <w:rPr>
          <w:rFonts w:eastAsia="Times New Roman"/>
          <w:szCs w:val="24"/>
          <w:lang w:eastAsia="en-GB"/>
        </w:rPr>
      </w:pPr>
    </w:p>
    <w:p w14:paraId="2DECDDFF" w14:textId="77777777" w:rsidR="00234A04" w:rsidRPr="00E17FF2" w:rsidRDefault="00234A04" w:rsidP="00234A04">
      <w:pPr>
        <w:pStyle w:val="Uni-Normal"/>
        <w:ind w:left="720"/>
        <w:rPr>
          <w:lang w:eastAsia="en-GB"/>
        </w:rPr>
      </w:pPr>
    </w:p>
    <w:p w14:paraId="1BB721FF" w14:textId="77777777" w:rsidR="00234A04" w:rsidRPr="00D16E05" w:rsidRDefault="00234A04" w:rsidP="00234A04">
      <w:pPr>
        <w:pStyle w:val="Uni-Normal"/>
        <w:ind w:left="720"/>
        <w:rPr>
          <w:lang w:eastAsia="en-GB"/>
        </w:rPr>
      </w:pPr>
    </w:p>
    <w:bookmarkEnd w:id="113"/>
    <w:p w14:paraId="24183E32" w14:textId="77777777" w:rsidR="00A74165" w:rsidRPr="00315EE4" w:rsidRDefault="00A74165" w:rsidP="006429FF">
      <w:pPr>
        <w:spacing w:after="240" w:line="360" w:lineRule="auto"/>
        <w:rPr>
          <w:rFonts w:eastAsia="Times New Roman"/>
          <w:szCs w:val="24"/>
          <w:lang w:eastAsia="en-GB"/>
        </w:rPr>
      </w:pPr>
    </w:p>
    <w:sectPr w:rsidR="00A74165" w:rsidRPr="00315EE4">
      <w:headerReference w:type="default" r:id="rId80"/>
      <w:footerReference w:type="default" r:id="rId8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0FB26E" w14:textId="77777777" w:rsidR="006C0ECE" w:rsidRDefault="006C0ECE" w:rsidP="00D857C6">
      <w:pPr>
        <w:spacing w:after="0" w:line="240" w:lineRule="auto"/>
      </w:pPr>
      <w:r>
        <w:separator/>
      </w:r>
    </w:p>
  </w:endnote>
  <w:endnote w:type="continuationSeparator" w:id="0">
    <w:p w14:paraId="5D7C4C2E" w14:textId="77777777" w:rsidR="006C0ECE" w:rsidRDefault="006C0ECE" w:rsidP="00D85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Rastanty Cortez">
    <w:charset w:val="00"/>
    <w:family w:val="auto"/>
    <w:pitch w:val="variable"/>
    <w:sig w:usb0="80000027" w:usb1="1000004A"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4234767"/>
      <w:docPartObj>
        <w:docPartGallery w:val="Page Numbers (Bottom of Page)"/>
        <w:docPartUnique/>
      </w:docPartObj>
    </w:sdtPr>
    <w:sdtContent>
      <w:p w14:paraId="199B2A60" w14:textId="4E26A600" w:rsidR="00A459AB" w:rsidRDefault="00A459AB">
        <w:pPr>
          <w:pStyle w:val="Footer"/>
          <w:jc w:val="right"/>
        </w:pPr>
        <w:r>
          <w:fldChar w:fldCharType="begin"/>
        </w:r>
        <w:r>
          <w:instrText>PAGE   \* MERGEFORMAT</w:instrText>
        </w:r>
        <w:r>
          <w:fldChar w:fldCharType="separate"/>
        </w:r>
        <w:r>
          <w:t>2</w:t>
        </w:r>
        <w:r>
          <w:fldChar w:fldCharType="end"/>
        </w:r>
      </w:p>
    </w:sdtContent>
  </w:sdt>
  <w:p w14:paraId="736B1501" w14:textId="77777777" w:rsidR="006324D4" w:rsidRDefault="006324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CBA91B" w14:textId="77777777" w:rsidR="006C0ECE" w:rsidRDefault="006C0ECE" w:rsidP="00D857C6">
      <w:pPr>
        <w:spacing w:after="0" w:line="240" w:lineRule="auto"/>
      </w:pPr>
      <w:r>
        <w:separator/>
      </w:r>
    </w:p>
  </w:footnote>
  <w:footnote w:type="continuationSeparator" w:id="0">
    <w:p w14:paraId="7A643176" w14:textId="77777777" w:rsidR="006C0ECE" w:rsidRDefault="006C0ECE" w:rsidP="00D857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5650B0" w14:textId="766333B9" w:rsidR="00D857C6" w:rsidRPr="006324D4" w:rsidRDefault="00D857C6" w:rsidP="006324D4">
    <w:pPr>
      <w:pStyle w:val="Header"/>
      <w:jc w:val="center"/>
      <w:rPr>
        <w:b/>
        <w:bCs/>
        <w:sz w:val="40"/>
        <w:szCs w:val="4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A87D3E"/>
    <w:multiLevelType w:val="multilevel"/>
    <w:tmpl w:val="0186AE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0E5E20"/>
    <w:multiLevelType w:val="hybridMultilevel"/>
    <w:tmpl w:val="51ACB8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6373C"/>
    <w:multiLevelType w:val="hybridMultilevel"/>
    <w:tmpl w:val="526A2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1525DB"/>
    <w:multiLevelType w:val="multilevel"/>
    <w:tmpl w:val="EF2AC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9949C1"/>
    <w:multiLevelType w:val="hybridMultilevel"/>
    <w:tmpl w:val="87D6B5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042AAF"/>
    <w:multiLevelType w:val="hybridMultilevel"/>
    <w:tmpl w:val="16A2B746"/>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DB01E32"/>
    <w:multiLevelType w:val="hybridMultilevel"/>
    <w:tmpl w:val="32925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453C42"/>
    <w:multiLevelType w:val="multilevel"/>
    <w:tmpl w:val="43104DD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90304F1"/>
    <w:multiLevelType w:val="multilevel"/>
    <w:tmpl w:val="9E245C3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CCA6A15"/>
    <w:multiLevelType w:val="hybridMultilevel"/>
    <w:tmpl w:val="135C045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2DA01FBA"/>
    <w:multiLevelType w:val="hybridMultilevel"/>
    <w:tmpl w:val="3C2823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3F2098F"/>
    <w:multiLevelType w:val="multilevel"/>
    <w:tmpl w:val="C3623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4BF4665"/>
    <w:multiLevelType w:val="hybridMultilevel"/>
    <w:tmpl w:val="C14E82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3393159"/>
    <w:multiLevelType w:val="hybridMultilevel"/>
    <w:tmpl w:val="DF36B6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D5A3DA6"/>
    <w:multiLevelType w:val="hybridMultilevel"/>
    <w:tmpl w:val="7DE071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3C50490"/>
    <w:multiLevelType w:val="hybridMultilevel"/>
    <w:tmpl w:val="38268C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88D6A0D"/>
    <w:multiLevelType w:val="hybridMultilevel"/>
    <w:tmpl w:val="A1C227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9695310"/>
    <w:multiLevelType w:val="hybridMultilevel"/>
    <w:tmpl w:val="0E1E0C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B907B81"/>
    <w:multiLevelType w:val="hybridMultilevel"/>
    <w:tmpl w:val="B1F21B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0445BC2"/>
    <w:multiLevelType w:val="multilevel"/>
    <w:tmpl w:val="A8A2D3E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2F63CC9"/>
    <w:multiLevelType w:val="hybridMultilevel"/>
    <w:tmpl w:val="5CC216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5C918D4"/>
    <w:multiLevelType w:val="hybridMultilevel"/>
    <w:tmpl w:val="48903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2E80AEE"/>
    <w:multiLevelType w:val="hybridMultilevel"/>
    <w:tmpl w:val="E362BD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4A3544E"/>
    <w:multiLevelType w:val="multilevel"/>
    <w:tmpl w:val="F9C24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38969737">
    <w:abstractNumId w:val="8"/>
  </w:num>
  <w:num w:numId="2" w16cid:durableId="1169830660">
    <w:abstractNumId w:val="0"/>
  </w:num>
  <w:num w:numId="3" w16cid:durableId="1731537269">
    <w:abstractNumId w:val="7"/>
  </w:num>
  <w:num w:numId="4" w16cid:durableId="1827865007">
    <w:abstractNumId w:val="19"/>
  </w:num>
  <w:num w:numId="5" w16cid:durableId="25524334">
    <w:abstractNumId w:val="11"/>
  </w:num>
  <w:num w:numId="6" w16cid:durableId="561646941">
    <w:abstractNumId w:val="14"/>
  </w:num>
  <w:num w:numId="7" w16cid:durableId="1345011693">
    <w:abstractNumId w:val="2"/>
  </w:num>
  <w:num w:numId="8" w16cid:durableId="392849948">
    <w:abstractNumId w:val="1"/>
  </w:num>
  <w:num w:numId="9" w16cid:durableId="721366710">
    <w:abstractNumId w:val="10"/>
  </w:num>
  <w:num w:numId="10" w16cid:durableId="284889434">
    <w:abstractNumId w:val="18"/>
  </w:num>
  <w:num w:numId="11" w16cid:durableId="1492867196">
    <w:abstractNumId w:val="16"/>
  </w:num>
  <w:num w:numId="12" w16cid:durableId="225262814">
    <w:abstractNumId w:val="20"/>
  </w:num>
  <w:num w:numId="13" w16cid:durableId="875460657">
    <w:abstractNumId w:val="13"/>
  </w:num>
  <w:num w:numId="14" w16cid:durableId="215700200">
    <w:abstractNumId w:val="23"/>
  </w:num>
  <w:num w:numId="15" w16cid:durableId="1502694178">
    <w:abstractNumId w:val="6"/>
  </w:num>
  <w:num w:numId="16" w16cid:durableId="1730614085">
    <w:abstractNumId w:val="22"/>
  </w:num>
  <w:num w:numId="17" w16cid:durableId="1779182454">
    <w:abstractNumId w:val="4"/>
  </w:num>
  <w:num w:numId="18" w16cid:durableId="1666588937">
    <w:abstractNumId w:val="15"/>
  </w:num>
  <w:num w:numId="19" w16cid:durableId="473104807">
    <w:abstractNumId w:val="3"/>
  </w:num>
  <w:num w:numId="20" w16cid:durableId="1277832790">
    <w:abstractNumId w:val="21"/>
  </w:num>
  <w:num w:numId="21" w16cid:durableId="1964732643">
    <w:abstractNumId w:val="9"/>
  </w:num>
  <w:num w:numId="22" w16cid:durableId="1008218379">
    <w:abstractNumId w:val="12"/>
  </w:num>
  <w:num w:numId="23" w16cid:durableId="1174758793">
    <w:abstractNumId w:val="5"/>
  </w:num>
  <w:num w:numId="24" w16cid:durableId="919369321">
    <w:abstractNumId w:val="1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15D"/>
    <w:rsid w:val="00003B8E"/>
    <w:rsid w:val="00004B55"/>
    <w:rsid w:val="00006867"/>
    <w:rsid w:val="00006AF8"/>
    <w:rsid w:val="00010C52"/>
    <w:rsid w:val="000163C8"/>
    <w:rsid w:val="00016995"/>
    <w:rsid w:val="00016AF2"/>
    <w:rsid w:val="000202BA"/>
    <w:rsid w:val="0002070F"/>
    <w:rsid w:val="00023F41"/>
    <w:rsid w:val="00025579"/>
    <w:rsid w:val="00025FB8"/>
    <w:rsid w:val="0002646C"/>
    <w:rsid w:val="00026C05"/>
    <w:rsid w:val="00030820"/>
    <w:rsid w:val="00030F7F"/>
    <w:rsid w:val="0003197A"/>
    <w:rsid w:val="00042F5F"/>
    <w:rsid w:val="00046475"/>
    <w:rsid w:val="00046E8A"/>
    <w:rsid w:val="0004708E"/>
    <w:rsid w:val="00050315"/>
    <w:rsid w:val="0005167B"/>
    <w:rsid w:val="00054D49"/>
    <w:rsid w:val="00056B39"/>
    <w:rsid w:val="00061B8F"/>
    <w:rsid w:val="0006442C"/>
    <w:rsid w:val="00067A39"/>
    <w:rsid w:val="000713A5"/>
    <w:rsid w:val="000742DA"/>
    <w:rsid w:val="00074D2F"/>
    <w:rsid w:val="00075F96"/>
    <w:rsid w:val="000772BF"/>
    <w:rsid w:val="00077FBE"/>
    <w:rsid w:val="000800DA"/>
    <w:rsid w:val="00080903"/>
    <w:rsid w:val="00081281"/>
    <w:rsid w:val="000829D5"/>
    <w:rsid w:val="00086C83"/>
    <w:rsid w:val="00092464"/>
    <w:rsid w:val="0009338F"/>
    <w:rsid w:val="00093AA0"/>
    <w:rsid w:val="00094CDE"/>
    <w:rsid w:val="0009737B"/>
    <w:rsid w:val="000A1365"/>
    <w:rsid w:val="000A2783"/>
    <w:rsid w:val="000A460E"/>
    <w:rsid w:val="000A49F2"/>
    <w:rsid w:val="000A6A61"/>
    <w:rsid w:val="000A72C0"/>
    <w:rsid w:val="000B00F7"/>
    <w:rsid w:val="000B050D"/>
    <w:rsid w:val="000B1581"/>
    <w:rsid w:val="000B414C"/>
    <w:rsid w:val="000B52E7"/>
    <w:rsid w:val="000B6D10"/>
    <w:rsid w:val="000C339D"/>
    <w:rsid w:val="000C40B8"/>
    <w:rsid w:val="000C460B"/>
    <w:rsid w:val="000C4FEF"/>
    <w:rsid w:val="000C54C9"/>
    <w:rsid w:val="000C5C81"/>
    <w:rsid w:val="000C5DF2"/>
    <w:rsid w:val="000D066E"/>
    <w:rsid w:val="000D144D"/>
    <w:rsid w:val="000D145D"/>
    <w:rsid w:val="000D18DB"/>
    <w:rsid w:val="000D2065"/>
    <w:rsid w:val="000D3A9D"/>
    <w:rsid w:val="000D3B6B"/>
    <w:rsid w:val="000E0749"/>
    <w:rsid w:val="000E2B48"/>
    <w:rsid w:val="000E2E3D"/>
    <w:rsid w:val="000E4D4D"/>
    <w:rsid w:val="000E62C7"/>
    <w:rsid w:val="000E7C0C"/>
    <w:rsid w:val="000F03FB"/>
    <w:rsid w:val="000F25C1"/>
    <w:rsid w:val="000F5355"/>
    <w:rsid w:val="000F65ED"/>
    <w:rsid w:val="00102EA7"/>
    <w:rsid w:val="00103BA6"/>
    <w:rsid w:val="00103F84"/>
    <w:rsid w:val="0011363A"/>
    <w:rsid w:val="00117251"/>
    <w:rsid w:val="00120B39"/>
    <w:rsid w:val="00122C68"/>
    <w:rsid w:val="00122DB2"/>
    <w:rsid w:val="00122F02"/>
    <w:rsid w:val="00124775"/>
    <w:rsid w:val="00127811"/>
    <w:rsid w:val="00133DAE"/>
    <w:rsid w:val="00134756"/>
    <w:rsid w:val="00140FFE"/>
    <w:rsid w:val="0014283C"/>
    <w:rsid w:val="00146DDD"/>
    <w:rsid w:val="00146F6B"/>
    <w:rsid w:val="001472EF"/>
    <w:rsid w:val="00152EF2"/>
    <w:rsid w:val="00161284"/>
    <w:rsid w:val="001615E1"/>
    <w:rsid w:val="00162D92"/>
    <w:rsid w:val="00163312"/>
    <w:rsid w:val="001646C3"/>
    <w:rsid w:val="00164A5D"/>
    <w:rsid w:val="00164C7B"/>
    <w:rsid w:val="00166100"/>
    <w:rsid w:val="00170C82"/>
    <w:rsid w:val="0017563B"/>
    <w:rsid w:val="00176484"/>
    <w:rsid w:val="00176A0E"/>
    <w:rsid w:val="0018158B"/>
    <w:rsid w:val="0018277C"/>
    <w:rsid w:val="00185C75"/>
    <w:rsid w:val="00185DDB"/>
    <w:rsid w:val="00191055"/>
    <w:rsid w:val="00191D7B"/>
    <w:rsid w:val="00192F2D"/>
    <w:rsid w:val="00193778"/>
    <w:rsid w:val="001951A2"/>
    <w:rsid w:val="00196623"/>
    <w:rsid w:val="00196E5E"/>
    <w:rsid w:val="00197197"/>
    <w:rsid w:val="001A1EE3"/>
    <w:rsid w:val="001A3470"/>
    <w:rsid w:val="001A5D19"/>
    <w:rsid w:val="001A60B1"/>
    <w:rsid w:val="001A7E60"/>
    <w:rsid w:val="001B2BDC"/>
    <w:rsid w:val="001B596A"/>
    <w:rsid w:val="001B5FAE"/>
    <w:rsid w:val="001C1794"/>
    <w:rsid w:val="001C20AC"/>
    <w:rsid w:val="001C3679"/>
    <w:rsid w:val="001C5710"/>
    <w:rsid w:val="001C6060"/>
    <w:rsid w:val="001C7040"/>
    <w:rsid w:val="001C7445"/>
    <w:rsid w:val="001C7814"/>
    <w:rsid w:val="001C794B"/>
    <w:rsid w:val="001D26CB"/>
    <w:rsid w:val="001D6141"/>
    <w:rsid w:val="001D69A8"/>
    <w:rsid w:val="001D7283"/>
    <w:rsid w:val="001E22CB"/>
    <w:rsid w:val="001E469E"/>
    <w:rsid w:val="001E7886"/>
    <w:rsid w:val="001F148F"/>
    <w:rsid w:val="001F1F22"/>
    <w:rsid w:val="00203F32"/>
    <w:rsid w:val="00210243"/>
    <w:rsid w:val="002212B0"/>
    <w:rsid w:val="0022259A"/>
    <w:rsid w:val="00222B4C"/>
    <w:rsid w:val="002278D9"/>
    <w:rsid w:val="00231633"/>
    <w:rsid w:val="00231AA7"/>
    <w:rsid w:val="00232CA8"/>
    <w:rsid w:val="00234A04"/>
    <w:rsid w:val="00235133"/>
    <w:rsid w:val="002352D5"/>
    <w:rsid w:val="00237F58"/>
    <w:rsid w:val="002418C4"/>
    <w:rsid w:val="00242F74"/>
    <w:rsid w:val="00247D55"/>
    <w:rsid w:val="002564A1"/>
    <w:rsid w:val="00266C29"/>
    <w:rsid w:val="002709CA"/>
    <w:rsid w:val="00271693"/>
    <w:rsid w:val="00273324"/>
    <w:rsid w:val="00273A39"/>
    <w:rsid w:val="00273D35"/>
    <w:rsid w:val="002765F5"/>
    <w:rsid w:val="00281D5F"/>
    <w:rsid w:val="00283140"/>
    <w:rsid w:val="00290739"/>
    <w:rsid w:val="00291B81"/>
    <w:rsid w:val="00291C67"/>
    <w:rsid w:val="0029251E"/>
    <w:rsid w:val="00293C7F"/>
    <w:rsid w:val="0029479B"/>
    <w:rsid w:val="00296548"/>
    <w:rsid w:val="0029780A"/>
    <w:rsid w:val="002A18B9"/>
    <w:rsid w:val="002A1ACC"/>
    <w:rsid w:val="002A252B"/>
    <w:rsid w:val="002A2F86"/>
    <w:rsid w:val="002A3084"/>
    <w:rsid w:val="002A370F"/>
    <w:rsid w:val="002A38B2"/>
    <w:rsid w:val="002A572B"/>
    <w:rsid w:val="002A76C1"/>
    <w:rsid w:val="002A7F2D"/>
    <w:rsid w:val="002B21D5"/>
    <w:rsid w:val="002B38A8"/>
    <w:rsid w:val="002B4802"/>
    <w:rsid w:val="002B605A"/>
    <w:rsid w:val="002B6A1D"/>
    <w:rsid w:val="002B6F68"/>
    <w:rsid w:val="002C1E37"/>
    <w:rsid w:val="002C2B85"/>
    <w:rsid w:val="002C305B"/>
    <w:rsid w:val="002C36CC"/>
    <w:rsid w:val="002C5D5E"/>
    <w:rsid w:val="002C644E"/>
    <w:rsid w:val="002D2CA2"/>
    <w:rsid w:val="002D4E08"/>
    <w:rsid w:val="002D54FC"/>
    <w:rsid w:val="002D5A63"/>
    <w:rsid w:val="002D5EA0"/>
    <w:rsid w:val="002D7F85"/>
    <w:rsid w:val="002E122A"/>
    <w:rsid w:val="002E5751"/>
    <w:rsid w:val="002E6631"/>
    <w:rsid w:val="002E6FA2"/>
    <w:rsid w:val="002F0AA9"/>
    <w:rsid w:val="002F1A44"/>
    <w:rsid w:val="002F46E2"/>
    <w:rsid w:val="002F56D3"/>
    <w:rsid w:val="002F72A1"/>
    <w:rsid w:val="0030084D"/>
    <w:rsid w:val="00300F50"/>
    <w:rsid w:val="00301A18"/>
    <w:rsid w:val="00302A78"/>
    <w:rsid w:val="00302FC1"/>
    <w:rsid w:val="003155F7"/>
    <w:rsid w:val="00315DE5"/>
    <w:rsid w:val="00315EE4"/>
    <w:rsid w:val="00320D6B"/>
    <w:rsid w:val="0032400D"/>
    <w:rsid w:val="00327548"/>
    <w:rsid w:val="00327753"/>
    <w:rsid w:val="0032777F"/>
    <w:rsid w:val="0033010B"/>
    <w:rsid w:val="00331B60"/>
    <w:rsid w:val="00332A32"/>
    <w:rsid w:val="00334FCC"/>
    <w:rsid w:val="00336219"/>
    <w:rsid w:val="00336780"/>
    <w:rsid w:val="00337EEC"/>
    <w:rsid w:val="00341C0A"/>
    <w:rsid w:val="00345D14"/>
    <w:rsid w:val="0034683E"/>
    <w:rsid w:val="00347BEF"/>
    <w:rsid w:val="00353D6A"/>
    <w:rsid w:val="0035425D"/>
    <w:rsid w:val="00354DE6"/>
    <w:rsid w:val="003551A6"/>
    <w:rsid w:val="003575A0"/>
    <w:rsid w:val="0036332F"/>
    <w:rsid w:val="00363778"/>
    <w:rsid w:val="0036436A"/>
    <w:rsid w:val="0036524E"/>
    <w:rsid w:val="00366E89"/>
    <w:rsid w:val="00372F7F"/>
    <w:rsid w:val="00373B87"/>
    <w:rsid w:val="00375360"/>
    <w:rsid w:val="0037566E"/>
    <w:rsid w:val="00376331"/>
    <w:rsid w:val="0038139A"/>
    <w:rsid w:val="00381D7E"/>
    <w:rsid w:val="0038536E"/>
    <w:rsid w:val="00385CE1"/>
    <w:rsid w:val="003915F2"/>
    <w:rsid w:val="003960C1"/>
    <w:rsid w:val="0039705C"/>
    <w:rsid w:val="003A0809"/>
    <w:rsid w:val="003A0E04"/>
    <w:rsid w:val="003A10A7"/>
    <w:rsid w:val="003A1254"/>
    <w:rsid w:val="003A1570"/>
    <w:rsid w:val="003A4D13"/>
    <w:rsid w:val="003A58B0"/>
    <w:rsid w:val="003A5F9B"/>
    <w:rsid w:val="003B2DA2"/>
    <w:rsid w:val="003B32CB"/>
    <w:rsid w:val="003B3BEC"/>
    <w:rsid w:val="003B6AD9"/>
    <w:rsid w:val="003C1DC8"/>
    <w:rsid w:val="003C247A"/>
    <w:rsid w:val="003C286C"/>
    <w:rsid w:val="003C5ADC"/>
    <w:rsid w:val="003C7B0A"/>
    <w:rsid w:val="003D06EC"/>
    <w:rsid w:val="003D258C"/>
    <w:rsid w:val="003D28D5"/>
    <w:rsid w:val="003D4583"/>
    <w:rsid w:val="003D47B0"/>
    <w:rsid w:val="003E4CB9"/>
    <w:rsid w:val="003E76A5"/>
    <w:rsid w:val="003F65BF"/>
    <w:rsid w:val="00403425"/>
    <w:rsid w:val="00406987"/>
    <w:rsid w:val="00411E5A"/>
    <w:rsid w:val="00412493"/>
    <w:rsid w:val="00413EDB"/>
    <w:rsid w:val="004179EC"/>
    <w:rsid w:val="00420FF9"/>
    <w:rsid w:val="00426F9C"/>
    <w:rsid w:val="00427635"/>
    <w:rsid w:val="0043202D"/>
    <w:rsid w:val="0043204E"/>
    <w:rsid w:val="0043328C"/>
    <w:rsid w:val="00433E1D"/>
    <w:rsid w:val="00434644"/>
    <w:rsid w:val="00434801"/>
    <w:rsid w:val="00435313"/>
    <w:rsid w:val="0043581B"/>
    <w:rsid w:val="00436884"/>
    <w:rsid w:val="004411DC"/>
    <w:rsid w:val="00442BF9"/>
    <w:rsid w:val="00444434"/>
    <w:rsid w:val="0044586F"/>
    <w:rsid w:val="00446609"/>
    <w:rsid w:val="0044664A"/>
    <w:rsid w:val="00455452"/>
    <w:rsid w:val="0045587D"/>
    <w:rsid w:val="004576DA"/>
    <w:rsid w:val="00460442"/>
    <w:rsid w:val="00460A34"/>
    <w:rsid w:val="004616C2"/>
    <w:rsid w:val="00461C26"/>
    <w:rsid w:val="00463CAD"/>
    <w:rsid w:val="004664CD"/>
    <w:rsid w:val="00466D92"/>
    <w:rsid w:val="004679A6"/>
    <w:rsid w:val="004763BF"/>
    <w:rsid w:val="00476745"/>
    <w:rsid w:val="00482403"/>
    <w:rsid w:val="004874A7"/>
    <w:rsid w:val="004916A8"/>
    <w:rsid w:val="00492CBF"/>
    <w:rsid w:val="004A4CF2"/>
    <w:rsid w:val="004A6836"/>
    <w:rsid w:val="004A6930"/>
    <w:rsid w:val="004A6F4E"/>
    <w:rsid w:val="004A7828"/>
    <w:rsid w:val="004B1C87"/>
    <w:rsid w:val="004B3E42"/>
    <w:rsid w:val="004B5C91"/>
    <w:rsid w:val="004B6989"/>
    <w:rsid w:val="004C2E54"/>
    <w:rsid w:val="004C31FB"/>
    <w:rsid w:val="004C379F"/>
    <w:rsid w:val="004C495A"/>
    <w:rsid w:val="004C7F88"/>
    <w:rsid w:val="004D0C85"/>
    <w:rsid w:val="004D13F4"/>
    <w:rsid w:val="004D37F6"/>
    <w:rsid w:val="004D599C"/>
    <w:rsid w:val="004D5ECA"/>
    <w:rsid w:val="004E0DF9"/>
    <w:rsid w:val="004E18AE"/>
    <w:rsid w:val="004E2491"/>
    <w:rsid w:val="004E3D3A"/>
    <w:rsid w:val="004E6DC1"/>
    <w:rsid w:val="004F2FDB"/>
    <w:rsid w:val="004F3464"/>
    <w:rsid w:val="004F436A"/>
    <w:rsid w:val="004F6589"/>
    <w:rsid w:val="0050184E"/>
    <w:rsid w:val="005018E0"/>
    <w:rsid w:val="00503AB6"/>
    <w:rsid w:val="0050608A"/>
    <w:rsid w:val="00510F67"/>
    <w:rsid w:val="00514705"/>
    <w:rsid w:val="00515E1E"/>
    <w:rsid w:val="00517F02"/>
    <w:rsid w:val="00522BE5"/>
    <w:rsid w:val="00522C8B"/>
    <w:rsid w:val="00523B8F"/>
    <w:rsid w:val="00524839"/>
    <w:rsid w:val="00524CB4"/>
    <w:rsid w:val="005264ED"/>
    <w:rsid w:val="00530F73"/>
    <w:rsid w:val="00533685"/>
    <w:rsid w:val="00535D8D"/>
    <w:rsid w:val="00536A9F"/>
    <w:rsid w:val="00541E86"/>
    <w:rsid w:val="00554732"/>
    <w:rsid w:val="00555515"/>
    <w:rsid w:val="00555D07"/>
    <w:rsid w:val="005576C4"/>
    <w:rsid w:val="00561A0A"/>
    <w:rsid w:val="00562118"/>
    <w:rsid w:val="0056459A"/>
    <w:rsid w:val="00570283"/>
    <w:rsid w:val="005720FD"/>
    <w:rsid w:val="005737BB"/>
    <w:rsid w:val="0057408E"/>
    <w:rsid w:val="005742F8"/>
    <w:rsid w:val="00574503"/>
    <w:rsid w:val="00580087"/>
    <w:rsid w:val="00580657"/>
    <w:rsid w:val="0059151A"/>
    <w:rsid w:val="00596A87"/>
    <w:rsid w:val="005A0CE4"/>
    <w:rsid w:val="005A1DD0"/>
    <w:rsid w:val="005A5CC8"/>
    <w:rsid w:val="005A7B1A"/>
    <w:rsid w:val="005B32DF"/>
    <w:rsid w:val="005B410D"/>
    <w:rsid w:val="005B4BA2"/>
    <w:rsid w:val="005B6FE1"/>
    <w:rsid w:val="005C0683"/>
    <w:rsid w:val="005C07BA"/>
    <w:rsid w:val="005C31C1"/>
    <w:rsid w:val="005D0994"/>
    <w:rsid w:val="005D1065"/>
    <w:rsid w:val="005D1793"/>
    <w:rsid w:val="005D23A0"/>
    <w:rsid w:val="005D3B3C"/>
    <w:rsid w:val="005D52EC"/>
    <w:rsid w:val="005D5AF6"/>
    <w:rsid w:val="005E10D7"/>
    <w:rsid w:val="005E3EBE"/>
    <w:rsid w:val="005E55C0"/>
    <w:rsid w:val="005E6F30"/>
    <w:rsid w:val="005F07F6"/>
    <w:rsid w:val="005F3985"/>
    <w:rsid w:val="005F43F0"/>
    <w:rsid w:val="005F54F2"/>
    <w:rsid w:val="005F68EF"/>
    <w:rsid w:val="005F6BD5"/>
    <w:rsid w:val="006005E1"/>
    <w:rsid w:val="00604968"/>
    <w:rsid w:val="00605D32"/>
    <w:rsid w:val="00612C5C"/>
    <w:rsid w:val="0061415B"/>
    <w:rsid w:val="006159E9"/>
    <w:rsid w:val="00621117"/>
    <w:rsid w:val="006214E3"/>
    <w:rsid w:val="00622BC6"/>
    <w:rsid w:val="0062736D"/>
    <w:rsid w:val="006324D4"/>
    <w:rsid w:val="006346E4"/>
    <w:rsid w:val="006354F5"/>
    <w:rsid w:val="006370A2"/>
    <w:rsid w:val="00641E11"/>
    <w:rsid w:val="0064226A"/>
    <w:rsid w:val="006429FF"/>
    <w:rsid w:val="006431F6"/>
    <w:rsid w:val="0064330D"/>
    <w:rsid w:val="00645561"/>
    <w:rsid w:val="00645D67"/>
    <w:rsid w:val="00646DD1"/>
    <w:rsid w:val="00646FA5"/>
    <w:rsid w:val="00650926"/>
    <w:rsid w:val="00650E5C"/>
    <w:rsid w:val="006529CA"/>
    <w:rsid w:val="00653B16"/>
    <w:rsid w:val="006547A8"/>
    <w:rsid w:val="00655C57"/>
    <w:rsid w:val="00655D3F"/>
    <w:rsid w:val="00666A54"/>
    <w:rsid w:val="00674466"/>
    <w:rsid w:val="006752DD"/>
    <w:rsid w:val="00675985"/>
    <w:rsid w:val="00675B0E"/>
    <w:rsid w:val="00677C7E"/>
    <w:rsid w:val="00684EC3"/>
    <w:rsid w:val="00693958"/>
    <w:rsid w:val="006958FD"/>
    <w:rsid w:val="006A03BE"/>
    <w:rsid w:val="006A269F"/>
    <w:rsid w:val="006A5985"/>
    <w:rsid w:val="006A5D37"/>
    <w:rsid w:val="006A66C4"/>
    <w:rsid w:val="006A7569"/>
    <w:rsid w:val="006A7D22"/>
    <w:rsid w:val="006B032A"/>
    <w:rsid w:val="006B60F7"/>
    <w:rsid w:val="006B64EA"/>
    <w:rsid w:val="006B666F"/>
    <w:rsid w:val="006C0ECE"/>
    <w:rsid w:val="006C2868"/>
    <w:rsid w:val="006C37B7"/>
    <w:rsid w:val="006C415D"/>
    <w:rsid w:val="006C5157"/>
    <w:rsid w:val="006C72F7"/>
    <w:rsid w:val="006D002E"/>
    <w:rsid w:val="006D0AFA"/>
    <w:rsid w:val="006D450F"/>
    <w:rsid w:val="006E0FDD"/>
    <w:rsid w:val="006E1070"/>
    <w:rsid w:val="006E57A4"/>
    <w:rsid w:val="006F0CF8"/>
    <w:rsid w:val="006F14CC"/>
    <w:rsid w:val="006F230B"/>
    <w:rsid w:val="006F2DA6"/>
    <w:rsid w:val="006F46DF"/>
    <w:rsid w:val="006F57B3"/>
    <w:rsid w:val="006F6D11"/>
    <w:rsid w:val="00704B60"/>
    <w:rsid w:val="00713471"/>
    <w:rsid w:val="0071404A"/>
    <w:rsid w:val="00716AF6"/>
    <w:rsid w:val="00724D34"/>
    <w:rsid w:val="00726423"/>
    <w:rsid w:val="00731E84"/>
    <w:rsid w:val="00731FAA"/>
    <w:rsid w:val="00732F7A"/>
    <w:rsid w:val="0073355E"/>
    <w:rsid w:val="0073785C"/>
    <w:rsid w:val="007400B3"/>
    <w:rsid w:val="007403E4"/>
    <w:rsid w:val="00740DCA"/>
    <w:rsid w:val="00742395"/>
    <w:rsid w:val="0074590F"/>
    <w:rsid w:val="00745E50"/>
    <w:rsid w:val="0074668D"/>
    <w:rsid w:val="00746D89"/>
    <w:rsid w:val="0075003B"/>
    <w:rsid w:val="007502E8"/>
    <w:rsid w:val="007530FC"/>
    <w:rsid w:val="00753EE8"/>
    <w:rsid w:val="0075545D"/>
    <w:rsid w:val="00756581"/>
    <w:rsid w:val="00757129"/>
    <w:rsid w:val="00762731"/>
    <w:rsid w:val="00767E27"/>
    <w:rsid w:val="00770001"/>
    <w:rsid w:val="00770189"/>
    <w:rsid w:val="0077102C"/>
    <w:rsid w:val="0077733C"/>
    <w:rsid w:val="007800E2"/>
    <w:rsid w:val="00784D12"/>
    <w:rsid w:val="00785876"/>
    <w:rsid w:val="00791DDB"/>
    <w:rsid w:val="00792D9B"/>
    <w:rsid w:val="00795A11"/>
    <w:rsid w:val="00796AEC"/>
    <w:rsid w:val="00797A48"/>
    <w:rsid w:val="007A1950"/>
    <w:rsid w:val="007A3479"/>
    <w:rsid w:val="007A4E20"/>
    <w:rsid w:val="007A578D"/>
    <w:rsid w:val="007A78DE"/>
    <w:rsid w:val="007B0ECC"/>
    <w:rsid w:val="007B7D4D"/>
    <w:rsid w:val="007C003E"/>
    <w:rsid w:val="007C01F7"/>
    <w:rsid w:val="007C0348"/>
    <w:rsid w:val="007C1441"/>
    <w:rsid w:val="007C51CB"/>
    <w:rsid w:val="007C72EF"/>
    <w:rsid w:val="007C7FAC"/>
    <w:rsid w:val="007E194E"/>
    <w:rsid w:val="007E3DFF"/>
    <w:rsid w:val="007E4248"/>
    <w:rsid w:val="007F6E2B"/>
    <w:rsid w:val="007F7234"/>
    <w:rsid w:val="008011BF"/>
    <w:rsid w:val="00802550"/>
    <w:rsid w:val="00806A18"/>
    <w:rsid w:val="00806DFB"/>
    <w:rsid w:val="008108E7"/>
    <w:rsid w:val="0081331E"/>
    <w:rsid w:val="00821030"/>
    <w:rsid w:val="0082151E"/>
    <w:rsid w:val="00821716"/>
    <w:rsid w:val="00823C4E"/>
    <w:rsid w:val="00830C60"/>
    <w:rsid w:val="00830D50"/>
    <w:rsid w:val="00831C18"/>
    <w:rsid w:val="00834152"/>
    <w:rsid w:val="00835030"/>
    <w:rsid w:val="008373C8"/>
    <w:rsid w:val="0084298C"/>
    <w:rsid w:val="00842DB6"/>
    <w:rsid w:val="00843615"/>
    <w:rsid w:val="00843B8E"/>
    <w:rsid w:val="008447A9"/>
    <w:rsid w:val="00847764"/>
    <w:rsid w:val="00847CC2"/>
    <w:rsid w:val="0085093F"/>
    <w:rsid w:val="00853EA5"/>
    <w:rsid w:val="00854D84"/>
    <w:rsid w:val="0085635D"/>
    <w:rsid w:val="0085769E"/>
    <w:rsid w:val="00865CD5"/>
    <w:rsid w:val="008663A6"/>
    <w:rsid w:val="00872A34"/>
    <w:rsid w:val="0087563C"/>
    <w:rsid w:val="00876CFE"/>
    <w:rsid w:val="0087743C"/>
    <w:rsid w:val="0088143C"/>
    <w:rsid w:val="00881ED4"/>
    <w:rsid w:val="008820F7"/>
    <w:rsid w:val="008829F2"/>
    <w:rsid w:val="00883AAE"/>
    <w:rsid w:val="008858BF"/>
    <w:rsid w:val="00886E4A"/>
    <w:rsid w:val="00890463"/>
    <w:rsid w:val="008912E1"/>
    <w:rsid w:val="00893A55"/>
    <w:rsid w:val="00895DA0"/>
    <w:rsid w:val="008963B1"/>
    <w:rsid w:val="008A06F1"/>
    <w:rsid w:val="008A1883"/>
    <w:rsid w:val="008A23EF"/>
    <w:rsid w:val="008A6847"/>
    <w:rsid w:val="008A7B95"/>
    <w:rsid w:val="008B1BE8"/>
    <w:rsid w:val="008B2983"/>
    <w:rsid w:val="008B3212"/>
    <w:rsid w:val="008B46A8"/>
    <w:rsid w:val="008B4E16"/>
    <w:rsid w:val="008B781D"/>
    <w:rsid w:val="008C2254"/>
    <w:rsid w:val="008D17DF"/>
    <w:rsid w:val="008D201F"/>
    <w:rsid w:val="008D23B2"/>
    <w:rsid w:val="008D782C"/>
    <w:rsid w:val="008E1353"/>
    <w:rsid w:val="008E2BB6"/>
    <w:rsid w:val="008E2F6E"/>
    <w:rsid w:val="008E3ED2"/>
    <w:rsid w:val="008E72F7"/>
    <w:rsid w:val="008E7A9A"/>
    <w:rsid w:val="008F08D6"/>
    <w:rsid w:val="008F3D99"/>
    <w:rsid w:val="008F5CA8"/>
    <w:rsid w:val="008F619F"/>
    <w:rsid w:val="008F69D1"/>
    <w:rsid w:val="00905DF8"/>
    <w:rsid w:val="00907025"/>
    <w:rsid w:val="009137AB"/>
    <w:rsid w:val="009171D8"/>
    <w:rsid w:val="009215DF"/>
    <w:rsid w:val="0092312B"/>
    <w:rsid w:val="00923145"/>
    <w:rsid w:val="00923836"/>
    <w:rsid w:val="00925D83"/>
    <w:rsid w:val="0093108F"/>
    <w:rsid w:val="00934010"/>
    <w:rsid w:val="0093423A"/>
    <w:rsid w:val="009367EF"/>
    <w:rsid w:val="0093712B"/>
    <w:rsid w:val="00940113"/>
    <w:rsid w:val="009447AA"/>
    <w:rsid w:val="00952D6F"/>
    <w:rsid w:val="00953F9F"/>
    <w:rsid w:val="009569E9"/>
    <w:rsid w:val="009601CF"/>
    <w:rsid w:val="00964D29"/>
    <w:rsid w:val="00966416"/>
    <w:rsid w:val="00966F7D"/>
    <w:rsid w:val="00971D13"/>
    <w:rsid w:val="00974682"/>
    <w:rsid w:val="00975378"/>
    <w:rsid w:val="0097613E"/>
    <w:rsid w:val="009808B5"/>
    <w:rsid w:val="00982B7E"/>
    <w:rsid w:val="00985BB9"/>
    <w:rsid w:val="009876BA"/>
    <w:rsid w:val="009902E8"/>
    <w:rsid w:val="009A2E8D"/>
    <w:rsid w:val="009A4D0B"/>
    <w:rsid w:val="009B45F3"/>
    <w:rsid w:val="009C1423"/>
    <w:rsid w:val="009C2A86"/>
    <w:rsid w:val="009C395F"/>
    <w:rsid w:val="009C5B5B"/>
    <w:rsid w:val="009C79BC"/>
    <w:rsid w:val="009D196C"/>
    <w:rsid w:val="009D7232"/>
    <w:rsid w:val="009E2857"/>
    <w:rsid w:val="009E430C"/>
    <w:rsid w:val="009F0C2C"/>
    <w:rsid w:val="009F4BE6"/>
    <w:rsid w:val="009F6C33"/>
    <w:rsid w:val="009F7100"/>
    <w:rsid w:val="00A0016E"/>
    <w:rsid w:val="00A02249"/>
    <w:rsid w:val="00A0755F"/>
    <w:rsid w:val="00A07E42"/>
    <w:rsid w:val="00A11A31"/>
    <w:rsid w:val="00A1377F"/>
    <w:rsid w:val="00A15145"/>
    <w:rsid w:val="00A1615C"/>
    <w:rsid w:val="00A17A51"/>
    <w:rsid w:val="00A21ABC"/>
    <w:rsid w:val="00A21CEE"/>
    <w:rsid w:val="00A23967"/>
    <w:rsid w:val="00A23F2E"/>
    <w:rsid w:val="00A2647C"/>
    <w:rsid w:val="00A26A75"/>
    <w:rsid w:val="00A27AD0"/>
    <w:rsid w:val="00A335A7"/>
    <w:rsid w:val="00A34EE6"/>
    <w:rsid w:val="00A3511C"/>
    <w:rsid w:val="00A35CD3"/>
    <w:rsid w:val="00A4495E"/>
    <w:rsid w:val="00A459AB"/>
    <w:rsid w:val="00A47C38"/>
    <w:rsid w:val="00A51459"/>
    <w:rsid w:val="00A5380F"/>
    <w:rsid w:val="00A540B0"/>
    <w:rsid w:val="00A562A6"/>
    <w:rsid w:val="00A57250"/>
    <w:rsid w:val="00A60E0B"/>
    <w:rsid w:val="00A6553C"/>
    <w:rsid w:val="00A66BFA"/>
    <w:rsid w:val="00A67FFD"/>
    <w:rsid w:val="00A74165"/>
    <w:rsid w:val="00A749BE"/>
    <w:rsid w:val="00A815C3"/>
    <w:rsid w:val="00A84023"/>
    <w:rsid w:val="00A85019"/>
    <w:rsid w:val="00A863DD"/>
    <w:rsid w:val="00A9004C"/>
    <w:rsid w:val="00A90DFF"/>
    <w:rsid w:val="00A90FD4"/>
    <w:rsid w:val="00AA6185"/>
    <w:rsid w:val="00AB072A"/>
    <w:rsid w:val="00AB314E"/>
    <w:rsid w:val="00AB6219"/>
    <w:rsid w:val="00AB6424"/>
    <w:rsid w:val="00AB6DB4"/>
    <w:rsid w:val="00AB7E16"/>
    <w:rsid w:val="00AC26FC"/>
    <w:rsid w:val="00AC53CC"/>
    <w:rsid w:val="00AD2D3A"/>
    <w:rsid w:val="00AD475C"/>
    <w:rsid w:val="00AD4F4C"/>
    <w:rsid w:val="00AD6C8F"/>
    <w:rsid w:val="00AD6F8C"/>
    <w:rsid w:val="00AE0505"/>
    <w:rsid w:val="00AE42DF"/>
    <w:rsid w:val="00AE6476"/>
    <w:rsid w:val="00AE660B"/>
    <w:rsid w:val="00AF3F8D"/>
    <w:rsid w:val="00AF5794"/>
    <w:rsid w:val="00B0108C"/>
    <w:rsid w:val="00B04D79"/>
    <w:rsid w:val="00B11D11"/>
    <w:rsid w:val="00B15837"/>
    <w:rsid w:val="00B16133"/>
    <w:rsid w:val="00B20335"/>
    <w:rsid w:val="00B2123C"/>
    <w:rsid w:val="00B33961"/>
    <w:rsid w:val="00B37209"/>
    <w:rsid w:val="00B37937"/>
    <w:rsid w:val="00B415F0"/>
    <w:rsid w:val="00B43376"/>
    <w:rsid w:val="00B43E7C"/>
    <w:rsid w:val="00B440F8"/>
    <w:rsid w:val="00B44578"/>
    <w:rsid w:val="00B45532"/>
    <w:rsid w:val="00B5320B"/>
    <w:rsid w:val="00B53CAF"/>
    <w:rsid w:val="00B54DB3"/>
    <w:rsid w:val="00B5650B"/>
    <w:rsid w:val="00B57063"/>
    <w:rsid w:val="00B5717B"/>
    <w:rsid w:val="00B578C9"/>
    <w:rsid w:val="00B609DB"/>
    <w:rsid w:val="00B622F8"/>
    <w:rsid w:val="00B7020C"/>
    <w:rsid w:val="00B7645E"/>
    <w:rsid w:val="00B76F43"/>
    <w:rsid w:val="00B90661"/>
    <w:rsid w:val="00B90F76"/>
    <w:rsid w:val="00B9168A"/>
    <w:rsid w:val="00B91A7F"/>
    <w:rsid w:val="00B94736"/>
    <w:rsid w:val="00B94FD9"/>
    <w:rsid w:val="00B9648E"/>
    <w:rsid w:val="00BA0B98"/>
    <w:rsid w:val="00BA267B"/>
    <w:rsid w:val="00BA5FB2"/>
    <w:rsid w:val="00BB1C28"/>
    <w:rsid w:val="00BB2F5E"/>
    <w:rsid w:val="00BC1BEC"/>
    <w:rsid w:val="00BC227B"/>
    <w:rsid w:val="00BC636A"/>
    <w:rsid w:val="00BD03C6"/>
    <w:rsid w:val="00BD213C"/>
    <w:rsid w:val="00BD2D5A"/>
    <w:rsid w:val="00BD3AE4"/>
    <w:rsid w:val="00BD5FF1"/>
    <w:rsid w:val="00BE007E"/>
    <w:rsid w:val="00BE18C3"/>
    <w:rsid w:val="00BE6C1C"/>
    <w:rsid w:val="00BF0081"/>
    <w:rsid w:val="00BF1706"/>
    <w:rsid w:val="00BF3696"/>
    <w:rsid w:val="00BF44A9"/>
    <w:rsid w:val="00BF50F6"/>
    <w:rsid w:val="00BF5E44"/>
    <w:rsid w:val="00BF6777"/>
    <w:rsid w:val="00BF6CB7"/>
    <w:rsid w:val="00C001AD"/>
    <w:rsid w:val="00C00932"/>
    <w:rsid w:val="00C01683"/>
    <w:rsid w:val="00C038C5"/>
    <w:rsid w:val="00C04ED0"/>
    <w:rsid w:val="00C05AE7"/>
    <w:rsid w:val="00C06524"/>
    <w:rsid w:val="00C12583"/>
    <w:rsid w:val="00C13442"/>
    <w:rsid w:val="00C136EA"/>
    <w:rsid w:val="00C1661E"/>
    <w:rsid w:val="00C16D34"/>
    <w:rsid w:val="00C1716F"/>
    <w:rsid w:val="00C20390"/>
    <w:rsid w:val="00C265D2"/>
    <w:rsid w:val="00C3087E"/>
    <w:rsid w:val="00C3120E"/>
    <w:rsid w:val="00C32759"/>
    <w:rsid w:val="00C332AC"/>
    <w:rsid w:val="00C358A0"/>
    <w:rsid w:val="00C35E1F"/>
    <w:rsid w:val="00C35E41"/>
    <w:rsid w:val="00C40AD8"/>
    <w:rsid w:val="00C421C9"/>
    <w:rsid w:val="00C4451C"/>
    <w:rsid w:val="00C459A2"/>
    <w:rsid w:val="00C45D90"/>
    <w:rsid w:val="00C46531"/>
    <w:rsid w:val="00C514B7"/>
    <w:rsid w:val="00C51C3B"/>
    <w:rsid w:val="00C5534D"/>
    <w:rsid w:val="00C574BA"/>
    <w:rsid w:val="00C57E56"/>
    <w:rsid w:val="00C6103B"/>
    <w:rsid w:val="00C6518D"/>
    <w:rsid w:val="00C6530D"/>
    <w:rsid w:val="00C67366"/>
    <w:rsid w:val="00C67D7C"/>
    <w:rsid w:val="00C70C1F"/>
    <w:rsid w:val="00C70DF9"/>
    <w:rsid w:val="00C74835"/>
    <w:rsid w:val="00C76D45"/>
    <w:rsid w:val="00C76F25"/>
    <w:rsid w:val="00C77992"/>
    <w:rsid w:val="00C77EDC"/>
    <w:rsid w:val="00C82439"/>
    <w:rsid w:val="00C83409"/>
    <w:rsid w:val="00C83B24"/>
    <w:rsid w:val="00C85636"/>
    <w:rsid w:val="00C91043"/>
    <w:rsid w:val="00C963F7"/>
    <w:rsid w:val="00C97842"/>
    <w:rsid w:val="00CA3873"/>
    <w:rsid w:val="00CA4CA9"/>
    <w:rsid w:val="00CB37CF"/>
    <w:rsid w:val="00CC14BD"/>
    <w:rsid w:val="00CC3CE0"/>
    <w:rsid w:val="00CC43EB"/>
    <w:rsid w:val="00CC6128"/>
    <w:rsid w:val="00CC63F6"/>
    <w:rsid w:val="00CD105B"/>
    <w:rsid w:val="00CD23A3"/>
    <w:rsid w:val="00CD308D"/>
    <w:rsid w:val="00CD4311"/>
    <w:rsid w:val="00CD4BFD"/>
    <w:rsid w:val="00CF00FD"/>
    <w:rsid w:val="00CF0C30"/>
    <w:rsid w:val="00CF2642"/>
    <w:rsid w:val="00CF5C5E"/>
    <w:rsid w:val="00CF7BC5"/>
    <w:rsid w:val="00D00B34"/>
    <w:rsid w:val="00D018D8"/>
    <w:rsid w:val="00D029DC"/>
    <w:rsid w:val="00D02A8A"/>
    <w:rsid w:val="00D02F8C"/>
    <w:rsid w:val="00D04A41"/>
    <w:rsid w:val="00D04F05"/>
    <w:rsid w:val="00D069EB"/>
    <w:rsid w:val="00D07F70"/>
    <w:rsid w:val="00D10855"/>
    <w:rsid w:val="00D11DC5"/>
    <w:rsid w:val="00D16C2D"/>
    <w:rsid w:val="00D16C55"/>
    <w:rsid w:val="00D170BE"/>
    <w:rsid w:val="00D1728A"/>
    <w:rsid w:val="00D1782D"/>
    <w:rsid w:val="00D17C5A"/>
    <w:rsid w:val="00D2073D"/>
    <w:rsid w:val="00D2199F"/>
    <w:rsid w:val="00D27BCE"/>
    <w:rsid w:val="00D31E21"/>
    <w:rsid w:val="00D31FAC"/>
    <w:rsid w:val="00D336BB"/>
    <w:rsid w:val="00D37F03"/>
    <w:rsid w:val="00D4258E"/>
    <w:rsid w:val="00D43E02"/>
    <w:rsid w:val="00D45DEF"/>
    <w:rsid w:val="00D47E8B"/>
    <w:rsid w:val="00D51613"/>
    <w:rsid w:val="00D53DFF"/>
    <w:rsid w:val="00D63AE4"/>
    <w:rsid w:val="00D64931"/>
    <w:rsid w:val="00D67C15"/>
    <w:rsid w:val="00D67CF6"/>
    <w:rsid w:val="00D71D07"/>
    <w:rsid w:val="00D733C7"/>
    <w:rsid w:val="00D73FBD"/>
    <w:rsid w:val="00D765FC"/>
    <w:rsid w:val="00D81939"/>
    <w:rsid w:val="00D830F3"/>
    <w:rsid w:val="00D857C6"/>
    <w:rsid w:val="00D906E6"/>
    <w:rsid w:val="00D93FF3"/>
    <w:rsid w:val="00D96905"/>
    <w:rsid w:val="00D971E2"/>
    <w:rsid w:val="00D97547"/>
    <w:rsid w:val="00DA070B"/>
    <w:rsid w:val="00DA32E8"/>
    <w:rsid w:val="00DA39F4"/>
    <w:rsid w:val="00DA618E"/>
    <w:rsid w:val="00DA7A3C"/>
    <w:rsid w:val="00DA7ABA"/>
    <w:rsid w:val="00DB0A57"/>
    <w:rsid w:val="00DB3BBB"/>
    <w:rsid w:val="00DB4CA4"/>
    <w:rsid w:val="00DB62B9"/>
    <w:rsid w:val="00DB6E3E"/>
    <w:rsid w:val="00DC06C6"/>
    <w:rsid w:val="00DC176A"/>
    <w:rsid w:val="00DC1B98"/>
    <w:rsid w:val="00DC3F13"/>
    <w:rsid w:val="00DC407A"/>
    <w:rsid w:val="00DC68D6"/>
    <w:rsid w:val="00DC783E"/>
    <w:rsid w:val="00DD1438"/>
    <w:rsid w:val="00DD49A9"/>
    <w:rsid w:val="00DD5E80"/>
    <w:rsid w:val="00DE1071"/>
    <w:rsid w:val="00DE6460"/>
    <w:rsid w:val="00DF3947"/>
    <w:rsid w:val="00DF4DDF"/>
    <w:rsid w:val="00DF7C7F"/>
    <w:rsid w:val="00E02C5E"/>
    <w:rsid w:val="00E04AC2"/>
    <w:rsid w:val="00E1505A"/>
    <w:rsid w:val="00E15EA6"/>
    <w:rsid w:val="00E16C8C"/>
    <w:rsid w:val="00E20DE7"/>
    <w:rsid w:val="00E2143D"/>
    <w:rsid w:val="00E253E5"/>
    <w:rsid w:val="00E26223"/>
    <w:rsid w:val="00E275C6"/>
    <w:rsid w:val="00E30E2B"/>
    <w:rsid w:val="00E3338E"/>
    <w:rsid w:val="00E36BAE"/>
    <w:rsid w:val="00E447C6"/>
    <w:rsid w:val="00E47447"/>
    <w:rsid w:val="00E5168E"/>
    <w:rsid w:val="00E5300C"/>
    <w:rsid w:val="00E56755"/>
    <w:rsid w:val="00E6132A"/>
    <w:rsid w:val="00E61728"/>
    <w:rsid w:val="00E63273"/>
    <w:rsid w:val="00E63570"/>
    <w:rsid w:val="00E652AA"/>
    <w:rsid w:val="00E65AE9"/>
    <w:rsid w:val="00E754E2"/>
    <w:rsid w:val="00E80CAE"/>
    <w:rsid w:val="00E85B51"/>
    <w:rsid w:val="00E85EAD"/>
    <w:rsid w:val="00E878B0"/>
    <w:rsid w:val="00E91844"/>
    <w:rsid w:val="00E91BE2"/>
    <w:rsid w:val="00E91FBD"/>
    <w:rsid w:val="00E9413D"/>
    <w:rsid w:val="00E94ACA"/>
    <w:rsid w:val="00E96768"/>
    <w:rsid w:val="00EA01AB"/>
    <w:rsid w:val="00EA17DB"/>
    <w:rsid w:val="00EA3C6F"/>
    <w:rsid w:val="00EA49F0"/>
    <w:rsid w:val="00EA6F15"/>
    <w:rsid w:val="00EB0420"/>
    <w:rsid w:val="00EB0BE1"/>
    <w:rsid w:val="00EB2F01"/>
    <w:rsid w:val="00EB3889"/>
    <w:rsid w:val="00EB4205"/>
    <w:rsid w:val="00EB468F"/>
    <w:rsid w:val="00EC113D"/>
    <w:rsid w:val="00EC686D"/>
    <w:rsid w:val="00EC6AE5"/>
    <w:rsid w:val="00EC6D7E"/>
    <w:rsid w:val="00EC6FBF"/>
    <w:rsid w:val="00ED1CE2"/>
    <w:rsid w:val="00ED4F29"/>
    <w:rsid w:val="00ED5AA2"/>
    <w:rsid w:val="00EE1BDA"/>
    <w:rsid w:val="00EE2FDE"/>
    <w:rsid w:val="00EE3767"/>
    <w:rsid w:val="00EE62FC"/>
    <w:rsid w:val="00EE773D"/>
    <w:rsid w:val="00EF5C8D"/>
    <w:rsid w:val="00EF72BD"/>
    <w:rsid w:val="00F00F96"/>
    <w:rsid w:val="00F017DA"/>
    <w:rsid w:val="00F0718D"/>
    <w:rsid w:val="00F1340F"/>
    <w:rsid w:val="00F14F50"/>
    <w:rsid w:val="00F1558E"/>
    <w:rsid w:val="00F21E12"/>
    <w:rsid w:val="00F23578"/>
    <w:rsid w:val="00F25971"/>
    <w:rsid w:val="00F27EB2"/>
    <w:rsid w:val="00F3067D"/>
    <w:rsid w:val="00F30AD0"/>
    <w:rsid w:val="00F30BBD"/>
    <w:rsid w:val="00F30FDE"/>
    <w:rsid w:val="00F361D4"/>
    <w:rsid w:val="00F46B8C"/>
    <w:rsid w:val="00F47D15"/>
    <w:rsid w:val="00F51973"/>
    <w:rsid w:val="00F55144"/>
    <w:rsid w:val="00F55943"/>
    <w:rsid w:val="00F57F83"/>
    <w:rsid w:val="00F61A40"/>
    <w:rsid w:val="00F62304"/>
    <w:rsid w:val="00F624E6"/>
    <w:rsid w:val="00F630FE"/>
    <w:rsid w:val="00F6612C"/>
    <w:rsid w:val="00F773FC"/>
    <w:rsid w:val="00F82AF8"/>
    <w:rsid w:val="00F850A4"/>
    <w:rsid w:val="00F90003"/>
    <w:rsid w:val="00F90D18"/>
    <w:rsid w:val="00F914F3"/>
    <w:rsid w:val="00F91D0C"/>
    <w:rsid w:val="00F938F8"/>
    <w:rsid w:val="00F96E11"/>
    <w:rsid w:val="00F97FDF"/>
    <w:rsid w:val="00FA0214"/>
    <w:rsid w:val="00FA13B3"/>
    <w:rsid w:val="00FA1BD6"/>
    <w:rsid w:val="00FA1CA7"/>
    <w:rsid w:val="00FA24C2"/>
    <w:rsid w:val="00FA4251"/>
    <w:rsid w:val="00FA4412"/>
    <w:rsid w:val="00FB4406"/>
    <w:rsid w:val="00FB4D28"/>
    <w:rsid w:val="00FB5DE9"/>
    <w:rsid w:val="00FB6426"/>
    <w:rsid w:val="00FC06F9"/>
    <w:rsid w:val="00FC2339"/>
    <w:rsid w:val="00FC3FCA"/>
    <w:rsid w:val="00FC57AD"/>
    <w:rsid w:val="00FC6A20"/>
    <w:rsid w:val="00FD6AFE"/>
    <w:rsid w:val="00FD7F00"/>
    <w:rsid w:val="00FE0DB4"/>
    <w:rsid w:val="00FF039D"/>
    <w:rsid w:val="00FF37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56DDB9"/>
  <w15:chartTrackingRefBased/>
  <w15:docId w15:val="{A4752391-E5B5-41FF-81BA-138CBBC66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15D"/>
  </w:style>
  <w:style w:type="paragraph" w:styleId="Heading1">
    <w:name w:val="heading 1"/>
    <w:basedOn w:val="Normal"/>
    <w:next w:val="Normal"/>
    <w:link w:val="Heading1Char"/>
    <w:uiPriority w:val="9"/>
    <w:qFormat/>
    <w:rsid w:val="006C41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C41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C41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C41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C41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C41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41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41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41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415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C415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C41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C41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C41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C41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41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41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415D"/>
    <w:rPr>
      <w:rFonts w:eastAsiaTheme="majorEastAsia" w:cstheme="majorBidi"/>
      <w:color w:val="272727" w:themeColor="text1" w:themeTint="D8"/>
    </w:rPr>
  </w:style>
  <w:style w:type="paragraph" w:styleId="Title">
    <w:name w:val="Title"/>
    <w:basedOn w:val="Normal"/>
    <w:next w:val="Normal"/>
    <w:link w:val="TitleChar"/>
    <w:uiPriority w:val="10"/>
    <w:qFormat/>
    <w:rsid w:val="006C41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41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41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41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415D"/>
    <w:pPr>
      <w:spacing w:before="160"/>
      <w:jc w:val="center"/>
    </w:pPr>
    <w:rPr>
      <w:i/>
      <w:iCs/>
      <w:color w:val="404040" w:themeColor="text1" w:themeTint="BF"/>
    </w:rPr>
  </w:style>
  <w:style w:type="character" w:customStyle="1" w:styleId="QuoteChar">
    <w:name w:val="Quote Char"/>
    <w:basedOn w:val="DefaultParagraphFont"/>
    <w:link w:val="Quote"/>
    <w:uiPriority w:val="29"/>
    <w:rsid w:val="006C415D"/>
    <w:rPr>
      <w:i/>
      <w:iCs/>
      <w:color w:val="404040" w:themeColor="text1" w:themeTint="BF"/>
    </w:rPr>
  </w:style>
  <w:style w:type="paragraph" w:styleId="ListParagraph">
    <w:name w:val="List Paragraph"/>
    <w:basedOn w:val="Normal"/>
    <w:uiPriority w:val="34"/>
    <w:qFormat/>
    <w:rsid w:val="006C415D"/>
    <w:pPr>
      <w:ind w:left="720"/>
      <w:contextualSpacing/>
    </w:pPr>
  </w:style>
  <w:style w:type="character" w:styleId="IntenseEmphasis">
    <w:name w:val="Intense Emphasis"/>
    <w:basedOn w:val="DefaultParagraphFont"/>
    <w:uiPriority w:val="21"/>
    <w:qFormat/>
    <w:rsid w:val="006C415D"/>
    <w:rPr>
      <w:i/>
      <w:iCs/>
      <w:color w:val="0F4761" w:themeColor="accent1" w:themeShade="BF"/>
    </w:rPr>
  </w:style>
  <w:style w:type="paragraph" w:styleId="IntenseQuote">
    <w:name w:val="Intense Quote"/>
    <w:basedOn w:val="Normal"/>
    <w:next w:val="Normal"/>
    <w:link w:val="IntenseQuoteChar"/>
    <w:uiPriority w:val="30"/>
    <w:qFormat/>
    <w:rsid w:val="006C41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C415D"/>
    <w:rPr>
      <w:i/>
      <w:iCs/>
      <w:color w:val="0F4761" w:themeColor="accent1" w:themeShade="BF"/>
    </w:rPr>
  </w:style>
  <w:style w:type="character" w:styleId="IntenseReference">
    <w:name w:val="Intense Reference"/>
    <w:basedOn w:val="DefaultParagraphFont"/>
    <w:uiPriority w:val="32"/>
    <w:qFormat/>
    <w:rsid w:val="006C415D"/>
    <w:rPr>
      <w:b/>
      <w:bCs/>
      <w:smallCaps/>
      <w:color w:val="0F4761" w:themeColor="accent1" w:themeShade="BF"/>
      <w:spacing w:val="5"/>
    </w:rPr>
  </w:style>
  <w:style w:type="paragraph" w:styleId="TOCHeading">
    <w:name w:val="TOC Heading"/>
    <w:basedOn w:val="Heading1"/>
    <w:next w:val="Normal"/>
    <w:uiPriority w:val="39"/>
    <w:unhideWhenUsed/>
    <w:qFormat/>
    <w:rsid w:val="006C415D"/>
    <w:pPr>
      <w:spacing w:before="240" w:after="0"/>
      <w:outlineLvl w:val="9"/>
    </w:pPr>
    <w:rPr>
      <w:sz w:val="32"/>
      <w:szCs w:val="32"/>
      <w:lang w:val="en-US"/>
    </w:rPr>
  </w:style>
  <w:style w:type="paragraph" w:styleId="TOC2">
    <w:name w:val="toc 2"/>
    <w:basedOn w:val="Normal"/>
    <w:next w:val="Normal"/>
    <w:link w:val="TOC2Char"/>
    <w:autoRedefine/>
    <w:uiPriority w:val="39"/>
    <w:unhideWhenUsed/>
    <w:rsid w:val="006C415D"/>
    <w:pPr>
      <w:spacing w:after="100"/>
      <w:ind w:left="220"/>
    </w:pPr>
    <w:rPr>
      <w:rFonts w:eastAsiaTheme="minorEastAsia"/>
      <w:lang w:val="en-US"/>
    </w:rPr>
  </w:style>
  <w:style w:type="paragraph" w:styleId="TOC1">
    <w:name w:val="toc 1"/>
    <w:basedOn w:val="Normal"/>
    <w:next w:val="Normal"/>
    <w:autoRedefine/>
    <w:uiPriority w:val="39"/>
    <w:unhideWhenUsed/>
    <w:rsid w:val="009F0C2C"/>
    <w:pPr>
      <w:tabs>
        <w:tab w:val="left" w:pos="440"/>
        <w:tab w:val="right" w:leader="dot" w:pos="9016"/>
      </w:tabs>
      <w:spacing w:after="100" w:line="360" w:lineRule="auto"/>
    </w:pPr>
    <w:rPr>
      <w:rFonts w:eastAsiaTheme="minorEastAsia"/>
      <w:lang w:val="en-US"/>
    </w:rPr>
  </w:style>
  <w:style w:type="paragraph" w:styleId="TOC3">
    <w:name w:val="toc 3"/>
    <w:basedOn w:val="Normal"/>
    <w:next w:val="Normal"/>
    <w:autoRedefine/>
    <w:uiPriority w:val="39"/>
    <w:unhideWhenUsed/>
    <w:rsid w:val="006C415D"/>
    <w:pPr>
      <w:spacing w:after="100"/>
      <w:ind w:left="440"/>
    </w:pPr>
    <w:rPr>
      <w:rFonts w:eastAsiaTheme="minorEastAsia"/>
      <w:lang w:val="en-US"/>
    </w:rPr>
  </w:style>
  <w:style w:type="character" w:styleId="Hyperlink">
    <w:name w:val="Hyperlink"/>
    <w:basedOn w:val="DefaultParagraphFont"/>
    <w:uiPriority w:val="99"/>
    <w:unhideWhenUsed/>
    <w:rsid w:val="00F00F96"/>
    <w:rPr>
      <w:color w:val="467886" w:themeColor="hyperlink"/>
      <w:u w:val="single"/>
    </w:rPr>
  </w:style>
  <w:style w:type="character" w:styleId="UnresolvedMention">
    <w:name w:val="Unresolved Mention"/>
    <w:basedOn w:val="DefaultParagraphFont"/>
    <w:uiPriority w:val="99"/>
    <w:semiHidden/>
    <w:unhideWhenUsed/>
    <w:rsid w:val="00F00F96"/>
    <w:rPr>
      <w:color w:val="605E5C"/>
      <w:shd w:val="clear" w:color="auto" w:fill="E1DFDD"/>
    </w:rPr>
  </w:style>
  <w:style w:type="character" w:styleId="FollowedHyperlink">
    <w:name w:val="FollowedHyperlink"/>
    <w:basedOn w:val="DefaultParagraphFont"/>
    <w:uiPriority w:val="99"/>
    <w:semiHidden/>
    <w:unhideWhenUsed/>
    <w:rsid w:val="00B0108C"/>
    <w:rPr>
      <w:color w:val="96607D" w:themeColor="followedHyperlink"/>
      <w:u w:val="single"/>
    </w:rPr>
  </w:style>
  <w:style w:type="paragraph" w:styleId="Header">
    <w:name w:val="header"/>
    <w:basedOn w:val="Normal"/>
    <w:link w:val="HeaderChar"/>
    <w:uiPriority w:val="99"/>
    <w:unhideWhenUsed/>
    <w:rsid w:val="00D857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57C6"/>
    <w:rPr>
      <w:kern w:val="2"/>
      <w14:ligatures w14:val="standardContextual"/>
    </w:rPr>
  </w:style>
  <w:style w:type="paragraph" w:styleId="Footer">
    <w:name w:val="footer"/>
    <w:basedOn w:val="Normal"/>
    <w:link w:val="FooterChar"/>
    <w:uiPriority w:val="99"/>
    <w:unhideWhenUsed/>
    <w:rsid w:val="00D857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57C6"/>
    <w:rPr>
      <w:kern w:val="2"/>
      <w14:ligatures w14:val="standardContextual"/>
    </w:rPr>
  </w:style>
  <w:style w:type="character" w:styleId="PlaceholderText">
    <w:name w:val="Placeholder Text"/>
    <w:basedOn w:val="DefaultParagraphFont"/>
    <w:uiPriority w:val="99"/>
    <w:semiHidden/>
    <w:rsid w:val="00D857C6"/>
    <w:rPr>
      <w:color w:val="808080"/>
    </w:rPr>
  </w:style>
  <w:style w:type="paragraph" w:styleId="NormalWeb">
    <w:name w:val="Normal (Web)"/>
    <w:basedOn w:val="Normal"/>
    <w:uiPriority w:val="99"/>
    <w:semiHidden/>
    <w:unhideWhenUsed/>
    <w:rsid w:val="00EA6F15"/>
    <w:rPr>
      <w:szCs w:val="24"/>
    </w:rPr>
  </w:style>
  <w:style w:type="paragraph" w:styleId="NoSpacing">
    <w:name w:val="No Spacing"/>
    <w:uiPriority w:val="1"/>
    <w:qFormat/>
    <w:rsid w:val="00C4451C"/>
    <w:pPr>
      <w:spacing w:after="0" w:line="240" w:lineRule="auto"/>
    </w:pPr>
    <w:rPr>
      <w:kern w:val="2"/>
      <w14:ligatures w14:val="standardContextual"/>
    </w:rPr>
  </w:style>
  <w:style w:type="paragraph" w:styleId="Revision">
    <w:name w:val="Revision"/>
    <w:hidden/>
    <w:uiPriority w:val="99"/>
    <w:semiHidden/>
    <w:rsid w:val="00FA1BD6"/>
    <w:pPr>
      <w:spacing w:after="0" w:line="240" w:lineRule="auto"/>
    </w:pPr>
    <w:rPr>
      <w:kern w:val="2"/>
      <w14:ligatures w14:val="standardContextual"/>
    </w:rPr>
  </w:style>
  <w:style w:type="character" w:styleId="CommentReference">
    <w:name w:val="annotation reference"/>
    <w:basedOn w:val="DefaultParagraphFont"/>
    <w:uiPriority w:val="99"/>
    <w:semiHidden/>
    <w:unhideWhenUsed/>
    <w:rsid w:val="00FA1BD6"/>
    <w:rPr>
      <w:sz w:val="16"/>
      <w:szCs w:val="16"/>
    </w:rPr>
  </w:style>
  <w:style w:type="paragraph" w:styleId="CommentText">
    <w:name w:val="annotation text"/>
    <w:basedOn w:val="Normal"/>
    <w:link w:val="CommentTextChar"/>
    <w:uiPriority w:val="99"/>
    <w:unhideWhenUsed/>
    <w:rsid w:val="00FA1BD6"/>
    <w:pPr>
      <w:spacing w:line="240" w:lineRule="auto"/>
    </w:pPr>
    <w:rPr>
      <w:sz w:val="20"/>
      <w:szCs w:val="20"/>
    </w:rPr>
  </w:style>
  <w:style w:type="character" w:customStyle="1" w:styleId="CommentTextChar">
    <w:name w:val="Comment Text Char"/>
    <w:basedOn w:val="DefaultParagraphFont"/>
    <w:link w:val="CommentText"/>
    <w:uiPriority w:val="99"/>
    <w:rsid w:val="00FA1BD6"/>
    <w:rPr>
      <w:kern w:val="2"/>
      <w:sz w:val="20"/>
      <w:szCs w:val="20"/>
      <w14:ligatures w14:val="standardContextual"/>
    </w:rPr>
  </w:style>
  <w:style w:type="paragraph" w:styleId="CommentSubject">
    <w:name w:val="annotation subject"/>
    <w:basedOn w:val="CommentText"/>
    <w:next w:val="CommentText"/>
    <w:link w:val="CommentSubjectChar"/>
    <w:uiPriority w:val="99"/>
    <w:semiHidden/>
    <w:unhideWhenUsed/>
    <w:rsid w:val="00FA1BD6"/>
    <w:rPr>
      <w:b/>
      <w:bCs/>
    </w:rPr>
  </w:style>
  <w:style w:type="character" w:customStyle="1" w:styleId="CommentSubjectChar">
    <w:name w:val="Comment Subject Char"/>
    <w:basedOn w:val="CommentTextChar"/>
    <w:link w:val="CommentSubject"/>
    <w:uiPriority w:val="99"/>
    <w:semiHidden/>
    <w:rsid w:val="00FA1BD6"/>
    <w:rPr>
      <w:b/>
      <w:bCs/>
      <w:kern w:val="2"/>
      <w:sz w:val="20"/>
      <w:szCs w:val="20"/>
      <w14:ligatures w14:val="standardContextual"/>
    </w:rPr>
  </w:style>
  <w:style w:type="character" w:styleId="Emphasis">
    <w:name w:val="Emphasis"/>
    <w:basedOn w:val="DefaultParagraphFont"/>
    <w:uiPriority w:val="20"/>
    <w:qFormat/>
    <w:rsid w:val="006324D4"/>
    <w:rPr>
      <w:i/>
      <w:iCs/>
    </w:rPr>
  </w:style>
  <w:style w:type="character" w:styleId="Strong">
    <w:name w:val="Strong"/>
    <w:basedOn w:val="DefaultParagraphFont"/>
    <w:uiPriority w:val="22"/>
    <w:qFormat/>
    <w:rsid w:val="0044664A"/>
    <w:rPr>
      <w:b/>
      <w:bCs/>
    </w:rPr>
  </w:style>
  <w:style w:type="paragraph" w:customStyle="1" w:styleId="1ChapterHeading">
    <w:name w:val="1 Chapter Heading"/>
    <w:basedOn w:val="Heading1"/>
    <w:link w:val="1ChapterHeadingChar"/>
    <w:qFormat/>
    <w:rsid w:val="00354DE6"/>
    <w:pPr>
      <w:spacing w:before="100" w:beforeAutospacing="1" w:after="100" w:afterAutospacing="1" w:line="240" w:lineRule="auto"/>
      <w:jc w:val="center"/>
    </w:pPr>
    <w:rPr>
      <w:rFonts w:ascii="Times New Roman" w:hAnsi="Times New Roman" w:cs="Times New Roman"/>
      <w:b/>
      <w:bCs/>
      <w:color w:val="000000" w:themeColor="text1"/>
      <w:sz w:val="24"/>
      <w:szCs w:val="36"/>
    </w:rPr>
  </w:style>
  <w:style w:type="character" w:customStyle="1" w:styleId="1ChapterHeadingChar">
    <w:name w:val="1 Chapter Heading Char"/>
    <w:basedOn w:val="Heading1Char"/>
    <w:link w:val="1ChapterHeading"/>
    <w:rsid w:val="00354DE6"/>
    <w:rPr>
      <w:rFonts w:asciiTheme="majorHAnsi" w:eastAsiaTheme="majorEastAsia" w:hAnsiTheme="majorHAnsi" w:cstheme="majorBidi"/>
      <w:b/>
      <w:bCs/>
      <w:color w:val="000000" w:themeColor="text1"/>
      <w:sz w:val="40"/>
      <w:szCs w:val="36"/>
    </w:rPr>
  </w:style>
  <w:style w:type="paragraph" w:customStyle="1" w:styleId="Uni-Normal">
    <w:name w:val="Uni- Normal"/>
    <w:basedOn w:val="Normal"/>
    <w:link w:val="Uni-NormalChar"/>
    <w:qFormat/>
    <w:rsid w:val="006E1070"/>
    <w:pPr>
      <w:spacing w:before="120" w:after="280" w:line="360" w:lineRule="auto"/>
    </w:pPr>
  </w:style>
  <w:style w:type="paragraph" w:customStyle="1" w:styleId="2Sectionheading">
    <w:name w:val="2 Section heading"/>
    <w:basedOn w:val="Heading2"/>
    <w:next w:val="1ChapterHeading"/>
    <w:link w:val="2SectionheadingChar"/>
    <w:qFormat/>
    <w:rsid w:val="00354DE6"/>
    <w:rPr>
      <w:rFonts w:ascii="Times New Roman" w:hAnsi="Times New Roman"/>
      <w:b/>
      <w:bCs/>
      <w:color w:val="000000" w:themeColor="text1"/>
      <w:sz w:val="24"/>
    </w:rPr>
  </w:style>
  <w:style w:type="character" w:customStyle="1" w:styleId="Uni-NormalChar">
    <w:name w:val="Uni- Normal Char"/>
    <w:basedOn w:val="DefaultParagraphFont"/>
    <w:link w:val="Uni-Normal"/>
    <w:rsid w:val="006E1070"/>
    <w:rPr>
      <w:rFonts w:ascii="Times New Roman" w:hAnsi="Times New Roman"/>
      <w:kern w:val="2"/>
      <w:sz w:val="24"/>
      <w14:ligatures w14:val="standardContextual"/>
    </w:rPr>
  </w:style>
  <w:style w:type="character" w:customStyle="1" w:styleId="2SectionheadingChar">
    <w:name w:val="2 Section heading Char"/>
    <w:basedOn w:val="Uni-NormalChar"/>
    <w:link w:val="2Sectionheading"/>
    <w:rsid w:val="00354DE6"/>
    <w:rPr>
      <w:rFonts w:ascii="Times New Roman" w:eastAsiaTheme="majorEastAsia" w:hAnsi="Times New Roman" w:cstheme="majorBidi"/>
      <w:b/>
      <w:bCs/>
      <w:color w:val="000000" w:themeColor="text1"/>
      <w:kern w:val="2"/>
      <w:sz w:val="24"/>
      <w:szCs w:val="32"/>
      <w14:ligatures w14:val="standardContextual"/>
    </w:rPr>
  </w:style>
  <w:style w:type="table" w:styleId="TableGrid">
    <w:name w:val="Table Grid"/>
    <w:basedOn w:val="TableNormal"/>
    <w:uiPriority w:val="39"/>
    <w:rsid w:val="002F46E2"/>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SubHeading">
    <w:name w:val="3. Sub Heading"/>
    <w:basedOn w:val="TOC2"/>
    <w:next w:val="Heading3"/>
    <w:link w:val="3SubHeadingChar"/>
    <w:qFormat/>
    <w:rsid w:val="005D0994"/>
    <w:pPr>
      <w:tabs>
        <w:tab w:val="right" w:leader="dot" w:pos="9016"/>
      </w:tabs>
    </w:pPr>
    <w:rPr>
      <w:b/>
      <w:noProof/>
    </w:rPr>
  </w:style>
  <w:style w:type="character" w:customStyle="1" w:styleId="TOC2Char">
    <w:name w:val="TOC 2 Char"/>
    <w:basedOn w:val="DefaultParagraphFont"/>
    <w:link w:val="TOC2"/>
    <w:uiPriority w:val="39"/>
    <w:rsid w:val="005D0994"/>
    <w:rPr>
      <w:rFonts w:eastAsiaTheme="minorEastAsia"/>
      <w:lang w:val="en-US"/>
    </w:rPr>
  </w:style>
  <w:style w:type="character" w:customStyle="1" w:styleId="3SubHeadingChar">
    <w:name w:val="3. Sub Heading Char"/>
    <w:basedOn w:val="TOC2Char"/>
    <w:link w:val="3SubHeading"/>
    <w:rsid w:val="005D0994"/>
    <w:rPr>
      <w:rFonts w:eastAsiaTheme="minorEastAsia"/>
      <w:b/>
      <w:noProof/>
      <w:lang w:val="en-US"/>
    </w:rPr>
  </w:style>
  <w:style w:type="paragraph" w:customStyle="1" w:styleId="UniversityStyle">
    <w:name w:val="University Style"/>
    <w:basedOn w:val="Heading1"/>
    <w:link w:val="UniversityStyleChar"/>
    <w:qFormat/>
    <w:rsid w:val="001A60B1"/>
    <w:pPr>
      <w:spacing w:before="100" w:beforeAutospacing="1" w:after="100" w:afterAutospacing="1" w:line="240" w:lineRule="auto"/>
    </w:pPr>
    <w:rPr>
      <w:b/>
      <w:bCs/>
      <w:color w:val="000000" w:themeColor="text1"/>
      <w:szCs w:val="36"/>
      <w:u w:val="single"/>
    </w:rPr>
  </w:style>
  <w:style w:type="character" w:customStyle="1" w:styleId="UniversityStyleChar">
    <w:name w:val="University Style Char"/>
    <w:basedOn w:val="Heading1Char"/>
    <w:link w:val="UniversityStyle"/>
    <w:rsid w:val="001A60B1"/>
    <w:rPr>
      <w:rFonts w:asciiTheme="majorHAnsi" w:eastAsiaTheme="majorEastAsia" w:hAnsiTheme="majorHAnsi" w:cstheme="majorBidi"/>
      <w:b/>
      <w:bCs/>
      <w:color w:val="000000" w:themeColor="text1"/>
      <w:sz w:val="40"/>
      <w:szCs w:val="36"/>
      <w:u w:val="single"/>
    </w:rPr>
  </w:style>
  <w:style w:type="paragraph" w:customStyle="1" w:styleId="Uni-subheading">
    <w:name w:val="Uni-sub heading"/>
    <w:basedOn w:val="Heading2"/>
    <w:next w:val="UniversityStyle"/>
    <w:link w:val="Uni-subheadingChar"/>
    <w:qFormat/>
    <w:rsid w:val="001A60B1"/>
    <w:rPr>
      <w:rFonts w:ascii="Times New Roman" w:hAnsi="Times New Roman"/>
      <w:b/>
      <w:bCs/>
      <w:color w:val="000000" w:themeColor="text1"/>
      <w:kern w:val="2"/>
      <w:sz w:val="24"/>
      <w:u w:val="single"/>
      <w14:ligatures w14:val="standardContextual"/>
    </w:rPr>
  </w:style>
  <w:style w:type="character" w:customStyle="1" w:styleId="Uni-subheadingChar">
    <w:name w:val="Uni-sub heading Char"/>
    <w:basedOn w:val="Uni-NormalChar"/>
    <w:link w:val="Uni-subheading"/>
    <w:rsid w:val="001A60B1"/>
    <w:rPr>
      <w:rFonts w:ascii="Times New Roman" w:eastAsiaTheme="majorEastAsia" w:hAnsi="Times New Roman" w:cstheme="majorBidi"/>
      <w:b/>
      <w:bCs/>
      <w:color w:val="000000" w:themeColor="text1"/>
      <w:kern w:val="2"/>
      <w:sz w:val="24"/>
      <w:szCs w:val="32"/>
      <w:u w:val="single"/>
      <w14:ligatures w14:val="standardContextual"/>
    </w:rPr>
  </w:style>
  <w:style w:type="table" w:styleId="GridTable4-Accent1">
    <w:name w:val="Grid Table 4 Accent 1"/>
    <w:basedOn w:val="TableNormal"/>
    <w:uiPriority w:val="49"/>
    <w:rsid w:val="00234A04"/>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Caption">
    <w:name w:val="caption"/>
    <w:basedOn w:val="Normal"/>
    <w:next w:val="Normal"/>
    <w:uiPriority w:val="35"/>
    <w:unhideWhenUsed/>
    <w:qFormat/>
    <w:rsid w:val="00C83B24"/>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655C5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77954">
      <w:bodyDiv w:val="1"/>
      <w:marLeft w:val="0"/>
      <w:marRight w:val="0"/>
      <w:marTop w:val="0"/>
      <w:marBottom w:val="0"/>
      <w:divBdr>
        <w:top w:val="none" w:sz="0" w:space="0" w:color="auto"/>
        <w:left w:val="none" w:sz="0" w:space="0" w:color="auto"/>
        <w:bottom w:val="none" w:sz="0" w:space="0" w:color="auto"/>
        <w:right w:val="none" w:sz="0" w:space="0" w:color="auto"/>
      </w:divBdr>
    </w:div>
    <w:div w:id="16809558">
      <w:bodyDiv w:val="1"/>
      <w:marLeft w:val="0"/>
      <w:marRight w:val="0"/>
      <w:marTop w:val="0"/>
      <w:marBottom w:val="0"/>
      <w:divBdr>
        <w:top w:val="none" w:sz="0" w:space="0" w:color="auto"/>
        <w:left w:val="none" w:sz="0" w:space="0" w:color="auto"/>
        <w:bottom w:val="none" w:sz="0" w:space="0" w:color="auto"/>
        <w:right w:val="none" w:sz="0" w:space="0" w:color="auto"/>
      </w:divBdr>
    </w:div>
    <w:div w:id="24790707">
      <w:bodyDiv w:val="1"/>
      <w:marLeft w:val="0"/>
      <w:marRight w:val="0"/>
      <w:marTop w:val="0"/>
      <w:marBottom w:val="0"/>
      <w:divBdr>
        <w:top w:val="none" w:sz="0" w:space="0" w:color="auto"/>
        <w:left w:val="none" w:sz="0" w:space="0" w:color="auto"/>
        <w:bottom w:val="none" w:sz="0" w:space="0" w:color="auto"/>
        <w:right w:val="none" w:sz="0" w:space="0" w:color="auto"/>
      </w:divBdr>
    </w:div>
    <w:div w:id="45839631">
      <w:bodyDiv w:val="1"/>
      <w:marLeft w:val="0"/>
      <w:marRight w:val="0"/>
      <w:marTop w:val="0"/>
      <w:marBottom w:val="0"/>
      <w:divBdr>
        <w:top w:val="none" w:sz="0" w:space="0" w:color="auto"/>
        <w:left w:val="none" w:sz="0" w:space="0" w:color="auto"/>
        <w:bottom w:val="none" w:sz="0" w:space="0" w:color="auto"/>
        <w:right w:val="none" w:sz="0" w:space="0" w:color="auto"/>
      </w:divBdr>
    </w:div>
    <w:div w:id="46610023">
      <w:bodyDiv w:val="1"/>
      <w:marLeft w:val="0"/>
      <w:marRight w:val="0"/>
      <w:marTop w:val="0"/>
      <w:marBottom w:val="0"/>
      <w:divBdr>
        <w:top w:val="none" w:sz="0" w:space="0" w:color="auto"/>
        <w:left w:val="none" w:sz="0" w:space="0" w:color="auto"/>
        <w:bottom w:val="none" w:sz="0" w:space="0" w:color="auto"/>
        <w:right w:val="none" w:sz="0" w:space="0" w:color="auto"/>
      </w:divBdr>
    </w:div>
    <w:div w:id="50276351">
      <w:bodyDiv w:val="1"/>
      <w:marLeft w:val="0"/>
      <w:marRight w:val="0"/>
      <w:marTop w:val="0"/>
      <w:marBottom w:val="0"/>
      <w:divBdr>
        <w:top w:val="none" w:sz="0" w:space="0" w:color="auto"/>
        <w:left w:val="none" w:sz="0" w:space="0" w:color="auto"/>
        <w:bottom w:val="none" w:sz="0" w:space="0" w:color="auto"/>
        <w:right w:val="none" w:sz="0" w:space="0" w:color="auto"/>
      </w:divBdr>
      <w:divsChild>
        <w:div w:id="1354110117">
          <w:blockQuote w:val="1"/>
          <w:marLeft w:val="0"/>
          <w:marRight w:val="0"/>
          <w:marTop w:val="0"/>
          <w:marBottom w:val="0"/>
          <w:divBdr>
            <w:top w:val="none" w:sz="0" w:space="0" w:color="auto"/>
            <w:left w:val="single" w:sz="6" w:space="18" w:color="707070"/>
            <w:bottom w:val="none" w:sz="0" w:space="0" w:color="auto"/>
            <w:right w:val="none" w:sz="0" w:space="0" w:color="auto"/>
          </w:divBdr>
        </w:div>
      </w:divsChild>
    </w:div>
    <w:div w:id="69009710">
      <w:bodyDiv w:val="1"/>
      <w:marLeft w:val="0"/>
      <w:marRight w:val="0"/>
      <w:marTop w:val="0"/>
      <w:marBottom w:val="0"/>
      <w:divBdr>
        <w:top w:val="none" w:sz="0" w:space="0" w:color="auto"/>
        <w:left w:val="none" w:sz="0" w:space="0" w:color="auto"/>
        <w:bottom w:val="none" w:sz="0" w:space="0" w:color="auto"/>
        <w:right w:val="none" w:sz="0" w:space="0" w:color="auto"/>
      </w:divBdr>
      <w:divsChild>
        <w:div w:id="1472015797">
          <w:marLeft w:val="0"/>
          <w:marRight w:val="0"/>
          <w:marTop w:val="0"/>
          <w:marBottom w:val="0"/>
          <w:divBdr>
            <w:top w:val="none" w:sz="0" w:space="0" w:color="auto"/>
            <w:left w:val="none" w:sz="0" w:space="0" w:color="auto"/>
            <w:bottom w:val="none" w:sz="0" w:space="0" w:color="auto"/>
            <w:right w:val="none" w:sz="0" w:space="0" w:color="auto"/>
          </w:divBdr>
        </w:div>
      </w:divsChild>
    </w:div>
    <w:div w:id="69735042">
      <w:bodyDiv w:val="1"/>
      <w:marLeft w:val="0"/>
      <w:marRight w:val="0"/>
      <w:marTop w:val="0"/>
      <w:marBottom w:val="0"/>
      <w:divBdr>
        <w:top w:val="none" w:sz="0" w:space="0" w:color="auto"/>
        <w:left w:val="none" w:sz="0" w:space="0" w:color="auto"/>
        <w:bottom w:val="none" w:sz="0" w:space="0" w:color="auto"/>
        <w:right w:val="none" w:sz="0" w:space="0" w:color="auto"/>
      </w:divBdr>
      <w:divsChild>
        <w:div w:id="195849560">
          <w:marLeft w:val="0"/>
          <w:marRight w:val="0"/>
          <w:marTop w:val="0"/>
          <w:marBottom w:val="0"/>
          <w:divBdr>
            <w:top w:val="none" w:sz="0" w:space="0" w:color="auto"/>
            <w:left w:val="none" w:sz="0" w:space="0" w:color="auto"/>
            <w:bottom w:val="none" w:sz="0" w:space="0" w:color="auto"/>
            <w:right w:val="none" w:sz="0" w:space="0" w:color="auto"/>
          </w:divBdr>
        </w:div>
      </w:divsChild>
    </w:div>
    <w:div w:id="79108088">
      <w:bodyDiv w:val="1"/>
      <w:marLeft w:val="0"/>
      <w:marRight w:val="0"/>
      <w:marTop w:val="0"/>
      <w:marBottom w:val="0"/>
      <w:divBdr>
        <w:top w:val="none" w:sz="0" w:space="0" w:color="auto"/>
        <w:left w:val="none" w:sz="0" w:space="0" w:color="auto"/>
        <w:bottom w:val="none" w:sz="0" w:space="0" w:color="auto"/>
        <w:right w:val="none" w:sz="0" w:space="0" w:color="auto"/>
      </w:divBdr>
    </w:div>
    <w:div w:id="103236240">
      <w:bodyDiv w:val="1"/>
      <w:marLeft w:val="0"/>
      <w:marRight w:val="0"/>
      <w:marTop w:val="0"/>
      <w:marBottom w:val="0"/>
      <w:divBdr>
        <w:top w:val="none" w:sz="0" w:space="0" w:color="auto"/>
        <w:left w:val="none" w:sz="0" w:space="0" w:color="auto"/>
        <w:bottom w:val="none" w:sz="0" w:space="0" w:color="auto"/>
        <w:right w:val="none" w:sz="0" w:space="0" w:color="auto"/>
      </w:divBdr>
      <w:divsChild>
        <w:div w:id="26835629">
          <w:marLeft w:val="0"/>
          <w:marRight w:val="0"/>
          <w:marTop w:val="0"/>
          <w:marBottom w:val="0"/>
          <w:divBdr>
            <w:top w:val="single" w:sz="2" w:space="0" w:color="ECEDEE"/>
            <w:left w:val="single" w:sz="2" w:space="0" w:color="ECEDEE"/>
            <w:bottom w:val="single" w:sz="2" w:space="0" w:color="ECEDEE"/>
            <w:right w:val="single" w:sz="2" w:space="0" w:color="ECEDEE"/>
          </w:divBdr>
        </w:div>
        <w:div w:id="1594168658">
          <w:marLeft w:val="0"/>
          <w:marRight w:val="0"/>
          <w:marTop w:val="0"/>
          <w:marBottom w:val="0"/>
          <w:divBdr>
            <w:top w:val="single" w:sz="2" w:space="0" w:color="ECEDEE"/>
            <w:left w:val="single" w:sz="2" w:space="0" w:color="ECEDEE"/>
            <w:bottom w:val="single" w:sz="2" w:space="0" w:color="ECEDEE"/>
            <w:right w:val="single" w:sz="2" w:space="0" w:color="ECEDEE"/>
          </w:divBdr>
        </w:div>
      </w:divsChild>
    </w:div>
    <w:div w:id="120224310">
      <w:bodyDiv w:val="1"/>
      <w:marLeft w:val="0"/>
      <w:marRight w:val="0"/>
      <w:marTop w:val="0"/>
      <w:marBottom w:val="0"/>
      <w:divBdr>
        <w:top w:val="none" w:sz="0" w:space="0" w:color="auto"/>
        <w:left w:val="none" w:sz="0" w:space="0" w:color="auto"/>
        <w:bottom w:val="none" w:sz="0" w:space="0" w:color="auto"/>
        <w:right w:val="none" w:sz="0" w:space="0" w:color="auto"/>
      </w:divBdr>
      <w:divsChild>
        <w:div w:id="1622034861">
          <w:marLeft w:val="0"/>
          <w:marRight w:val="0"/>
          <w:marTop w:val="0"/>
          <w:marBottom w:val="180"/>
          <w:divBdr>
            <w:top w:val="none" w:sz="0" w:space="0" w:color="auto"/>
            <w:left w:val="none" w:sz="0" w:space="0" w:color="auto"/>
            <w:bottom w:val="none" w:sz="0" w:space="0" w:color="auto"/>
            <w:right w:val="none" w:sz="0" w:space="0" w:color="auto"/>
          </w:divBdr>
          <w:divsChild>
            <w:div w:id="672148075">
              <w:marLeft w:val="0"/>
              <w:marRight w:val="0"/>
              <w:marTop w:val="0"/>
              <w:marBottom w:val="0"/>
              <w:divBdr>
                <w:top w:val="none" w:sz="0" w:space="0" w:color="auto"/>
                <w:left w:val="none" w:sz="0" w:space="0" w:color="auto"/>
                <w:bottom w:val="none" w:sz="0" w:space="0" w:color="auto"/>
                <w:right w:val="none" w:sz="0" w:space="0" w:color="auto"/>
              </w:divBdr>
              <w:divsChild>
                <w:div w:id="81493706">
                  <w:marLeft w:val="0"/>
                  <w:marRight w:val="0"/>
                  <w:marTop w:val="0"/>
                  <w:marBottom w:val="0"/>
                  <w:divBdr>
                    <w:top w:val="none" w:sz="0" w:space="0" w:color="auto"/>
                    <w:left w:val="none" w:sz="0" w:space="0" w:color="auto"/>
                    <w:bottom w:val="none" w:sz="0" w:space="0" w:color="auto"/>
                    <w:right w:val="none" w:sz="0" w:space="0" w:color="auto"/>
                  </w:divBdr>
                  <w:divsChild>
                    <w:div w:id="2020614653">
                      <w:marLeft w:val="0"/>
                      <w:marRight w:val="0"/>
                      <w:marTop w:val="0"/>
                      <w:marBottom w:val="0"/>
                      <w:divBdr>
                        <w:top w:val="none" w:sz="0" w:space="0" w:color="auto"/>
                        <w:left w:val="none" w:sz="0" w:space="0" w:color="auto"/>
                        <w:bottom w:val="none" w:sz="0" w:space="0" w:color="auto"/>
                        <w:right w:val="none" w:sz="0" w:space="0" w:color="auto"/>
                      </w:divBdr>
                      <w:divsChild>
                        <w:div w:id="595942052">
                          <w:marLeft w:val="0"/>
                          <w:marRight w:val="0"/>
                          <w:marTop w:val="0"/>
                          <w:marBottom w:val="0"/>
                          <w:divBdr>
                            <w:top w:val="none" w:sz="0" w:space="0" w:color="auto"/>
                            <w:left w:val="none" w:sz="0" w:space="0" w:color="auto"/>
                            <w:bottom w:val="none" w:sz="0" w:space="0" w:color="auto"/>
                            <w:right w:val="none" w:sz="0" w:space="0" w:color="auto"/>
                          </w:divBdr>
                          <w:divsChild>
                            <w:div w:id="1004091080">
                              <w:marLeft w:val="0"/>
                              <w:marRight w:val="0"/>
                              <w:marTop w:val="0"/>
                              <w:marBottom w:val="0"/>
                              <w:divBdr>
                                <w:top w:val="none" w:sz="0" w:space="0" w:color="auto"/>
                                <w:left w:val="none" w:sz="0" w:space="0" w:color="auto"/>
                                <w:bottom w:val="none" w:sz="0" w:space="0" w:color="auto"/>
                                <w:right w:val="none" w:sz="0" w:space="0" w:color="auto"/>
                              </w:divBdr>
                              <w:divsChild>
                                <w:div w:id="1239553180">
                                  <w:marLeft w:val="0"/>
                                  <w:marRight w:val="0"/>
                                  <w:marTop w:val="0"/>
                                  <w:marBottom w:val="480"/>
                                  <w:divBdr>
                                    <w:top w:val="none" w:sz="0" w:space="0" w:color="auto"/>
                                    <w:left w:val="none" w:sz="0" w:space="0" w:color="auto"/>
                                    <w:bottom w:val="none" w:sz="0" w:space="0" w:color="auto"/>
                                    <w:right w:val="none" w:sz="0" w:space="0" w:color="auto"/>
                                  </w:divBdr>
                                  <w:divsChild>
                                    <w:div w:id="2092660589">
                                      <w:marLeft w:val="0"/>
                                      <w:marRight w:val="0"/>
                                      <w:marTop w:val="0"/>
                                      <w:marBottom w:val="0"/>
                                      <w:divBdr>
                                        <w:top w:val="none" w:sz="0" w:space="0" w:color="auto"/>
                                        <w:left w:val="none" w:sz="0" w:space="0" w:color="auto"/>
                                        <w:bottom w:val="none" w:sz="0" w:space="0" w:color="auto"/>
                                        <w:right w:val="none" w:sz="0" w:space="0" w:color="auto"/>
                                      </w:divBdr>
                                      <w:divsChild>
                                        <w:div w:id="1130712059">
                                          <w:marLeft w:val="0"/>
                                          <w:marRight w:val="0"/>
                                          <w:marTop w:val="0"/>
                                          <w:marBottom w:val="0"/>
                                          <w:divBdr>
                                            <w:top w:val="none" w:sz="0" w:space="0" w:color="auto"/>
                                            <w:left w:val="none" w:sz="0" w:space="0" w:color="auto"/>
                                            <w:bottom w:val="none" w:sz="0" w:space="0" w:color="auto"/>
                                            <w:right w:val="none" w:sz="0" w:space="0" w:color="auto"/>
                                          </w:divBdr>
                                          <w:divsChild>
                                            <w:div w:id="1466698291">
                                              <w:marLeft w:val="0"/>
                                              <w:marRight w:val="0"/>
                                              <w:marTop w:val="0"/>
                                              <w:marBottom w:val="0"/>
                                              <w:divBdr>
                                                <w:top w:val="none" w:sz="0" w:space="0" w:color="auto"/>
                                                <w:left w:val="none" w:sz="0" w:space="0" w:color="auto"/>
                                                <w:bottom w:val="none" w:sz="0" w:space="0" w:color="auto"/>
                                                <w:right w:val="none" w:sz="0" w:space="0" w:color="auto"/>
                                              </w:divBdr>
                                              <w:divsChild>
                                                <w:div w:id="2094277513">
                                                  <w:marLeft w:val="0"/>
                                                  <w:marRight w:val="0"/>
                                                  <w:marTop w:val="0"/>
                                                  <w:marBottom w:val="0"/>
                                                  <w:divBdr>
                                                    <w:top w:val="none" w:sz="0" w:space="0" w:color="auto"/>
                                                    <w:left w:val="none" w:sz="0" w:space="0" w:color="auto"/>
                                                    <w:bottom w:val="none" w:sz="0" w:space="0" w:color="auto"/>
                                                    <w:right w:val="none" w:sz="0" w:space="0" w:color="auto"/>
                                                  </w:divBdr>
                                                  <w:divsChild>
                                                    <w:div w:id="25256550">
                                                      <w:marLeft w:val="0"/>
                                                      <w:marRight w:val="0"/>
                                                      <w:marTop w:val="0"/>
                                                      <w:marBottom w:val="0"/>
                                                      <w:divBdr>
                                                        <w:top w:val="none" w:sz="0" w:space="0" w:color="auto"/>
                                                        <w:left w:val="none" w:sz="0" w:space="0" w:color="auto"/>
                                                        <w:bottom w:val="none" w:sz="0" w:space="0" w:color="auto"/>
                                                        <w:right w:val="none" w:sz="0" w:space="0" w:color="auto"/>
                                                      </w:divBdr>
                                                      <w:divsChild>
                                                        <w:div w:id="884030158">
                                                          <w:marLeft w:val="0"/>
                                                          <w:marRight w:val="0"/>
                                                          <w:marTop w:val="0"/>
                                                          <w:marBottom w:val="0"/>
                                                          <w:divBdr>
                                                            <w:top w:val="none" w:sz="0" w:space="0" w:color="auto"/>
                                                            <w:left w:val="none" w:sz="0" w:space="0" w:color="auto"/>
                                                            <w:bottom w:val="none" w:sz="0" w:space="0" w:color="auto"/>
                                                            <w:right w:val="none" w:sz="0" w:space="0" w:color="auto"/>
                                                          </w:divBdr>
                                                          <w:divsChild>
                                                            <w:div w:id="834761944">
                                                              <w:marLeft w:val="0"/>
                                                              <w:marRight w:val="0"/>
                                                              <w:marTop w:val="0"/>
                                                              <w:marBottom w:val="0"/>
                                                              <w:divBdr>
                                                                <w:top w:val="none" w:sz="0" w:space="0" w:color="auto"/>
                                                                <w:left w:val="none" w:sz="0" w:space="0" w:color="auto"/>
                                                                <w:bottom w:val="none" w:sz="0" w:space="0" w:color="auto"/>
                                                                <w:right w:val="none" w:sz="0" w:space="0" w:color="auto"/>
                                                              </w:divBdr>
                                                              <w:divsChild>
                                                                <w:div w:id="781614243">
                                                                  <w:marLeft w:val="0"/>
                                                                  <w:marRight w:val="0"/>
                                                                  <w:marTop w:val="0"/>
                                                                  <w:marBottom w:val="0"/>
                                                                  <w:divBdr>
                                                                    <w:top w:val="none" w:sz="0" w:space="0" w:color="auto"/>
                                                                    <w:left w:val="none" w:sz="0" w:space="0" w:color="auto"/>
                                                                    <w:bottom w:val="none" w:sz="0" w:space="0" w:color="auto"/>
                                                                    <w:right w:val="none" w:sz="0" w:space="0" w:color="auto"/>
                                                                  </w:divBdr>
                                                                  <w:divsChild>
                                                                    <w:div w:id="274412419">
                                                                      <w:blockQuote w:val="1"/>
                                                                      <w:marLeft w:val="0"/>
                                                                      <w:marRight w:val="0"/>
                                                                      <w:marTop w:val="0"/>
                                                                      <w:marBottom w:val="0"/>
                                                                      <w:divBdr>
                                                                        <w:top w:val="none" w:sz="0" w:space="0" w:color="auto"/>
                                                                        <w:left w:val="single" w:sz="6" w:space="18" w:color="707070"/>
                                                                        <w:bottom w:val="none" w:sz="0" w:space="0" w:color="auto"/>
                                                                        <w:right w:val="none" w:sz="0" w:space="0" w:color="auto"/>
                                                                      </w:divBdr>
                                                                    </w:div>
                                                                  </w:divsChild>
                                                                </w:div>
                                                              </w:divsChild>
                                                            </w:div>
                                                          </w:divsChild>
                                                        </w:div>
                                                      </w:divsChild>
                                                    </w:div>
                                                  </w:divsChild>
                                                </w:div>
                                              </w:divsChild>
                                            </w:div>
                                          </w:divsChild>
                                        </w:div>
                                      </w:divsChild>
                                    </w:div>
                                  </w:divsChild>
                                </w:div>
                                <w:div w:id="1868831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010919">
          <w:marLeft w:val="0"/>
          <w:marRight w:val="0"/>
          <w:marTop w:val="0"/>
          <w:marBottom w:val="180"/>
          <w:divBdr>
            <w:top w:val="none" w:sz="0" w:space="0" w:color="auto"/>
            <w:left w:val="none" w:sz="0" w:space="0" w:color="auto"/>
            <w:bottom w:val="none" w:sz="0" w:space="0" w:color="auto"/>
            <w:right w:val="none" w:sz="0" w:space="0" w:color="auto"/>
          </w:divBdr>
          <w:divsChild>
            <w:div w:id="2030906057">
              <w:marLeft w:val="0"/>
              <w:marRight w:val="0"/>
              <w:marTop w:val="0"/>
              <w:marBottom w:val="0"/>
              <w:divBdr>
                <w:top w:val="none" w:sz="0" w:space="0" w:color="auto"/>
                <w:left w:val="none" w:sz="0" w:space="0" w:color="auto"/>
                <w:bottom w:val="none" w:sz="0" w:space="0" w:color="auto"/>
                <w:right w:val="none" w:sz="0" w:space="0" w:color="auto"/>
              </w:divBdr>
              <w:divsChild>
                <w:div w:id="1656957514">
                  <w:marLeft w:val="0"/>
                  <w:marRight w:val="0"/>
                  <w:marTop w:val="0"/>
                  <w:marBottom w:val="0"/>
                  <w:divBdr>
                    <w:top w:val="none" w:sz="0" w:space="0" w:color="auto"/>
                    <w:left w:val="none" w:sz="0" w:space="0" w:color="auto"/>
                    <w:bottom w:val="none" w:sz="0" w:space="0" w:color="auto"/>
                    <w:right w:val="none" w:sz="0" w:space="0" w:color="auto"/>
                  </w:divBdr>
                  <w:divsChild>
                    <w:div w:id="1832288221">
                      <w:marLeft w:val="0"/>
                      <w:marRight w:val="0"/>
                      <w:marTop w:val="0"/>
                      <w:marBottom w:val="0"/>
                      <w:divBdr>
                        <w:top w:val="none" w:sz="0" w:space="0" w:color="auto"/>
                        <w:left w:val="none" w:sz="0" w:space="0" w:color="auto"/>
                        <w:bottom w:val="none" w:sz="0" w:space="0" w:color="auto"/>
                        <w:right w:val="none" w:sz="0" w:space="0" w:color="auto"/>
                      </w:divBdr>
                      <w:divsChild>
                        <w:div w:id="1566407364">
                          <w:marLeft w:val="0"/>
                          <w:marRight w:val="0"/>
                          <w:marTop w:val="0"/>
                          <w:marBottom w:val="0"/>
                          <w:divBdr>
                            <w:top w:val="none" w:sz="0" w:space="0" w:color="auto"/>
                            <w:left w:val="none" w:sz="0" w:space="0" w:color="auto"/>
                            <w:bottom w:val="none" w:sz="0" w:space="0" w:color="auto"/>
                            <w:right w:val="none" w:sz="0" w:space="0" w:color="auto"/>
                          </w:divBdr>
                          <w:divsChild>
                            <w:div w:id="1138065336">
                              <w:marLeft w:val="0"/>
                              <w:marRight w:val="0"/>
                              <w:marTop w:val="0"/>
                              <w:marBottom w:val="480"/>
                              <w:divBdr>
                                <w:top w:val="none" w:sz="0" w:space="0" w:color="auto"/>
                                <w:left w:val="none" w:sz="0" w:space="0" w:color="auto"/>
                                <w:bottom w:val="none" w:sz="0" w:space="0" w:color="auto"/>
                                <w:right w:val="none" w:sz="0" w:space="0" w:color="auto"/>
                              </w:divBdr>
                              <w:divsChild>
                                <w:div w:id="1722435577">
                                  <w:marLeft w:val="0"/>
                                  <w:marRight w:val="0"/>
                                  <w:marTop w:val="0"/>
                                  <w:marBottom w:val="0"/>
                                  <w:divBdr>
                                    <w:top w:val="none" w:sz="0" w:space="0" w:color="auto"/>
                                    <w:left w:val="none" w:sz="0" w:space="0" w:color="auto"/>
                                    <w:bottom w:val="none" w:sz="0" w:space="0" w:color="auto"/>
                                    <w:right w:val="none" w:sz="0" w:space="0" w:color="auto"/>
                                  </w:divBdr>
                                  <w:divsChild>
                                    <w:div w:id="1018701232">
                                      <w:marLeft w:val="0"/>
                                      <w:marRight w:val="0"/>
                                      <w:marTop w:val="0"/>
                                      <w:marBottom w:val="0"/>
                                      <w:divBdr>
                                        <w:top w:val="none" w:sz="0" w:space="0" w:color="auto"/>
                                        <w:left w:val="none" w:sz="0" w:space="0" w:color="auto"/>
                                        <w:bottom w:val="none" w:sz="0" w:space="0" w:color="auto"/>
                                        <w:right w:val="none" w:sz="0" w:space="0" w:color="auto"/>
                                      </w:divBdr>
                                      <w:divsChild>
                                        <w:div w:id="1185173925">
                                          <w:marLeft w:val="0"/>
                                          <w:marRight w:val="0"/>
                                          <w:marTop w:val="0"/>
                                          <w:marBottom w:val="0"/>
                                          <w:divBdr>
                                            <w:top w:val="none" w:sz="0" w:space="0" w:color="auto"/>
                                            <w:left w:val="none" w:sz="0" w:space="0" w:color="auto"/>
                                            <w:bottom w:val="none" w:sz="0" w:space="0" w:color="auto"/>
                                            <w:right w:val="none" w:sz="0" w:space="0" w:color="auto"/>
                                          </w:divBdr>
                                          <w:divsChild>
                                            <w:div w:id="1885437719">
                                              <w:marLeft w:val="0"/>
                                              <w:marRight w:val="0"/>
                                              <w:marTop w:val="0"/>
                                              <w:marBottom w:val="0"/>
                                              <w:divBdr>
                                                <w:top w:val="none" w:sz="0" w:space="0" w:color="auto"/>
                                                <w:left w:val="none" w:sz="0" w:space="0" w:color="auto"/>
                                                <w:bottom w:val="none" w:sz="0" w:space="0" w:color="auto"/>
                                                <w:right w:val="none" w:sz="0" w:space="0" w:color="auto"/>
                                              </w:divBdr>
                                              <w:divsChild>
                                                <w:div w:id="763527093">
                                                  <w:marLeft w:val="0"/>
                                                  <w:marRight w:val="0"/>
                                                  <w:marTop w:val="0"/>
                                                  <w:marBottom w:val="0"/>
                                                  <w:divBdr>
                                                    <w:top w:val="none" w:sz="0" w:space="0" w:color="auto"/>
                                                    <w:left w:val="none" w:sz="0" w:space="0" w:color="auto"/>
                                                    <w:bottom w:val="none" w:sz="0" w:space="0" w:color="auto"/>
                                                    <w:right w:val="none" w:sz="0" w:space="0" w:color="auto"/>
                                                  </w:divBdr>
                                                  <w:divsChild>
                                                    <w:div w:id="2137720373">
                                                      <w:marLeft w:val="0"/>
                                                      <w:marRight w:val="0"/>
                                                      <w:marTop w:val="0"/>
                                                      <w:marBottom w:val="0"/>
                                                      <w:divBdr>
                                                        <w:top w:val="none" w:sz="0" w:space="0" w:color="auto"/>
                                                        <w:left w:val="none" w:sz="0" w:space="0" w:color="auto"/>
                                                        <w:bottom w:val="none" w:sz="0" w:space="0" w:color="auto"/>
                                                        <w:right w:val="none" w:sz="0" w:space="0" w:color="auto"/>
                                                      </w:divBdr>
                                                      <w:divsChild>
                                                        <w:div w:id="1331102216">
                                                          <w:marLeft w:val="0"/>
                                                          <w:marRight w:val="0"/>
                                                          <w:marTop w:val="0"/>
                                                          <w:marBottom w:val="0"/>
                                                          <w:divBdr>
                                                            <w:top w:val="none" w:sz="0" w:space="0" w:color="auto"/>
                                                            <w:left w:val="none" w:sz="0" w:space="0" w:color="auto"/>
                                                            <w:bottom w:val="none" w:sz="0" w:space="0" w:color="auto"/>
                                                            <w:right w:val="none" w:sz="0" w:space="0" w:color="auto"/>
                                                          </w:divBdr>
                                                          <w:divsChild>
                                                            <w:div w:id="1088111232">
                                                              <w:marLeft w:val="0"/>
                                                              <w:marRight w:val="0"/>
                                                              <w:marTop w:val="0"/>
                                                              <w:marBottom w:val="0"/>
                                                              <w:divBdr>
                                                                <w:top w:val="none" w:sz="0" w:space="0" w:color="auto"/>
                                                                <w:left w:val="none" w:sz="0" w:space="0" w:color="auto"/>
                                                                <w:bottom w:val="none" w:sz="0" w:space="0" w:color="auto"/>
                                                                <w:right w:val="none" w:sz="0" w:space="0" w:color="auto"/>
                                                              </w:divBdr>
                                                              <w:divsChild>
                                                                <w:div w:id="1728988444">
                                                                  <w:blockQuote w:val="1"/>
                                                                  <w:marLeft w:val="0"/>
                                                                  <w:marRight w:val="0"/>
                                                                  <w:marTop w:val="0"/>
                                                                  <w:marBottom w:val="0"/>
                                                                  <w:divBdr>
                                                                    <w:top w:val="none" w:sz="0" w:space="0" w:color="auto"/>
                                                                    <w:left w:val="single" w:sz="6" w:space="18" w:color="707070"/>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50366857">
      <w:bodyDiv w:val="1"/>
      <w:marLeft w:val="0"/>
      <w:marRight w:val="0"/>
      <w:marTop w:val="0"/>
      <w:marBottom w:val="0"/>
      <w:divBdr>
        <w:top w:val="none" w:sz="0" w:space="0" w:color="auto"/>
        <w:left w:val="none" w:sz="0" w:space="0" w:color="auto"/>
        <w:bottom w:val="none" w:sz="0" w:space="0" w:color="auto"/>
        <w:right w:val="none" w:sz="0" w:space="0" w:color="auto"/>
      </w:divBdr>
    </w:div>
    <w:div w:id="153109750">
      <w:bodyDiv w:val="1"/>
      <w:marLeft w:val="0"/>
      <w:marRight w:val="0"/>
      <w:marTop w:val="0"/>
      <w:marBottom w:val="0"/>
      <w:divBdr>
        <w:top w:val="none" w:sz="0" w:space="0" w:color="auto"/>
        <w:left w:val="none" w:sz="0" w:space="0" w:color="auto"/>
        <w:bottom w:val="none" w:sz="0" w:space="0" w:color="auto"/>
        <w:right w:val="none" w:sz="0" w:space="0" w:color="auto"/>
      </w:divBdr>
    </w:div>
    <w:div w:id="154414723">
      <w:bodyDiv w:val="1"/>
      <w:marLeft w:val="0"/>
      <w:marRight w:val="0"/>
      <w:marTop w:val="0"/>
      <w:marBottom w:val="0"/>
      <w:divBdr>
        <w:top w:val="none" w:sz="0" w:space="0" w:color="auto"/>
        <w:left w:val="none" w:sz="0" w:space="0" w:color="auto"/>
        <w:bottom w:val="none" w:sz="0" w:space="0" w:color="auto"/>
        <w:right w:val="none" w:sz="0" w:space="0" w:color="auto"/>
      </w:divBdr>
    </w:div>
    <w:div w:id="156851779">
      <w:bodyDiv w:val="1"/>
      <w:marLeft w:val="0"/>
      <w:marRight w:val="0"/>
      <w:marTop w:val="0"/>
      <w:marBottom w:val="0"/>
      <w:divBdr>
        <w:top w:val="none" w:sz="0" w:space="0" w:color="auto"/>
        <w:left w:val="none" w:sz="0" w:space="0" w:color="auto"/>
        <w:bottom w:val="none" w:sz="0" w:space="0" w:color="auto"/>
        <w:right w:val="none" w:sz="0" w:space="0" w:color="auto"/>
      </w:divBdr>
    </w:div>
    <w:div w:id="178397682">
      <w:bodyDiv w:val="1"/>
      <w:marLeft w:val="0"/>
      <w:marRight w:val="0"/>
      <w:marTop w:val="0"/>
      <w:marBottom w:val="0"/>
      <w:divBdr>
        <w:top w:val="none" w:sz="0" w:space="0" w:color="auto"/>
        <w:left w:val="none" w:sz="0" w:space="0" w:color="auto"/>
        <w:bottom w:val="none" w:sz="0" w:space="0" w:color="auto"/>
        <w:right w:val="none" w:sz="0" w:space="0" w:color="auto"/>
      </w:divBdr>
    </w:div>
    <w:div w:id="203256617">
      <w:bodyDiv w:val="1"/>
      <w:marLeft w:val="0"/>
      <w:marRight w:val="0"/>
      <w:marTop w:val="0"/>
      <w:marBottom w:val="0"/>
      <w:divBdr>
        <w:top w:val="none" w:sz="0" w:space="0" w:color="auto"/>
        <w:left w:val="none" w:sz="0" w:space="0" w:color="auto"/>
        <w:bottom w:val="none" w:sz="0" w:space="0" w:color="auto"/>
        <w:right w:val="none" w:sz="0" w:space="0" w:color="auto"/>
      </w:divBdr>
    </w:div>
    <w:div w:id="294338692">
      <w:bodyDiv w:val="1"/>
      <w:marLeft w:val="0"/>
      <w:marRight w:val="0"/>
      <w:marTop w:val="0"/>
      <w:marBottom w:val="0"/>
      <w:divBdr>
        <w:top w:val="none" w:sz="0" w:space="0" w:color="auto"/>
        <w:left w:val="none" w:sz="0" w:space="0" w:color="auto"/>
        <w:bottom w:val="none" w:sz="0" w:space="0" w:color="auto"/>
        <w:right w:val="none" w:sz="0" w:space="0" w:color="auto"/>
      </w:divBdr>
    </w:div>
    <w:div w:id="312224887">
      <w:bodyDiv w:val="1"/>
      <w:marLeft w:val="0"/>
      <w:marRight w:val="0"/>
      <w:marTop w:val="0"/>
      <w:marBottom w:val="0"/>
      <w:divBdr>
        <w:top w:val="none" w:sz="0" w:space="0" w:color="auto"/>
        <w:left w:val="none" w:sz="0" w:space="0" w:color="auto"/>
        <w:bottom w:val="none" w:sz="0" w:space="0" w:color="auto"/>
        <w:right w:val="none" w:sz="0" w:space="0" w:color="auto"/>
      </w:divBdr>
    </w:div>
    <w:div w:id="327252520">
      <w:bodyDiv w:val="1"/>
      <w:marLeft w:val="0"/>
      <w:marRight w:val="0"/>
      <w:marTop w:val="0"/>
      <w:marBottom w:val="0"/>
      <w:divBdr>
        <w:top w:val="none" w:sz="0" w:space="0" w:color="auto"/>
        <w:left w:val="none" w:sz="0" w:space="0" w:color="auto"/>
        <w:bottom w:val="none" w:sz="0" w:space="0" w:color="auto"/>
        <w:right w:val="none" w:sz="0" w:space="0" w:color="auto"/>
      </w:divBdr>
    </w:div>
    <w:div w:id="346906180">
      <w:bodyDiv w:val="1"/>
      <w:marLeft w:val="0"/>
      <w:marRight w:val="0"/>
      <w:marTop w:val="0"/>
      <w:marBottom w:val="0"/>
      <w:divBdr>
        <w:top w:val="none" w:sz="0" w:space="0" w:color="auto"/>
        <w:left w:val="none" w:sz="0" w:space="0" w:color="auto"/>
        <w:bottom w:val="none" w:sz="0" w:space="0" w:color="auto"/>
        <w:right w:val="none" w:sz="0" w:space="0" w:color="auto"/>
      </w:divBdr>
    </w:div>
    <w:div w:id="366298235">
      <w:bodyDiv w:val="1"/>
      <w:marLeft w:val="0"/>
      <w:marRight w:val="0"/>
      <w:marTop w:val="0"/>
      <w:marBottom w:val="0"/>
      <w:divBdr>
        <w:top w:val="none" w:sz="0" w:space="0" w:color="auto"/>
        <w:left w:val="none" w:sz="0" w:space="0" w:color="auto"/>
        <w:bottom w:val="none" w:sz="0" w:space="0" w:color="auto"/>
        <w:right w:val="none" w:sz="0" w:space="0" w:color="auto"/>
      </w:divBdr>
    </w:div>
    <w:div w:id="382565040">
      <w:bodyDiv w:val="1"/>
      <w:marLeft w:val="0"/>
      <w:marRight w:val="0"/>
      <w:marTop w:val="0"/>
      <w:marBottom w:val="0"/>
      <w:divBdr>
        <w:top w:val="none" w:sz="0" w:space="0" w:color="auto"/>
        <w:left w:val="none" w:sz="0" w:space="0" w:color="auto"/>
        <w:bottom w:val="none" w:sz="0" w:space="0" w:color="auto"/>
        <w:right w:val="none" w:sz="0" w:space="0" w:color="auto"/>
      </w:divBdr>
    </w:div>
    <w:div w:id="385685280">
      <w:bodyDiv w:val="1"/>
      <w:marLeft w:val="0"/>
      <w:marRight w:val="0"/>
      <w:marTop w:val="0"/>
      <w:marBottom w:val="0"/>
      <w:divBdr>
        <w:top w:val="none" w:sz="0" w:space="0" w:color="auto"/>
        <w:left w:val="none" w:sz="0" w:space="0" w:color="auto"/>
        <w:bottom w:val="none" w:sz="0" w:space="0" w:color="auto"/>
        <w:right w:val="none" w:sz="0" w:space="0" w:color="auto"/>
      </w:divBdr>
    </w:div>
    <w:div w:id="405345926">
      <w:bodyDiv w:val="1"/>
      <w:marLeft w:val="0"/>
      <w:marRight w:val="0"/>
      <w:marTop w:val="0"/>
      <w:marBottom w:val="0"/>
      <w:divBdr>
        <w:top w:val="none" w:sz="0" w:space="0" w:color="auto"/>
        <w:left w:val="none" w:sz="0" w:space="0" w:color="auto"/>
        <w:bottom w:val="none" w:sz="0" w:space="0" w:color="auto"/>
        <w:right w:val="none" w:sz="0" w:space="0" w:color="auto"/>
      </w:divBdr>
    </w:div>
    <w:div w:id="425201006">
      <w:bodyDiv w:val="1"/>
      <w:marLeft w:val="0"/>
      <w:marRight w:val="0"/>
      <w:marTop w:val="0"/>
      <w:marBottom w:val="0"/>
      <w:divBdr>
        <w:top w:val="none" w:sz="0" w:space="0" w:color="auto"/>
        <w:left w:val="none" w:sz="0" w:space="0" w:color="auto"/>
        <w:bottom w:val="none" w:sz="0" w:space="0" w:color="auto"/>
        <w:right w:val="none" w:sz="0" w:space="0" w:color="auto"/>
      </w:divBdr>
    </w:div>
    <w:div w:id="481893475">
      <w:bodyDiv w:val="1"/>
      <w:marLeft w:val="0"/>
      <w:marRight w:val="0"/>
      <w:marTop w:val="0"/>
      <w:marBottom w:val="0"/>
      <w:divBdr>
        <w:top w:val="none" w:sz="0" w:space="0" w:color="auto"/>
        <w:left w:val="none" w:sz="0" w:space="0" w:color="auto"/>
        <w:bottom w:val="none" w:sz="0" w:space="0" w:color="auto"/>
        <w:right w:val="none" w:sz="0" w:space="0" w:color="auto"/>
      </w:divBdr>
    </w:div>
    <w:div w:id="491524396">
      <w:bodyDiv w:val="1"/>
      <w:marLeft w:val="0"/>
      <w:marRight w:val="0"/>
      <w:marTop w:val="0"/>
      <w:marBottom w:val="0"/>
      <w:divBdr>
        <w:top w:val="none" w:sz="0" w:space="0" w:color="auto"/>
        <w:left w:val="none" w:sz="0" w:space="0" w:color="auto"/>
        <w:bottom w:val="none" w:sz="0" w:space="0" w:color="auto"/>
        <w:right w:val="none" w:sz="0" w:space="0" w:color="auto"/>
      </w:divBdr>
    </w:div>
    <w:div w:id="515653428">
      <w:bodyDiv w:val="1"/>
      <w:marLeft w:val="0"/>
      <w:marRight w:val="0"/>
      <w:marTop w:val="0"/>
      <w:marBottom w:val="0"/>
      <w:divBdr>
        <w:top w:val="none" w:sz="0" w:space="0" w:color="auto"/>
        <w:left w:val="none" w:sz="0" w:space="0" w:color="auto"/>
        <w:bottom w:val="none" w:sz="0" w:space="0" w:color="auto"/>
        <w:right w:val="none" w:sz="0" w:space="0" w:color="auto"/>
      </w:divBdr>
    </w:div>
    <w:div w:id="523905090">
      <w:bodyDiv w:val="1"/>
      <w:marLeft w:val="0"/>
      <w:marRight w:val="0"/>
      <w:marTop w:val="0"/>
      <w:marBottom w:val="0"/>
      <w:divBdr>
        <w:top w:val="none" w:sz="0" w:space="0" w:color="auto"/>
        <w:left w:val="none" w:sz="0" w:space="0" w:color="auto"/>
        <w:bottom w:val="none" w:sz="0" w:space="0" w:color="auto"/>
        <w:right w:val="none" w:sz="0" w:space="0" w:color="auto"/>
      </w:divBdr>
    </w:div>
    <w:div w:id="530530505">
      <w:bodyDiv w:val="1"/>
      <w:marLeft w:val="0"/>
      <w:marRight w:val="0"/>
      <w:marTop w:val="0"/>
      <w:marBottom w:val="0"/>
      <w:divBdr>
        <w:top w:val="none" w:sz="0" w:space="0" w:color="auto"/>
        <w:left w:val="none" w:sz="0" w:space="0" w:color="auto"/>
        <w:bottom w:val="none" w:sz="0" w:space="0" w:color="auto"/>
        <w:right w:val="none" w:sz="0" w:space="0" w:color="auto"/>
      </w:divBdr>
    </w:div>
    <w:div w:id="574899825">
      <w:bodyDiv w:val="1"/>
      <w:marLeft w:val="0"/>
      <w:marRight w:val="0"/>
      <w:marTop w:val="0"/>
      <w:marBottom w:val="0"/>
      <w:divBdr>
        <w:top w:val="none" w:sz="0" w:space="0" w:color="auto"/>
        <w:left w:val="none" w:sz="0" w:space="0" w:color="auto"/>
        <w:bottom w:val="none" w:sz="0" w:space="0" w:color="auto"/>
        <w:right w:val="none" w:sz="0" w:space="0" w:color="auto"/>
      </w:divBdr>
      <w:divsChild>
        <w:div w:id="1548178349">
          <w:marLeft w:val="0"/>
          <w:marRight w:val="0"/>
          <w:marTop w:val="0"/>
          <w:marBottom w:val="0"/>
          <w:divBdr>
            <w:top w:val="none" w:sz="0" w:space="0" w:color="auto"/>
            <w:left w:val="none" w:sz="0" w:space="0" w:color="auto"/>
            <w:bottom w:val="none" w:sz="0" w:space="0" w:color="auto"/>
            <w:right w:val="none" w:sz="0" w:space="0" w:color="auto"/>
          </w:divBdr>
        </w:div>
      </w:divsChild>
    </w:div>
    <w:div w:id="594824200">
      <w:bodyDiv w:val="1"/>
      <w:marLeft w:val="0"/>
      <w:marRight w:val="0"/>
      <w:marTop w:val="0"/>
      <w:marBottom w:val="0"/>
      <w:divBdr>
        <w:top w:val="none" w:sz="0" w:space="0" w:color="auto"/>
        <w:left w:val="none" w:sz="0" w:space="0" w:color="auto"/>
        <w:bottom w:val="none" w:sz="0" w:space="0" w:color="auto"/>
        <w:right w:val="none" w:sz="0" w:space="0" w:color="auto"/>
      </w:divBdr>
    </w:div>
    <w:div w:id="613708018">
      <w:bodyDiv w:val="1"/>
      <w:marLeft w:val="0"/>
      <w:marRight w:val="0"/>
      <w:marTop w:val="0"/>
      <w:marBottom w:val="0"/>
      <w:divBdr>
        <w:top w:val="none" w:sz="0" w:space="0" w:color="auto"/>
        <w:left w:val="none" w:sz="0" w:space="0" w:color="auto"/>
        <w:bottom w:val="none" w:sz="0" w:space="0" w:color="auto"/>
        <w:right w:val="none" w:sz="0" w:space="0" w:color="auto"/>
      </w:divBdr>
      <w:divsChild>
        <w:div w:id="718744523">
          <w:marLeft w:val="480"/>
          <w:marRight w:val="0"/>
          <w:marTop w:val="0"/>
          <w:marBottom w:val="0"/>
          <w:divBdr>
            <w:top w:val="single" w:sz="2" w:space="0" w:color="E4E6E8"/>
            <w:left w:val="single" w:sz="2" w:space="0" w:color="E4E6E8"/>
            <w:bottom w:val="single" w:sz="2" w:space="0" w:color="E4E6E8"/>
            <w:right w:val="single" w:sz="2" w:space="0" w:color="E4E6E8"/>
          </w:divBdr>
          <w:divsChild>
            <w:div w:id="1686710609">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 w:id="1789621122">
          <w:marLeft w:val="0"/>
          <w:marRight w:val="0"/>
          <w:marTop w:val="0"/>
          <w:marBottom w:val="0"/>
          <w:divBdr>
            <w:top w:val="single" w:sz="2" w:space="0" w:color="E4E6E8"/>
            <w:left w:val="single" w:sz="2" w:space="0" w:color="E4E6E8"/>
            <w:bottom w:val="single" w:sz="2" w:space="0" w:color="E4E6E8"/>
            <w:right w:val="single" w:sz="2" w:space="0" w:color="E4E6E8"/>
          </w:divBdr>
        </w:div>
      </w:divsChild>
    </w:div>
    <w:div w:id="634799546">
      <w:bodyDiv w:val="1"/>
      <w:marLeft w:val="0"/>
      <w:marRight w:val="0"/>
      <w:marTop w:val="0"/>
      <w:marBottom w:val="0"/>
      <w:divBdr>
        <w:top w:val="none" w:sz="0" w:space="0" w:color="auto"/>
        <w:left w:val="none" w:sz="0" w:space="0" w:color="auto"/>
        <w:bottom w:val="none" w:sz="0" w:space="0" w:color="auto"/>
        <w:right w:val="none" w:sz="0" w:space="0" w:color="auto"/>
      </w:divBdr>
    </w:div>
    <w:div w:id="638343820">
      <w:bodyDiv w:val="1"/>
      <w:marLeft w:val="0"/>
      <w:marRight w:val="0"/>
      <w:marTop w:val="0"/>
      <w:marBottom w:val="0"/>
      <w:divBdr>
        <w:top w:val="none" w:sz="0" w:space="0" w:color="auto"/>
        <w:left w:val="none" w:sz="0" w:space="0" w:color="auto"/>
        <w:bottom w:val="none" w:sz="0" w:space="0" w:color="auto"/>
        <w:right w:val="none" w:sz="0" w:space="0" w:color="auto"/>
      </w:divBdr>
    </w:div>
    <w:div w:id="638608788">
      <w:bodyDiv w:val="1"/>
      <w:marLeft w:val="0"/>
      <w:marRight w:val="0"/>
      <w:marTop w:val="0"/>
      <w:marBottom w:val="0"/>
      <w:divBdr>
        <w:top w:val="none" w:sz="0" w:space="0" w:color="auto"/>
        <w:left w:val="none" w:sz="0" w:space="0" w:color="auto"/>
        <w:bottom w:val="none" w:sz="0" w:space="0" w:color="auto"/>
        <w:right w:val="none" w:sz="0" w:space="0" w:color="auto"/>
      </w:divBdr>
    </w:div>
    <w:div w:id="660237419">
      <w:bodyDiv w:val="1"/>
      <w:marLeft w:val="0"/>
      <w:marRight w:val="0"/>
      <w:marTop w:val="0"/>
      <w:marBottom w:val="0"/>
      <w:divBdr>
        <w:top w:val="none" w:sz="0" w:space="0" w:color="auto"/>
        <w:left w:val="none" w:sz="0" w:space="0" w:color="auto"/>
        <w:bottom w:val="none" w:sz="0" w:space="0" w:color="auto"/>
        <w:right w:val="none" w:sz="0" w:space="0" w:color="auto"/>
      </w:divBdr>
    </w:div>
    <w:div w:id="663554658">
      <w:bodyDiv w:val="1"/>
      <w:marLeft w:val="0"/>
      <w:marRight w:val="0"/>
      <w:marTop w:val="0"/>
      <w:marBottom w:val="0"/>
      <w:divBdr>
        <w:top w:val="none" w:sz="0" w:space="0" w:color="auto"/>
        <w:left w:val="none" w:sz="0" w:space="0" w:color="auto"/>
        <w:bottom w:val="none" w:sz="0" w:space="0" w:color="auto"/>
        <w:right w:val="none" w:sz="0" w:space="0" w:color="auto"/>
      </w:divBdr>
      <w:divsChild>
        <w:div w:id="690034283">
          <w:marLeft w:val="0"/>
          <w:marRight w:val="0"/>
          <w:marTop w:val="0"/>
          <w:marBottom w:val="0"/>
          <w:divBdr>
            <w:top w:val="none" w:sz="0" w:space="0" w:color="auto"/>
            <w:left w:val="none" w:sz="0" w:space="0" w:color="auto"/>
            <w:bottom w:val="none" w:sz="0" w:space="0" w:color="auto"/>
            <w:right w:val="none" w:sz="0" w:space="0" w:color="auto"/>
          </w:divBdr>
        </w:div>
      </w:divsChild>
    </w:div>
    <w:div w:id="750584069">
      <w:bodyDiv w:val="1"/>
      <w:marLeft w:val="0"/>
      <w:marRight w:val="0"/>
      <w:marTop w:val="0"/>
      <w:marBottom w:val="0"/>
      <w:divBdr>
        <w:top w:val="none" w:sz="0" w:space="0" w:color="auto"/>
        <w:left w:val="none" w:sz="0" w:space="0" w:color="auto"/>
        <w:bottom w:val="none" w:sz="0" w:space="0" w:color="auto"/>
        <w:right w:val="none" w:sz="0" w:space="0" w:color="auto"/>
      </w:divBdr>
    </w:div>
    <w:div w:id="751854881">
      <w:bodyDiv w:val="1"/>
      <w:marLeft w:val="0"/>
      <w:marRight w:val="0"/>
      <w:marTop w:val="0"/>
      <w:marBottom w:val="0"/>
      <w:divBdr>
        <w:top w:val="none" w:sz="0" w:space="0" w:color="auto"/>
        <w:left w:val="none" w:sz="0" w:space="0" w:color="auto"/>
        <w:bottom w:val="none" w:sz="0" w:space="0" w:color="auto"/>
        <w:right w:val="none" w:sz="0" w:space="0" w:color="auto"/>
      </w:divBdr>
    </w:div>
    <w:div w:id="760681570">
      <w:bodyDiv w:val="1"/>
      <w:marLeft w:val="0"/>
      <w:marRight w:val="0"/>
      <w:marTop w:val="0"/>
      <w:marBottom w:val="0"/>
      <w:divBdr>
        <w:top w:val="none" w:sz="0" w:space="0" w:color="auto"/>
        <w:left w:val="none" w:sz="0" w:space="0" w:color="auto"/>
        <w:bottom w:val="none" w:sz="0" w:space="0" w:color="auto"/>
        <w:right w:val="none" w:sz="0" w:space="0" w:color="auto"/>
      </w:divBdr>
    </w:div>
    <w:div w:id="796921150">
      <w:bodyDiv w:val="1"/>
      <w:marLeft w:val="0"/>
      <w:marRight w:val="0"/>
      <w:marTop w:val="0"/>
      <w:marBottom w:val="0"/>
      <w:divBdr>
        <w:top w:val="none" w:sz="0" w:space="0" w:color="auto"/>
        <w:left w:val="none" w:sz="0" w:space="0" w:color="auto"/>
        <w:bottom w:val="none" w:sz="0" w:space="0" w:color="auto"/>
        <w:right w:val="none" w:sz="0" w:space="0" w:color="auto"/>
      </w:divBdr>
    </w:div>
    <w:div w:id="808858816">
      <w:bodyDiv w:val="1"/>
      <w:marLeft w:val="0"/>
      <w:marRight w:val="0"/>
      <w:marTop w:val="0"/>
      <w:marBottom w:val="0"/>
      <w:divBdr>
        <w:top w:val="none" w:sz="0" w:space="0" w:color="auto"/>
        <w:left w:val="none" w:sz="0" w:space="0" w:color="auto"/>
        <w:bottom w:val="none" w:sz="0" w:space="0" w:color="auto"/>
        <w:right w:val="none" w:sz="0" w:space="0" w:color="auto"/>
      </w:divBdr>
      <w:divsChild>
        <w:div w:id="1450977826">
          <w:marLeft w:val="0"/>
          <w:marRight w:val="0"/>
          <w:marTop w:val="0"/>
          <w:marBottom w:val="0"/>
          <w:divBdr>
            <w:top w:val="single" w:sz="2" w:space="0" w:color="ECEDEE"/>
            <w:left w:val="single" w:sz="2" w:space="0" w:color="ECEDEE"/>
            <w:bottom w:val="single" w:sz="2" w:space="0" w:color="ECEDEE"/>
            <w:right w:val="single" w:sz="2" w:space="0" w:color="ECEDEE"/>
          </w:divBdr>
        </w:div>
        <w:div w:id="2120486340">
          <w:marLeft w:val="0"/>
          <w:marRight w:val="0"/>
          <w:marTop w:val="0"/>
          <w:marBottom w:val="0"/>
          <w:divBdr>
            <w:top w:val="single" w:sz="2" w:space="0" w:color="ECEDEE"/>
            <w:left w:val="single" w:sz="2" w:space="0" w:color="ECEDEE"/>
            <w:bottom w:val="single" w:sz="2" w:space="0" w:color="ECEDEE"/>
            <w:right w:val="single" w:sz="2" w:space="0" w:color="ECEDEE"/>
          </w:divBdr>
        </w:div>
      </w:divsChild>
    </w:div>
    <w:div w:id="815488440">
      <w:bodyDiv w:val="1"/>
      <w:marLeft w:val="0"/>
      <w:marRight w:val="0"/>
      <w:marTop w:val="0"/>
      <w:marBottom w:val="0"/>
      <w:divBdr>
        <w:top w:val="none" w:sz="0" w:space="0" w:color="auto"/>
        <w:left w:val="none" w:sz="0" w:space="0" w:color="auto"/>
        <w:bottom w:val="none" w:sz="0" w:space="0" w:color="auto"/>
        <w:right w:val="none" w:sz="0" w:space="0" w:color="auto"/>
      </w:divBdr>
    </w:div>
    <w:div w:id="825125845">
      <w:bodyDiv w:val="1"/>
      <w:marLeft w:val="0"/>
      <w:marRight w:val="0"/>
      <w:marTop w:val="0"/>
      <w:marBottom w:val="0"/>
      <w:divBdr>
        <w:top w:val="none" w:sz="0" w:space="0" w:color="auto"/>
        <w:left w:val="none" w:sz="0" w:space="0" w:color="auto"/>
        <w:bottom w:val="none" w:sz="0" w:space="0" w:color="auto"/>
        <w:right w:val="none" w:sz="0" w:space="0" w:color="auto"/>
      </w:divBdr>
    </w:div>
    <w:div w:id="827744416">
      <w:bodyDiv w:val="1"/>
      <w:marLeft w:val="0"/>
      <w:marRight w:val="0"/>
      <w:marTop w:val="0"/>
      <w:marBottom w:val="0"/>
      <w:divBdr>
        <w:top w:val="none" w:sz="0" w:space="0" w:color="auto"/>
        <w:left w:val="none" w:sz="0" w:space="0" w:color="auto"/>
        <w:bottom w:val="none" w:sz="0" w:space="0" w:color="auto"/>
        <w:right w:val="none" w:sz="0" w:space="0" w:color="auto"/>
      </w:divBdr>
    </w:div>
    <w:div w:id="840463060">
      <w:bodyDiv w:val="1"/>
      <w:marLeft w:val="0"/>
      <w:marRight w:val="0"/>
      <w:marTop w:val="0"/>
      <w:marBottom w:val="0"/>
      <w:divBdr>
        <w:top w:val="none" w:sz="0" w:space="0" w:color="auto"/>
        <w:left w:val="none" w:sz="0" w:space="0" w:color="auto"/>
        <w:bottom w:val="none" w:sz="0" w:space="0" w:color="auto"/>
        <w:right w:val="none" w:sz="0" w:space="0" w:color="auto"/>
      </w:divBdr>
    </w:div>
    <w:div w:id="844126739">
      <w:bodyDiv w:val="1"/>
      <w:marLeft w:val="0"/>
      <w:marRight w:val="0"/>
      <w:marTop w:val="0"/>
      <w:marBottom w:val="0"/>
      <w:divBdr>
        <w:top w:val="none" w:sz="0" w:space="0" w:color="auto"/>
        <w:left w:val="none" w:sz="0" w:space="0" w:color="auto"/>
        <w:bottom w:val="none" w:sz="0" w:space="0" w:color="auto"/>
        <w:right w:val="none" w:sz="0" w:space="0" w:color="auto"/>
      </w:divBdr>
    </w:div>
    <w:div w:id="864098102">
      <w:bodyDiv w:val="1"/>
      <w:marLeft w:val="0"/>
      <w:marRight w:val="0"/>
      <w:marTop w:val="0"/>
      <w:marBottom w:val="0"/>
      <w:divBdr>
        <w:top w:val="none" w:sz="0" w:space="0" w:color="auto"/>
        <w:left w:val="none" w:sz="0" w:space="0" w:color="auto"/>
        <w:bottom w:val="none" w:sz="0" w:space="0" w:color="auto"/>
        <w:right w:val="none" w:sz="0" w:space="0" w:color="auto"/>
      </w:divBdr>
    </w:div>
    <w:div w:id="868107300">
      <w:bodyDiv w:val="1"/>
      <w:marLeft w:val="0"/>
      <w:marRight w:val="0"/>
      <w:marTop w:val="0"/>
      <w:marBottom w:val="0"/>
      <w:divBdr>
        <w:top w:val="none" w:sz="0" w:space="0" w:color="auto"/>
        <w:left w:val="none" w:sz="0" w:space="0" w:color="auto"/>
        <w:bottom w:val="none" w:sz="0" w:space="0" w:color="auto"/>
        <w:right w:val="none" w:sz="0" w:space="0" w:color="auto"/>
      </w:divBdr>
    </w:div>
    <w:div w:id="872228040">
      <w:bodyDiv w:val="1"/>
      <w:marLeft w:val="0"/>
      <w:marRight w:val="0"/>
      <w:marTop w:val="0"/>
      <w:marBottom w:val="0"/>
      <w:divBdr>
        <w:top w:val="none" w:sz="0" w:space="0" w:color="auto"/>
        <w:left w:val="none" w:sz="0" w:space="0" w:color="auto"/>
        <w:bottom w:val="none" w:sz="0" w:space="0" w:color="auto"/>
        <w:right w:val="none" w:sz="0" w:space="0" w:color="auto"/>
      </w:divBdr>
    </w:div>
    <w:div w:id="876694908">
      <w:bodyDiv w:val="1"/>
      <w:marLeft w:val="0"/>
      <w:marRight w:val="0"/>
      <w:marTop w:val="0"/>
      <w:marBottom w:val="0"/>
      <w:divBdr>
        <w:top w:val="none" w:sz="0" w:space="0" w:color="auto"/>
        <w:left w:val="none" w:sz="0" w:space="0" w:color="auto"/>
        <w:bottom w:val="none" w:sz="0" w:space="0" w:color="auto"/>
        <w:right w:val="none" w:sz="0" w:space="0" w:color="auto"/>
      </w:divBdr>
    </w:div>
    <w:div w:id="879630477">
      <w:bodyDiv w:val="1"/>
      <w:marLeft w:val="0"/>
      <w:marRight w:val="0"/>
      <w:marTop w:val="0"/>
      <w:marBottom w:val="0"/>
      <w:divBdr>
        <w:top w:val="none" w:sz="0" w:space="0" w:color="auto"/>
        <w:left w:val="none" w:sz="0" w:space="0" w:color="auto"/>
        <w:bottom w:val="none" w:sz="0" w:space="0" w:color="auto"/>
        <w:right w:val="none" w:sz="0" w:space="0" w:color="auto"/>
      </w:divBdr>
      <w:divsChild>
        <w:div w:id="1706056882">
          <w:marLeft w:val="0"/>
          <w:marRight w:val="0"/>
          <w:marTop w:val="0"/>
          <w:marBottom w:val="0"/>
          <w:divBdr>
            <w:top w:val="none" w:sz="0" w:space="0" w:color="auto"/>
            <w:left w:val="none" w:sz="0" w:space="0" w:color="auto"/>
            <w:bottom w:val="none" w:sz="0" w:space="0" w:color="auto"/>
            <w:right w:val="none" w:sz="0" w:space="0" w:color="auto"/>
          </w:divBdr>
        </w:div>
      </w:divsChild>
    </w:div>
    <w:div w:id="900868713">
      <w:bodyDiv w:val="1"/>
      <w:marLeft w:val="0"/>
      <w:marRight w:val="0"/>
      <w:marTop w:val="0"/>
      <w:marBottom w:val="0"/>
      <w:divBdr>
        <w:top w:val="none" w:sz="0" w:space="0" w:color="auto"/>
        <w:left w:val="none" w:sz="0" w:space="0" w:color="auto"/>
        <w:bottom w:val="none" w:sz="0" w:space="0" w:color="auto"/>
        <w:right w:val="none" w:sz="0" w:space="0" w:color="auto"/>
      </w:divBdr>
    </w:div>
    <w:div w:id="971403510">
      <w:bodyDiv w:val="1"/>
      <w:marLeft w:val="0"/>
      <w:marRight w:val="0"/>
      <w:marTop w:val="0"/>
      <w:marBottom w:val="0"/>
      <w:divBdr>
        <w:top w:val="none" w:sz="0" w:space="0" w:color="auto"/>
        <w:left w:val="none" w:sz="0" w:space="0" w:color="auto"/>
        <w:bottom w:val="none" w:sz="0" w:space="0" w:color="auto"/>
        <w:right w:val="none" w:sz="0" w:space="0" w:color="auto"/>
      </w:divBdr>
      <w:divsChild>
        <w:div w:id="1209956495">
          <w:marLeft w:val="0"/>
          <w:marRight w:val="0"/>
          <w:marTop w:val="0"/>
          <w:marBottom w:val="0"/>
          <w:divBdr>
            <w:top w:val="none" w:sz="0" w:space="0" w:color="auto"/>
            <w:left w:val="none" w:sz="0" w:space="0" w:color="auto"/>
            <w:bottom w:val="none" w:sz="0" w:space="0" w:color="auto"/>
            <w:right w:val="none" w:sz="0" w:space="0" w:color="auto"/>
          </w:divBdr>
        </w:div>
      </w:divsChild>
    </w:div>
    <w:div w:id="1004668939">
      <w:bodyDiv w:val="1"/>
      <w:marLeft w:val="0"/>
      <w:marRight w:val="0"/>
      <w:marTop w:val="0"/>
      <w:marBottom w:val="0"/>
      <w:divBdr>
        <w:top w:val="none" w:sz="0" w:space="0" w:color="auto"/>
        <w:left w:val="none" w:sz="0" w:space="0" w:color="auto"/>
        <w:bottom w:val="none" w:sz="0" w:space="0" w:color="auto"/>
        <w:right w:val="none" w:sz="0" w:space="0" w:color="auto"/>
      </w:divBdr>
    </w:div>
    <w:div w:id="1016075367">
      <w:bodyDiv w:val="1"/>
      <w:marLeft w:val="0"/>
      <w:marRight w:val="0"/>
      <w:marTop w:val="0"/>
      <w:marBottom w:val="0"/>
      <w:divBdr>
        <w:top w:val="none" w:sz="0" w:space="0" w:color="auto"/>
        <w:left w:val="none" w:sz="0" w:space="0" w:color="auto"/>
        <w:bottom w:val="none" w:sz="0" w:space="0" w:color="auto"/>
        <w:right w:val="none" w:sz="0" w:space="0" w:color="auto"/>
      </w:divBdr>
    </w:div>
    <w:div w:id="1028219950">
      <w:bodyDiv w:val="1"/>
      <w:marLeft w:val="0"/>
      <w:marRight w:val="0"/>
      <w:marTop w:val="0"/>
      <w:marBottom w:val="0"/>
      <w:divBdr>
        <w:top w:val="none" w:sz="0" w:space="0" w:color="auto"/>
        <w:left w:val="none" w:sz="0" w:space="0" w:color="auto"/>
        <w:bottom w:val="none" w:sz="0" w:space="0" w:color="auto"/>
        <w:right w:val="none" w:sz="0" w:space="0" w:color="auto"/>
      </w:divBdr>
    </w:div>
    <w:div w:id="1031682516">
      <w:bodyDiv w:val="1"/>
      <w:marLeft w:val="0"/>
      <w:marRight w:val="0"/>
      <w:marTop w:val="0"/>
      <w:marBottom w:val="0"/>
      <w:divBdr>
        <w:top w:val="none" w:sz="0" w:space="0" w:color="auto"/>
        <w:left w:val="none" w:sz="0" w:space="0" w:color="auto"/>
        <w:bottom w:val="none" w:sz="0" w:space="0" w:color="auto"/>
        <w:right w:val="none" w:sz="0" w:space="0" w:color="auto"/>
      </w:divBdr>
    </w:div>
    <w:div w:id="1037044006">
      <w:bodyDiv w:val="1"/>
      <w:marLeft w:val="0"/>
      <w:marRight w:val="0"/>
      <w:marTop w:val="0"/>
      <w:marBottom w:val="0"/>
      <w:divBdr>
        <w:top w:val="none" w:sz="0" w:space="0" w:color="auto"/>
        <w:left w:val="none" w:sz="0" w:space="0" w:color="auto"/>
        <w:bottom w:val="none" w:sz="0" w:space="0" w:color="auto"/>
        <w:right w:val="none" w:sz="0" w:space="0" w:color="auto"/>
      </w:divBdr>
    </w:div>
    <w:div w:id="1044793485">
      <w:bodyDiv w:val="1"/>
      <w:marLeft w:val="0"/>
      <w:marRight w:val="0"/>
      <w:marTop w:val="0"/>
      <w:marBottom w:val="0"/>
      <w:divBdr>
        <w:top w:val="none" w:sz="0" w:space="0" w:color="auto"/>
        <w:left w:val="none" w:sz="0" w:space="0" w:color="auto"/>
        <w:bottom w:val="none" w:sz="0" w:space="0" w:color="auto"/>
        <w:right w:val="none" w:sz="0" w:space="0" w:color="auto"/>
      </w:divBdr>
    </w:div>
    <w:div w:id="1074398474">
      <w:bodyDiv w:val="1"/>
      <w:marLeft w:val="0"/>
      <w:marRight w:val="0"/>
      <w:marTop w:val="0"/>
      <w:marBottom w:val="0"/>
      <w:divBdr>
        <w:top w:val="none" w:sz="0" w:space="0" w:color="auto"/>
        <w:left w:val="none" w:sz="0" w:space="0" w:color="auto"/>
        <w:bottom w:val="none" w:sz="0" w:space="0" w:color="auto"/>
        <w:right w:val="none" w:sz="0" w:space="0" w:color="auto"/>
      </w:divBdr>
    </w:div>
    <w:div w:id="1091241819">
      <w:bodyDiv w:val="1"/>
      <w:marLeft w:val="0"/>
      <w:marRight w:val="0"/>
      <w:marTop w:val="0"/>
      <w:marBottom w:val="0"/>
      <w:divBdr>
        <w:top w:val="none" w:sz="0" w:space="0" w:color="auto"/>
        <w:left w:val="none" w:sz="0" w:space="0" w:color="auto"/>
        <w:bottom w:val="none" w:sz="0" w:space="0" w:color="auto"/>
        <w:right w:val="none" w:sz="0" w:space="0" w:color="auto"/>
      </w:divBdr>
      <w:divsChild>
        <w:div w:id="396632061">
          <w:marLeft w:val="0"/>
          <w:marRight w:val="0"/>
          <w:marTop w:val="0"/>
          <w:marBottom w:val="0"/>
          <w:divBdr>
            <w:top w:val="none" w:sz="0" w:space="0" w:color="auto"/>
            <w:left w:val="none" w:sz="0" w:space="0" w:color="auto"/>
            <w:bottom w:val="none" w:sz="0" w:space="0" w:color="auto"/>
            <w:right w:val="none" w:sz="0" w:space="0" w:color="auto"/>
          </w:divBdr>
        </w:div>
      </w:divsChild>
    </w:div>
    <w:div w:id="1121146586">
      <w:bodyDiv w:val="1"/>
      <w:marLeft w:val="0"/>
      <w:marRight w:val="0"/>
      <w:marTop w:val="0"/>
      <w:marBottom w:val="0"/>
      <w:divBdr>
        <w:top w:val="none" w:sz="0" w:space="0" w:color="auto"/>
        <w:left w:val="none" w:sz="0" w:space="0" w:color="auto"/>
        <w:bottom w:val="none" w:sz="0" w:space="0" w:color="auto"/>
        <w:right w:val="none" w:sz="0" w:space="0" w:color="auto"/>
      </w:divBdr>
    </w:div>
    <w:div w:id="1126696905">
      <w:bodyDiv w:val="1"/>
      <w:marLeft w:val="0"/>
      <w:marRight w:val="0"/>
      <w:marTop w:val="0"/>
      <w:marBottom w:val="0"/>
      <w:divBdr>
        <w:top w:val="none" w:sz="0" w:space="0" w:color="auto"/>
        <w:left w:val="none" w:sz="0" w:space="0" w:color="auto"/>
        <w:bottom w:val="none" w:sz="0" w:space="0" w:color="auto"/>
        <w:right w:val="none" w:sz="0" w:space="0" w:color="auto"/>
      </w:divBdr>
    </w:div>
    <w:div w:id="1180003098">
      <w:bodyDiv w:val="1"/>
      <w:marLeft w:val="0"/>
      <w:marRight w:val="0"/>
      <w:marTop w:val="0"/>
      <w:marBottom w:val="0"/>
      <w:divBdr>
        <w:top w:val="none" w:sz="0" w:space="0" w:color="auto"/>
        <w:left w:val="none" w:sz="0" w:space="0" w:color="auto"/>
        <w:bottom w:val="none" w:sz="0" w:space="0" w:color="auto"/>
        <w:right w:val="none" w:sz="0" w:space="0" w:color="auto"/>
      </w:divBdr>
    </w:div>
    <w:div w:id="1225065954">
      <w:bodyDiv w:val="1"/>
      <w:marLeft w:val="0"/>
      <w:marRight w:val="0"/>
      <w:marTop w:val="0"/>
      <w:marBottom w:val="0"/>
      <w:divBdr>
        <w:top w:val="none" w:sz="0" w:space="0" w:color="auto"/>
        <w:left w:val="none" w:sz="0" w:space="0" w:color="auto"/>
        <w:bottom w:val="none" w:sz="0" w:space="0" w:color="auto"/>
        <w:right w:val="none" w:sz="0" w:space="0" w:color="auto"/>
      </w:divBdr>
    </w:div>
    <w:div w:id="1255018772">
      <w:bodyDiv w:val="1"/>
      <w:marLeft w:val="0"/>
      <w:marRight w:val="0"/>
      <w:marTop w:val="0"/>
      <w:marBottom w:val="0"/>
      <w:divBdr>
        <w:top w:val="none" w:sz="0" w:space="0" w:color="auto"/>
        <w:left w:val="none" w:sz="0" w:space="0" w:color="auto"/>
        <w:bottom w:val="none" w:sz="0" w:space="0" w:color="auto"/>
        <w:right w:val="none" w:sz="0" w:space="0" w:color="auto"/>
      </w:divBdr>
    </w:div>
    <w:div w:id="1261717816">
      <w:bodyDiv w:val="1"/>
      <w:marLeft w:val="0"/>
      <w:marRight w:val="0"/>
      <w:marTop w:val="0"/>
      <w:marBottom w:val="0"/>
      <w:divBdr>
        <w:top w:val="none" w:sz="0" w:space="0" w:color="auto"/>
        <w:left w:val="none" w:sz="0" w:space="0" w:color="auto"/>
        <w:bottom w:val="none" w:sz="0" w:space="0" w:color="auto"/>
        <w:right w:val="none" w:sz="0" w:space="0" w:color="auto"/>
      </w:divBdr>
    </w:div>
    <w:div w:id="1279219948">
      <w:bodyDiv w:val="1"/>
      <w:marLeft w:val="0"/>
      <w:marRight w:val="0"/>
      <w:marTop w:val="0"/>
      <w:marBottom w:val="0"/>
      <w:divBdr>
        <w:top w:val="none" w:sz="0" w:space="0" w:color="auto"/>
        <w:left w:val="none" w:sz="0" w:space="0" w:color="auto"/>
        <w:bottom w:val="none" w:sz="0" w:space="0" w:color="auto"/>
        <w:right w:val="none" w:sz="0" w:space="0" w:color="auto"/>
      </w:divBdr>
    </w:div>
    <w:div w:id="1335911297">
      <w:bodyDiv w:val="1"/>
      <w:marLeft w:val="0"/>
      <w:marRight w:val="0"/>
      <w:marTop w:val="0"/>
      <w:marBottom w:val="0"/>
      <w:divBdr>
        <w:top w:val="none" w:sz="0" w:space="0" w:color="auto"/>
        <w:left w:val="none" w:sz="0" w:space="0" w:color="auto"/>
        <w:bottom w:val="none" w:sz="0" w:space="0" w:color="auto"/>
        <w:right w:val="none" w:sz="0" w:space="0" w:color="auto"/>
      </w:divBdr>
    </w:div>
    <w:div w:id="1338580744">
      <w:bodyDiv w:val="1"/>
      <w:marLeft w:val="0"/>
      <w:marRight w:val="0"/>
      <w:marTop w:val="0"/>
      <w:marBottom w:val="0"/>
      <w:divBdr>
        <w:top w:val="none" w:sz="0" w:space="0" w:color="auto"/>
        <w:left w:val="none" w:sz="0" w:space="0" w:color="auto"/>
        <w:bottom w:val="none" w:sz="0" w:space="0" w:color="auto"/>
        <w:right w:val="none" w:sz="0" w:space="0" w:color="auto"/>
      </w:divBdr>
    </w:div>
    <w:div w:id="1339389319">
      <w:bodyDiv w:val="1"/>
      <w:marLeft w:val="0"/>
      <w:marRight w:val="0"/>
      <w:marTop w:val="0"/>
      <w:marBottom w:val="0"/>
      <w:divBdr>
        <w:top w:val="none" w:sz="0" w:space="0" w:color="auto"/>
        <w:left w:val="none" w:sz="0" w:space="0" w:color="auto"/>
        <w:bottom w:val="none" w:sz="0" w:space="0" w:color="auto"/>
        <w:right w:val="none" w:sz="0" w:space="0" w:color="auto"/>
      </w:divBdr>
    </w:div>
    <w:div w:id="1352337779">
      <w:bodyDiv w:val="1"/>
      <w:marLeft w:val="0"/>
      <w:marRight w:val="0"/>
      <w:marTop w:val="0"/>
      <w:marBottom w:val="0"/>
      <w:divBdr>
        <w:top w:val="none" w:sz="0" w:space="0" w:color="auto"/>
        <w:left w:val="none" w:sz="0" w:space="0" w:color="auto"/>
        <w:bottom w:val="none" w:sz="0" w:space="0" w:color="auto"/>
        <w:right w:val="none" w:sz="0" w:space="0" w:color="auto"/>
      </w:divBdr>
    </w:div>
    <w:div w:id="1366323078">
      <w:bodyDiv w:val="1"/>
      <w:marLeft w:val="0"/>
      <w:marRight w:val="0"/>
      <w:marTop w:val="0"/>
      <w:marBottom w:val="0"/>
      <w:divBdr>
        <w:top w:val="none" w:sz="0" w:space="0" w:color="auto"/>
        <w:left w:val="none" w:sz="0" w:space="0" w:color="auto"/>
        <w:bottom w:val="none" w:sz="0" w:space="0" w:color="auto"/>
        <w:right w:val="none" w:sz="0" w:space="0" w:color="auto"/>
      </w:divBdr>
    </w:div>
    <w:div w:id="1366371126">
      <w:bodyDiv w:val="1"/>
      <w:marLeft w:val="0"/>
      <w:marRight w:val="0"/>
      <w:marTop w:val="0"/>
      <w:marBottom w:val="0"/>
      <w:divBdr>
        <w:top w:val="none" w:sz="0" w:space="0" w:color="auto"/>
        <w:left w:val="none" w:sz="0" w:space="0" w:color="auto"/>
        <w:bottom w:val="none" w:sz="0" w:space="0" w:color="auto"/>
        <w:right w:val="none" w:sz="0" w:space="0" w:color="auto"/>
      </w:divBdr>
    </w:div>
    <w:div w:id="1395352680">
      <w:bodyDiv w:val="1"/>
      <w:marLeft w:val="0"/>
      <w:marRight w:val="0"/>
      <w:marTop w:val="0"/>
      <w:marBottom w:val="0"/>
      <w:divBdr>
        <w:top w:val="none" w:sz="0" w:space="0" w:color="auto"/>
        <w:left w:val="none" w:sz="0" w:space="0" w:color="auto"/>
        <w:bottom w:val="none" w:sz="0" w:space="0" w:color="auto"/>
        <w:right w:val="none" w:sz="0" w:space="0" w:color="auto"/>
      </w:divBdr>
    </w:div>
    <w:div w:id="1420180554">
      <w:bodyDiv w:val="1"/>
      <w:marLeft w:val="0"/>
      <w:marRight w:val="0"/>
      <w:marTop w:val="0"/>
      <w:marBottom w:val="0"/>
      <w:divBdr>
        <w:top w:val="none" w:sz="0" w:space="0" w:color="auto"/>
        <w:left w:val="none" w:sz="0" w:space="0" w:color="auto"/>
        <w:bottom w:val="none" w:sz="0" w:space="0" w:color="auto"/>
        <w:right w:val="none" w:sz="0" w:space="0" w:color="auto"/>
      </w:divBdr>
    </w:div>
    <w:div w:id="1456945760">
      <w:bodyDiv w:val="1"/>
      <w:marLeft w:val="0"/>
      <w:marRight w:val="0"/>
      <w:marTop w:val="0"/>
      <w:marBottom w:val="0"/>
      <w:divBdr>
        <w:top w:val="none" w:sz="0" w:space="0" w:color="auto"/>
        <w:left w:val="none" w:sz="0" w:space="0" w:color="auto"/>
        <w:bottom w:val="none" w:sz="0" w:space="0" w:color="auto"/>
        <w:right w:val="none" w:sz="0" w:space="0" w:color="auto"/>
      </w:divBdr>
    </w:div>
    <w:div w:id="1463959011">
      <w:bodyDiv w:val="1"/>
      <w:marLeft w:val="0"/>
      <w:marRight w:val="0"/>
      <w:marTop w:val="0"/>
      <w:marBottom w:val="0"/>
      <w:divBdr>
        <w:top w:val="none" w:sz="0" w:space="0" w:color="auto"/>
        <w:left w:val="none" w:sz="0" w:space="0" w:color="auto"/>
        <w:bottom w:val="none" w:sz="0" w:space="0" w:color="auto"/>
        <w:right w:val="none" w:sz="0" w:space="0" w:color="auto"/>
      </w:divBdr>
      <w:divsChild>
        <w:div w:id="1515923094">
          <w:marLeft w:val="0"/>
          <w:marRight w:val="0"/>
          <w:marTop w:val="0"/>
          <w:marBottom w:val="0"/>
          <w:divBdr>
            <w:top w:val="single" w:sz="2" w:space="0" w:color="ECEDEE"/>
            <w:left w:val="single" w:sz="2" w:space="0" w:color="ECEDEE"/>
            <w:bottom w:val="single" w:sz="2" w:space="0" w:color="ECEDEE"/>
            <w:right w:val="single" w:sz="2" w:space="0" w:color="ECEDEE"/>
          </w:divBdr>
          <w:divsChild>
            <w:div w:id="1296521158">
              <w:marLeft w:val="0"/>
              <w:marRight w:val="0"/>
              <w:marTop w:val="0"/>
              <w:marBottom w:val="0"/>
              <w:divBdr>
                <w:top w:val="single" w:sz="2" w:space="0" w:color="ECEDEE"/>
                <w:left w:val="single" w:sz="2" w:space="0" w:color="ECEDEE"/>
                <w:bottom w:val="single" w:sz="2" w:space="0" w:color="ECEDEE"/>
                <w:right w:val="single" w:sz="2" w:space="0" w:color="ECEDEE"/>
              </w:divBdr>
            </w:div>
          </w:divsChild>
        </w:div>
      </w:divsChild>
    </w:div>
    <w:div w:id="1480153429">
      <w:bodyDiv w:val="1"/>
      <w:marLeft w:val="0"/>
      <w:marRight w:val="0"/>
      <w:marTop w:val="0"/>
      <w:marBottom w:val="0"/>
      <w:divBdr>
        <w:top w:val="none" w:sz="0" w:space="0" w:color="auto"/>
        <w:left w:val="none" w:sz="0" w:space="0" w:color="auto"/>
        <w:bottom w:val="none" w:sz="0" w:space="0" w:color="auto"/>
        <w:right w:val="none" w:sz="0" w:space="0" w:color="auto"/>
      </w:divBdr>
    </w:div>
    <w:div w:id="1486162710">
      <w:bodyDiv w:val="1"/>
      <w:marLeft w:val="0"/>
      <w:marRight w:val="0"/>
      <w:marTop w:val="0"/>
      <w:marBottom w:val="0"/>
      <w:divBdr>
        <w:top w:val="none" w:sz="0" w:space="0" w:color="auto"/>
        <w:left w:val="none" w:sz="0" w:space="0" w:color="auto"/>
        <w:bottom w:val="none" w:sz="0" w:space="0" w:color="auto"/>
        <w:right w:val="none" w:sz="0" w:space="0" w:color="auto"/>
      </w:divBdr>
    </w:div>
    <w:div w:id="1490292450">
      <w:bodyDiv w:val="1"/>
      <w:marLeft w:val="0"/>
      <w:marRight w:val="0"/>
      <w:marTop w:val="0"/>
      <w:marBottom w:val="0"/>
      <w:divBdr>
        <w:top w:val="none" w:sz="0" w:space="0" w:color="auto"/>
        <w:left w:val="none" w:sz="0" w:space="0" w:color="auto"/>
        <w:bottom w:val="none" w:sz="0" w:space="0" w:color="auto"/>
        <w:right w:val="none" w:sz="0" w:space="0" w:color="auto"/>
      </w:divBdr>
      <w:divsChild>
        <w:div w:id="1781411919">
          <w:marLeft w:val="0"/>
          <w:marRight w:val="0"/>
          <w:marTop w:val="0"/>
          <w:marBottom w:val="0"/>
          <w:divBdr>
            <w:top w:val="none" w:sz="0" w:space="0" w:color="auto"/>
            <w:left w:val="none" w:sz="0" w:space="0" w:color="auto"/>
            <w:bottom w:val="none" w:sz="0" w:space="0" w:color="auto"/>
            <w:right w:val="none" w:sz="0" w:space="0" w:color="auto"/>
          </w:divBdr>
        </w:div>
      </w:divsChild>
    </w:div>
    <w:div w:id="1500539874">
      <w:bodyDiv w:val="1"/>
      <w:marLeft w:val="0"/>
      <w:marRight w:val="0"/>
      <w:marTop w:val="0"/>
      <w:marBottom w:val="0"/>
      <w:divBdr>
        <w:top w:val="none" w:sz="0" w:space="0" w:color="auto"/>
        <w:left w:val="none" w:sz="0" w:space="0" w:color="auto"/>
        <w:bottom w:val="none" w:sz="0" w:space="0" w:color="auto"/>
        <w:right w:val="none" w:sz="0" w:space="0" w:color="auto"/>
      </w:divBdr>
      <w:divsChild>
        <w:div w:id="1064375606">
          <w:marLeft w:val="0"/>
          <w:marRight w:val="0"/>
          <w:marTop w:val="0"/>
          <w:marBottom w:val="0"/>
          <w:divBdr>
            <w:top w:val="none" w:sz="0" w:space="0" w:color="auto"/>
            <w:left w:val="none" w:sz="0" w:space="0" w:color="auto"/>
            <w:bottom w:val="none" w:sz="0" w:space="0" w:color="auto"/>
            <w:right w:val="none" w:sz="0" w:space="0" w:color="auto"/>
          </w:divBdr>
        </w:div>
      </w:divsChild>
    </w:div>
    <w:div w:id="1514763418">
      <w:bodyDiv w:val="1"/>
      <w:marLeft w:val="0"/>
      <w:marRight w:val="0"/>
      <w:marTop w:val="0"/>
      <w:marBottom w:val="0"/>
      <w:divBdr>
        <w:top w:val="none" w:sz="0" w:space="0" w:color="auto"/>
        <w:left w:val="none" w:sz="0" w:space="0" w:color="auto"/>
        <w:bottom w:val="none" w:sz="0" w:space="0" w:color="auto"/>
        <w:right w:val="none" w:sz="0" w:space="0" w:color="auto"/>
      </w:divBdr>
    </w:div>
    <w:div w:id="1547184095">
      <w:bodyDiv w:val="1"/>
      <w:marLeft w:val="0"/>
      <w:marRight w:val="0"/>
      <w:marTop w:val="0"/>
      <w:marBottom w:val="0"/>
      <w:divBdr>
        <w:top w:val="none" w:sz="0" w:space="0" w:color="auto"/>
        <w:left w:val="none" w:sz="0" w:space="0" w:color="auto"/>
        <w:bottom w:val="none" w:sz="0" w:space="0" w:color="auto"/>
        <w:right w:val="none" w:sz="0" w:space="0" w:color="auto"/>
      </w:divBdr>
      <w:divsChild>
        <w:div w:id="215359075">
          <w:blockQuote w:val="1"/>
          <w:marLeft w:val="0"/>
          <w:marRight w:val="0"/>
          <w:marTop w:val="0"/>
          <w:marBottom w:val="0"/>
          <w:divBdr>
            <w:top w:val="none" w:sz="0" w:space="0" w:color="auto"/>
            <w:left w:val="single" w:sz="6" w:space="18" w:color="707070"/>
            <w:bottom w:val="none" w:sz="0" w:space="0" w:color="auto"/>
            <w:right w:val="none" w:sz="0" w:space="0" w:color="auto"/>
          </w:divBdr>
        </w:div>
      </w:divsChild>
    </w:div>
    <w:div w:id="1547521256">
      <w:bodyDiv w:val="1"/>
      <w:marLeft w:val="0"/>
      <w:marRight w:val="0"/>
      <w:marTop w:val="0"/>
      <w:marBottom w:val="0"/>
      <w:divBdr>
        <w:top w:val="none" w:sz="0" w:space="0" w:color="auto"/>
        <w:left w:val="none" w:sz="0" w:space="0" w:color="auto"/>
        <w:bottom w:val="none" w:sz="0" w:space="0" w:color="auto"/>
        <w:right w:val="none" w:sz="0" w:space="0" w:color="auto"/>
      </w:divBdr>
    </w:div>
    <w:div w:id="1560365745">
      <w:bodyDiv w:val="1"/>
      <w:marLeft w:val="0"/>
      <w:marRight w:val="0"/>
      <w:marTop w:val="0"/>
      <w:marBottom w:val="0"/>
      <w:divBdr>
        <w:top w:val="none" w:sz="0" w:space="0" w:color="auto"/>
        <w:left w:val="none" w:sz="0" w:space="0" w:color="auto"/>
        <w:bottom w:val="none" w:sz="0" w:space="0" w:color="auto"/>
        <w:right w:val="none" w:sz="0" w:space="0" w:color="auto"/>
      </w:divBdr>
    </w:div>
    <w:div w:id="1607276103">
      <w:bodyDiv w:val="1"/>
      <w:marLeft w:val="0"/>
      <w:marRight w:val="0"/>
      <w:marTop w:val="0"/>
      <w:marBottom w:val="0"/>
      <w:divBdr>
        <w:top w:val="none" w:sz="0" w:space="0" w:color="auto"/>
        <w:left w:val="none" w:sz="0" w:space="0" w:color="auto"/>
        <w:bottom w:val="none" w:sz="0" w:space="0" w:color="auto"/>
        <w:right w:val="none" w:sz="0" w:space="0" w:color="auto"/>
      </w:divBdr>
    </w:div>
    <w:div w:id="1619527157">
      <w:bodyDiv w:val="1"/>
      <w:marLeft w:val="0"/>
      <w:marRight w:val="0"/>
      <w:marTop w:val="0"/>
      <w:marBottom w:val="0"/>
      <w:divBdr>
        <w:top w:val="none" w:sz="0" w:space="0" w:color="auto"/>
        <w:left w:val="none" w:sz="0" w:space="0" w:color="auto"/>
        <w:bottom w:val="none" w:sz="0" w:space="0" w:color="auto"/>
        <w:right w:val="none" w:sz="0" w:space="0" w:color="auto"/>
      </w:divBdr>
    </w:div>
    <w:div w:id="1626152947">
      <w:bodyDiv w:val="1"/>
      <w:marLeft w:val="0"/>
      <w:marRight w:val="0"/>
      <w:marTop w:val="0"/>
      <w:marBottom w:val="0"/>
      <w:divBdr>
        <w:top w:val="none" w:sz="0" w:space="0" w:color="auto"/>
        <w:left w:val="none" w:sz="0" w:space="0" w:color="auto"/>
        <w:bottom w:val="none" w:sz="0" w:space="0" w:color="auto"/>
        <w:right w:val="none" w:sz="0" w:space="0" w:color="auto"/>
      </w:divBdr>
    </w:div>
    <w:div w:id="1636249724">
      <w:bodyDiv w:val="1"/>
      <w:marLeft w:val="0"/>
      <w:marRight w:val="0"/>
      <w:marTop w:val="0"/>
      <w:marBottom w:val="0"/>
      <w:divBdr>
        <w:top w:val="none" w:sz="0" w:space="0" w:color="auto"/>
        <w:left w:val="none" w:sz="0" w:space="0" w:color="auto"/>
        <w:bottom w:val="none" w:sz="0" w:space="0" w:color="auto"/>
        <w:right w:val="none" w:sz="0" w:space="0" w:color="auto"/>
      </w:divBdr>
    </w:div>
    <w:div w:id="1639607863">
      <w:bodyDiv w:val="1"/>
      <w:marLeft w:val="0"/>
      <w:marRight w:val="0"/>
      <w:marTop w:val="0"/>
      <w:marBottom w:val="0"/>
      <w:divBdr>
        <w:top w:val="none" w:sz="0" w:space="0" w:color="auto"/>
        <w:left w:val="none" w:sz="0" w:space="0" w:color="auto"/>
        <w:bottom w:val="none" w:sz="0" w:space="0" w:color="auto"/>
        <w:right w:val="none" w:sz="0" w:space="0" w:color="auto"/>
      </w:divBdr>
    </w:div>
    <w:div w:id="1641766346">
      <w:bodyDiv w:val="1"/>
      <w:marLeft w:val="0"/>
      <w:marRight w:val="0"/>
      <w:marTop w:val="0"/>
      <w:marBottom w:val="0"/>
      <w:divBdr>
        <w:top w:val="none" w:sz="0" w:space="0" w:color="auto"/>
        <w:left w:val="none" w:sz="0" w:space="0" w:color="auto"/>
        <w:bottom w:val="none" w:sz="0" w:space="0" w:color="auto"/>
        <w:right w:val="none" w:sz="0" w:space="0" w:color="auto"/>
      </w:divBdr>
      <w:divsChild>
        <w:div w:id="1335179827">
          <w:marLeft w:val="0"/>
          <w:marRight w:val="0"/>
          <w:marTop w:val="0"/>
          <w:marBottom w:val="0"/>
          <w:divBdr>
            <w:top w:val="single" w:sz="2" w:space="0" w:color="ECEDEE"/>
            <w:left w:val="single" w:sz="2" w:space="0" w:color="ECEDEE"/>
            <w:bottom w:val="single" w:sz="2" w:space="0" w:color="ECEDEE"/>
            <w:right w:val="single" w:sz="2" w:space="0" w:color="ECEDEE"/>
          </w:divBdr>
          <w:divsChild>
            <w:div w:id="307826988">
              <w:marLeft w:val="0"/>
              <w:marRight w:val="0"/>
              <w:marTop w:val="0"/>
              <w:marBottom w:val="0"/>
              <w:divBdr>
                <w:top w:val="single" w:sz="2" w:space="0" w:color="ECEDEE"/>
                <w:left w:val="single" w:sz="2" w:space="0" w:color="ECEDEE"/>
                <w:bottom w:val="single" w:sz="2" w:space="0" w:color="ECEDEE"/>
                <w:right w:val="single" w:sz="2" w:space="0" w:color="ECEDEE"/>
              </w:divBdr>
            </w:div>
          </w:divsChild>
        </w:div>
      </w:divsChild>
    </w:div>
    <w:div w:id="1654069674">
      <w:bodyDiv w:val="1"/>
      <w:marLeft w:val="0"/>
      <w:marRight w:val="0"/>
      <w:marTop w:val="0"/>
      <w:marBottom w:val="0"/>
      <w:divBdr>
        <w:top w:val="none" w:sz="0" w:space="0" w:color="auto"/>
        <w:left w:val="none" w:sz="0" w:space="0" w:color="auto"/>
        <w:bottom w:val="none" w:sz="0" w:space="0" w:color="auto"/>
        <w:right w:val="none" w:sz="0" w:space="0" w:color="auto"/>
      </w:divBdr>
      <w:divsChild>
        <w:div w:id="649404411">
          <w:marLeft w:val="0"/>
          <w:marRight w:val="0"/>
          <w:marTop w:val="0"/>
          <w:marBottom w:val="0"/>
          <w:divBdr>
            <w:top w:val="none" w:sz="0" w:space="0" w:color="auto"/>
            <w:left w:val="none" w:sz="0" w:space="0" w:color="auto"/>
            <w:bottom w:val="none" w:sz="0" w:space="0" w:color="auto"/>
            <w:right w:val="none" w:sz="0" w:space="0" w:color="auto"/>
          </w:divBdr>
        </w:div>
      </w:divsChild>
    </w:div>
    <w:div w:id="1687364228">
      <w:bodyDiv w:val="1"/>
      <w:marLeft w:val="0"/>
      <w:marRight w:val="0"/>
      <w:marTop w:val="0"/>
      <w:marBottom w:val="0"/>
      <w:divBdr>
        <w:top w:val="none" w:sz="0" w:space="0" w:color="auto"/>
        <w:left w:val="none" w:sz="0" w:space="0" w:color="auto"/>
        <w:bottom w:val="none" w:sz="0" w:space="0" w:color="auto"/>
        <w:right w:val="none" w:sz="0" w:space="0" w:color="auto"/>
      </w:divBdr>
    </w:div>
    <w:div w:id="1711342468">
      <w:bodyDiv w:val="1"/>
      <w:marLeft w:val="0"/>
      <w:marRight w:val="0"/>
      <w:marTop w:val="0"/>
      <w:marBottom w:val="0"/>
      <w:divBdr>
        <w:top w:val="none" w:sz="0" w:space="0" w:color="auto"/>
        <w:left w:val="none" w:sz="0" w:space="0" w:color="auto"/>
        <w:bottom w:val="none" w:sz="0" w:space="0" w:color="auto"/>
        <w:right w:val="none" w:sz="0" w:space="0" w:color="auto"/>
      </w:divBdr>
    </w:div>
    <w:div w:id="1713338820">
      <w:bodyDiv w:val="1"/>
      <w:marLeft w:val="0"/>
      <w:marRight w:val="0"/>
      <w:marTop w:val="0"/>
      <w:marBottom w:val="0"/>
      <w:divBdr>
        <w:top w:val="none" w:sz="0" w:space="0" w:color="auto"/>
        <w:left w:val="none" w:sz="0" w:space="0" w:color="auto"/>
        <w:bottom w:val="none" w:sz="0" w:space="0" w:color="auto"/>
        <w:right w:val="none" w:sz="0" w:space="0" w:color="auto"/>
      </w:divBdr>
    </w:div>
    <w:div w:id="1714577824">
      <w:bodyDiv w:val="1"/>
      <w:marLeft w:val="0"/>
      <w:marRight w:val="0"/>
      <w:marTop w:val="0"/>
      <w:marBottom w:val="0"/>
      <w:divBdr>
        <w:top w:val="none" w:sz="0" w:space="0" w:color="auto"/>
        <w:left w:val="none" w:sz="0" w:space="0" w:color="auto"/>
        <w:bottom w:val="none" w:sz="0" w:space="0" w:color="auto"/>
        <w:right w:val="none" w:sz="0" w:space="0" w:color="auto"/>
      </w:divBdr>
    </w:div>
    <w:div w:id="1717923089">
      <w:bodyDiv w:val="1"/>
      <w:marLeft w:val="0"/>
      <w:marRight w:val="0"/>
      <w:marTop w:val="0"/>
      <w:marBottom w:val="0"/>
      <w:divBdr>
        <w:top w:val="none" w:sz="0" w:space="0" w:color="auto"/>
        <w:left w:val="none" w:sz="0" w:space="0" w:color="auto"/>
        <w:bottom w:val="none" w:sz="0" w:space="0" w:color="auto"/>
        <w:right w:val="none" w:sz="0" w:space="0" w:color="auto"/>
      </w:divBdr>
    </w:div>
    <w:div w:id="1723168660">
      <w:bodyDiv w:val="1"/>
      <w:marLeft w:val="0"/>
      <w:marRight w:val="0"/>
      <w:marTop w:val="0"/>
      <w:marBottom w:val="0"/>
      <w:divBdr>
        <w:top w:val="none" w:sz="0" w:space="0" w:color="auto"/>
        <w:left w:val="none" w:sz="0" w:space="0" w:color="auto"/>
        <w:bottom w:val="none" w:sz="0" w:space="0" w:color="auto"/>
        <w:right w:val="none" w:sz="0" w:space="0" w:color="auto"/>
      </w:divBdr>
    </w:div>
    <w:div w:id="1727558987">
      <w:bodyDiv w:val="1"/>
      <w:marLeft w:val="0"/>
      <w:marRight w:val="0"/>
      <w:marTop w:val="0"/>
      <w:marBottom w:val="0"/>
      <w:divBdr>
        <w:top w:val="none" w:sz="0" w:space="0" w:color="auto"/>
        <w:left w:val="none" w:sz="0" w:space="0" w:color="auto"/>
        <w:bottom w:val="none" w:sz="0" w:space="0" w:color="auto"/>
        <w:right w:val="none" w:sz="0" w:space="0" w:color="auto"/>
      </w:divBdr>
      <w:divsChild>
        <w:div w:id="1957910627">
          <w:marLeft w:val="0"/>
          <w:marRight w:val="0"/>
          <w:marTop w:val="0"/>
          <w:marBottom w:val="0"/>
          <w:divBdr>
            <w:top w:val="none" w:sz="0" w:space="0" w:color="auto"/>
            <w:left w:val="none" w:sz="0" w:space="0" w:color="auto"/>
            <w:bottom w:val="none" w:sz="0" w:space="0" w:color="auto"/>
            <w:right w:val="none" w:sz="0" w:space="0" w:color="auto"/>
          </w:divBdr>
        </w:div>
      </w:divsChild>
    </w:div>
    <w:div w:id="1743403775">
      <w:bodyDiv w:val="1"/>
      <w:marLeft w:val="0"/>
      <w:marRight w:val="0"/>
      <w:marTop w:val="0"/>
      <w:marBottom w:val="0"/>
      <w:divBdr>
        <w:top w:val="none" w:sz="0" w:space="0" w:color="auto"/>
        <w:left w:val="none" w:sz="0" w:space="0" w:color="auto"/>
        <w:bottom w:val="none" w:sz="0" w:space="0" w:color="auto"/>
        <w:right w:val="none" w:sz="0" w:space="0" w:color="auto"/>
      </w:divBdr>
      <w:divsChild>
        <w:div w:id="1613246006">
          <w:marLeft w:val="0"/>
          <w:marRight w:val="0"/>
          <w:marTop w:val="0"/>
          <w:marBottom w:val="0"/>
          <w:divBdr>
            <w:top w:val="none" w:sz="0" w:space="0" w:color="auto"/>
            <w:left w:val="none" w:sz="0" w:space="0" w:color="auto"/>
            <w:bottom w:val="none" w:sz="0" w:space="0" w:color="auto"/>
            <w:right w:val="none" w:sz="0" w:space="0" w:color="auto"/>
          </w:divBdr>
        </w:div>
      </w:divsChild>
    </w:div>
    <w:div w:id="1761566493">
      <w:bodyDiv w:val="1"/>
      <w:marLeft w:val="0"/>
      <w:marRight w:val="0"/>
      <w:marTop w:val="0"/>
      <w:marBottom w:val="0"/>
      <w:divBdr>
        <w:top w:val="none" w:sz="0" w:space="0" w:color="auto"/>
        <w:left w:val="none" w:sz="0" w:space="0" w:color="auto"/>
        <w:bottom w:val="none" w:sz="0" w:space="0" w:color="auto"/>
        <w:right w:val="none" w:sz="0" w:space="0" w:color="auto"/>
      </w:divBdr>
      <w:divsChild>
        <w:div w:id="1691027222">
          <w:marLeft w:val="0"/>
          <w:marRight w:val="0"/>
          <w:marTop w:val="0"/>
          <w:marBottom w:val="0"/>
          <w:divBdr>
            <w:top w:val="none" w:sz="0" w:space="0" w:color="auto"/>
            <w:left w:val="none" w:sz="0" w:space="0" w:color="auto"/>
            <w:bottom w:val="none" w:sz="0" w:space="0" w:color="auto"/>
            <w:right w:val="none" w:sz="0" w:space="0" w:color="auto"/>
          </w:divBdr>
        </w:div>
      </w:divsChild>
    </w:div>
    <w:div w:id="1786072198">
      <w:bodyDiv w:val="1"/>
      <w:marLeft w:val="0"/>
      <w:marRight w:val="0"/>
      <w:marTop w:val="0"/>
      <w:marBottom w:val="0"/>
      <w:divBdr>
        <w:top w:val="none" w:sz="0" w:space="0" w:color="auto"/>
        <w:left w:val="none" w:sz="0" w:space="0" w:color="auto"/>
        <w:bottom w:val="none" w:sz="0" w:space="0" w:color="auto"/>
        <w:right w:val="none" w:sz="0" w:space="0" w:color="auto"/>
      </w:divBdr>
    </w:div>
    <w:div w:id="1789278048">
      <w:bodyDiv w:val="1"/>
      <w:marLeft w:val="0"/>
      <w:marRight w:val="0"/>
      <w:marTop w:val="0"/>
      <w:marBottom w:val="0"/>
      <w:divBdr>
        <w:top w:val="none" w:sz="0" w:space="0" w:color="auto"/>
        <w:left w:val="none" w:sz="0" w:space="0" w:color="auto"/>
        <w:bottom w:val="none" w:sz="0" w:space="0" w:color="auto"/>
        <w:right w:val="none" w:sz="0" w:space="0" w:color="auto"/>
      </w:divBdr>
    </w:div>
    <w:div w:id="1813019285">
      <w:bodyDiv w:val="1"/>
      <w:marLeft w:val="0"/>
      <w:marRight w:val="0"/>
      <w:marTop w:val="0"/>
      <w:marBottom w:val="0"/>
      <w:divBdr>
        <w:top w:val="none" w:sz="0" w:space="0" w:color="auto"/>
        <w:left w:val="none" w:sz="0" w:space="0" w:color="auto"/>
        <w:bottom w:val="none" w:sz="0" w:space="0" w:color="auto"/>
        <w:right w:val="none" w:sz="0" w:space="0" w:color="auto"/>
      </w:divBdr>
    </w:div>
    <w:div w:id="1829469629">
      <w:bodyDiv w:val="1"/>
      <w:marLeft w:val="0"/>
      <w:marRight w:val="0"/>
      <w:marTop w:val="0"/>
      <w:marBottom w:val="0"/>
      <w:divBdr>
        <w:top w:val="none" w:sz="0" w:space="0" w:color="auto"/>
        <w:left w:val="none" w:sz="0" w:space="0" w:color="auto"/>
        <w:bottom w:val="none" w:sz="0" w:space="0" w:color="auto"/>
        <w:right w:val="none" w:sz="0" w:space="0" w:color="auto"/>
      </w:divBdr>
      <w:divsChild>
        <w:div w:id="296420715">
          <w:marLeft w:val="0"/>
          <w:marRight w:val="0"/>
          <w:marTop w:val="0"/>
          <w:marBottom w:val="180"/>
          <w:divBdr>
            <w:top w:val="none" w:sz="0" w:space="0" w:color="auto"/>
            <w:left w:val="none" w:sz="0" w:space="0" w:color="auto"/>
            <w:bottom w:val="none" w:sz="0" w:space="0" w:color="auto"/>
            <w:right w:val="none" w:sz="0" w:space="0" w:color="auto"/>
          </w:divBdr>
          <w:divsChild>
            <w:div w:id="612634188">
              <w:marLeft w:val="0"/>
              <w:marRight w:val="0"/>
              <w:marTop w:val="0"/>
              <w:marBottom w:val="0"/>
              <w:divBdr>
                <w:top w:val="none" w:sz="0" w:space="0" w:color="auto"/>
                <w:left w:val="none" w:sz="0" w:space="0" w:color="auto"/>
                <w:bottom w:val="none" w:sz="0" w:space="0" w:color="auto"/>
                <w:right w:val="none" w:sz="0" w:space="0" w:color="auto"/>
              </w:divBdr>
              <w:divsChild>
                <w:div w:id="1926374940">
                  <w:marLeft w:val="0"/>
                  <w:marRight w:val="0"/>
                  <w:marTop w:val="0"/>
                  <w:marBottom w:val="0"/>
                  <w:divBdr>
                    <w:top w:val="none" w:sz="0" w:space="0" w:color="auto"/>
                    <w:left w:val="none" w:sz="0" w:space="0" w:color="auto"/>
                    <w:bottom w:val="none" w:sz="0" w:space="0" w:color="auto"/>
                    <w:right w:val="none" w:sz="0" w:space="0" w:color="auto"/>
                  </w:divBdr>
                  <w:divsChild>
                    <w:div w:id="1858420703">
                      <w:marLeft w:val="0"/>
                      <w:marRight w:val="0"/>
                      <w:marTop w:val="0"/>
                      <w:marBottom w:val="0"/>
                      <w:divBdr>
                        <w:top w:val="none" w:sz="0" w:space="0" w:color="auto"/>
                        <w:left w:val="none" w:sz="0" w:space="0" w:color="auto"/>
                        <w:bottom w:val="none" w:sz="0" w:space="0" w:color="auto"/>
                        <w:right w:val="none" w:sz="0" w:space="0" w:color="auto"/>
                      </w:divBdr>
                      <w:divsChild>
                        <w:div w:id="1312950862">
                          <w:marLeft w:val="0"/>
                          <w:marRight w:val="0"/>
                          <w:marTop w:val="0"/>
                          <w:marBottom w:val="0"/>
                          <w:divBdr>
                            <w:top w:val="none" w:sz="0" w:space="0" w:color="auto"/>
                            <w:left w:val="none" w:sz="0" w:space="0" w:color="auto"/>
                            <w:bottom w:val="none" w:sz="0" w:space="0" w:color="auto"/>
                            <w:right w:val="none" w:sz="0" w:space="0" w:color="auto"/>
                          </w:divBdr>
                          <w:divsChild>
                            <w:div w:id="652563934">
                              <w:marLeft w:val="0"/>
                              <w:marRight w:val="0"/>
                              <w:marTop w:val="0"/>
                              <w:marBottom w:val="480"/>
                              <w:divBdr>
                                <w:top w:val="none" w:sz="0" w:space="0" w:color="auto"/>
                                <w:left w:val="none" w:sz="0" w:space="0" w:color="auto"/>
                                <w:bottom w:val="none" w:sz="0" w:space="0" w:color="auto"/>
                                <w:right w:val="none" w:sz="0" w:space="0" w:color="auto"/>
                              </w:divBdr>
                              <w:divsChild>
                                <w:div w:id="371274446">
                                  <w:marLeft w:val="0"/>
                                  <w:marRight w:val="0"/>
                                  <w:marTop w:val="0"/>
                                  <w:marBottom w:val="0"/>
                                  <w:divBdr>
                                    <w:top w:val="none" w:sz="0" w:space="0" w:color="auto"/>
                                    <w:left w:val="none" w:sz="0" w:space="0" w:color="auto"/>
                                    <w:bottom w:val="none" w:sz="0" w:space="0" w:color="auto"/>
                                    <w:right w:val="none" w:sz="0" w:space="0" w:color="auto"/>
                                  </w:divBdr>
                                  <w:divsChild>
                                    <w:div w:id="1539197924">
                                      <w:marLeft w:val="0"/>
                                      <w:marRight w:val="0"/>
                                      <w:marTop w:val="0"/>
                                      <w:marBottom w:val="0"/>
                                      <w:divBdr>
                                        <w:top w:val="none" w:sz="0" w:space="0" w:color="auto"/>
                                        <w:left w:val="none" w:sz="0" w:space="0" w:color="auto"/>
                                        <w:bottom w:val="none" w:sz="0" w:space="0" w:color="auto"/>
                                        <w:right w:val="none" w:sz="0" w:space="0" w:color="auto"/>
                                      </w:divBdr>
                                      <w:divsChild>
                                        <w:div w:id="1475369692">
                                          <w:marLeft w:val="0"/>
                                          <w:marRight w:val="0"/>
                                          <w:marTop w:val="0"/>
                                          <w:marBottom w:val="0"/>
                                          <w:divBdr>
                                            <w:top w:val="none" w:sz="0" w:space="0" w:color="auto"/>
                                            <w:left w:val="none" w:sz="0" w:space="0" w:color="auto"/>
                                            <w:bottom w:val="none" w:sz="0" w:space="0" w:color="auto"/>
                                            <w:right w:val="none" w:sz="0" w:space="0" w:color="auto"/>
                                          </w:divBdr>
                                          <w:divsChild>
                                            <w:div w:id="1674524775">
                                              <w:marLeft w:val="0"/>
                                              <w:marRight w:val="0"/>
                                              <w:marTop w:val="0"/>
                                              <w:marBottom w:val="0"/>
                                              <w:divBdr>
                                                <w:top w:val="none" w:sz="0" w:space="0" w:color="auto"/>
                                                <w:left w:val="none" w:sz="0" w:space="0" w:color="auto"/>
                                                <w:bottom w:val="none" w:sz="0" w:space="0" w:color="auto"/>
                                                <w:right w:val="none" w:sz="0" w:space="0" w:color="auto"/>
                                              </w:divBdr>
                                              <w:divsChild>
                                                <w:div w:id="1837963328">
                                                  <w:marLeft w:val="0"/>
                                                  <w:marRight w:val="0"/>
                                                  <w:marTop w:val="0"/>
                                                  <w:marBottom w:val="0"/>
                                                  <w:divBdr>
                                                    <w:top w:val="none" w:sz="0" w:space="0" w:color="auto"/>
                                                    <w:left w:val="none" w:sz="0" w:space="0" w:color="auto"/>
                                                    <w:bottom w:val="none" w:sz="0" w:space="0" w:color="auto"/>
                                                    <w:right w:val="none" w:sz="0" w:space="0" w:color="auto"/>
                                                  </w:divBdr>
                                                  <w:divsChild>
                                                    <w:div w:id="855655895">
                                                      <w:marLeft w:val="0"/>
                                                      <w:marRight w:val="0"/>
                                                      <w:marTop w:val="0"/>
                                                      <w:marBottom w:val="0"/>
                                                      <w:divBdr>
                                                        <w:top w:val="none" w:sz="0" w:space="0" w:color="auto"/>
                                                        <w:left w:val="none" w:sz="0" w:space="0" w:color="auto"/>
                                                        <w:bottom w:val="none" w:sz="0" w:space="0" w:color="auto"/>
                                                        <w:right w:val="none" w:sz="0" w:space="0" w:color="auto"/>
                                                      </w:divBdr>
                                                      <w:divsChild>
                                                        <w:div w:id="414670212">
                                                          <w:marLeft w:val="0"/>
                                                          <w:marRight w:val="0"/>
                                                          <w:marTop w:val="0"/>
                                                          <w:marBottom w:val="0"/>
                                                          <w:divBdr>
                                                            <w:top w:val="none" w:sz="0" w:space="0" w:color="auto"/>
                                                            <w:left w:val="none" w:sz="0" w:space="0" w:color="auto"/>
                                                            <w:bottom w:val="none" w:sz="0" w:space="0" w:color="auto"/>
                                                            <w:right w:val="none" w:sz="0" w:space="0" w:color="auto"/>
                                                          </w:divBdr>
                                                          <w:divsChild>
                                                            <w:div w:id="143669843">
                                                              <w:marLeft w:val="0"/>
                                                              <w:marRight w:val="0"/>
                                                              <w:marTop w:val="0"/>
                                                              <w:marBottom w:val="0"/>
                                                              <w:divBdr>
                                                                <w:top w:val="none" w:sz="0" w:space="0" w:color="auto"/>
                                                                <w:left w:val="none" w:sz="0" w:space="0" w:color="auto"/>
                                                                <w:bottom w:val="none" w:sz="0" w:space="0" w:color="auto"/>
                                                                <w:right w:val="none" w:sz="0" w:space="0" w:color="auto"/>
                                                              </w:divBdr>
                                                              <w:divsChild>
                                                                <w:div w:id="1087120350">
                                                                  <w:blockQuote w:val="1"/>
                                                                  <w:marLeft w:val="0"/>
                                                                  <w:marRight w:val="0"/>
                                                                  <w:marTop w:val="0"/>
                                                                  <w:marBottom w:val="0"/>
                                                                  <w:divBdr>
                                                                    <w:top w:val="none" w:sz="0" w:space="0" w:color="auto"/>
                                                                    <w:left w:val="single" w:sz="6" w:space="18" w:color="707070"/>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008488717">
          <w:marLeft w:val="0"/>
          <w:marRight w:val="0"/>
          <w:marTop w:val="0"/>
          <w:marBottom w:val="180"/>
          <w:divBdr>
            <w:top w:val="none" w:sz="0" w:space="0" w:color="auto"/>
            <w:left w:val="none" w:sz="0" w:space="0" w:color="auto"/>
            <w:bottom w:val="none" w:sz="0" w:space="0" w:color="auto"/>
            <w:right w:val="none" w:sz="0" w:space="0" w:color="auto"/>
          </w:divBdr>
          <w:divsChild>
            <w:div w:id="1615402003">
              <w:marLeft w:val="0"/>
              <w:marRight w:val="0"/>
              <w:marTop w:val="0"/>
              <w:marBottom w:val="0"/>
              <w:divBdr>
                <w:top w:val="none" w:sz="0" w:space="0" w:color="auto"/>
                <w:left w:val="none" w:sz="0" w:space="0" w:color="auto"/>
                <w:bottom w:val="none" w:sz="0" w:space="0" w:color="auto"/>
                <w:right w:val="none" w:sz="0" w:space="0" w:color="auto"/>
              </w:divBdr>
              <w:divsChild>
                <w:div w:id="1495797203">
                  <w:marLeft w:val="0"/>
                  <w:marRight w:val="0"/>
                  <w:marTop w:val="0"/>
                  <w:marBottom w:val="0"/>
                  <w:divBdr>
                    <w:top w:val="none" w:sz="0" w:space="0" w:color="auto"/>
                    <w:left w:val="none" w:sz="0" w:space="0" w:color="auto"/>
                    <w:bottom w:val="none" w:sz="0" w:space="0" w:color="auto"/>
                    <w:right w:val="none" w:sz="0" w:space="0" w:color="auto"/>
                  </w:divBdr>
                  <w:divsChild>
                    <w:div w:id="1465392726">
                      <w:marLeft w:val="0"/>
                      <w:marRight w:val="0"/>
                      <w:marTop w:val="0"/>
                      <w:marBottom w:val="0"/>
                      <w:divBdr>
                        <w:top w:val="none" w:sz="0" w:space="0" w:color="auto"/>
                        <w:left w:val="none" w:sz="0" w:space="0" w:color="auto"/>
                        <w:bottom w:val="none" w:sz="0" w:space="0" w:color="auto"/>
                        <w:right w:val="none" w:sz="0" w:space="0" w:color="auto"/>
                      </w:divBdr>
                      <w:divsChild>
                        <w:div w:id="1981031719">
                          <w:marLeft w:val="0"/>
                          <w:marRight w:val="0"/>
                          <w:marTop w:val="0"/>
                          <w:marBottom w:val="0"/>
                          <w:divBdr>
                            <w:top w:val="none" w:sz="0" w:space="0" w:color="auto"/>
                            <w:left w:val="none" w:sz="0" w:space="0" w:color="auto"/>
                            <w:bottom w:val="none" w:sz="0" w:space="0" w:color="auto"/>
                            <w:right w:val="none" w:sz="0" w:space="0" w:color="auto"/>
                          </w:divBdr>
                          <w:divsChild>
                            <w:div w:id="672881136">
                              <w:marLeft w:val="0"/>
                              <w:marRight w:val="0"/>
                              <w:marTop w:val="0"/>
                              <w:marBottom w:val="0"/>
                              <w:divBdr>
                                <w:top w:val="none" w:sz="0" w:space="0" w:color="auto"/>
                                <w:left w:val="none" w:sz="0" w:space="0" w:color="auto"/>
                                <w:bottom w:val="none" w:sz="0" w:space="0" w:color="auto"/>
                                <w:right w:val="none" w:sz="0" w:space="0" w:color="auto"/>
                              </w:divBdr>
                              <w:divsChild>
                                <w:div w:id="302079043">
                                  <w:marLeft w:val="0"/>
                                  <w:marRight w:val="0"/>
                                  <w:marTop w:val="0"/>
                                  <w:marBottom w:val="480"/>
                                  <w:divBdr>
                                    <w:top w:val="none" w:sz="0" w:space="0" w:color="auto"/>
                                    <w:left w:val="none" w:sz="0" w:space="0" w:color="auto"/>
                                    <w:bottom w:val="none" w:sz="0" w:space="0" w:color="auto"/>
                                    <w:right w:val="none" w:sz="0" w:space="0" w:color="auto"/>
                                  </w:divBdr>
                                  <w:divsChild>
                                    <w:div w:id="1645113422">
                                      <w:marLeft w:val="0"/>
                                      <w:marRight w:val="0"/>
                                      <w:marTop w:val="0"/>
                                      <w:marBottom w:val="0"/>
                                      <w:divBdr>
                                        <w:top w:val="none" w:sz="0" w:space="0" w:color="auto"/>
                                        <w:left w:val="none" w:sz="0" w:space="0" w:color="auto"/>
                                        <w:bottom w:val="none" w:sz="0" w:space="0" w:color="auto"/>
                                        <w:right w:val="none" w:sz="0" w:space="0" w:color="auto"/>
                                      </w:divBdr>
                                      <w:divsChild>
                                        <w:div w:id="1865825357">
                                          <w:marLeft w:val="0"/>
                                          <w:marRight w:val="0"/>
                                          <w:marTop w:val="0"/>
                                          <w:marBottom w:val="0"/>
                                          <w:divBdr>
                                            <w:top w:val="none" w:sz="0" w:space="0" w:color="auto"/>
                                            <w:left w:val="none" w:sz="0" w:space="0" w:color="auto"/>
                                            <w:bottom w:val="none" w:sz="0" w:space="0" w:color="auto"/>
                                            <w:right w:val="none" w:sz="0" w:space="0" w:color="auto"/>
                                          </w:divBdr>
                                          <w:divsChild>
                                            <w:div w:id="559941178">
                                              <w:marLeft w:val="0"/>
                                              <w:marRight w:val="0"/>
                                              <w:marTop w:val="0"/>
                                              <w:marBottom w:val="0"/>
                                              <w:divBdr>
                                                <w:top w:val="none" w:sz="0" w:space="0" w:color="auto"/>
                                                <w:left w:val="none" w:sz="0" w:space="0" w:color="auto"/>
                                                <w:bottom w:val="none" w:sz="0" w:space="0" w:color="auto"/>
                                                <w:right w:val="none" w:sz="0" w:space="0" w:color="auto"/>
                                              </w:divBdr>
                                              <w:divsChild>
                                                <w:div w:id="1400909578">
                                                  <w:marLeft w:val="0"/>
                                                  <w:marRight w:val="0"/>
                                                  <w:marTop w:val="0"/>
                                                  <w:marBottom w:val="0"/>
                                                  <w:divBdr>
                                                    <w:top w:val="none" w:sz="0" w:space="0" w:color="auto"/>
                                                    <w:left w:val="none" w:sz="0" w:space="0" w:color="auto"/>
                                                    <w:bottom w:val="none" w:sz="0" w:space="0" w:color="auto"/>
                                                    <w:right w:val="none" w:sz="0" w:space="0" w:color="auto"/>
                                                  </w:divBdr>
                                                  <w:divsChild>
                                                    <w:div w:id="1341548580">
                                                      <w:marLeft w:val="0"/>
                                                      <w:marRight w:val="0"/>
                                                      <w:marTop w:val="0"/>
                                                      <w:marBottom w:val="0"/>
                                                      <w:divBdr>
                                                        <w:top w:val="none" w:sz="0" w:space="0" w:color="auto"/>
                                                        <w:left w:val="none" w:sz="0" w:space="0" w:color="auto"/>
                                                        <w:bottom w:val="none" w:sz="0" w:space="0" w:color="auto"/>
                                                        <w:right w:val="none" w:sz="0" w:space="0" w:color="auto"/>
                                                      </w:divBdr>
                                                      <w:divsChild>
                                                        <w:div w:id="260380522">
                                                          <w:marLeft w:val="0"/>
                                                          <w:marRight w:val="0"/>
                                                          <w:marTop w:val="0"/>
                                                          <w:marBottom w:val="0"/>
                                                          <w:divBdr>
                                                            <w:top w:val="none" w:sz="0" w:space="0" w:color="auto"/>
                                                            <w:left w:val="none" w:sz="0" w:space="0" w:color="auto"/>
                                                            <w:bottom w:val="none" w:sz="0" w:space="0" w:color="auto"/>
                                                            <w:right w:val="none" w:sz="0" w:space="0" w:color="auto"/>
                                                          </w:divBdr>
                                                          <w:divsChild>
                                                            <w:div w:id="469371798">
                                                              <w:marLeft w:val="0"/>
                                                              <w:marRight w:val="0"/>
                                                              <w:marTop w:val="0"/>
                                                              <w:marBottom w:val="0"/>
                                                              <w:divBdr>
                                                                <w:top w:val="none" w:sz="0" w:space="0" w:color="auto"/>
                                                                <w:left w:val="none" w:sz="0" w:space="0" w:color="auto"/>
                                                                <w:bottom w:val="none" w:sz="0" w:space="0" w:color="auto"/>
                                                                <w:right w:val="none" w:sz="0" w:space="0" w:color="auto"/>
                                                              </w:divBdr>
                                                              <w:divsChild>
                                                                <w:div w:id="1891261961">
                                                                  <w:marLeft w:val="0"/>
                                                                  <w:marRight w:val="0"/>
                                                                  <w:marTop w:val="0"/>
                                                                  <w:marBottom w:val="0"/>
                                                                  <w:divBdr>
                                                                    <w:top w:val="none" w:sz="0" w:space="0" w:color="auto"/>
                                                                    <w:left w:val="none" w:sz="0" w:space="0" w:color="auto"/>
                                                                    <w:bottom w:val="none" w:sz="0" w:space="0" w:color="auto"/>
                                                                    <w:right w:val="none" w:sz="0" w:space="0" w:color="auto"/>
                                                                  </w:divBdr>
                                                                  <w:divsChild>
                                                                    <w:div w:id="715275188">
                                                                      <w:blockQuote w:val="1"/>
                                                                      <w:marLeft w:val="0"/>
                                                                      <w:marRight w:val="0"/>
                                                                      <w:marTop w:val="0"/>
                                                                      <w:marBottom w:val="0"/>
                                                                      <w:divBdr>
                                                                        <w:top w:val="none" w:sz="0" w:space="0" w:color="auto"/>
                                                                        <w:left w:val="single" w:sz="6" w:space="18" w:color="707070"/>
                                                                        <w:bottom w:val="none" w:sz="0" w:space="0" w:color="auto"/>
                                                                        <w:right w:val="none" w:sz="0" w:space="0" w:color="auto"/>
                                                                      </w:divBdr>
                                                                    </w:div>
                                                                  </w:divsChild>
                                                                </w:div>
                                                              </w:divsChild>
                                                            </w:div>
                                                          </w:divsChild>
                                                        </w:div>
                                                      </w:divsChild>
                                                    </w:div>
                                                  </w:divsChild>
                                                </w:div>
                                              </w:divsChild>
                                            </w:div>
                                          </w:divsChild>
                                        </w:div>
                                      </w:divsChild>
                                    </w:div>
                                  </w:divsChild>
                                </w:div>
                                <w:div w:id="1742410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0440561">
      <w:bodyDiv w:val="1"/>
      <w:marLeft w:val="0"/>
      <w:marRight w:val="0"/>
      <w:marTop w:val="0"/>
      <w:marBottom w:val="0"/>
      <w:divBdr>
        <w:top w:val="none" w:sz="0" w:space="0" w:color="auto"/>
        <w:left w:val="none" w:sz="0" w:space="0" w:color="auto"/>
        <w:bottom w:val="none" w:sz="0" w:space="0" w:color="auto"/>
        <w:right w:val="none" w:sz="0" w:space="0" w:color="auto"/>
      </w:divBdr>
    </w:div>
    <w:div w:id="1831558842">
      <w:bodyDiv w:val="1"/>
      <w:marLeft w:val="0"/>
      <w:marRight w:val="0"/>
      <w:marTop w:val="0"/>
      <w:marBottom w:val="0"/>
      <w:divBdr>
        <w:top w:val="none" w:sz="0" w:space="0" w:color="auto"/>
        <w:left w:val="none" w:sz="0" w:space="0" w:color="auto"/>
        <w:bottom w:val="none" w:sz="0" w:space="0" w:color="auto"/>
        <w:right w:val="none" w:sz="0" w:space="0" w:color="auto"/>
      </w:divBdr>
    </w:div>
    <w:div w:id="1843617788">
      <w:bodyDiv w:val="1"/>
      <w:marLeft w:val="0"/>
      <w:marRight w:val="0"/>
      <w:marTop w:val="0"/>
      <w:marBottom w:val="0"/>
      <w:divBdr>
        <w:top w:val="none" w:sz="0" w:space="0" w:color="auto"/>
        <w:left w:val="none" w:sz="0" w:space="0" w:color="auto"/>
        <w:bottom w:val="none" w:sz="0" w:space="0" w:color="auto"/>
        <w:right w:val="none" w:sz="0" w:space="0" w:color="auto"/>
      </w:divBdr>
    </w:div>
    <w:div w:id="1850286815">
      <w:bodyDiv w:val="1"/>
      <w:marLeft w:val="0"/>
      <w:marRight w:val="0"/>
      <w:marTop w:val="0"/>
      <w:marBottom w:val="0"/>
      <w:divBdr>
        <w:top w:val="none" w:sz="0" w:space="0" w:color="auto"/>
        <w:left w:val="none" w:sz="0" w:space="0" w:color="auto"/>
        <w:bottom w:val="none" w:sz="0" w:space="0" w:color="auto"/>
        <w:right w:val="none" w:sz="0" w:space="0" w:color="auto"/>
      </w:divBdr>
    </w:div>
    <w:div w:id="1870097277">
      <w:bodyDiv w:val="1"/>
      <w:marLeft w:val="0"/>
      <w:marRight w:val="0"/>
      <w:marTop w:val="0"/>
      <w:marBottom w:val="0"/>
      <w:divBdr>
        <w:top w:val="none" w:sz="0" w:space="0" w:color="auto"/>
        <w:left w:val="none" w:sz="0" w:space="0" w:color="auto"/>
        <w:bottom w:val="none" w:sz="0" w:space="0" w:color="auto"/>
        <w:right w:val="none" w:sz="0" w:space="0" w:color="auto"/>
      </w:divBdr>
    </w:div>
    <w:div w:id="1882669091">
      <w:bodyDiv w:val="1"/>
      <w:marLeft w:val="0"/>
      <w:marRight w:val="0"/>
      <w:marTop w:val="0"/>
      <w:marBottom w:val="0"/>
      <w:divBdr>
        <w:top w:val="none" w:sz="0" w:space="0" w:color="auto"/>
        <w:left w:val="none" w:sz="0" w:space="0" w:color="auto"/>
        <w:bottom w:val="none" w:sz="0" w:space="0" w:color="auto"/>
        <w:right w:val="none" w:sz="0" w:space="0" w:color="auto"/>
      </w:divBdr>
    </w:div>
    <w:div w:id="1891765547">
      <w:bodyDiv w:val="1"/>
      <w:marLeft w:val="0"/>
      <w:marRight w:val="0"/>
      <w:marTop w:val="0"/>
      <w:marBottom w:val="0"/>
      <w:divBdr>
        <w:top w:val="none" w:sz="0" w:space="0" w:color="auto"/>
        <w:left w:val="none" w:sz="0" w:space="0" w:color="auto"/>
        <w:bottom w:val="none" w:sz="0" w:space="0" w:color="auto"/>
        <w:right w:val="none" w:sz="0" w:space="0" w:color="auto"/>
      </w:divBdr>
    </w:div>
    <w:div w:id="1892156827">
      <w:bodyDiv w:val="1"/>
      <w:marLeft w:val="0"/>
      <w:marRight w:val="0"/>
      <w:marTop w:val="0"/>
      <w:marBottom w:val="0"/>
      <w:divBdr>
        <w:top w:val="none" w:sz="0" w:space="0" w:color="auto"/>
        <w:left w:val="none" w:sz="0" w:space="0" w:color="auto"/>
        <w:bottom w:val="none" w:sz="0" w:space="0" w:color="auto"/>
        <w:right w:val="none" w:sz="0" w:space="0" w:color="auto"/>
      </w:divBdr>
      <w:divsChild>
        <w:div w:id="1318268520">
          <w:marLeft w:val="0"/>
          <w:marRight w:val="0"/>
          <w:marTop w:val="0"/>
          <w:marBottom w:val="0"/>
          <w:divBdr>
            <w:top w:val="none" w:sz="0" w:space="0" w:color="auto"/>
            <w:left w:val="none" w:sz="0" w:space="0" w:color="auto"/>
            <w:bottom w:val="none" w:sz="0" w:space="0" w:color="auto"/>
            <w:right w:val="none" w:sz="0" w:space="0" w:color="auto"/>
          </w:divBdr>
        </w:div>
      </w:divsChild>
    </w:div>
    <w:div w:id="1901792259">
      <w:bodyDiv w:val="1"/>
      <w:marLeft w:val="0"/>
      <w:marRight w:val="0"/>
      <w:marTop w:val="0"/>
      <w:marBottom w:val="0"/>
      <w:divBdr>
        <w:top w:val="none" w:sz="0" w:space="0" w:color="auto"/>
        <w:left w:val="none" w:sz="0" w:space="0" w:color="auto"/>
        <w:bottom w:val="none" w:sz="0" w:space="0" w:color="auto"/>
        <w:right w:val="none" w:sz="0" w:space="0" w:color="auto"/>
      </w:divBdr>
      <w:divsChild>
        <w:div w:id="1662738405">
          <w:marLeft w:val="0"/>
          <w:marRight w:val="0"/>
          <w:marTop w:val="0"/>
          <w:marBottom w:val="0"/>
          <w:divBdr>
            <w:top w:val="none" w:sz="0" w:space="0" w:color="auto"/>
            <w:left w:val="none" w:sz="0" w:space="0" w:color="auto"/>
            <w:bottom w:val="none" w:sz="0" w:space="0" w:color="auto"/>
            <w:right w:val="none" w:sz="0" w:space="0" w:color="auto"/>
          </w:divBdr>
        </w:div>
      </w:divsChild>
    </w:div>
    <w:div w:id="1915503624">
      <w:bodyDiv w:val="1"/>
      <w:marLeft w:val="0"/>
      <w:marRight w:val="0"/>
      <w:marTop w:val="0"/>
      <w:marBottom w:val="0"/>
      <w:divBdr>
        <w:top w:val="none" w:sz="0" w:space="0" w:color="auto"/>
        <w:left w:val="none" w:sz="0" w:space="0" w:color="auto"/>
        <w:bottom w:val="none" w:sz="0" w:space="0" w:color="auto"/>
        <w:right w:val="none" w:sz="0" w:space="0" w:color="auto"/>
      </w:divBdr>
    </w:div>
    <w:div w:id="1963614792">
      <w:bodyDiv w:val="1"/>
      <w:marLeft w:val="0"/>
      <w:marRight w:val="0"/>
      <w:marTop w:val="0"/>
      <w:marBottom w:val="0"/>
      <w:divBdr>
        <w:top w:val="none" w:sz="0" w:space="0" w:color="auto"/>
        <w:left w:val="none" w:sz="0" w:space="0" w:color="auto"/>
        <w:bottom w:val="none" w:sz="0" w:space="0" w:color="auto"/>
        <w:right w:val="none" w:sz="0" w:space="0" w:color="auto"/>
      </w:divBdr>
      <w:divsChild>
        <w:div w:id="1863089277">
          <w:marLeft w:val="0"/>
          <w:marRight w:val="0"/>
          <w:marTop w:val="0"/>
          <w:marBottom w:val="0"/>
          <w:divBdr>
            <w:top w:val="none" w:sz="0" w:space="0" w:color="auto"/>
            <w:left w:val="none" w:sz="0" w:space="0" w:color="auto"/>
            <w:bottom w:val="none" w:sz="0" w:space="0" w:color="auto"/>
            <w:right w:val="none" w:sz="0" w:space="0" w:color="auto"/>
          </w:divBdr>
        </w:div>
      </w:divsChild>
    </w:div>
    <w:div w:id="1970740355">
      <w:bodyDiv w:val="1"/>
      <w:marLeft w:val="0"/>
      <w:marRight w:val="0"/>
      <w:marTop w:val="0"/>
      <w:marBottom w:val="0"/>
      <w:divBdr>
        <w:top w:val="none" w:sz="0" w:space="0" w:color="auto"/>
        <w:left w:val="none" w:sz="0" w:space="0" w:color="auto"/>
        <w:bottom w:val="none" w:sz="0" w:space="0" w:color="auto"/>
        <w:right w:val="none" w:sz="0" w:space="0" w:color="auto"/>
      </w:divBdr>
    </w:div>
    <w:div w:id="1982810334">
      <w:bodyDiv w:val="1"/>
      <w:marLeft w:val="0"/>
      <w:marRight w:val="0"/>
      <w:marTop w:val="0"/>
      <w:marBottom w:val="0"/>
      <w:divBdr>
        <w:top w:val="none" w:sz="0" w:space="0" w:color="auto"/>
        <w:left w:val="none" w:sz="0" w:space="0" w:color="auto"/>
        <w:bottom w:val="none" w:sz="0" w:space="0" w:color="auto"/>
        <w:right w:val="none" w:sz="0" w:space="0" w:color="auto"/>
      </w:divBdr>
    </w:div>
    <w:div w:id="1989095501">
      <w:bodyDiv w:val="1"/>
      <w:marLeft w:val="0"/>
      <w:marRight w:val="0"/>
      <w:marTop w:val="0"/>
      <w:marBottom w:val="0"/>
      <w:divBdr>
        <w:top w:val="none" w:sz="0" w:space="0" w:color="auto"/>
        <w:left w:val="none" w:sz="0" w:space="0" w:color="auto"/>
        <w:bottom w:val="none" w:sz="0" w:space="0" w:color="auto"/>
        <w:right w:val="none" w:sz="0" w:space="0" w:color="auto"/>
      </w:divBdr>
    </w:div>
    <w:div w:id="2001885433">
      <w:bodyDiv w:val="1"/>
      <w:marLeft w:val="0"/>
      <w:marRight w:val="0"/>
      <w:marTop w:val="0"/>
      <w:marBottom w:val="0"/>
      <w:divBdr>
        <w:top w:val="none" w:sz="0" w:space="0" w:color="auto"/>
        <w:left w:val="none" w:sz="0" w:space="0" w:color="auto"/>
        <w:bottom w:val="none" w:sz="0" w:space="0" w:color="auto"/>
        <w:right w:val="none" w:sz="0" w:space="0" w:color="auto"/>
      </w:divBdr>
    </w:div>
    <w:div w:id="2014645485">
      <w:bodyDiv w:val="1"/>
      <w:marLeft w:val="0"/>
      <w:marRight w:val="0"/>
      <w:marTop w:val="0"/>
      <w:marBottom w:val="0"/>
      <w:divBdr>
        <w:top w:val="none" w:sz="0" w:space="0" w:color="auto"/>
        <w:left w:val="none" w:sz="0" w:space="0" w:color="auto"/>
        <w:bottom w:val="none" w:sz="0" w:space="0" w:color="auto"/>
        <w:right w:val="none" w:sz="0" w:space="0" w:color="auto"/>
      </w:divBdr>
    </w:div>
    <w:div w:id="2020505677">
      <w:bodyDiv w:val="1"/>
      <w:marLeft w:val="0"/>
      <w:marRight w:val="0"/>
      <w:marTop w:val="0"/>
      <w:marBottom w:val="0"/>
      <w:divBdr>
        <w:top w:val="none" w:sz="0" w:space="0" w:color="auto"/>
        <w:left w:val="none" w:sz="0" w:space="0" w:color="auto"/>
        <w:bottom w:val="none" w:sz="0" w:space="0" w:color="auto"/>
        <w:right w:val="none" w:sz="0" w:space="0" w:color="auto"/>
      </w:divBdr>
      <w:divsChild>
        <w:div w:id="1343825846">
          <w:marLeft w:val="0"/>
          <w:marRight w:val="0"/>
          <w:marTop w:val="0"/>
          <w:marBottom w:val="0"/>
          <w:divBdr>
            <w:top w:val="none" w:sz="0" w:space="0" w:color="auto"/>
            <w:left w:val="none" w:sz="0" w:space="0" w:color="auto"/>
            <w:bottom w:val="none" w:sz="0" w:space="0" w:color="auto"/>
            <w:right w:val="none" w:sz="0" w:space="0" w:color="auto"/>
          </w:divBdr>
        </w:div>
      </w:divsChild>
    </w:div>
    <w:div w:id="2043162328">
      <w:bodyDiv w:val="1"/>
      <w:marLeft w:val="0"/>
      <w:marRight w:val="0"/>
      <w:marTop w:val="0"/>
      <w:marBottom w:val="0"/>
      <w:divBdr>
        <w:top w:val="none" w:sz="0" w:space="0" w:color="auto"/>
        <w:left w:val="none" w:sz="0" w:space="0" w:color="auto"/>
        <w:bottom w:val="none" w:sz="0" w:space="0" w:color="auto"/>
        <w:right w:val="none" w:sz="0" w:space="0" w:color="auto"/>
      </w:divBdr>
      <w:divsChild>
        <w:div w:id="1503472773">
          <w:marLeft w:val="0"/>
          <w:marRight w:val="0"/>
          <w:marTop w:val="0"/>
          <w:marBottom w:val="0"/>
          <w:divBdr>
            <w:top w:val="none" w:sz="0" w:space="0" w:color="auto"/>
            <w:left w:val="none" w:sz="0" w:space="0" w:color="auto"/>
            <w:bottom w:val="none" w:sz="0" w:space="0" w:color="auto"/>
            <w:right w:val="none" w:sz="0" w:space="0" w:color="auto"/>
          </w:divBdr>
        </w:div>
      </w:divsChild>
    </w:div>
    <w:div w:id="2096396458">
      <w:bodyDiv w:val="1"/>
      <w:marLeft w:val="0"/>
      <w:marRight w:val="0"/>
      <w:marTop w:val="0"/>
      <w:marBottom w:val="0"/>
      <w:divBdr>
        <w:top w:val="none" w:sz="0" w:space="0" w:color="auto"/>
        <w:left w:val="none" w:sz="0" w:space="0" w:color="auto"/>
        <w:bottom w:val="none" w:sz="0" w:space="0" w:color="auto"/>
        <w:right w:val="none" w:sz="0" w:space="0" w:color="auto"/>
      </w:divBdr>
    </w:div>
    <w:div w:id="2111466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pglearn.co.uk/blog/human-resources/gen-z-at-work-how-they-compare-infographic/" TargetMode="External"/><Relationship Id="rId21" Type="http://schemas.openxmlformats.org/officeDocument/2006/relationships/hyperlink" Target="https://www.local.gov.uk/our-support/workforce-and-hr-support/recruitment-and-retention/council-research-talent-management" TargetMode="External"/><Relationship Id="rId42" Type="http://schemas.openxmlformats.org/officeDocument/2006/relationships/hyperlink" Target="https://www.local.gov.uk/our-support/workforce-and-hr-support/local-government-workforce-data/local-government-workforce" TargetMode="External"/><Relationship Id="rId47" Type="http://schemas.openxmlformats.org/officeDocument/2006/relationships/hyperlink" Target="https://doi.org/10.1007/978-3-031-66014-6" TargetMode="External"/><Relationship Id="rId63" Type="http://schemas.openxmlformats.org/officeDocument/2006/relationships/hyperlink" Target="https://mark1its.co.uk/leveraging-microsoft-forms-for-data-collection-surveys/" TargetMode="External"/><Relationship Id="rId68" Type="http://schemas.openxmlformats.org/officeDocument/2006/relationships/hyperlink" Target="https://www.ukri.org/councils/esrc/guidance-for-applicants/research-ethics-guidance/consent/" TargetMode="External"/><Relationship Id="rId16" Type="http://schemas.openxmlformats.org/officeDocument/2006/relationships/hyperlink" Target="https://www.cipd.org/uk/knowledge/factsheets/talent-factsheet/" TargetMode="External"/><Relationship Id="rId11" Type="http://schemas.openxmlformats.org/officeDocument/2006/relationships/hyperlink" Target="https://doi.org/10.1177/0886368720954803" TargetMode="External"/><Relationship Id="rId32" Type="http://schemas.openxmlformats.org/officeDocument/2006/relationships/hyperlink" Target="https://doi.org/10.1007/s12144-022-03501-4" TargetMode="External"/><Relationship Id="rId37" Type="http://schemas.openxmlformats.org/officeDocument/2006/relationships/hyperlink" Target="https://doi.org/10.46287/SFWH7638" TargetMode="External"/><Relationship Id="rId53" Type="http://schemas.openxmlformats.org/officeDocument/2006/relationships/hyperlink" Target="https://doi.org/10.1108/IJIS-10-2020-0217" TargetMode="External"/><Relationship Id="rId58" Type="http://schemas.openxmlformats.org/officeDocument/2006/relationships/hyperlink" Target="https://libkey.io/libraries/1422/openurl?ctx_ver=Z39.88-2004&amp;ctx_enc=info:ofi/enc:UTF-8&amp;rfr_id=info:sid/ProQuest&amp;rft_val_fmt=journal&amp;rft.genre=article&amp;rft.jtitle=IPE+Journal+of+Management&amp;rft.atitle=Inclusive+vs+Exclusive+Approach+to+Talent+Management%253A+A+Review+Agenda&amp;rft.au=Roy%252C+Geeta+Shree%253BDevi%252C+V+Rama.&amp;rft.aulast=Roy&amp;rft.aufirst=Geeta&amp;rft.date=2017-07-01&amp;rft.volume=7&amp;rft.issue=2&amp;rft.spage=77&amp;rft.isbn=&amp;rft.btitle=&amp;rft.title=IPE+Journal+of+Management&amp;rft.issn=22499040&amp;rft_id=info:doi/" TargetMode="External"/><Relationship Id="rId74" Type="http://schemas.openxmlformats.org/officeDocument/2006/relationships/image" Target="media/image5.emf"/><Relationship Id="rId79" Type="http://schemas.openxmlformats.org/officeDocument/2006/relationships/package" Target="embeddings/Microsoft_Excel_Worksheet.xlsx"/><Relationship Id="rId5" Type="http://schemas.openxmlformats.org/officeDocument/2006/relationships/webSettings" Target="webSettings.xml"/><Relationship Id="rId61" Type="http://schemas.openxmlformats.org/officeDocument/2006/relationships/hyperlink" Target="https://www.mckinsey.com/industries/public-sector/our-insights/shaping-tomorrows-talent-agenda-for-the-public-sector" TargetMode="External"/><Relationship Id="rId82" Type="http://schemas.openxmlformats.org/officeDocument/2006/relationships/fontTable" Target="fontTable.xml"/><Relationship Id="rId19" Type="http://schemas.openxmlformats.org/officeDocument/2006/relationships/hyperlink" Target="https://doi.org/10.1108/PR-12-2015-0321" TargetMode="External"/><Relationship Id="rId14" Type="http://schemas.openxmlformats.org/officeDocument/2006/relationships/hyperlink" Target="https://doi.org/10.1191/1478088706qp063oa" TargetMode="External"/><Relationship Id="rId22" Type="http://schemas.openxmlformats.org/officeDocument/2006/relationships/hyperlink" Target="https://doi.org/10.1080/19186444.2020.1741296" TargetMode="External"/><Relationship Id="rId27" Type="http://schemas.openxmlformats.org/officeDocument/2006/relationships/hyperlink" Target="https://www2.local.gov.uk/sites/default/files/documents/knowledge%20navigator%20and%20the%20demography%20of%20ageing.pdf" TargetMode="External"/><Relationship Id="rId30" Type="http://schemas.openxmlformats.org/officeDocument/2006/relationships/hyperlink" Target="https://www.mckinsey.com/industries/consumer-packaged-goods/our-insights/true-gen-generation-z-and-its-implications-for-companies" TargetMode="External"/><Relationship Id="rId35" Type="http://schemas.openxmlformats.org/officeDocument/2006/relationships/hyperlink" Target="https://doi.org/10.1108/BIJ-06-2020-0311" TargetMode="External"/><Relationship Id="rId43" Type="http://schemas.openxmlformats.org/officeDocument/2006/relationships/hyperlink" Target="https://doi.org/10.1080/03003930.2024.2417254" TargetMode="External"/><Relationship Id="rId48" Type="http://schemas.openxmlformats.org/officeDocument/2006/relationships/hyperlink" Target="https://www.newport.gov.uk/sites/default/files/media/media-documents/Procurement%20Strategy%202020-24_2.pdf" TargetMode="External"/><Relationship Id="rId56" Type="http://schemas.openxmlformats.org/officeDocument/2006/relationships/hyperlink" Target="https://www.staffingindustry.com/news/global-daily-news/young-uk-workers-more-eager-for-office-return-than-older-staff" TargetMode="External"/><Relationship Id="rId64" Type="http://schemas.openxmlformats.org/officeDocument/2006/relationships/hyperlink" Target="https://doi.org/10.1093/poq/nfad036" TargetMode="External"/><Relationship Id="rId69" Type="http://schemas.openxmlformats.org/officeDocument/2006/relationships/hyperlink" Target="https://uniswales.ac.uk/sites/default/files/2021-10/Solving-Future-Skills-Challenges-in-Wales%20%286%29.pdf" TargetMode="External"/><Relationship Id="rId77" Type="http://schemas.openxmlformats.org/officeDocument/2006/relationships/oleObject" Target="embeddings/oleObject1.bin"/><Relationship Id="rId8" Type="http://schemas.openxmlformats.org/officeDocument/2006/relationships/image" Target="media/image1.jpeg"/><Relationship Id="rId51" Type="http://schemas.openxmlformats.org/officeDocument/2006/relationships/hyperlink" Target="https://doi.org/10.1002/(SICI)1097-0266(199710)18:9" TargetMode="External"/><Relationship Id="rId72" Type="http://schemas.openxmlformats.org/officeDocument/2006/relationships/image" Target="media/image4.emf"/><Relationship Id="rId80"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s://doi.org/10.1080/09585192.2021.2001764" TargetMode="External"/><Relationship Id="rId17" Type="http://schemas.openxmlformats.org/officeDocument/2006/relationships/hyperlink" Target="https://www.cipd.org/en/knowledge/factsheets/strategic-hrm-factsheet/" TargetMode="External"/><Relationship Id="rId25" Type="http://schemas.openxmlformats.org/officeDocument/2006/relationships/hyperlink" Target="https://www.countycouncilsnetwork.org.uk/wp-content/uploads/County-Councils-Network-Workforce-of-the-Future_final.pdf" TargetMode="External"/><Relationship Id="rId33" Type="http://schemas.openxmlformats.org/officeDocument/2006/relationships/hyperlink" Target="https://doi.org/10.1016/j.cptl.2015.08.001" TargetMode="External"/><Relationship Id="rId38" Type="http://schemas.openxmlformats.org/officeDocument/2006/relationships/hyperlink" Target="https://doi.org/10.1080/14719037.2019.1638439" TargetMode="External"/><Relationship Id="rId46" Type="http://schemas.openxmlformats.org/officeDocument/2006/relationships/hyperlink" Target="https://www.mckinsey.com/industries/public-sector/our-insights/attracting-gen-z-talent-into-us-public-service" TargetMode="External"/><Relationship Id="rId59" Type="http://schemas.openxmlformats.org/officeDocument/2006/relationships/hyperlink" Target="https://doi.org/10.3390/su13020828" TargetMode="External"/><Relationship Id="rId67" Type="http://schemas.openxmlformats.org/officeDocument/2006/relationships/hyperlink" Target="https://www.prweb.com/releases/new-study-by-top-employers-institute-reveals-how-gen-z-is-shaping-the-future-of-work-302251679.html" TargetMode="External"/><Relationship Id="rId20" Type="http://schemas.openxmlformats.org/officeDocument/2006/relationships/hyperlink" Target="https://doi.org/10.1080/09585192.2017.1396545" TargetMode="External"/><Relationship Id="rId41" Type="http://schemas.openxmlformats.org/officeDocument/2006/relationships/hyperlink" Target="https://www.local.gov.uk/sites/default/files/documents/three-dimensions-workforc-7fb.pdf" TargetMode="External"/><Relationship Id="rId54" Type="http://schemas.openxmlformats.org/officeDocument/2006/relationships/hyperlink" Target="https://uniswales.ac.uk/sites/default/files/2021-10/Solving-Future-Skills-Challenges-in-Wales%20%286%29.pdf" TargetMode="External"/><Relationship Id="rId62" Type="http://schemas.openxmlformats.org/officeDocument/2006/relationships/hyperlink" Target="https://www.silicon.co.uk/press-release/new-research-finds-65-of-generation-z-is-eager-for-professional-development-and-career-growth-challenging-stereotypes-toward-newest-members-of-the-workforce" TargetMode="External"/><Relationship Id="rId70" Type="http://schemas.openxmlformats.org/officeDocument/2006/relationships/hyperlink" Target="https://www.gov.wales/number-staff-welsh-government" TargetMode="External"/><Relationship Id="rId75" Type="http://schemas.openxmlformats.org/officeDocument/2006/relationships/package" Target="embeddings/Microsoft_Word_Document1.docx"/><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177/009102600803700403" TargetMode="External"/><Relationship Id="rId23" Type="http://schemas.openxmlformats.org/officeDocument/2006/relationships/hyperlink" Target="https://www.createpay.com/study-different-generations-attitude-to-work-in-the-uk/" TargetMode="External"/><Relationship Id="rId28" Type="http://schemas.openxmlformats.org/officeDocument/2006/relationships/hyperlink" Target="https://www.forvismazars.com/uk/en/industries/public-social-sector/public-and-social-sector-insights/recruitment-crisis-in-the-public-and-social-sector" TargetMode="External"/><Relationship Id="rId36" Type="http://schemas.openxmlformats.org/officeDocument/2006/relationships/hyperlink" Target="https://7551541.fs1.hubspotusercontent-na1.net/hubfs/7551541/Downloadable%20resources%20for%20clients/Jobs%20Go%20Public%20Whats%20Your%20Story%20Digital%20Booklet%20EVP.pdf" TargetMode="External"/><Relationship Id="rId49" Type="http://schemas.openxmlformats.org/officeDocument/2006/relationships/hyperlink" Target="https://www.eipa.eu/wp-content/uploads/2022/04/Ageing-and-talent-management-in-European-pub-admin_OECD-Slovenia.pdf" TargetMode="External"/><Relationship Id="rId57" Type="http://schemas.openxmlformats.org/officeDocument/2006/relationships/hyperlink" Target="https://www.proquest.com/scholarly-journals/inclusive-vs-exclusive-approach-talent-management/docview/2234979737/se-2?accountid=130472" TargetMode="External"/><Relationship Id="rId10" Type="http://schemas.openxmlformats.org/officeDocument/2006/relationships/image" Target="media/image3.png"/><Relationship Id="rId31" Type="http://schemas.openxmlformats.org/officeDocument/2006/relationships/hyperlink" Target="https://www.cipd.org/uk/views-and-insights/thought-leadership/the-world-of-work/generational-differences/" TargetMode="External"/><Relationship Id="rId44" Type="http://schemas.openxmlformats.org/officeDocument/2006/relationships/hyperlink" Target="https://www.marshmma.com/us/insights/details/generations-in-the-workplace.html" TargetMode="External"/><Relationship Id="rId52" Type="http://schemas.openxmlformats.org/officeDocument/2006/relationships/hyperlink" Target="https://university.open.ac.uk/wales/en/news/mind-gap-employers-and-gen-z-out-sync-skills" TargetMode="External"/><Relationship Id="rId60" Type="http://schemas.openxmlformats.org/officeDocument/2006/relationships/hyperlink" Target="https://doi.org/10.1177/0008125619841006" TargetMode="External"/><Relationship Id="rId65" Type="http://schemas.openxmlformats.org/officeDocument/2006/relationships/hyperlink" Target="https://www.mckinsey.com/capabilities/people-and-organizational-performance/how-we-help-clients/talent" TargetMode="External"/><Relationship Id="rId73" Type="http://schemas.openxmlformats.org/officeDocument/2006/relationships/package" Target="embeddings/Microsoft_Word_Document.docx"/><Relationship Id="rId78" Type="http://schemas.openxmlformats.org/officeDocument/2006/relationships/image" Target="media/image7.emf"/><Relationship Id="rId8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www.audit.wales/publication/springing-forward-lessons-our-work-workforce-and-assets" TargetMode="External"/><Relationship Id="rId18" Type="http://schemas.openxmlformats.org/officeDocument/2006/relationships/hyperlink" Target="https://www.civica.com/en-gb/reports/all-uk-reports/the-future-of-local-government-report-2025" TargetMode="External"/><Relationship Id="rId39" Type="http://schemas.openxmlformats.org/officeDocument/2006/relationships/hyperlink" Target="https://doi.org/10.31098/bmss.v4i1.857" TargetMode="External"/><Relationship Id="rId34" Type="http://schemas.openxmlformats.org/officeDocument/2006/relationships/hyperlink" Target="https://www.deloitte.com/us/en/insights/industry/government-public-sector-services/hybrid-work-challenges.html" TargetMode="External"/><Relationship Id="rId50" Type="http://schemas.openxmlformats.org/officeDocument/2006/relationships/hyperlink" Target="https://www.ons.gov.uk/visualisations/censusareachanges/W06000022/" TargetMode="External"/><Relationship Id="rId55" Type="http://schemas.openxmlformats.org/officeDocument/2006/relationships/hyperlink" Target="https://www.driveresearch.com/market-research-company-blog/market-research-with-generation-z/" TargetMode="External"/><Relationship Id="rId76" Type="http://schemas.openxmlformats.org/officeDocument/2006/relationships/image" Target="media/image6.emf"/><Relationship Id="rId7" Type="http://schemas.openxmlformats.org/officeDocument/2006/relationships/endnotes" Target="endnotes.xml"/><Relationship Id="rId71" Type="http://schemas.openxmlformats.org/officeDocument/2006/relationships/hyperlink" Target="https://doi.org/10.4102/sajip.v51i0.2263" TargetMode="External"/><Relationship Id="rId2" Type="http://schemas.openxmlformats.org/officeDocument/2006/relationships/numbering" Target="numbering.xml"/><Relationship Id="rId29" Type="http://schemas.openxmlformats.org/officeDocument/2006/relationships/hyperlink" Target="https://www.forvismazars.com/uk/en/industries/public-social-sector/our-public-and-social-sector-reports/public-sector-in-focus-charting-the-road-ahead" TargetMode="External"/><Relationship Id="rId24" Type="http://schemas.openxmlformats.org/officeDocument/2006/relationships/hyperlink" Target="https://doi.org/10.3390/admsci14030049" TargetMode="External"/><Relationship Id="rId40" Type="http://schemas.openxmlformats.org/officeDocument/2006/relationships/hyperlink" Target="https://www.local.gov.uk/our-support/workforce-and-hr-support/local-government-workforce-data/local-government-workforce" TargetMode="External"/><Relationship Id="rId45" Type="http://schemas.openxmlformats.org/officeDocument/2006/relationships/hyperlink" Target="https://www.forvismazars.com/uk/en/industries/public-social-sector/public-and-social-sector-insights/recruitment-crisis-in-the-public-and-social-sector" TargetMode="External"/><Relationship Id="rId66" Type="http://schemas.openxmlformats.org/officeDocument/2006/relationships/hyperlink" Target="https://doi.org/10.1177/009102601772157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B74623-808A-4758-AE74-1D893CC971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70</Pages>
  <Words>20329</Words>
  <Characters>137428</Characters>
  <Application>Microsoft Office Word</Application>
  <DocSecurity>0</DocSecurity>
  <Lines>1991</Lines>
  <Paragraphs>347</Paragraphs>
  <ScaleCrop>false</ScaleCrop>
  <HeadingPairs>
    <vt:vector size="2" baseType="variant">
      <vt:variant>
        <vt:lpstr>Title</vt:lpstr>
      </vt:variant>
      <vt:variant>
        <vt:i4>1</vt:i4>
      </vt:variant>
    </vt:vector>
  </HeadingPairs>
  <TitlesOfParts>
    <vt:vector size="1" baseType="lpstr">
      <vt:lpstr>Reshaping the strategic direction by focussing on customer care RIVER ISLAND                                     BMMB7027D</vt:lpstr>
    </vt:vector>
  </TitlesOfParts>
  <Company>Shared Resource Service Wales</Company>
  <LinksUpToDate>false</LinksUpToDate>
  <CharactersWithSpaces>157410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Reshaping the strategic direction by focussing on customer care RIVER ISLAND                                     BMMB7027D</dc:title>
  <dc:subject/>
  <dc:creator>Grey, Paige (Customer Services Team Leader)</dc:creator>
  <cp:keywords/>
  <dc:description/>
  <cp:lastModifiedBy>Grey, Paige (Project Manager)</cp:lastModifiedBy>
  <cp:revision>10</cp:revision>
  <dcterms:created xsi:type="dcterms:W3CDTF">2026-06-22T13:58:00Z</dcterms:created>
  <dcterms:modified xsi:type="dcterms:W3CDTF">2026-06-22T15:25:00Z</dcterms:modified>
</cp:coreProperties>
</file>