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CA52E2" w:rsidP="42CA52E2" w:rsidRDefault="42CA52E2" w14:paraId="775B1024" w14:textId="54146773">
      <w:pPr>
        <w:rPr>
          <w:noProof w:val="0"/>
          <w:sz w:val="24"/>
          <w:szCs w:val="24"/>
          <w:lang w:val="pt-PT"/>
        </w:rPr>
      </w:pPr>
      <w:r w:rsidRPr="42CA52E2" w:rsidR="42CA52E2">
        <w:rPr>
          <w:b w:val="1"/>
          <w:bCs w:val="1"/>
          <w:noProof w:val="0"/>
          <w:sz w:val="24"/>
          <w:szCs w:val="24"/>
          <w:lang w:val="pt-PT"/>
        </w:rPr>
        <w:t>INTRODUCTION TO HEALTH AND SOCIAL CARE (BMHP3002)</w:t>
      </w:r>
    </w:p>
    <w:p w:rsidR="42CA52E2" w:rsidP="42CA52E2" w:rsidRDefault="42CA52E2" w14:paraId="669FA465" w14:textId="74E28CA0">
      <w:pPr>
        <w:pStyle w:val="Normal"/>
        <w:rPr>
          <w:noProof w:val="0"/>
          <w:sz w:val="24"/>
          <w:szCs w:val="24"/>
          <w:lang w:val="pt-PT"/>
        </w:rPr>
      </w:pPr>
      <w:r w:rsidRPr="42CA52E2" w:rsidR="42CA52E2">
        <w:rPr>
          <w:b w:val="1"/>
          <w:bCs w:val="1"/>
          <w:noProof w:val="0"/>
          <w:sz w:val="24"/>
          <w:szCs w:val="24"/>
          <w:lang w:val="pt-PT"/>
        </w:rPr>
        <w:t>STUDENT NAME: ALPHA SILLAH</w:t>
      </w:r>
    </w:p>
    <w:p w:rsidR="42CA52E2" w:rsidP="42CA52E2" w:rsidRDefault="42CA52E2" w14:paraId="2873BC78" w14:textId="22FCAE5A">
      <w:pPr>
        <w:pStyle w:val="Normal"/>
        <w:rPr>
          <w:noProof w:val="0"/>
          <w:sz w:val="24"/>
          <w:szCs w:val="24"/>
          <w:lang w:val="pt-PT"/>
        </w:rPr>
      </w:pPr>
      <w:r w:rsidRPr="42CA52E2" w:rsidR="42CA52E2">
        <w:rPr>
          <w:b w:val="1"/>
          <w:bCs w:val="1"/>
          <w:noProof w:val="0"/>
          <w:sz w:val="24"/>
          <w:szCs w:val="24"/>
          <w:lang w:val="pt-PT"/>
        </w:rPr>
        <w:t>STUDENT NUMBER: 1705038</w:t>
      </w:r>
    </w:p>
    <w:p w:rsidR="42CA52E2" w:rsidP="42CA52E2" w:rsidRDefault="42CA52E2" w14:paraId="770FD047" w14:textId="03F58E78">
      <w:pPr>
        <w:pStyle w:val="Normal"/>
        <w:rPr>
          <w:noProof/>
          <w:sz w:val="24"/>
          <w:szCs w:val="24"/>
          <w:lang w:val="en-GB"/>
        </w:rPr>
      </w:pPr>
      <w:r w:rsidRPr="42CA52E2" w:rsidR="42CA52E2">
        <w:rPr>
          <w:b w:val="1"/>
          <w:bCs w:val="1"/>
          <w:noProof/>
          <w:sz w:val="24"/>
          <w:szCs w:val="24"/>
          <w:lang w:val="en-GB"/>
        </w:rPr>
        <w:t>ASSIGNMENT</w:t>
      </w:r>
      <w:r w:rsidRPr="42CA52E2" w:rsidR="42CA52E2">
        <w:rPr>
          <w:noProof/>
          <w:sz w:val="24"/>
          <w:szCs w:val="24"/>
          <w:lang w:val="en-GB"/>
        </w:rPr>
        <w:t xml:space="preserve"> </w:t>
      </w:r>
      <w:r w:rsidRPr="42CA52E2" w:rsidR="42CA52E2">
        <w:rPr>
          <w:b w:val="1"/>
          <w:bCs w:val="1"/>
          <w:noProof/>
          <w:sz w:val="24"/>
          <w:szCs w:val="24"/>
          <w:lang w:val="en-GB"/>
        </w:rPr>
        <w:t>1</w:t>
      </w:r>
      <w:r w:rsidRPr="42CA52E2" w:rsidR="42CA52E2">
        <w:rPr>
          <w:noProof/>
          <w:sz w:val="24"/>
          <w:szCs w:val="24"/>
          <w:lang w:val="en-GB"/>
        </w:rPr>
        <w:t xml:space="preserve"> : </w:t>
      </w:r>
      <w:r w:rsidRPr="42CA52E2" w:rsidR="42CA52E2">
        <w:rPr>
          <w:b w:val="1"/>
          <w:bCs w:val="1"/>
          <w:noProof/>
          <w:sz w:val="24"/>
          <w:szCs w:val="24"/>
          <w:lang w:val="en-GB"/>
        </w:rPr>
        <w:t>THE REGULATION OF THE HEALTHCARE WITHIN BOITH WALES AND THE UNITED KINGDOM</w:t>
      </w:r>
    </w:p>
    <w:p w:rsidR="42CA52E2" w:rsidP="42CA52E2" w:rsidRDefault="42CA52E2" w14:paraId="426E114F" w14:textId="7BA9E475">
      <w:pPr>
        <w:pStyle w:val="Normal"/>
        <w:rPr>
          <w:noProof/>
          <w:sz w:val="24"/>
          <w:szCs w:val="24"/>
          <w:lang w:val="en-GB"/>
        </w:rPr>
      </w:pPr>
      <w:r w:rsidRPr="42CA52E2" w:rsidR="42CA52E2">
        <w:rPr>
          <w:b w:val="1"/>
          <w:bCs w:val="1"/>
          <w:noProof/>
          <w:sz w:val="24"/>
          <w:szCs w:val="24"/>
          <w:lang w:val="en-GB"/>
        </w:rPr>
        <w:t xml:space="preserve">INTRODUCTION: </w:t>
      </w:r>
      <w:r w:rsidRPr="42CA52E2" w:rsidR="42CA52E2">
        <w:rPr>
          <w:b w:val="0"/>
          <w:bCs w:val="0"/>
          <w:noProof/>
          <w:sz w:val="24"/>
          <w:szCs w:val="24"/>
          <w:lang w:val="en-GB"/>
        </w:rPr>
        <w:t>Health and social Care requires learners to develop their knowledge and skills of the development and care of individuals throughout the life cycle, from conception to old age. Learners will gain an understanding of how service provision in Wales and The United Kingdom support the development and well-being of individuals. A good service, cleanliness and prudent environment is essential to ensure that service users receive safe and effective care. This practice must be applied by health care providers and carers.  Health and Social exists to protect and reduce health inequalities for all (Doherty et al 2014).</w:t>
      </w:r>
    </w:p>
    <w:p w:rsidR="42CA52E2" w:rsidP="7DE92EEB" w:rsidRDefault="42CA52E2" w14:paraId="380E0F5D" w14:textId="5510B3FB">
      <w:pPr>
        <w:pStyle w:val="Normal"/>
        <w:rPr>
          <w:rFonts w:ascii="Calibri Light" w:hAnsi="Calibri Light" w:eastAsia="" w:cs=""/>
          <w:noProof/>
          <w:sz w:val="56"/>
          <w:szCs w:val="56"/>
          <w:lang w:val="en-GB"/>
        </w:rPr>
      </w:pPr>
      <w:r w:rsidRPr="7DE92EEB" w:rsidR="7DE92EEB">
        <w:rPr>
          <w:b w:val="1"/>
          <w:bCs w:val="1"/>
          <w:noProof/>
          <w:lang w:val="en-GB"/>
        </w:rPr>
        <w:t xml:space="preserve">MAIN BODY: </w:t>
      </w:r>
      <w:r w:rsidRPr="7DE92EEB" w:rsidR="7DE92EEB">
        <w:rPr>
          <w:b w:val="0"/>
          <w:bCs w:val="0"/>
          <w:noProof/>
          <w:lang w:val="en-GB"/>
        </w:rPr>
        <w:t xml:space="preserve">Students should be qualified with at least a 5 GCSE’s or with 2 A-levels to be able to undertake the job as Healthcare provider. Students may require to have some experiences in the workplace where they are looking for a job. Students should understand the basics, such as safety knowledge, safeguarding training and first aid. Staff need to undergo mandatory training because it sets the standard of good practice, ensure empathy, and compassion from staff and provide safe and high quality service for users, and the lack of these may have a negative impact on the healthcare settings (Cavendish 2013). </w:t>
      </w:r>
    </w:p>
    <w:p w:rsidR="42CA52E2" w:rsidP="42CA52E2" w:rsidRDefault="42CA52E2" w14:paraId="3FEBB3EF" w14:textId="10A948DD">
      <w:pPr>
        <w:pStyle w:val="Normal"/>
        <w:rPr>
          <w:rFonts w:ascii="Calibri Light" w:hAnsi="Calibri Light" w:eastAsia="" w:cs=""/>
          <w:noProof/>
          <w:sz w:val="56"/>
          <w:szCs w:val="56"/>
          <w:lang w:val="en-GB"/>
        </w:rPr>
      </w:pPr>
      <w:r w:rsidRPr="7DE92EEB" w:rsidR="7DE92EEB">
        <w:rPr>
          <w:b w:val="0"/>
          <w:bCs w:val="0"/>
          <w:noProof/>
          <w:lang w:val="en-GB"/>
        </w:rPr>
        <w:t xml:space="preserve"> The Health and Safety Executive (HSE) is the National Independent Regulator for Health and safety in the workplace, within both the public and private settings in both Wales and the UK. The Regulator works in collaboration with local authorities  inspect, investigate and when necessary may take legal action. Individuals need to put their trusts in the healthcare system, as well as individual health care workers</w:t>
      </w:r>
      <w:r w:rsidRPr="7DE92EEB" w:rsidR="7DE92EEB">
        <w:rPr>
          <w:noProof/>
          <w:sz w:val="24"/>
          <w:szCs w:val="24"/>
          <w:lang w:val="en-GB"/>
        </w:rPr>
        <w:t>. Individuals rely on healthcare system because they cannot rely on their own abilities, knowledge and efforts in order to gain enough information about service providers and the future (Mckibbin et al 2008)). Such trusts may put service user in a vulnerable situation, due to the risk of moving to a new environment. Hospitals and, care homes could expose risks of infections, as well conflicts of interest which could be a major concern for service users (Crawford 2011).</w:t>
      </w:r>
    </w:p>
    <w:p w:rsidR="42CA52E2" w:rsidP="42CA52E2" w:rsidRDefault="42CA52E2" w14:paraId="5F10B35F" w14:textId="0D4A1FF4">
      <w:pPr>
        <w:pStyle w:val="Normal"/>
        <w:rPr>
          <w:rFonts w:ascii="Calibri Light" w:hAnsi="Calibri Light" w:eastAsia="" w:cs=""/>
          <w:noProof/>
          <w:sz w:val="56"/>
          <w:szCs w:val="56"/>
          <w:lang w:val="en-GB"/>
        </w:rPr>
      </w:pPr>
      <w:r w:rsidRPr="42CA52E2" w:rsidR="42CA52E2">
        <w:rPr>
          <w:noProof/>
          <w:sz w:val="24"/>
          <w:szCs w:val="24"/>
          <w:lang w:val="en-GB"/>
        </w:rPr>
        <w:t>Full human prospering is reliant upon the reliability of moral relations, particularly love, regard and respect laid out through the battle for acknowledgement. It’s anything but luxury, yet indispensable human need (Taylor 1992, Anderson 1996). Recognising people’s own convictions and personalities, and regarding variety is a centre rule of care. Compelling correspondence advance certainty between care workers and people in care, accordingly some patients might communicate in different languages, experiences hearing misfortune or vision, challenging to talk, handicap, and restricted understanding. Professionals who work in the healthcare settings should treat all patients the equivalent autonomous of their circumstances, age, sex, race, class, convictions, and capacity to pay for their services. In contrast, restrictive acknowledgement would be a manifest on the off chance that these variables brought differential consideration and regard into the mindful relationship ( Nazarko 2004, Sayer 2005). There are two firmly interrelated parts of the changing connection among state and citizens that affect the re-association of the medical service framework. The first is that states progressively pulling out from their obligation to government assistance arrangement, and are getting away from a more vulnerable adaptation assuming social freedoms, where qualification is combined with need rather than a prize for commitments (Turner 2006).</w:t>
      </w:r>
    </w:p>
    <w:p w:rsidR="42CA52E2" w:rsidP="7DE92EEB" w:rsidRDefault="42CA52E2" w14:paraId="5E38B7CD" w14:textId="650A0611">
      <w:pPr>
        <w:pStyle w:val="Normal"/>
        <w:bidi w:val="0"/>
        <w:spacing w:before="0" w:beforeAutospacing="off" w:after="160" w:afterAutospacing="off" w:line="259" w:lineRule="auto"/>
        <w:ind w:left="0" w:right="0"/>
        <w:jc w:val="left"/>
        <w:rPr>
          <w:noProof/>
          <w:sz w:val="24"/>
          <w:szCs w:val="24"/>
          <w:lang w:val="en-GB"/>
        </w:rPr>
      </w:pPr>
      <w:r w:rsidRPr="7DE92EEB" w:rsidR="7DE92EEB">
        <w:rPr>
          <w:noProof/>
          <w:sz w:val="24"/>
          <w:szCs w:val="24"/>
          <w:lang w:val="en-GB"/>
        </w:rPr>
        <w:t>The healthcare is managed and regulated differently in both Wales and the UK. These regulators have different powers to ensure improvement and justice for all patients. The Health and Safety Executive (HSE) may take action where other regulators have limited authorities to act. The Care Inspectorate Wales (CIW) is responsible for social care, early years’ service, and Local Authority Care Support service ( Daly et al 2004). CIW in collaboration with HSE are responsible for the effective, co-ordinated and comprehensive regulation of care, safety and health in Wales. The Safe Nurse Staffing Levels Act Wales 2016 considers the NHS Trust to provide sufficient nurses to allow nurses enough time to look after service users. The NHS Trust has been criticised for lack of  workforce planning, by reference to complaints from patients where incidents have taken place errors by nurses.The Health and Social Care (Quality and Engagement) Wales Act became law on the 1</w:t>
      </w:r>
      <w:r w:rsidRPr="7DE92EEB" w:rsidR="7DE92EEB">
        <w:rPr>
          <w:noProof/>
          <w:sz w:val="24"/>
          <w:szCs w:val="24"/>
          <w:vertAlign w:val="superscript"/>
          <w:lang w:val="en-GB"/>
        </w:rPr>
        <w:t>st</w:t>
      </w:r>
      <w:r w:rsidRPr="7DE92EEB" w:rsidR="7DE92EEB">
        <w:rPr>
          <w:noProof/>
          <w:sz w:val="24"/>
          <w:szCs w:val="24"/>
          <w:lang w:val="en-GB"/>
        </w:rPr>
        <w:t xml:space="preserve"> of June 2020 (</w:t>
      </w:r>
      <w:hyperlink r:id="R9258b98875a148ef">
        <w:r w:rsidRPr="7DE92EEB" w:rsidR="7DE92EEB">
          <w:rPr>
            <w:rStyle w:val="Hyperlink"/>
            <w:noProof/>
            <w:sz w:val="24"/>
            <w:szCs w:val="24"/>
            <w:lang w:val="en-GB"/>
          </w:rPr>
          <w:t>https://www.gov.wales/health-social-care-quality-engagement-wales-act-summary-html</w:t>
        </w:r>
      </w:hyperlink>
      <w:r w:rsidRPr="7DE92EEB" w:rsidR="7DE92EEB">
        <w:rPr>
          <w:noProof/>
          <w:sz w:val="24"/>
          <w:szCs w:val="24"/>
          <w:lang w:val="en-GB"/>
        </w:rPr>
        <w:t xml:space="preserve">). </w:t>
      </w:r>
    </w:p>
    <w:p w:rsidR="42CA52E2" w:rsidP="42CA52E2" w:rsidRDefault="42CA52E2" w14:paraId="35D9A0B1" w14:textId="3354501B">
      <w:pPr>
        <w:pStyle w:val="Normal"/>
        <w:bidi w:val="0"/>
        <w:spacing w:before="0" w:beforeAutospacing="off" w:after="160" w:afterAutospacing="off" w:line="259" w:lineRule="auto"/>
        <w:ind w:left="0" w:right="0"/>
        <w:jc w:val="left"/>
        <w:rPr>
          <w:noProof/>
          <w:sz w:val="24"/>
          <w:szCs w:val="24"/>
          <w:lang w:val="en-GB"/>
        </w:rPr>
      </w:pPr>
      <w:r w:rsidRPr="7DE92EEB" w:rsidR="7DE92EEB">
        <w:rPr>
          <w:noProof/>
          <w:sz w:val="24"/>
          <w:szCs w:val="24"/>
          <w:lang w:val="en-GB"/>
        </w:rPr>
        <w:t>The Care Quality Commission (CQC) is the regulating body in England which is responsible for the care provided by the NHS, working with local authorities, independent sectors and voluntary organisations. The Medicine and Healthcare Regulatory Agency (MHRA) is responsible for the quality of medicines and ensure they are safe for purpose, and they can investigate and report any wrongdoings or negligence. Professional bodies are required to register with the legal regulating bodies to guarantee quality principles and practices are met. The Professional Standards Authority (PSA) is another stakeholder which directs the work of other professional entities by securing the welfare of patients and the general public, by investigating and regulating the work of other bodies(https://www.hse.gov.uk)</w:t>
      </w:r>
    </w:p>
    <w:p w:rsidR="42CA52E2" w:rsidP="42CA52E2" w:rsidRDefault="42CA52E2" w14:paraId="6A1F5714" w14:textId="60B26C9B">
      <w:pPr>
        <w:pStyle w:val="Normal"/>
        <w:bidi w:val="0"/>
        <w:spacing w:before="0" w:beforeAutospacing="off" w:after="160" w:afterAutospacing="off" w:line="259" w:lineRule="auto"/>
        <w:ind w:left="0" w:right="0"/>
        <w:jc w:val="left"/>
        <w:rPr>
          <w:noProof/>
          <w:sz w:val="24"/>
          <w:szCs w:val="24"/>
          <w:lang w:val="en-GB"/>
        </w:rPr>
      </w:pPr>
      <w:r w:rsidRPr="42CA52E2" w:rsidR="42CA52E2">
        <w:rPr>
          <w:noProof/>
          <w:sz w:val="24"/>
          <w:szCs w:val="24"/>
          <w:lang w:val="en-GB"/>
        </w:rPr>
        <w:t>The Policy Paper on Health and Social Care Bill: Data Protection Act 2018. The Covid-19 pandemic has exposed challenges in the health care settings by bringing data together which can be used to tackle outbreaks and to ensure all risks and concerns could be treated at all levels and the trustworthiness of the healthcare system can be evaluated on the premise of various parts of value (Donabedian, 2003). The importance of data should be adopted to ensure strict data flows and guarantee that national authorities have the intelligence to provide assistance in the long term. The data gap is a concern and the authorities or service providers need to ensure assistance is delivered and to improve results for all service users receiving care and support. A plan should be put in place for data collection and process within the private and public settings. The provision will improve high quality information about adult social care through honesty, high quality commission, and the effort to tackle risks at local, regional and national levels (Newell, 2018) (Rowe and Callnan (2006).</w:t>
      </w:r>
    </w:p>
    <w:p w:rsidR="42CA52E2" w:rsidP="42CA52E2" w:rsidRDefault="42CA52E2" w14:paraId="631E2818" w14:textId="5B31F7CD">
      <w:pPr>
        <w:pStyle w:val="Normal"/>
        <w:bidi w:val="0"/>
        <w:spacing w:before="0" w:beforeAutospacing="off" w:after="160" w:afterAutospacing="off" w:line="259" w:lineRule="auto"/>
        <w:ind w:left="0" w:right="0"/>
        <w:jc w:val="left"/>
        <w:rPr>
          <w:noProof/>
          <w:sz w:val="24"/>
          <w:szCs w:val="24"/>
          <w:lang w:val="en-GB"/>
        </w:rPr>
      </w:pPr>
      <w:r w:rsidRPr="42CA52E2" w:rsidR="42CA52E2">
        <w:rPr>
          <w:noProof/>
          <w:sz w:val="24"/>
          <w:szCs w:val="24"/>
          <w:lang w:val="en-GB"/>
        </w:rPr>
        <w:t xml:space="preserve">                                 </w:t>
      </w:r>
      <w:r w:rsidRPr="42CA52E2" w:rsidR="42CA52E2">
        <w:rPr>
          <w:b w:val="1"/>
          <w:bCs w:val="1"/>
          <w:noProof/>
          <w:sz w:val="24"/>
          <w:szCs w:val="24"/>
          <w:lang w:val="en-GB"/>
        </w:rPr>
        <w:t>CONCLUSION</w:t>
      </w:r>
    </w:p>
    <w:p w:rsidR="42CA52E2" w:rsidP="42CA52E2" w:rsidRDefault="42CA52E2" w14:paraId="2BA01741" w14:textId="548FB8BE">
      <w:pPr>
        <w:pStyle w:val="Normal"/>
        <w:bidi w:val="0"/>
        <w:spacing w:before="0" w:beforeAutospacing="off" w:after="160" w:afterAutospacing="off" w:line="259" w:lineRule="auto"/>
        <w:ind w:left="0" w:right="0"/>
        <w:jc w:val="left"/>
        <w:rPr>
          <w:b w:val="0"/>
          <w:bCs w:val="0"/>
          <w:noProof/>
          <w:sz w:val="24"/>
          <w:szCs w:val="24"/>
          <w:lang w:val="en-GB"/>
        </w:rPr>
      </w:pPr>
      <w:r w:rsidRPr="4D88D5D3" w:rsidR="4D88D5D3">
        <w:rPr>
          <w:b w:val="0"/>
          <w:bCs w:val="0"/>
          <w:noProof/>
          <w:sz w:val="24"/>
          <w:szCs w:val="24"/>
          <w:lang w:val="en-GB"/>
        </w:rPr>
        <w:t>The more extended term process, equality, information sharing across well-being and care frameworks should be given to patients, particularly while being moved among care and well-being settings, must be seen by the practitioner or providers who care for them. More information can be gathered from the data, thus ensuring high patient fulfilment, more utilisation of assets, enhance quality and labour force could benefit by enlisting new staff, guarantee maintenance and fairness arrangements. Code of Practice has been established to help improve the general principles and set a standard for good practice in the health and social care sectors, and allows professionals to follow guidelines on how to work and deal with specific situations (Brown, 2008)</w:t>
      </w:r>
    </w:p>
    <w:p w:rsidR="42CA52E2" w:rsidP="42CA52E2" w:rsidRDefault="42CA52E2" w14:paraId="69629E9D" w14:textId="5B674471">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659BC7D1" w14:textId="43A98FE9">
      <w:pPr>
        <w:pStyle w:val="Normal"/>
        <w:bidi w:val="0"/>
        <w:spacing w:before="0" w:beforeAutospacing="off" w:after="160" w:afterAutospacing="off" w:line="259" w:lineRule="auto"/>
        <w:ind w:left="0" w:right="0"/>
        <w:jc w:val="left"/>
        <w:rPr>
          <w:b w:val="1"/>
          <w:bCs w:val="1"/>
          <w:noProof/>
          <w:sz w:val="24"/>
          <w:szCs w:val="24"/>
          <w:lang w:val="en-GB"/>
        </w:rPr>
      </w:pPr>
      <w:r w:rsidRPr="42CA52E2" w:rsidR="42CA52E2">
        <w:rPr>
          <w:b w:val="0"/>
          <w:bCs w:val="0"/>
          <w:noProof/>
          <w:sz w:val="24"/>
          <w:szCs w:val="24"/>
          <w:lang w:val="en-GB"/>
        </w:rPr>
        <w:t xml:space="preserve">                                REFERENCE LIST</w:t>
      </w:r>
    </w:p>
    <w:p w:rsidR="42CA52E2" w:rsidP="42CA52E2" w:rsidRDefault="42CA52E2" w14:paraId="6866C74C" w14:textId="442C6D1F">
      <w:pPr>
        <w:pStyle w:val="Normal"/>
        <w:bidi w:val="0"/>
        <w:spacing w:before="0" w:beforeAutospacing="off" w:after="160" w:afterAutospacing="off" w:line="259" w:lineRule="auto"/>
        <w:ind w:left="0" w:right="0"/>
        <w:jc w:val="left"/>
        <w:rPr>
          <w:b w:val="0"/>
          <w:bCs w:val="0"/>
          <w:noProof/>
          <w:sz w:val="24"/>
          <w:szCs w:val="24"/>
          <w:lang w:val="en-GB"/>
        </w:rPr>
      </w:pPr>
      <w:r w:rsidRPr="4D88D5D3" w:rsidR="4D88D5D3">
        <w:rPr>
          <w:b w:val="0"/>
          <w:bCs w:val="0"/>
          <w:noProof/>
          <w:sz w:val="24"/>
          <w:szCs w:val="24"/>
          <w:lang w:val="en-GB"/>
        </w:rPr>
        <w:t>Applying the Data Protection Act 2018 and General Data rotection Regulatioon Principles in Healthcare Settings’ (2019), Nursing management: Harrow, London: England, 26 (1), pp.34-40. Doi: 10.7748/nm.2019.e1806</w:t>
      </w:r>
    </w:p>
    <w:p w:rsidR="42CA52E2" w:rsidP="42CA52E2" w:rsidRDefault="42CA52E2" w14:paraId="4648E39D" w14:textId="592359B6">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5C664E6A" w14:textId="0896B787">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Brown, P. (2008) ‘Trusting in the new NHS: Instrumental versus communicative action, Sociology of Health and Illness’, 30 (3). pp.349-63.</w:t>
      </w:r>
    </w:p>
    <w:p w:rsidR="42CA52E2" w:rsidP="42CA52E2" w:rsidRDefault="42CA52E2" w14:paraId="7FF34DB3" w14:textId="6B3F178E">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015181E4" w14:textId="48256F38">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Callnan, M. and Rowe, R. (2008) ‘Trust, Accountability and Choice: Health, Risk and Society’, 10 (3). Pp.201-6</w:t>
      </w:r>
    </w:p>
    <w:p w:rsidR="42CA52E2" w:rsidP="42CA52E2" w:rsidRDefault="42CA52E2" w14:paraId="01337801" w14:textId="278A64A8">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7BCB92EF" w14:textId="074F074A">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 xml:space="preserve">Care Inspectorate Wales (2019) ‘What we do’. Available at: </w:t>
      </w:r>
      <w:hyperlink r:id="Reccb6d1ef2364523">
        <w:r w:rsidRPr="42CA52E2" w:rsidR="42CA52E2">
          <w:rPr>
            <w:rStyle w:val="Hyperlink"/>
            <w:b w:val="0"/>
            <w:bCs w:val="0"/>
            <w:noProof/>
            <w:sz w:val="24"/>
            <w:szCs w:val="24"/>
            <w:lang w:val="en-GB"/>
          </w:rPr>
          <w:t>https://www.careinspectorate.wales/about-us/what-we-do</w:t>
        </w:r>
      </w:hyperlink>
      <w:r w:rsidRPr="42CA52E2" w:rsidR="42CA52E2">
        <w:rPr>
          <w:b w:val="0"/>
          <w:bCs w:val="0"/>
          <w:noProof/>
          <w:sz w:val="24"/>
          <w:szCs w:val="24"/>
          <w:lang w:val="en-GB"/>
        </w:rPr>
        <w:t>. Accessed 11 March 2022</w:t>
      </w:r>
    </w:p>
    <w:p w:rsidR="42CA52E2" w:rsidP="42CA52E2" w:rsidRDefault="42CA52E2" w14:paraId="2713636C" w14:textId="308D4022">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70956BE5" w14:textId="532F15F2">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Daly, M. Byers, E. and Taylor, W. (2004) ‘Early Years Management in Practice’, Oxford: Heinemann</w:t>
      </w:r>
    </w:p>
    <w:p w:rsidR="42CA52E2" w:rsidP="42CA52E2" w:rsidRDefault="42CA52E2" w14:paraId="0E3415EB" w14:textId="52456F38">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5D19D7D9" w14:textId="34DF1683">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Doherty, T. L., Horne, T.Wootton, S. (2014) ‘Managing Public Services, Implementing Changes: A thoughtful approach to the practice of management’, Abingdon: Routledge</w:t>
      </w:r>
    </w:p>
    <w:p w:rsidR="42CA52E2" w:rsidP="42CA52E2" w:rsidRDefault="42CA52E2" w14:paraId="258546DA" w14:textId="6081B54B">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6DD4FE34" w14:textId="4C092243">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Juran, J.M. and Gruyner, F.M (1980) ‘Quality Planning and Analysis’, Maidenhead: Mcgraw Hill.</w:t>
      </w:r>
    </w:p>
    <w:p w:rsidR="42CA52E2" w:rsidP="42CA52E2" w:rsidRDefault="42CA52E2" w14:paraId="5BA2690C" w14:textId="049DA6AA">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3E6FFF0B" w14:textId="5910E0E4">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Mckibbin, J. Walton, A with Mason, L. (2008) ‘Leadership and Managhement in Health and Social Care For NVQ/SVQ Level 4’, Harlow: Heinemann</w:t>
      </w:r>
    </w:p>
    <w:p w:rsidR="42CA52E2" w:rsidP="42CA52E2" w:rsidRDefault="42CA52E2" w14:paraId="150B2F34" w14:textId="103A0ED2">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6FE6B0C6" w14:textId="5F00F420">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Miller, L. and Cable, C. (2008) ‘Professionalism in the Early Years’, London: Hoader Education.</w:t>
      </w:r>
    </w:p>
    <w:p w:rsidR="42CA52E2" w:rsidP="42CA52E2" w:rsidRDefault="42CA52E2" w14:paraId="7225DB85" w14:textId="1054BA8B">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001641EF" w14:textId="5DEB57B9">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Nazarklo, L. (2004) ‘Managing a Quality Service’, Oxford: Heinemann.</w:t>
      </w:r>
    </w:p>
    <w:p w:rsidR="42CA52E2" w:rsidP="42CA52E2" w:rsidRDefault="42CA52E2" w14:paraId="07E7AD55" w14:textId="6BD8A034">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636E4FA0" w14:textId="4EF57707">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Pilcher, M. (2009) ‘ Making a Positive Contribution in Robbins, A and and Callan, S. (Eds)Managing Early Years Settings’, London: SAGE.</w:t>
      </w:r>
    </w:p>
    <w:p w:rsidR="42CA52E2" w:rsidP="42CA52E2" w:rsidRDefault="42CA52E2" w14:paraId="1F910B6B" w14:textId="62659DA3">
      <w:pPr>
        <w:pStyle w:val="Normal"/>
        <w:bidi w:val="0"/>
        <w:spacing w:before="0" w:beforeAutospacing="off" w:after="160" w:afterAutospacing="off" w:line="259" w:lineRule="auto"/>
        <w:ind w:left="0" w:right="0"/>
        <w:jc w:val="left"/>
        <w:rPr>
          <w:b w:val="0"/>
          <w:bCs w:val="0"/>
          <w:noProof/>
          <w:sz w:val="24"/>
          <w:szCs w:val="24"/>
          <w:lang w:val="en-GB"/>
        </w:rPr>
      </w:pPr>
    </w:p>
    <w:p w:rsidR="42CA52E2" w:rsidP="42CA52E2" w:rsidRDefault="42CA52E2" w14:paraId="79B71D08" w14:textId="5C8C5CF7">
      <w:pPr>
        <w:pStyle w:val="Normal"/>
        <w:bidi w:val="0"/>
        <w:spacing w:before="0" w:beforeAutospacing="off" w:after="160" w:afterAutospacing="off" w:line="259" w:lineRule="auto"/>
        <w:ind w:left="0" w:right="0"/>
        <w:jc w:val="left"/>
        <w:rPr>
          <w:b w:val="0"/>
          <w:bCs w:val="0"/>
          <w:noProof/>
          <w:sz w:val="24"/>
          <w:szCs w:val="24"/>
          <w:lang w:val="en-GB"/>
        </w:rPr>
      </w:pPr>
      <w:r w:rsidRPr="42CA52E2" w:rsidR="42CA52E2">
        <w:rPr>
          <w:b w:val="0"/>
          <w:bCs w:val="0"/>
          <w:noProof/>
          <w:sz w:val="24"/>
          <w:szCs w:val="24"/>
          <w:lang w:val="en-GB"/>
        </w:rPr>
        <w:t xml:space="preserve">Social Care Wales (2019) ‘ what we do’, Available at: </w:t>
      </w:r>
      <w:hyperlink w:anchor="section-33626-anchor" r:id="R360d3048c1b34a24">
        <w:r w:rsidRPr="42CA52E2" w:rsidR="42CA52E2">
          <w:rPr>
            <w:rStyle w:val="Hyperlink"/>
            <w:b w:val="0"/>
            <w:bCs w:val="0"/>
            <w:noProof/>
            <w:sz w:val="24"/>
            <w:szCs w:val="24"/>
            <w:lang w:val="en-GB"/>
          </w:rPr>
          <w:t>https://socialcare.wales/about/what-we-do#section-33626-anchor</w:t>
        </w:r>
      </w:hyperlink>
      <w:r w:rsidRPr="42CA52E2" w:rsidR="42CA52E2">
        <w:rPr>
          <w:b w:val="0"/>
          <w:bCs w:val="0"/>
          <w:noProof/>
          <w:sz w:val="24"/>
          <w:szCs w:val="24"/>
          <w:lang w:val="en-GB"/>
        </w:rPr>
        <w:t>. Accessed 12 March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9B506C"/>
    <w:rsid w:val="419B506C"/>
    <w:rsid w:val="42CA52E2"/>
    <w:rsid w:val="4D88D5D3"/>
    <w:rsid w:val="7DE92EEB"/>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B506C"/>
  <w15:chartTrackingRefBased/>
  <w15:docId w15:val="{76FC7151-CEA5-41D7-903D-0CF5A7FD47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2CA52E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2CA52E2"/>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42CA52E2"/>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42CA52E2"/>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42CA52E2"/>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42CA52E2"/>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42CA52E2"/>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42CA52E2"/>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42CA52E2"/>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42CA52E2"/>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42CA52E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2CA52E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2CA52E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2CA52E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2CA52E2"/>
    <w:pPr>
      <w:spacing/>
      <w:ind w:left="720"/>
      <w:contextualSpacing/>
    </w:pPr>
  </w:style>
  <w:style w:type="character" w:styleId="Heading1Char" w:customStyle="true">
    <w:uiPriority w:val="9"/>
    <w:name w:val="Heading 1 Char"/>
    <w:basedOn w:val="DefaultParagraphFont"/>
    <w:link w:val="Heading1"/>
    <w:rsid w:val="42CA52E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2CA52E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2CA52E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2CA52E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2CA52E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2CA52E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2CA52E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2CA52E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2CA52E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2CA52E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2CA52E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2CA52E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2CA52E2"/>
    <w:rPr>
      <w:i w:val="1"/>
      <w:iCs w:val="1"/>
      <w:noProof w:val="0"/>
      <w:color w:val="4472C4" w:themeColor="accent1" w:themeTint="FF" w:themeShade="FF"/>
      <w:lang w:val="en-GB"/>
    </w:rPr>
  </w:style>
  <w:style w:type="paragraph" w:styleId="TOC1">
    <w:uiPriority w:val="39"/>
    <w:name w:val="toc 1"/>
    <w:basedOn w:val="Normal"/>
    <w:next w:val="Normal"/>
    <w:unhideWhenUsed/>
    <w:rsid w:val="42CA52E2"/>
    <w:pPr>
      <w:spacing w:after="100"/>
    </w:pPr>
  </w:style>
  <w:style w:type="paragraph" w:styleId="TOC2">
    <w:uiPriority w:val="39"/>
    <w:name w:val="toc 2"/>
    <w:basedOn w:val="Normal"/>
    <w:next w:val="Normal"/>
    <w:unhideWhenUsed/>
    <w:rsid w:val="42CA52E2"/>
    <w:pPr>
      <w:spacing w:after="100"/>
      <w:ind w:left="220"/>
    </w:pPr>
  </w:style>
  <w:style w:type="paragraph" w:styleId="TOC3">
    <w:uiPriority w:val="39"/>
    <w:name w:val="toc 3"/>
    <w:basedOn w:val="Normal"/>
    <w:next w:val="Normal"/>
    <w:unhideWhenUsed/>
    <w:rsid w:val="42CA52E2"/>
    <w:pPr>
      <w:spacing w:after="100"/>
      <w:ind w:left="440"/>
    </w:pPr>
  </w:style>
  <w:style w:type="paragraph" w:styleId="TOC4">
    <w:uiPriority w:val="39"/>
    <w:name w:val="toc 4"/>
    <w:basedOn w:val="Normal"/>
    <w:next w:val="Normal"/>
    <w:unhideWhenUsed/>
    <w:rsid w:val="42CA52E2"/>
    <w:pPr>
      <w:spacing w:after="100"/>
      <w:ind w:left="660"/>
    </w:pPr>
  </w:style>
  <w:style w:type="paragraph" w:styleId="TOC5">
    <w:uiPriority w:val="39"/>
    <w:name w:val="toc 5"/>
    <w:basedOn w:val="Normal"/>
    <w:next w:val="Normal"/>
    <w:unhideWhenUsed/>
    <w:rsid w:val="42CA52E2"/>
    <w:pPr>
      <w:spacing w:after="100"/>
      <w:ind w:left="880"/>
    </w:pPr>
  </w:style>
  <w:style w:type="paragraph" w:styleId="TOC6">
    <w:uiPriority w:val="39"/>
    <w:name w:val="toc 6"/>
    <w:basedOn w:val="Normal"/>
    <w:next w:val="Normal"/>
    <w:unhideWhenUsed/>
    <w:rsid w:val="42CA52E2"/>
    <w:pPr>
      <w:spacing w:after="100"/>
      <w:ind w:left="1100"/>
    </w:pPr>
  </w:style>
  <w:style w:type="paragraph" w:styleId="TOC7">
    <w:uiPriority w:val="39"/>
    <w:name w:val="toc 7"/>
    <w:basedOn w:val="Normal"/>
    <w:next w:val="Normal"/>
    <w:unhideWhenUsed/>
    <w:rsid w:val="42CA52E2"/>
    <w:pPr>
      <w:spacing w:after="100"/>
      <w:ind w:left="1320"/>
    </w:pPr>
  </w:style>
  <w:style w:type="paragraph" w:styleId="TOC8">
    <w:uiPriority w:val="39"/>
    <w:name w:val="toc 8"/>
    <w:basedOn w:val="Normal"/>
    <w:next w:val="Normal"/>
    <w:unhideWhenUsed/>
    <w:rsid w:val="42CA52E2"/>
    <w:pPr>
      <w:spacing w:after="100"/>
      <w:ind w:left="1540"/>
    </w:pPr>
  </w:style>
  <w:style w:type="paragraph" w:styleId="TOC9">
    <w:uiPriority w:val="39"/>
    <w:name w:val="toc 9"/>
    <w:basedOn w:val="Normal"/>
    <w:next w:val="Normal"/>
    <w:unhideWhenUsed/>
    <w:rsid w:val="42CA52E2"/>
    <w:pPr>
      <w:spacing w:after="100"/>
      <w:ind w:left="1760"/>
    </w:pPr>
  </w:style>
  <w:style w:type="paragraph" w:styleId="EndnoteText">
    <w:uiPriority w:val="99"/>
    <w:name w:val="endnote text"/>
    <w:basedOn w:val="Normal"/>
    <w:semiHidden/>
    <w:unhideWhenUsed/>
    <w:link w:val="EndnoteTextChar"/>
    <w:rsid w:val="42CA52E2"/>
    <w:rPr>
      <w:sz w:val="20"/>
      <w:szCs w:val="20"/>
    </w:rPr>
    <w:pPr>
      <w:spacing w:after="0"/>
    </w:pPr>
  </w:style>
  <w:style w:type="character" w:styleId="EndnoteTextChar" w:customStyle="true">
    <w:uiPriority w:val="99"/>
    <w:name w:val="Endnote Text Char"/>
    <w:basedOn w:val="DefaultParagraphFont"/>
    <w:semiHidden/>
    <w:link w:val="EndnoteText"/>
    <w:rsid w:val="42CA52E2"/>
    <w:rPr>
      <w:noProof w:val="0"/>
      <w:sz w:val="20"/>
      <w:szCs w:val="20"/>
      <w:lang w:val="en-GB"/>
    </w:rPr>
  </w:style>
  <w:style w:type="paragraph" w:styleId="Footer">
    <w:uiPriority w:val="99"/>
    <w:name w:val="footer"/>
    <w:basedOn w:val="Normal"/>
    <w:unhideWhenUsed/>
    <w:link w:val="FooterChar"/>
    <w:rsid w:val="42CA52E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2CA52E2"/>
    <w:rPr>
      <w:noProof w:val="0"/>
      <w:lang w:val="en-GB"/>
    </w:rPr>
  </w:style>
  <w:style w:type="paragraph" w:styleId="FootnoteText">
    <w:uiPriority w:val="99"/>
    <w:name w:val="footnote text"/>
    <w:basedOn w:val="Normal"/>
    <w:semiHidden/>
    <w:unhideWhenUsed/>
    <w:link w:val="FootnoteTextChar"/>
    <w:rsid w:val="42CA52E2"/>
    <w:rPr>
      <w:sz w:val="20"/>
      <w:szCs w:val="20"/>
    </w:rPr>
    <w:pPr>
      <w:spacing w:after="0"/>
    </w:pPr>
  </w:style>
  <w:style w:type="character" w:styleId="FootnoteTextChar" w:customStyle="true">
    <w:uiPriority w:val="99"/>
    <w:name w:val="Footnote Text Char"/>
    <w:basedOn w:val="DefaultParagraphFont"/>
    <w:semiHidden/>
    <w:link w:val="FootnoteText"/>
    <w:rsid w:val="42CA52E2"/>
    <w:rPr>
      <w:noProof w:val="0"/>
      <w:sz w:val="20"/>
      <w:szCs w:val="20"/>
      <w:lang w:val="en-GB"/>
    </w:rPr>
  </w:style>
  <w:style w:type="paragraph" w:styleId="Header">
    <w:uiPriority w:val="99"/>
    <w:name w:val="header"/>
    <w:basedOn w:val="Normal"/>
    <w:unhideWhenUsed/>
    <w:link w:val="HeaderChar"/>
    <w:rsid w:val="42CA52E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2CA52E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areinspectorate.wales/about-us/what-we-do" TargetMode="External" Id="Reccb6d1ef2364523" /><Relationship Type="http://schemas.openxmlformats.org/officeDocument/2006/relationships/hyperlink" Target="https://socialcare.wales/about/what-we-do" TargetMode="External" Id="R360d3048c1b34a24" /><Relationship Type="http://schemas.openxmlformats.org/officeDocument/2006/relationships/hyperlink" Target="https://www.gov.wales/health-social-care-quality-engagement-wales-act-summary-html" TargetMode="External" Id="R9258b98875a148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2022-03-12T21:40:31.3906821Z</dcterms:created>
  <dcterms:modified xsi:type="dcterms:W3CDTF">2022-03-19T18:19:10.2485315Z</dcterms:modified>
  <dc:creator>Alpha Sillah</dc:creator>
  <lastModifiedBy>Sillah Family</lastModifiedBy>
</coreProperties>
</file>