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rFonts w:ascii="Arial" w:hAnsi="Arial" w:cs="Arial"/>
          <w:color w:val="auto"/>
          <w:sz w:val="24"/>
          <w:szCs w:val="24"/>
        </w:rPr>
      </w:sdtEndPr>
      <w:sdtContent>
        <w:p w14:paraId="3BDEC47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240649" w14:textId="69321864" w:rsidR="007D1947" w:rsidRDefault="001E4E4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hotel hilton holdings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27E5297C" w:rsidR="007D1947" w:rsidRDefault="001E4E42">
              <w:pPr>
                <w:pStyle w:val="NoSpacing"/>
                <w:jc w:val="center"/>
                <w:rPr>
                  <w:color w:val="5B9BD5" w:themeColor="accent1"/>
                  <w:sz w:val="28"/>
                  <w:szCs w:val="28"/>
                </w:rPr>
              </w:pPr>
              <w:r>
                <w:rPr>
                  <w:color w:val="5B9BD5" w:themeColor="accent1"/>
                  <w:sz w:val="28"/>
                  <w:szCs w:val="28"/>
                </w:rPr>
                <w:t>Financial Analysis</w:t>
              </w:r>
            </w:p>
          </w:sdtContent>
        </w:sdt>
        <w:p w14:paraId="765A889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5DA3BD92" w14:textId="784BC9EE" w:rsidR="007D1947" w:rsidRDefault="007F4C4B">
                                    <w:pPr>
                                      <w:pStyle w:val="NoSpacing"/>
                                      <w:spacing w:after="40"/>
                                      <w:jc w:val="center"/>
                                      <w:rPr>
                                        <w:caps/>
                                        <w:color w:val="5B9BD5" w:themeColor="accent1"/>
                                        <w:sz w:val="28"/>
                                        <w:szCs w:val="28"/>
                                      </w:rPr>
                                    </w:pPr>
                                    <w:r>
                                      <w:rPr>
                                        <w:caps/>
                                        <w:color w:val="5B9BD5" w:themeColor="accent1"/>
                                        <w:sz w:val="28"/>
                                        <w:szCs w:val="28"/>
                                      </w:rPr>
                                      <w:t>June 1, 2022</w:t>
                                    </w:r>
                                  </w:p>
                                </w:sdtContent>
                              </w:sdt>
                              <w:p w14:paraId="6DAC6D9E" w14:textId="77777777" w:rsidR="007D1947" w:rsidRDefault="004277B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4277B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5DA3BD92" w14:textId="784BC9EE" w:rsidR="007D1947" w:rsidRDefault="007F4C4B">
                              <w:pPr>
                                <w:pStyle w:val="NoSpacing"/>
                                <w:spacing w:after="40"/>
                                <w:jc w:val="center"/>
                                <w:rPr>
                                  <w:caps/>
                                  <w:color w:val="5B9BD5" w:themeColor="accent1"/>
                                  <w:sz w:val="28"/>
                                  <w:szCs w:val="28"/>
                                </w:rPr>
                              </w:pPr>
                              <w:r>
                                <w:rPr>
                                  <w:caps/>
                                  <w:color w:val="5B9BD5" w:themeColor="accent1"/>
                                  <w:sz w:val="28"/>
                                  <w:szCs w:val="28"/>
                                </w:rPr>
                                <w:t>June 1, 2022</w:t>
                              </w:r>
                            </w:p>
                          </w:sdtContent>
                        </w:sdt>
                        <w:p w14:paraId="6DAC6D9E" w14:textId="77777777" w:rsidR="007D1947" w:rsidRDefault="004277B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4277B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4B14404" wp14:editId="1F8AED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37FA41" w14:textId="5268301E" w:rsidR="009547E7" w:rsidRDefault="009547E7" w:rsidP="007D1947">
          <w:pPr>
            <w:pStyle w:val="Heading1"/>
          </w:pPr>
        </w:p>
        <w:p w14:paraId="1E2802D6" w14:textId="77777777" w:rsidR="009547E7" w:rsidRPr="009547E7" w:rsidRDefault="009547E7" w:rsidP="009547E7"/>
        <w:p w14:paraId="54AE16B0" w14:textId="77777777" w:rsidR="009547E7" w:rsidRPr="009547E7" w:rsidRDefault="009547E7" w:rsidP="009547E7"/>
        <w:p w14:paraId="381E2935" w14:textId="77777777" w:rsidR="009547E7" w:rsidRPr="009547E7" w:rsidRDefault="009547E7" w:rsidP="009547E7"/>
        <w:p w14:paraId="704F15EF" w14:textId="77777777" w:rsidR="009547E7" w:rsidRPr="009547E7" w:rsidRDefault="009547E7" w:rsidP="009547E7"/>
        <w:p w14:paraId="020ADAF3" w14:textId="7E890BE2" w:rsidR="009547E7" w:rsidRPr="009547E7" w:rsidRDefault="009547E7" w:rsidP="009547E7">
          <w:pPr>
            <w:pStyle w:val="Heading1"/>
            <w:tabs>
              <w:tab w:val="left" w:pos="3780"/>
            </w:tabs>
          </w:pPr>
          <w:r>
            <w:tab/>
          </w:r>
          <w:bookmarkStart w:id="0" w:name="_Toc104027179"/>
          <w:r w:rsidRPr="009547E7">
            <w:t>By Sandra Poupino</w:t>
          </w:r>
          <w:bookmarkEnd w:id="0"/>
          <w:r w:rsidRPr="009547E7">
            <w:t xml:space="preserve"> </w:t>
          </w:r>
        </w:p>
        <w:p w14:paraId="6A99CFE4" w14:textId="2411D17B" w:rsidR="009547E7" w:rsidRPr="009547E7" w:rsidRDefault="009547E7" w:rsidP="009547E7">
          <w:pPr>
            <w:rPr>
              <w:color w:val="2E74B5" w:themeColor="accent1" w:themeShade="BF"/>
            </w:rPr>
          </w:pPr>
          <w:r w:rsidRPr="009547E7">
            <w:rPr>
              <w:color w:val="2E74B5" w:themeColor="accent1" w:themeShade="BF"/>
            </w:rPr>
            <w:t xml:space="preserve">                                                                                 </w:t>
          </w:r>
          <w:r>
            <w:rPr>
              <w:color w:val="2E74B5" w:themeColor="accent1" w:themeShade="BF"/>
            </w:rPr>
            <w:t xml:space="preserve">      </w:t>
          </w:r>
          <w:r w:rsidRPr="009547E7">
            <w:rPr>
              <w:color w:val="2E74B5" w:themeColor="accent1" w:themeShade="BF"/>
            </w:rPr>
            <w:t>2018518</w:t>
          </w:r>
        </w:p>
        <w:p w14:paraId="75AA90D3" w14:textId="77777777" w:rsidR="007D1947" w:rsidRDefault="007D1947" w:rsidP="007D1947">
          <w:pPr>
            <w:pStyle w:val="Heading1"/>
          </w:pPr>
          <w:r w:rsidRPr="009547E7">
            <w:br w:type="page"/>
          </w:r>
          <w:bookmarkStart w:id="1" w:name="_Toc104027180"/>
          <w:r>
            <w:lastRenderedPageBreak/>
            <w:t>Executive Summary</w:t>
          </w:r>
          <w:bookmarkEnd w:id="1"/>
        </w:p>
        <w:p w14:paraId="0C547626" w14:textId="0C49A418" w:rsidR="007D1947" w:rsidRDefault="007D1947"/>
        <w:p w14:paraId="0028F136" w14:textId="69518B1E" w:rsidR="00E10313" w:rsidRPr="005B0024" w:rsidRDefault="00E10313" w:rsidP="005B0024">
          <w:pPr>
            <w:spacing w:line="360" w:lineRule="auto"/>
            <w:jc w:val="both"/>
            <w:rPr>
              <w:rFonts w:ascii="Arial" w:hAnsi="Arial" w:cs="Arial"/>
              <w:sz w:val="24"/>
              <w:szCs w:val="24"/>
            </w:rPr>
          </w:pPr>
          <w:r w:rsidRPr="005B0024">
            <w:rPr>
              <w:rFonts w:ascii="Arial" w:hAnsi="Arial" w:cs="Arial"/>
              <w:sz w:val="24"/>
              <w:szCs w:val="24"/>
            </w:rPr>
            <w:t>The purpose of this report is to analyse the financial information and analysis for Hilton Hotel Holdings, for 2019 and 2020</w:t>
          </w:r>
          <w:r w:rsidR="001863D4" w:rsidRPr="005B0024">
            <w:rPr>
              <w:rFonts w:ascii="Arial" w:hAnsi="Arial" w:cs="Arial"/>
              <w:sz w:val="24"/>
              <w:szCs w:val="24"/>
            </w:rPr>
            <w:t>,</w:t>
          </w:r>
          <w:r w:rsidR="001863D4">
            <w:rPr>
              <w:rFonts w:ascii="Arial" w:hAnsi="Arial" w:cs="Arial"/>
              <w:sz w:val="24"/>
              <w:szCs w:val="24"/>
            </w:rPr>
            <w:t xml:space="preserve"> </w:t>
          </w:r>
          <w:r w:rsidR="001863D4" w:rsidRPr="005B0024">
            <w:rPr>
              <w:rFonts w:ascii="Arial" w:hAnsi="Arial" w:cs="Arial"/>
              <w:sz w:val="24"/>
              <w:szCs w:val="24"/>
            </w:rPr>
            <w:t>looking</w:t>
          </w:r>
          <w:r w:rsidRPr="005B0024">
            <w:rPr>
              <w:rFonts w:ascii="Arial" w:hAnsi="Arial" w:cs="Arial"/>
              <w:sz w:val="24"/>
              <w:szCs w:val="24"/>
            </w:rPr>
            <w:t xml:space="preserve"> in this previous information, we can see what Hilton did well and what at failed. Using a combination of trend and ratios analysis helps understand this </w:t>
          </w:r>
          <w:r w:rsidR="00B130BB" w:rsidRPr="005B0024">
            <w:rPr>
              <w:rFonts w:ascii="Arial" w:hAnsi="Arial" w:cs="Arial"/>
              <w:sz w:val="24"/>
              <w:szCs w:val="24"/>
            </w:rPr>
            <w:t>report and</w:t>
          </w:r>
          <w:r w:rsidRPr="005B0024">
            <w:rPr>
              <w:rFonts w:ascii="Arial" w:hAnsi="Arial" w:cs="Arial"/>
              <w:sz w:val="24"/>
              <w:szCs w:val="24"/>
            </w:rPr>
            <w:t xml:space="preserve"> will gather financial reviews and probability </w:t>
          </w:r>
          <w:r w:rsidR="00B130BB" w:rsidRPr="005B0024">
            <w:rPr>
              <w:rFonts w:ascii="Arial" w:hAnsi="Arial" w:cs="Arial"/>
              <w:sz w:val="24"/>
              <w:szCs w:val="24"/>
            </w:rPr>
            <w:t>analyses.</w:t>
          </w:r>
          <w:r w:rsidRPr="005B0024">
            <w:rPr>
              <w:rFonts w:ascii="Arial" w:hAnsi="Arial" w:cs="Arial"/>
              <w:sz w:val="24"/>
              <w:szCs w:val="24"/>
            </w:rPr>
            <w:t xml:space="preserve"> </w:t>
          </w:r>
          <w:r w:rsidR="009A395D" w:rsidRPr="005B0024">
            <w:rPr>
              <w:rFonts w:ascii="Arial" w:hAnsi="Arial" w:cs="Arial"/>
              <w:sz w:val="24"/>
              <w:szCs w:val="24"/>
            </w:rPr>
            <w:t xml:space="preserve">Having a strong balance </w:t>
          </w:r>
          <w:r w:rsidR="00B130BB" w:rsidRPr="005B0024">
            <w:rPr>
              <w:rFonts w:ascii="Arial" w:hAnsi="Arial" w:cs="Arial"/>
              <w:sz w:val="24"/>
              <w:szCs w:val="24"/>
            </w:rPr>
            <w:t>sheet,</w:t>
          </w:r>
          <w:r w:rsidR="009A395D" w:rsidRPr="005B0024">
            <w:rPr>
              <w:rFonts w:ascii="Arial" w:hAnsi="Arial" w:cs="Arial"/>
              <w:sz w:val="24"/>
              <w:szCs w:val="24"/>
            </w:rPr>
            <w:t xml:space="preserve"> and quick decisive actions, Hilton like all Hospitality business had to face </w:t>
          </w:r>
          <w:r w:rsidR="002344BD" w:rsidRPr="005B0024">
            <w:rPr>
              <w:rFonts w:ascii="Arial" w:hAnsi="Arial" w:cs="Arial"/>
              <w:sz w:val="24"/>
              <w:szCs w:val="24"/>
            </w:rPr>
            <w:t>unprecedented</w:t>
          </w:r>
          <w:r w:rsidR="009A395D" w:rsidRPr="005B0024">
            <w:rPr>
              <w:rFonts w:ascii="Arial" w:hAnsi="Arial" w:cs="Arial"/>
              <w:sz w:val="24"/>
              <w:szCs w:val="24"/>
            </w:rPr>
            <w:t xml:space="preserve"> external </w:t>
          </w:r>
          <w:r w:rsidR="00B822D8" w:rsidRPr="005B0024">
            <w:rPr>
              <w:rFonts w:ascii="Arial" w:hAnsi="Arial" w:cs="Arial"/>
              <w:sz w:val="24"/>
              <w:szCs w:val="24"/>
            </w:rPr>
            <w:t>factors,</w:t>
          </w:r>
          <w:r w:rsidR="009A395D" w:rsidRPr="005B0024">
            <w:rPr>
              <w:rFonts w:ascii="Arial" w:hAnsi="Arial" w:cs="Arial"/>
              <w:sz w:val="24"/>
              <w:szCs w:val="24"/>
            </w:rPr>
            <w:t xml:space="preserve"> the pandemic covid-</w:t>
          </w:r>
          <w:r w:rsidR="00B822D8" w:rsidRPr="005B0024">
            <w:rPr>
              <w:rFonts w:ascii="Arial" w:hAnsi="Arial" w:cs="Arial"/>
              <w:sz w:val="24"/>
              <w:szCs w:val="24"/>
            </w:rPr>
            <w:t>19,</w:t>
          </w:r>
          <w:r w:rsidR="009A395D" w:rsidRPr="005B0024">
            <w:rPr>
              <w:rFonts w:ascii="Arial" w:hAnsi="Arial" w:cs="Arial"/>
              <w:sz w:val="24"/>
              <w:szCs w:val="24"/>
            </w:rPr>
            <w:t xml:space="preserve"> had a huge impact on organisations, and </w:t>
          </w:r>
          <w:r w:rsidR="00B130BB" w:rsidRPr="005B0024">
            <w:rPr>
              <w:rFonts w:ascii="Arial" w:hAnsi="Arial" w:cs="Arial"/>
              <w:sz w:val="24"/>
              <w:szCs w:val="24"/>
            </w:rPr>
            <w:t>bringing</w:t>
          </w:r>
          <w:r w:rsidR="009A395D" w:rsidRPr="005B0024">
            <w:rPr>
              <w:rFonts w:ascii="Arial" w:hAnsi="Arial" w:cs="Arial"/>
              <w:sz w:val="24"/>
              <w:szCs w:val="24"/>
            </w:rPr>
            <w:t xml:space="preserve"> </w:t>
          </w:r>
          <w:r w:rsidR="00B130BB" w:rsidRPr="005B0024">
            <w:rPr>
              <w:rFonts w:ascii="Arial" w:hAnsi="Arial" w:cs="Arial"/>
              <w:sz w:val="24"/>
              <w:szCs w:val="24"/>
            </w:rPr>
            <w:t xml:space="preserve">loads of </w:t>
          </w:r>
          <w:r w:rsidR="00B822D8" w:rsidRPr="005B0024">
            <w:rPr>
              <w:rFonts w:ascii="Arial" w:hAnsi="Arial" w:cs="Arial"/>
              <w:sz w:val="24"/>
              <w:szCs w:val="24"/>
            </w:rPr>
            <w:t>limitations.</w:t>
          </w:r>
          <w:r w:rsidR="00B130BB" w:rsidRPr="005B0024">
            <w:rPr>
              <w:rFonts w:ascii="Arial" w:hAnsi="Arial" w:cs="Arial"/>
              <w:sz w:val="24"/>
              <w:szCs w:val="24"/>
            </w:rPr>
            <w:t xml:space="preserve"> After a </w:t>
          </w:r>
          <w:r w:rsidR="00B822D8" w:rsidRPr="005B0024">
            <w:rPr>
              <w:rFonts w:ascii="Arial" w:hAnsi="Arial" w:cs="Arial"/>
              <w:sz w:val="24"/>
              <w:szCs w:val="24"/>
            </w:rPr>
            <w:t>bad</w:t>
          </w:r>
          <w:r w:rsidR="00B130BB" w:rsidRPr="005B0024">
            <w:rPr>
              <w:rFonts w:ascii="Arial" w:hAnsi="Arial" w:cs="Arial"/>
              <w:sz w:val="24"/>
              <w:szCs w:val="24"/>
            </w:rPr>
            <w:t xml:space="preserve"> year in 2019, Hilton started 2020, with 96% of his hotels </w:t>
          </w:r>
          <w:r w:rsidR="00B822D8" w:rsidRPr="005B0024">
            <w:rPr>
              <w:rFonts w:ascii="Arial" w:hAnsi="Arial" w:cs="Arial"/>
              <w:sz w:val="24"/>
              <w:szCs w:val="24"/>
            </w:rPr>
            <w:t>open,</w:t>
          </w:r>
          <w:r w:rsidR="00B130BB" w:rsidRPr="005B0024">
            <w:rPr>
              <w:rFonts w:ascii="Arial" w:hAnsi="Arial" w:cs="Arial"/>
              <w:sz w:val="24"/>
              <w:szCs w:val="24"/>
            </w:rPr>
            <w:t xml:space="preserve"> and 14% of global </w:t>
          </w:r>
          <w:r w:rsidR="00B822D8" w:rsidRPr="005B0024">
            <w:rPr>
              <w:rFonts w:ascii="Arial" w:hAnsi="Arial" w:cs="Arial"/>
              <w:sz w:val="24"/>
              <w:szCs w:val="24"/>
            </w:rPr>
            <w:t>RevPAR,</w:t>
          </w:r>
          <w:r w:rsidR="00B130BB" w:rsidRPr="005B0024">
            <w:rPr>
              <w:rFonts w:ascii="Arial" w:hAnsi="Arial" w:cs="Arial"/>
              <w:sz w:val="24"/>
              <w:szCs w:val="24"/>
            </w:rPr>
            <w:t xml:space="preserve"> +6</w:t>
          </w:r>
          <w:r w:rsidR="001863D4">
            <w:rPr>
              <w:rFonts w:ascii="Arial" w:hAnsi="Arial" w:cs="Arial"/>
              <w:sz w:val="24"/>
              <w:szCs w:val="24"/>
            </w:rPr>
            <w:t>,</w:t>
          </w:r>
          <w:r w:rsidR="001863D4" w:rsidRPr="005B0024">
            <w:rPr>
              <w:rFonts w:ascii="Arial" w:hAnsi="Arial" w:cs="Arial"/>
              <w:sz w:val="24"/>
              <w:szCs w:val="24"/>
            </w:rPr>
            <w:t>6</w:t>
          </w:r>
          <w:r w:rsidR="00B130BB" w:rsidRPr="005B0024">
            <w:rPr>
              <w:rFonts w:ascii="Arial" w:hAnsi="Arial" w:cs="Arial"/>
              <w:sz w:val="24"/>
              <w:szCs w:val="24"/>
            </w:rPr>
            <w:t xml:space="preserve">% of net Unit </w:t>
          </w:r>
          <w:r w:rsidR="00B822D8" w:rsidRPr="005B0024">
            <w:rPr>
              <w:rFonts w:ascii="Arial" w:hAnsi="Arial" w:cs="Arial"/>
              <w:sz w:val="24"/>
              <w:szCs w:val="24"/>
            </w:rPr>
            <w:t>growth.</w:t>
          </w:r>
          <w:r w:rsidR="00B130BB" w:rsidRPr="005B0024">
            <w:rPr>
              <w:rFonts w:ascii="Arial" w:hAnsi="Arial" w:cs="Arial"/>
              <w:sz w:val="24"/>
              <w:szCs w:val="24"/>
            </w:rPr>
            <w:t xml:space="preserve"> Looking into the financial information </w:t>
          </w:r>
          <w:r w:rsidR="00B822D8" w:rsidRPr="005B0024">
            <w:rPr>
              <w:rFonts w:ascii="Arial" w:hAnsi="Arial" w:cs="Arial"/>
              <w:sz w:val="24"/>
              <w:szCs w:val="24"/>
            </w:rPr>
            <w:t>itself,</w:t>
          </w:r>
          <w:r w:rsidR="00B130BB" w:rsidRPr="005B0024">
            <w:rPr>
              <w:rFonts w:ascii="Arial" w:hAnsi="Arial" w:cs="Arial"/>
              <w:sz w:val="24"/>
              <w:szCs w:val="24"/>
            </w:rPr>
            <w:t xml:space="preserve"> can </w:t>
          </w:r>
          <w:r w:rsidR="00B822D8" w:rsidRPr="005B0024">
            <w:rPr>
              <w:rFonts w:ascii="Arial" w:hAnsi="Arial" w:cs="Arial"/>
              <w:sz w:val="24"/>
              <w:szCs w:val="24"/>
            </w:rPr>
            <w:t>be interesting and quite scary, with sales falling -55%, profit before income tax having -174%, also the interest expenses having an increase of 4%,and gross profit reduced by -76%, 2020 was a miss , but showing good indicators of recovery and speedy trend of growth.</w:t>
          </w:r>
          <w:r w:rsidR="005B0024" w:rsidRPr="005B0024">
            <w:rPr>
              <w:rFonts w:ascii="Arial" w:hAnsi="Arial" w:cs="Arial"/>
              <w:sz w:val="24"/>
              <w:szCs w:val="24"/>
            </w:rPr>
            <w:t>2020 Year end , with 2.194 of index for sales , -1.232 for net income , which was not a surprise , 0.892 for total assets overall , due to the circumstances and how covid-19 affected the hospitality industry , Hilton supervised , and with good indicators of growth , and good decision making .</w:t>
          </w:r>
        </w:p>
        <w:p w14:paraId="42A55C8F" w14:textId="77777777" w:rsidR="00E10313" w:rsidRDefault="00E10313"/>
        <w:p w14:paraId="1F455677" w14:textId="77777777" w:rsidR="007D1947" w:rsidRDefault="007D1947"/>
        <w:p w14:paraId="4212D1B9" w14:textId="77777777" w:rsidR="007D1947" w:rsidRDefault="007D1947"/>
        <w:p w14:paraId="67046C6A" w14:textId="77777777" w:rsidR="007D1947" w:rsidRDefault="007D1947"/>
        <w:p w14:paraId="2FBFFFEA" w14:textId="77777777" w:rsidR="007D1947" w:rsidRDefault="007D1947"/>
        <w:p w14:paraId="73C992F0" w14:textId="77777777" w:rsidR="007D1947" w:rsidRDefault="007D1947"/>
        <w:p w14:paraId="171706B6" w14:textId="77777777" w:rsidR="007D1947" w:rsidRDefault="007D1947"/>
        <w:p w14:paraId="696941F7" w14:textId="77777777" w:rsidR="007D1947" w:rsidRDefault="007D1947"/>
        <w:p w14:paraId="0614965F" w14:textId="77777777" w:rsidR="007D1947" w:rsidRDefault="007D1947"/>
        <w:p w14:paraId="5ED974BB" w14:textId="77777777" w:rsidR="007D1947" w:rsidRDefault="007D1947"/>
        <w:p w14:paraId="576008F1" w14:textId="77777777" w:rsidR="007D1947" w:rsidRDefault="007D1947"/>
        <w:p w14:paraId="1A43EBAE" w14:textId="77777777" w:rsidR="007D1947" w:rsidRDefault="007D1947"/>
        <w:p w14:paraId="3AB53BCB" w14:textId="77777777" w:rsidR="007D1947" w:rsidRDefault="007D1947"/>
        <w:p w14:paraId="55C39C75" w14:textId="77777777" w:rsidR="007D1947" w:rsidRDefault="007D1947"/>
        <w:p w14:paraId="4C5619CE" w14:textId="77777777" w:rsidR="007D1947" w:rsidRDefault="007D1947"/>
        <w:p w14:paraId="1E28E3DB" w14:textId="77777777" w:rsidR="007D1947" w:rsidRDefault="007D1947"/>
        <w:p w14:paraId="21BA113E" w14:textId="77777777" w:rsidR="007D1947" w:rsidRDefault="007D1947"/>
        <w:p w14:paraId="7A343257" w14:textId="77777777" w:rsidR="007D1947" w:rsidRDefault="007D1947"/>
        <w:p w14:paraId="3F7C2400" w14:textId="77777777" w:rsidR="007D1947" w:rsidRDefault="007D1947"/>
        <w:p w14:paraId="187DD929" w14:textId="77777777" w:rsidR="007D1947" w:rsidRDefault="007D1947"/>
        <w:p w14:paraId="2F00C679" w14:textId="77777777" w:rsidR="007D1947" w:rsidRDefault="007D1947"/>
        <w:p w14:paraId="4BCADBDC" w14:textId="77777777" w:rsidR="007D1947" w:rsidRDefault="007D1947"/>
        <w:p w14:paraId="406160D6" w14:textId="77777777" w:rsidR="007D1947" w:rsidRDefault="007D1947"/>
        <w:p w14:paraId="72CCCA61" w14:textId="77777777" w:rsidR="007D1947" w:rsidRDefault="007D1947"/>
        <w:p w14:paraId="357CE6DF" w14:textId="77777777" w:rsidR="007D1947" w:rsidRDefault="007D1947"/>
        <w:p w14:paraId="13B1C7C4" w14:textId="77777777" w:rsidR="007D1947" w:rsidRDefault="007D1947"/>
        <w:p w14:paraId="26495A02" w14:textId="77777777" w:rsidR="007D1947" w:rsidRDefault="007D1947"/>
        <w:p w14:paraId="670ED43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EF04BD9" w14:textId="77777777" w:rsidR="007D1947" w:rsidRDefault="007D1947">
              <w:pPr>
                <w:pStyle w:val="TOCHeading"/>
              </w:pPr>
              <w:r>
                <w:t>Table of Contents</w:t>
              </w:r>
            </w:p>
            <w:p w14:paraId="73555B39" w14:textId="270C0492" w:rsidR="004A7BF8" w:rsidRDefault="007D1947">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p>
            <w:p w14:paraId="2C998861" w14:textId="4A250FA9" w:rsidR="004A7BF8" w:rsidRDefault="004277B8">
              <w:pPr>
                <w:pStyle w:val="TOC1"/>
                <w:tabs>
                  <w:tab w:val="right" w:leader="dot" w:pos="9016"/>
                </w:tabs>
                <w:rPr>
                  <w:rFonts w:eastAsiaTheme="minorEastAsia"/>
                  <w:noProof/>
                  <w:lang w:eastAsia="zh-CN"/>
                </w:rPr>
              </w:pPr>
              <w:hyperlink w:anchor="_Toc104027180" w:history="1">
                <w:r w:rsidR="004A7BF8" w:rsidRPr="00334708">
                  <w:rPr>
                    <w:rStyle w:val="Hyperlink"/>
                    <w:noProof/>
                  </w:rPr>
                  <w:t>Executive Summary</w:t>
                </w:r>
                <w:r w:rsidR="004A7BF8">
                  <w:rPr>
                    <w:noProof/>
                    <w:webHidden/>
                  </w:rPr>
                  <w:tab/>
                </w:r>
                <w:r w:rsidR="004A7BF8">
                  <w:rPr>
                    <w:noProof/>
                    <w:webHidden/>
                  </w:rPr>
                  <w:fldChar w:fldCharType="begin"/>
                </w:r>
                <w:r w:rsidR="004A7BF8">
                  <w:rPr>
                    <w:noProof/>
                    <w:webHidden/>
                  </w:rPr>
                  <w:instrText xml:space="preserve"> PAGEREF _Toc104027180 \h </w:instrText>
                </w:r>
                <w:r w:rsidR="004A7BF8">
                  <w:rPr>
                    <w:noProof/>
                    <w:webHidden/>
                  </w:rPr>
                </w:r>
                <w:r w:rsidR="004A7BF8">
                  <w:rPr>
                    <w:noProof/>
                    <w:webHidden/>
                  </w:rPr>
                  <w:fldChar w:fldCharType="separate"/>
                </w:r>
                <w:r w:rsidR="0012765F">
                  <w:rPr>
                    <w:noProof/>
                    <w:webHidden/>
                  </w:rPr>
                  <w:t>1</w:t>
                </w:r>
                <w:r w:rsidR="004A7BF8">
                  <w:rPr>
                    <w:noProof/>
                    <w:webHidden/>
                  </w:rPr>
                  <w:fldChar w:fldCharType="end"/>
                </w:r>
              </w:hyperlink>
            </w:p>
            <w:p w14:paraId="1911AFA8" w14:textId="665814C5" w:rsidR="004A7BF8" w:rsidRDefault="004277B8">
              <w:pPr>
                <w:pStyle w:val="TOC1"/>
                <w:tabs>
                  <w:tab w:val="right" w:leader="dot" w:pos="9016"/>
                </w:tabs>
                <w:rPr>
                  <w:rFonts w:eastAsiaTheme="minorEastAsia"/>
                  <w:noProof/>
                  <w:lang w:eastAsia="zh-CN"/>
                </w:rPr>
              </w:pPr>
              <w:hyperlink w:anchor="_Toc104027181" w:history="1">
                <w:r w:rsidR="004A7BF8" w:rsidRPr="00334708">
                  <w:rPr>
                    <w:rStyle w:val="Hyperlink"/>
                    <w:noProof/>
                  </w:rPr>
                  <w:t>Introduction</w:t>
                </w:r>
                <w:r w:rsidR="004A7BF8">
                  <w:rPr>
                    <w:noProof/>
                    <w:webHidden/>
                  </w:rPr>
                  <w:tab/>
                </w:r>
                <w:r w:rsidR="004A7BF8">
                  <w:rPr>
                    <w:noProof/>
                    <w:webHidden/>
                  </w:rPr>
                  <w:fldChar w:fldCharType="begin"/>
                </w:r>
                <w:r w:rsidR="004A7BF8">
                  <w:rPr>
                    <w:noProof/>
                    <w:webHidden/>
                  </w:rPr>
                  <w:instrText xml:space="preserve"> PAGEREF _Toc104027181 \h </w:instrText>
                </w:r>
                <w:r w:rsidR="004A7BF8">
                  <w:rPr>
                    <w:noProof/>
                    <w:webHidden/>
                  </w:rPr>
                </w:r>
                <w:r w:rsidR="004A7BF8">
                  <w:rPr>
                    <w:noProof/>
                    <w:webHidden/>
                  </w:rPr>
                  <w:fldChar w:fldCharType="separate"/>
                </w:r>
                <w:r w:rsidR="0012765F">
                  <w:rPr>
                    <w:noProof/>
                    <w:webHidden/>
                  </w:rPr>
                  <w:t>3</w:t>
                </w:r>
                <w:r w:rsidR="004A7BF8">
                  <w:rPr>
                    <w:noProof/>
                    <w:webHidden/>
                  </w:rPr>
                  <w:fldChar w:fldCharType="end"/>
                </w:r>
              </w:hyperlink>
            </w:p>
            <w:p w14:paraId="568C7F45" w14:textId="13C86476" w:rsidR="004A7BF8" w:rsidRDefault="004277B8">
              <w:pPr>
                <w:pStyle w:val="TOC1"/>
                <w:tabs>
                  <w:tab w:val="right" w:leader="dot" w:pos="9016"/>
                </w:tabs>
                <w:rPr>
                  <w:rFonts w:eastAsiaTheme="minorEastAsia"/>
                  <w:noProof/>
                  <w:lang w:eastAsia="zh-CN"/>
                </w:rPr>
              </w:pPr>
              <w:hyperlink w:anchor="_Toc104027182" w:history="1">
                <w:r w:rsidR="004A7BF8" w:rsidRPr="00334708">
                  <w:rPr>
                    <w:rStyle w:val="Hyperlink"/>
                    <w:noProof/>
                  </w:rPr>
                  <w:t>Financial Analysis</w:t>
                </w:r>
                <w:r w:rsidR="004A7BF8">
                  <w:rPr>
                    <w:noProof/>
                    <w:webHidden/>
                  </w:rPr>
                  <w:tab/>
                </w:r>
                <w:r w:rsidR="004A7BF8">
                  <w:rPr>
                    <w:noProof/>
                    <w:webHidden/>
                  </w:rPr>
                  <w:fldChar w:fldCharType="begin"/>
                </w:r>
                <w:r w:rsidR="004A7BF8">
                  <w:rPr>
                    <w:noProof/>
                    <w:webHidden/>
                  </w:rPr>
                  <w:instrText xml:space="preserve"> PAGEREF _Toc104027182 \h </w:instrText>
                </w:r>
                <w:r w:rsidR="004A7BF8">
                  <w:rPr>
                    <w:noProof/>
                    <w:webHidden/>
                  </w:rPr>
                </w:r>
                <w:r w:rsidR="004A7BF8">
                  <w:rPr>
                    <w:noProof/>
                    <w:webHidden/>
                  </w:rPr>
                  <w:fldChar w:fldCharType="separate"/>
                </w:r>
                <w:r w:rsidR="0012765F">
                  <w:rPr>
                    <w:noProof/>
                    <w:webHidden/>
                  </w:rPr>
                  <w:t>4</w:t>
                </w:r>
                <w:r w:rsidR="004A7BF8">
                  <w:rPr>
                    <w:noProof/>
                    <w:webHidden/>
                  </w:rPr>
                  <w:fldChar w:fldCharType="end"/>
                </w:r>
              </w:hyperlink>
            </w:p>
            <w:p w14:paraId="66FB5F98" w14:textId="1021A564" w:rsidR="004A7BF8" w:rsidRDefault="004277B8">
              <w:pPr>
                <w:pStyle w:val="TOC1"/>
                <w:tabs>
                  <w:tab w:val="right" w:leader="dot" w:pos="9016"/>
                </w:tabs>
                <w:rPr>
                  <w:rFonts w:eastAsiaTheme="minorEastAsia"/>
                  <w:noProof/>
                  <w:lang w:eastAsia="zh-CN"/>
                </w:rPr>
              </w:pPr>
              <w:hyperlink w:anchor="_Toc104027183" w:history="1">
                <w:r w:rsidR="004A7BF8" w:rsidRPr="00334708">
                  <w:rPr>
                    <w:rStyle w:val="Hyperlink"/>
                    <w:noProof/>
                  </w:rPr>
                  <w:t>Financial Analysis Trends</w:t>
                </w:r>
                <w:r w:rsidR="004A7BF8">
                  <w:rPr>
                    <w:noProof/>
                    <w:webHidden/>
                  </w:rPr>
                  <w:tab/>
                </w:r>
                <w:r w:rsidR="004A7BF8">
                  <w:rPr>
                    <w:noProof/>
                    <w:webHidden/>
                  </w:rPr>
                  <w:fldChar w:fldCharType="begin"/>
                </w:r>
                <w:r w:rsidR="004A7BF8">
                  <w:rPr>
                    <w:noProof/>
                    <w:webHidden/>
                  </w:rPr>
                  <w:instrText xml:space="preserve"> PAGEREF _Toc104027183 \h </w:instrText>
                </w:r>
                <w:r w:rsidR="004A7BF8">
                  <w:rPr>
                    <w:noProof/>
                    <w:webHidden/>
                  </w:rPr>
                </w:r>
                <w:r w:rsidR="004A7BF8">
                  <w:rPr>
                    <w:noProof/>
                    <w:webHidden/>
                  </w:rPr>
                  <w:fldChar w:fldCharType="separate"/>
                </w:r>
                <w:r w:rsidR="0012765F">
                  <w:rPr>
                    <w:noProof/>
                    <w:webHidden/>
                  </w:rPr>
                  <w:t>13</w:t>
                </w:r>
                <w:r w:rsidR="004A7BF8">
                  <w:rPr>
                    <w:noProof/>
                    <w:webHidden/>
                  </w:rPr>
                  <w:fldChar w:fldCharType="end"/>
                </w:r>
              </w:hyperlink>
            </w:p>
            <w:p w14:paraId="548F28C7" w14:textId="2D7B247B" w:rsidR="004A7BF8" w:rsidRDefault="004277B8">
              <w:pPr>
                <w:pStyle w:val="TOC1"/>
                <w:tabs>
                  <w:tab w:val="right" w:leader="dot" w:pos="9016"/>
                </w:tabs>
                <w:rPr>
                  <w:rFonts w:eastAsiaTheme="minorEastAsia"/>
                  <w:noProof/>
                  <w:lang w:eastAsia="zh-CN"/>
                </w:rPr>
              </w:pPr>
              <w:hyperlink w:anchor="_Toc104027184" w:history="1">
                <w:r w:rsidR="004A7BF8" w:rsidRPr="00334708">
                  <w:rPr>
                    <w:rStyle w:val="Hyperlink"/>
                    <w:noProof/>
                  </w:rPr>
                  <w:t>Conclusion (average of 10% of word count)</w:t>
                </w:r>
                <w:r w:rsidR="004A7BF8">
                  <w:rPr>
                    <w:noProof/>
                    <w:webHidden/>
                  </w:rPr>
                  <w:tab/>
                </w:r>
                <w:r w:rsidR="004A7BF8">
                  <w:rPr>
                    <w:noProof/>
                    <w:webHidden/>
                  </w:rPr>
                  <w:fldChar w:fldCharType="begin"/>
                </w:r>
                <w:r w:rsidR="004A7BF8">
                  <w:rPr>
                    <w:noProof/>
                    <w:webHidden/>
                  </w:rPr>
                  <w:instrText xml:space="preserve"> PAGEREF _Toc104027184 \h </w:instrText>
                </w:r>
                <w:r w:rsidR="004A7BF8">
                  <w:rPr>
                    <w:noProof/>
                    <w:webHidden/>
                  </w:rPr>
                </w:r>
                <w:r w:rsidR="004A7BF8">
                  <w:rPr>
                    <w:noProof/>
                    <w:webHidden/>
                  </w:rPr>
                  <w:fldChar w:fldCharType="separate"/>
                </w:r>
                <w:r w:rsidR="0012765F">
                  <w:rPr>
                    <w:noProof/>
                    <w:webHidden/>
                  </w:rPr>
                  <w:t>17</w:t>
                </w:r>
                <w:r w:rsidR="004A7BF8">
                  <w:rPr>
                    <w:noProof/>
                    <w:webHidden/>
                  </w:rPr>
                  <w:fldChar w:fldCharType="end"/>
                </w:r>
              </w:hyperlink>
            </w:p>
            <w:p w14:paraId="131C3CFA" w14:textId="1571525B" w:rsidR="004A7BF8" w:rsidRDefault="004277B8">
              <w:pPr>
                <w:pStyle w:val="TOC1"/>
                <w:tabs>
                  <w:tab w:val="right" w:leader="dot" w:pos="9016"/>
                </w:tabs>
                <w:rPr>
                  <w:rFonts w:eastAsiaTheme="minorEastAsia"/>
                  <w:noProof/>
                  <w:lang w:eastAsia="zh-CN"/>
                </w:rPr>
              </w:pPr>
              <w:hyperlink w:anchor="_Toc104027185" w:history="1">
                <w:r w:rsidR="004A7BF8" w:rsidRPr="00334708">
                  <w:rPr>
                    <w:rStyle w:val="Hyperlink"/>
                    <w:noProof/>
                  </w:rPr>
                  <w:t>Bibliography</w:t>
                </w:r>
                <w:r w:rsidR="004A7BF8">
                  <w:rPr>
                    <w:noProof/>
                    <w:webHidden/>
                  </w:rPr>
                  <w:tab/>
                </w:r>
                <w:r w:rsidR="004A7BF8">
                  <w:rPr>
                    <w:noProof/>
                    <w:webHidden/>
                  </w:rPr>
                  <w:fldChar w:fldCharType="begin"/>
                </w:r>
                <w:r w:rsidR="004A7BF8">
                  <w:rPr>
                    <w:noProof/>
                    <w:webHidden/>
                  </w:rPr>
                  <w:instrText xml:space="preserve"> PAGEREF _Toc104027185 \h </w:instrText>
                </w:r>
                <w:r w:rsidR="004A7BF8">
                  <w:rPr>
                    <w:noProof/>
                    <w:webHidden/>
                  </w:rPr>
                </w:r>
                <w:r w:rsidR="004A7BF8">
                  <w:rPr>
                    <w:noProof/>
                    <w:webHidden/>
                  </w:rPr>
                  <w:fldChar w:fldCharType="separate"/>
                </w:r>
                <w:r w:rsidR="0012765F">
                  <w:rPr>
                    <w:noProof/>
                    <w:webHidden/>
                  </w:rPr>
                  <w:t>17</w:t>
                </w:r>
                <w:r w:rsidR="004A7BF8">
                  <w:rPr>
                    <w:noProof/>
                    <w:webHidden/>
                  </w:rPr>
                  <w:fldChar w:fldCharType="end"/>
                </w:r>
              </w:hyperlink>
            </w:p>
            <w:p w14:paraId="2F4155A5" w14:textId="304A6C38" w:rsidR="007D1947" w:rsidRDefault="007D1947">
              <w:r>
                <w:rPr>
                  <w:b/>
                  <w:bCs/>
                  <w:noProof/>
                </w:rPr>
                <w:fldChar w:fldCharType="end"/>
              </w:r>
            </w:p>
          </w:sdtContent>
        </w:sdt>
        <w:p w14:paraId="787F748D" w14:textId="77777777" w:rsidR="007D1947" w:rsidRDefault="007D1947"/>
        <w:p w14:paraId="4CA74EB7" w14:textId="77777777" w:rsidR="007D1947" w:rsidRDefault="007D1947"/>
        <w:p w14:paraId="4983A84F" w14:textId="77777777" w:rsidR="007D1947" w:rsidRDefault="007D1947"/>
        <w:p w14:paraId="5ADCB2C4" w14:textId="77777777" w:rsidR="007D1947" w:rsidRDefault="007D1947"/>
        <w:p w14:paraId="5FC301C3" w14:textId="77777777" w:rsidR="007D1947" w:rsidRDefault="007D1947"/>
        <w:p w14:paraId="572779A5" w14:textId="77777777" w:rsidR="007D1947" w:rsidRDefault="007D1947"/>
        <w:p w14:paraId="207286AF" w14:textId="77777777" w:rsidR="007D1947" w:rsidRDefault="007D1947"/>
        <w:p w14:paraId="64A5B5F3" w14:textId="77777777" w:rsidR="007D1947" w:rsidRDefault="007D1947"/>
        <w:p w14:paraId="3646E3A6" w14:textId="364E9E7B" w:rsidR="007D1947" w:rsidRDefault="007D1947"/>
        <w:p w14:paraId="33FC2C21" w14:textId="68740DBA" w:rsidR="007D1947" w:rsidRDefault="007D1947" w:rsidP="007D1947">
          <w:pPr>
            <w:pStyle w:val="Heading1"/>
          </w:pPr>
          <w:bookmarkStart w:id="2" w:name="_Toc104027181"/>
          <w:r>
            <w:lastRenderedPageBreak/>
            <w:t>Introduction</w:t>
          </w:r>
          <w:bookmarkEnd w:id="2"/>
        </w:p>
        <w:p w14:paraId="6C35C80D" w14:textId="77777777" w:rsidR="007D1947" w:rsidRDefault="007D1947" w:rsidP="007D1947"/>
        <w:p w14:paraId="45853FB4" w14:textId="1F21905B" w:rsidR="004A11F6" w:rsidRPr="00481C9E" w:rsidRDefault="007F4C4B" w:rsidP="00481C9E">
          <w:pPr>
            <w:spacing w:line="360" w:lineRule="auto"/>
            <w:jc w:val="both"/>
            <w:rPr>
              <w:rFonts w:ascii="Arial" w:hAnsi="Arial" w:cs="Arial"/>
              <w:sz w:val="24"/>
              <w:szCs w:val="24"/>
            </w:rPr>
          </w:pPr>
          <w:r w:rsidRPr="00481C9E">
            <w:rPr>
              <w:rFonts w:ascii="Arial" w:hAnsi="Arial" w:cs="Arial"/>
              <w:sz w:val="24"/>
              <w:szCs w:val="24"/>
            </w:rPr>
            <w:t xml:space="preserve">The environment in which hospitality organisations operate are competitive and hostile, in order to successfully operate, they are </w:t>
          </w:r>
          <w:r w:rsidR="00E56149" w:rsidRPr="00481C9E">
            <w:rPr>
              <w:rFonts w:ascii="Arial" w:hAnsi="Arial" w:cs="Arial"/>
              <w:sz w:val="24"/>
              <w:szCs w:val="24"/>
            </w:rPr>
            <w:t>required</w:t>
          </w:r>
          <w:r w:rsidRPr="00481C9E">
            <w:rPr>
              <w:rFonts w:ascii="Arial" w:hAnsi="Arial" w:cs="Arial"/>
              <w:sz w:val="24"/>
              <w:szCs w:val="24"/>
            </w:rPr>
            <w:t xml:space="preserve"> to have many resources. Most companies measure their success in many ways, including the ability to have profit, capture market share, generate cash and provide services, more effectively than competitors. Looking at financial information available, helps </w:t>
          </w:r>
          <w:r w:rsidR="00E56149" w:rsidRPr="00481C9E">
            <w:rPr>
              <w:rFonts w:ascii="Arial" w:hAnsi="Arial" w:cs="Arial"/>
              <w:sz w:val="24"/>
              <w:szCs w:val="24"/>
            </w:rPr>
            <w:t>into</w:t>
          </w:r>
          <w:r w:rsidRPr="00481C9E">
            <w:rPr>
              <w:rFonts w:ascii="Arial" w:hAnsi="Arial" w:cs="Arial"/>
              <w:sz w:val="24"/>
              <w:szCs w:val="24"/>
            </w:rPr>
            <w:t xml:space="preserve"> decision making, control and planning. The environment is so complex, that would be impossible to survive, without this valuable information. To achieve objectives and goals companies </w:t>
          </w:r>
          <w:r w:rsidR="00CC33F0" w:rsidRPr="00481C9E">
            <w:rPr>
              <w:rFonts w:ascii="Arial" w:hAnsi="Arial" w:cs="Arial"/>
              <w:sz w:val="24"/>
              <w:szCs w:val="24"/>
            </w:rPr>
            <w:t>must</w:t>
          </w:r>
          <w:r w:rsidRPr="00481C9E">
            <w:rPr>
              <w:rFonts w:ascii="Arial" w:hAnsi="Arial" w:cs="Arial"/>
              <w:sz w:val="24"/>
              <w:szCs w:val="24"/>
            </w:rPr>
            <w:t xml:space="preserve"> analyse and interpreting trends, and ratios can be a quick and effective way of doing </w:t>
          </w:r>
          <w:r w:rsidR="00CC33F0" w:rsidRPr="00481C9E">
            <w:rPr>
              <w:rFonts w:ascii="Arial" w:hAnsi="Arial" w:cs="Arial"/>
              <w:sz w:val="24"/>
              <w:szCs w:val="24"/>
            </w:rPr>
            <w:t>it. Financial</w:t>
          </w:r>
          <w:r w:rsidR="007E1251" w:rsidRPr="00481C9E">
            <w:rPr>
              <w:rFonts w:ascii="Arial" w:hAnsi="Arial" w:cs="Arial"/>
              <w:sz w:val="24"/>
              <w:szCs w:val="24"/>
            </w:rPr>
            <w:t xml:space="preserve"> ratio analysis</w:t>
          </w:r>
          <w:r w:rsidRPr="00481C9E">
            <w:rPr>
              <w:rFonts w:ascii="Arial" w:hAnsi="Arial" w:cs="Arial"/>
              <w:sz w:val="24"/>
              <w:szCs w:val="24"/>
            </w:rPr>
            <w:t xml:space="preserve"> </w:t>
          </w:r>
          <w:r w:rsidR="007E1251" w:rsidRPr="00481C9E">
            <w:rPr>
              <w:rFonts w:ascii="Arial" w:hAnsi="Arial" w:cs="Arial"/>
              <w:sz w:val="24"/>
              <w:szCs w:val="24"/>
            </w:rPr>
            <w:t xml:space="preserve">is normally utilized </w:t>
          </w:r>
          <w:r w:rsidR="00CC33F0" w:rsidRPr="00481C9E">
            <w:rPr>
              <w:rFonts w:ascii="Arial" w:hAnsi="Arial" w:cs="Arial"/>
              <w:sz w:val="24"/>
              <w:szCs w:val="24"/>
            </w:rPr>
            <w:t>to obtain knowledge where their organizations are healthy and their potential in the future, also analysis</w:t>
          </w:r>
          <w:r w:rsidRPr="00481C9E">
            <w:rPr>
              <w:rFonts w:ascii="Arial" w:hAnsi="Arial" w:cs="Arial"/>
              <w:sz w:val="24"/>
              <w:szCs w:val="24"/>
            </w:rPr>
            <w:t xml:space="preserve"> </w:t>
          </w:r>
          <w:r w:rsidR="00CC33F0" w:rsidRPr="00481C9E">
            <w:rPr>
              <w:rFonts w:ascii="Arial" w:hAnsi="Arial" w:cs="Arial"/>
              <w:sz w:val="24"/>
              <w:szCs w:val="24"/>
            </w:rPr>
            <w:t>the current performance against competitors, or other organisations of the same sector, ration only show trends, and help with decision making.</w:t>
          </w:r>
          <w:r w:rsidRPr="00481C9E">
            <w:rPr>
              <w:rFonts w:ascii="Arial" w:hAnsi="Arial" w:cs="Arial"/>
              <w:sz w:val="24"/>
              <w:szCs w:val="24"/>
            </w:rPr>
            <w:t xml:space="preserve"> Hilton Worldwide Holdings Inc. is one of the world’s fastest and largest growing hospitality company. With 18 different brands, operating in 122 countries, with more than 6800 properties in the globe. Hilton was founded in 1919, reaching 100 years of experiences, in 1946 Hilton Hotels Corporation was listed on the New York stock Exchange. Hilton had welcomed more than 3 billion guests in their 100 years of history, introducing many innovations in the industry, such as key cards, etc. Hilton in 2019 and 2020 faced very difficult times, with the impact of covid -19. As a resilient business model, and a strong balance sheet, and quick decisive actions, we ensure our ability to navigate all the challenges presented, Hilton started 2020 with 96% of its hotels open, with 14% of global RevPAR premium, +6.6% net unit growth, and a share price: NYSE HLT: $136.59 (growing 3 to 4%). We are passionate about delivering exceptional guest experiences, we do the right thing, all the time, have won a few awards around the world in 2020, for best place to work. This report will help to read and understand the analysis of Ratios</w:t>
          </w:r>
          <w:r w:rsidR="009547E7" w:rsidRPr="00481C9E">
            <w:rPr>
              <w:rFonts w:ascii="Arial" w:hAnsi="Arial" w:cs="Arial"/>
              <w:sz w:val="24"/>
              <w:szCs w:val="24"/>
            </w:rPr>
            <w:t xml:space="preserve"> for 2019/2020</w:t>
          </w:r>
          <w:r w:rsidRPr="00481C9E">
            <w:rPr>
              <w:rFonts w:ascii="Arial" w:hAnsi="Arial" w:cs="Arial"/>
              <w:sz w:val="24"/>
              <w:szCs w:val="24"/>
            </w:rPr>
            <w:t xml:space="preserve">, and what conclusions we can get for </w:t>
          </w:r>
          <w:r w:rsidR="009547E7" w:rsidRPr="00481C9E">
            <w:rPr>
              <w:rFonts w:ascii="Arial" w:hAnsi="Arial" w:cs="Arial"/>
              <w:sz w:val="24"/>
              <w:szCs w:val="24"/>
            </w:rPr>
            <w:t xml:space="preserve">future </w:t>
          </w:r>
          <w:r w:rsidR="007E1251" w:rsidRPr="00481C9E">
            <w:rPr>
              <w:rFonts w:ascii="Arial" w:hAnsi="Arial" w:cs="Arial"/>
              <w:sz w:val="24"/>
              <w:szCs w:val="24"/>
            </w:rPr>
            <w:t>decisions. (Hilton, 2022</w:t>
          </w:r>
          <w:r w:rsidR="00920BE0">
            <w:rPr>
              <w:rFonts w:ascii="Arial" w:hAnsi="Arial" w:cs="Arial"/>
              <w:sz w:val="24"/>
              <w:szCs w:val="24"/>
            </w:rPr>
            <w:t>)</w:t>
          </w:r>
        </w:p>
        <w:p w14:paraId="23E9B602" w14:textId="77777777" w:rsidR="004A11F6" w:rsidRDefault="004A11F6" w:rsidP="007D1947"/>
        <w:p w14:paraId="57F8277E" w14:textId="77777777" w:rsidR="004A11F6" w:rsidRDefault="004A11F6" w:rsidP="007D1947"/>
        <w:p w14:paraId="5CF7EA30" w14:textId="77777777" w:rsidR="001863D4" w:rsidRDefault="001863D4" w:rsidP="004A11F6">
          <w:pPr>
            <w:pStyle w:val="Heading1"/>
          </w:pPr>
          <w:bookmarkStart w:id="3" w:name="_Toc104027182"/>
        </w:p>
        <w:p w14:paraId="660FF286" w14:textId="363CFE63" w:rsidR="004A11F6" w:rsidRDefault="004A11F6" w:rsidP="004A11F6">
          <w:pPr>
            <w:pStyle w:val="Heading1"/>
          </w:pPr>
          <w:r>
            <w:t>Financial Analysis</w:t>
          </w:r>
          <w:bookmarkEnd w:id="3"/>
        </w:p>
        <w:p w14:paraId="53714BC2" w14:textId="77777777" w:rsidR="004A11F6" w:rsidRDefault="004A11F6" w:rsidP="007D1947"/>
        <w:tbl>
          <w:tblPr>
            <w:tblW w:w="9059" w:type="dxa"/>
            <w:tblLook w:val="04A0" w:firstRow="1" w:lastRow="0" w:firstColumn="1" w:lastColumn="0" w:noHBand="0" w:noVBand="1"/>
          </w:tblPr>
          <w:tblGrid>
            <w:gridCol w:w="3074"/>
            <w:gridCol w:w="1369"/>
            <w:gridCol w:w="1324"/>
            <w:gridCol w:w="1212"/>
            <w:gridCol w:w="1164"/>
            <w:gridCol w:w="960"/>
          </w:tblGrid>
          <w:tr w:rsidR="00CB2D88" w:rsidRPr="00CB2D88" w14:paraId="04083432" w14:textId="77777777" w:rsidTr="00CB2D88">
            <w:trPr>
              <w:trHeight w:val="290"/>
            </w:trPr>
            <w:tc>
              <w:tcPr>
                <w:tcW w:w="3074" w:type="dxa"/>
                <w:tcBorders>
                  <w:top w:val="nil"/>
                  <w:left w:val="nil"/>
                  <w:bottom w:val="nil"/>
                  <w:right w:val="nil"/>
                </w:tcBorders>
                <w:shd w:val="clear" w:color="auto" w:fill="auto"/>
                <w:noWrap/>
                <w:vAlign w:val="bottom"/>
                <w:hideMark/>
              </w:tcPr>
              <w:p w14:paraId="079359D7" w14:textId="77777777" w:rsidR="00CB2D88" w:rsidRPr="00CB2D88" w:rsidRDefault="00CB2D88" w:rsidP="00CB2D88">
                <w:pPr>
                  <w:spacing w:after="0" w:line="240" w:lineRule="auto"/>
                  <w:rPr>
                    <w:rFonts w:ascii="Times New Roman" w:eastAsia="Times New Roman" w:hAnsi="Times New Roman" w:cs="Times New Roman"/>
                    <w:sz w:val="24"/>
                    <w:szCs w:val="24"/>
                    <w:lang w:eastAsia="zh-CN"/>
                  </w:rPr>
                </w:pPr>
              </w:p>
            </w:tc>
            <w:tc>
              <w:tcPr>
                <w:tcW w:w="1369" w:type="dxa"/>
                <w:tcBorders>
                  <w:top w:val="nil"/>
                  <w:left w:val="nil"/>
                  <w:bottom w:val="nil"/>
                  <w:right w:val="nil"/>
                </w:tcBorders>
                <w:shd w:val="clear" w:color="auto" w:fill="auto"/>
                <w:noWrap/>
                <w:vAlign w:val="bottom"/>
                <w:hideMark/>
              </w:tcPr>
              <w:p w14:paraId="3AEA31F9"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1324" w:type="dxa"/>
                <w:tcBorders>
                  <w:top w:val="nil"/>
                  <w:left w:val="nil"/>
                  <w:bottom w:val="nil"/>
                  <w:right w:val="nil"/>
                </w:tcBorders>
                <w:shd w:val="clear" w:color="auto" w:fill="auto"/>
                <w:noWrap/>
                <w:vAlign w:val="bottom"/>
                <w:hideMark/>
              </w:tcPr>
              <w:p w14:paraId="458BDF05"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1212" w:type="dxa"/>
                <w:tcBorders>
                  <w:top w:val="nil"/>
                  <w:left w:val="nil"/>
                  <w:bottom w:val="nil"/>
                  <w:right w:val="nil"/>
                </w:tcBorders>
                <w:shd w:val="clear" w:color="auto" w:fill="auto"/>
                <w:noWrap/>
                <w:vAlign w:val="bottom"/>
                <w:hideMark/>
              </w:tcPr>
              <w:p w14:paraId="21F79A2F"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1120" w:type="dxa"/>
                <w:tcBorders>
                  <w:top w:val="nil"/>
                  <w:left w:val="nil"/>
                  <w:bottom w:val="nil"/>
                  <w:right w:val="nil"/>
                </w:tcBorders>
                <w:shd w:val="clear" w:color="auto" w:fill="auto"/>
                <w:noWrap/>
                <w:vAlign w:val="bottom"/>
                <w:hideMark/>
              </w:tcPr>
              <w:p w14:paraId="32E2CEF9"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960" w:type="dxa"/>
                <w:tcBorders>
                  <w:top w:val="nil"/>
                  <w:left w:val="nil"/>
                  <w:bottom w:val="nil"/>
                  <w:right w:val="nil"/>
                </w:tcBorders>
                <w:shd w:val="clear" w:color="auto" w:fill="auto"/>
                <w:noWrap/>
                <w:vAlign w:val="bottom"/>
                <w:hideMark/>
              </w:tcPr>
              <w:p w14:paraId="422AEE63"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r>
          <w:tr w:rsidR="00CB2D88" w:rsidRPr="00CB2D88" w14:paraId="61606AC0" w14:textId="77777777" w:rsidTr="00CB2D88">
            <w:trPr>
              <w:trHeight w:val="290"/>
            </w:trPr>
            <w:tc>
              <w:tcPr>
                <w:tcW w:w="3074" w:type="dxa"/>
                <w:tcBorders>
                  <w:top w:val="nil"/>
                  <w:left w:val="nil"/>
                  <w:bottom w:val="nil"/>
                  <w:right w:val="nil"/>
                </w:tcBorders>
                <w:shd w:val="clear" w:color="auto" w:fill="auto"/>
                <w:noWrap/>
                <w:vAlign w:val="center"/>
                <w:hideMark/>
              </w:tcPr>
              <w:p w14:paraId="49C708AD" w14:textId="77777777" w:rsidR="00CB2D88" w:rsidRPr="00CB2D88" w:rsidRDefault="00CB2D88" w:rsidP="00CB2D88">
                <w:pPr>
                  <w:spacing w:after="0" w:line="240" w:lineRule="auto"/>
                  <w:rPr>
                    <w:rFonts w:ascii="Calibri" w:eastAsia="Times New Roman" w:hAnsi="Calibri" w:cs="Calibri"/>
                    <w:b/>
                    <w:bCs/>
                    <w:color w:val="000000"/>
                    <w:lang w:eastAsia="zh-CN"/>
                  </w:rPr>
                </w:pPr>
                <w:r w:rsidRPr="00CB2D88">
                  <w:rPr>
                    <w:rFonts w:ascii="Calibri" w:eastAsia="Times New Roman" w:hAnsi="Calibri" w:cs="Calibri"/>
                    <w:b/>
                    <w:bCs/>
                    <w:color w:val="000000"/>
                    <w:lang w:eastAsia="zh-CN"/>
                  </w:rPr>
                  <w:t>Income Statement</w:t>
                </w:r>
              </w:p>
            </w:tc>
            <w:tc>
              <w:tcPr>
                <w:tcW w:w="3905" w:type="dxa"/>
                <w:gridSpan w:val="3"/>
                <w:tcBorders>
                  <w:top w:val="nil"/>
                  <w:left w:val="nil"/>
                  <w:bottom w:val="nil"/>
                  <w:right w:val="nil"/>
                </w:tcBorders>
                <w:shd w:val="clear" w:color="auto" w:fill="auto"/>
                <w:noWrap/>
                <w:vAlign w:val="center"/>
                <w:hideMark/>
              </w:tcPr>
              <w:p w14:paraId="73A4BC9F" w14:textId="77777777" w:rsidR="00CB2D88" w:rsidRPr="00CB2D88" w:rsidRDefault="00CB2D88" w:rsidP="00CB2D88">
                <w:pPr>
                  <w:spacing w:after="0" w:line="240" w:lineRule="auto"/>
                  <w:rPr>
                    <w:rFonts w:ascii="Arial" w:eastAsia="Times New Roman" w:hAnsi="Arial" w:cs="Arial"/>
                    <w:b/>
                    <w:bCs/>
                    <w:color w:val="232A31"/>
                    <w:lang w:eastAsia="zh-CN"/>
                  </w:rPr>
                </w:pPr>
                <w:r w:rsidRPr="00CB2D88">
                  <w:rPr>
                    <w:rFonts w:ascii="Arial" w:eastAsia="Times New Roman" w:hAnsi="Arial" w:cs="Arial"/>
                    <w:b/>
                    <w:bCs/>
                    <w:color w:val="232A31"/>
                    <w:lang w:eastAsia="zh-CN"/>
                  </w:rPr>
                  <w:t>Hilton Worldwide Holdings Inc. (HLT)</w:t>
                </w:r>
              </w:p>
            </w:tc>
            <w:tc>
              <w:tcPr>
                <w:tcW w:w="1120" w:type="dxa"/>
                <w:tcBorders>
                  <w:top w:val="nil"/>
                  <w:left w:val="nil"/>
                  <w:bottom w:val="nil"/>
                  <w:right w:val="nil"/>
                </w:tcBorders>
                <w:shd w:val="clear" w:color="auto" w:fill="auto"/>
                <w:noWrap/>
                <w:vAlign w:val="bottom"/>
                <w:hideMark/>
              </w:tcPr>
              <w:p w14:paraId="11E50F8F" w14:textId="77777777" w:rsidR="00CB2D88" w:rsidRPr="00CB2D88" w:rsidRDefault="00CB2D88" w:rsidP="00CB2D88">
                <w:pPr>
                  <w:spacing w:after="0" w:line="240" w:lineRule="auto"/>
                  <w:rPr>
                    <w:rFonts w:ascii="Arial" w:eastAsia="Times New Roman" w:hAnsi="Arial" w:cs="Arial"/>
                    <w:b/>
                    <w:bCs/>
                    <w:color w:val="232A31"/>
                    <w:lang w:eastAsia="zh-CN"/>
                  </w:rPr>
                </w:pPr>
              </w:p>
            </w:tc>
            <w:tc>
              <w:tcPr>
                <w:tcW w:w="960" w:type="dxa"/>
                <w:tcBorders>
                  <w:top w:val="nil"/>
                  <w:left w:val="nil"/>
                  <w:bottom w:val="nil"/>
                  <w:right w:val="nil"/>
                </w:tcBorders>
                <w:shd w:val="clear" w:color="auto" w:fill="auto"/>
                <w:noWrap/>
                <w:vAlign w:val="bottom"/>
                <w:hideMark/>
              </w:tcPr>
              <w:p w14:paraId="1B9294BA"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r>
          <w:tr w:rsidR="00CB2D88" w:rsidRPr="00CB2D88" w14:paraId="20CEAC2B" w14:textId="77777777" w:rsidTr="00CB2D88">
            <w:trPr>
              <w:trHeight w:val="290"/>
            </w:trPr>
            <w:tc>
              <w:tcPr>
                <w:tcW w:w="3074" w:type="dxa"/>
                <w:tcBorders>
                  <w:top w:val="nil"/>
                  <w:left w:val="nil"/>
                  <w:bottom w:val="nil"/>
                  <w:right w:val="nil"/>
                </w:tcBorders>
                <w:shd w:val="clear" w:color="auto" w:fill="auto"/>
                <w:noWrap/>
                <w:vAlign w:val="bottom"/>
                <w:hideMark/>
              </w:tcPr>
              <w:p w14:paraId="4AEC3705"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1369" w:type="dxa"/>
                <w:tcBorders>
                  <w:top w:val="nil"/>
                  <w:left w:val="nil"/>
                  <w:bottom w:val="nil"/>
                  <w:right w:val="nil"/>
                </w:tcBorders>
                <w:shd w:val="clear" w:color="auto" w:fill="auto"/>
                <w:noWrap/>
                <w:vAlign w:val="center"/>
                <w:hideMark/>
              </w:tcPr>
              <w:p w14:paraId="63078A8A"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2020</w:t>
                </w:r>
              </w:p>
            </w:tc>
            <w:tc>
              <w:tcPr>
                <w:tcW w:w="1324" w:type="dxa"/>
                <w:tcBorders>
                  <w:top w:val="nil"/>
                  <w:left w:val="nil"/>
                  <w:bottom w:val="nil"/>
                  <w:right w:val="nil"/>
                </w:tcBorders>
                <w:shd w:val="clear" w:color="auto" w:fill="auto"/>
                <w:noWrap/>
                <w:vAlign w:val="center"/>
                <w:hideMark/>
              </w:tcPr>
              <w:p w14:paraId="335AB42A"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2019</w:t>
                </w:r>
              </w:p>
            </w:tc>
            <w:tc>
              <w:tcPr>
                <w:tcW w:w="1212" w:type="dxa"/>
                <w:tcBorders>
                  <w:top w:val="nil"/>
                  <w:left w:val="nil"/>
                  <w:bottom w:val="nil"/>
                  <w:right w:val="nil"/>
                </w:tcBorders>
                <w:shd w:val="clear" w:color="auto" w:fill="auto"/>
                <w:noWrap/>
                <w:vAlign w:val="center"/>
                <w:hideMark/>
              </w:tcPr>
              <w:p w14:paraId="39BE758B"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Change</w:t>
                </w:r>
              </w:p>
            </w:tc>
            <w:tc>
              <w:tcPr>
                <w:tcW w:w="1120" w:type="dxa"/>
                <w:tcBorders>
                  <w:top w:val="nil"/>
                  <w:left w:val="nil"/>
                  <w:bottom w:val="nil"/>
                  <w:right w:val="nil"/>
                </w:tcBorders>
                <w:shd w:val="clear" w:color="auto" w:fill="auto"/>
                <w:noWrap/>
                <w:vAlign w:val="center"/>
                <w:hideMark/>
              </w:tcPr>
              <w:p w14:paraId="5AB01782"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 Change</w:t>
                </w:r>
              </w:p>
            </w:tc>
            <w:tc>
              <w:tcPr>
                <w:tcW w:w="960" w:type="dxa"/>
                <w:tcBorders>
                  <w:top w:val="nil"/>
                  <w:left w:val="nil"/>
                  <w:bottom w:val="nil"/>
                  <w:right w:val="nil"/>
                </w:tcBorders>
                <w:shd w:val="clear" w:color="auto" w:fill="auto"/>
                <w:noWrap/>
                <w:vAlign w:val="bottom"/>
                <w:hideMark/>
              </w:tcPr>
              <w:p w14:paraId="3082B10A" w14:textId="77777777" w:rsidR="00CB2D88" w:rsidRPr="00CB2D88" w:rsidRDefault="00CB2D88" w:rsidP="00CB2D88">
                <w:pPr>
                  <w:spacing w:after="0" w:line="240" w:lineRule="auto"/>
                  <w:rPr>
                    <w:rFonts w:ascii="Calibri" w:eastAsia="Times New Roman" w:hAnsi="Calibri" w:cs="Calibri"/>
                    <w:color w:val="000000"/>
                    <w:lang w:eastAsia="zh-CN"/>
                  </w:rPr>
                </w:pPr>
              </w:p>
            </w:tc>
          </w:tr>
          <w:tr w:rsidR="00CB2D88" w:rsidRPr="00CB2D88" w14:paraId="366A827D" w14:textId="77777777" w:rsidTr="00CB2D88">
            <w:trPr>
              <w:trHeight w:val="290"/>
            </w:trPr>
            <w:tc>
              <w:tcPr>
                <w:tcW w:w="3074" w:type="dxa"/>
                <w:tcBorders>
                  <w:top w:val="nil"/>
                  <w:left w:val="nil"/>
                  <w:bottom w:val="nil"/>
                  <w:right w:val="nil"/>
                </w:tcBorders>
                <w:shd w:val="clear" w:color="auto" w:fill="auto"/>
                <w:noWrap/>
                <w:vAlign w:val="center"/>
                <w:hideMark/>
              </w:tcPr>
              <w:p w14:paraId="33AFB7CD"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Fiscal Year Ends</w:t>
                </w:r>
              </w:p>
            </w:tc>
            <w:tc>
              <w:tcPr>
                <w:tcW w:w="1369" w:type="dxa"/>
                <w:tcBorders>
                  <w:top w:val="nil"/>
                  <w:left w:val="nil"/>
                  <w:bottom w:val="nil"/>
                  <w:right w:val="nil"/>
                </w:tcBorders>
                <w:shd w:val="clear" w:color="auto" w:fill="auto"/>
                <w:noWrap/>
                <w:vAlign w:val="center"/>
                <w:hideMark/>
              </w:tcPr>
              <w:p w14:paraId="772B0691"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31/12/2021</w:t>
                </w:r>
              </w:p>
            </w:tc>
            <w:tc>
              <w:tcPr>
                <w:tcW w:w="1324" w:type="dxa"/>
                <w:tcBorders>
                  <w:top w:val="nil"/>
                  <w:left w:val="nil"/>
                  <w:bottom w:val="nil"/>
                  <w:right w:val="nil"/>
                </w:tcBorders>
                <w:shd w:val="clear" w:color="auto" w:fill="auto"/>
                <w:noWrap/>
                <w:vAlign w:val="center"/>
                <w:hideMark/>
              </w:tcPr>
              <w:p w14:paraId="48A7D360"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31/12/2020</w:t>
                </w:r>
              </w:p>
            </w:tc>
            <w:tc>
              <w:tcPr>
                <w:tcW w:w="1212" w:type="dxa"/>
                <w:tcBorders>
                  <w:top w:val="nil"/>
                  <w:left w:val="nil"/>
                  <w:bottom w:val="nil"/>
                  <w:right w:val="nil"/>
                </w:tcBorders>
                <w:shd w:val="clear" w:color="auto" w:fill="auto"/>
                <w:noWrap/>
                <w:vAlign w:val="bottom"/>
                <w:hideMark/>
              </w:tcPr>
              <w:p w14:paraId="6964D686" w14:textId="77777777" w:rsidR="00CB2D88" w:rsidRPr="00CB2D88" w:rsidRDefault="00CB2D88" w:rsidP="00CB2D88">
                <w:pPr>
                  <w:spacing w:after="0" w:line="240" w:lineRule="auto"/>
                  <w:jc w:val="right"/>
                  <w:rPr>
                    <w:rFonts w:ascii="Calibri" w:eastAsia="Times New Roman" w:hAnsi="Calibri" w:cs="Calibri"/>
                    <w:color w:val="000000"/>
                    <w:lang w:eastAsia="zh-CN"/>
                  </w:rPr>
                </w:pPr>
              </w:p>
            </w:tc>
            <w:tc>
              <w:tcPr>
                <w:tcW w:w="1120" w:type="dxa"/>
                <w:tcBorders>
                  <w:top w:val="nil"/>
                  <w:left w:val="nil"/>
                  <w:bottom w:val="nil"/>
                  <w:right w:val="nil"/>
                </w:tcBorders>
                <w:shd w:val="clear" w:color="auto" w:fill="auto"/>
                <w:noWrap/>
                <w:vAlign w:val="bottom"/>
                <w:hideMark/>
              </w:tcPr>
              <w:p w14:paraId="5C86CBEA"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960" w:type="dxa"/>
                <w:tcBorders>
                  <w:top w:val="nil"/>
                  <w:left w:val="nil"/>
                  <w:bottom w:val="nil"/>
                  <w:right w:val="nil"/>
                </w:tcBorders>
                <w:shd w:val="clear" w:color="auto" w:fill="auto"/>
                <w:noWrap/>
                <w:vAlign w:val="bottom"/>
                <w:hideMark/>
              </w:tcPr>
              <w:p w14:paraId="3A49A5CD"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r>
          <w:tr w:rsidR="00335DDD" w:rsidRPr="00335DDD" w14:paraId="5F18EEE8" w14:textId="77777777" w:rsidTr="00CB2D88">
            <w:trPr>
              <w:trHeight w:val="290"/>
            </w:trPr>
            <w:tc>
              <w:tcPr>
                <w:tcW w:w="3074" w:type="dxa"/>
                <w:tcBorders>
                  <w:top w:val="nil"/>
                  <w:left w:val="nil"/>
                  <w:bottom w:val="nil"/>
                  <w:right w:val="nil"/>
                </w:tcBorders>
                <w:shd w:val="clear" w:color="auto" w:fill="auto"/>
                <w:noWrap/>
                <w:vAlign w:val="center"/>
                <w:hideMark/>
              </w:tcPr>
              <w:p w14:paraId="2F1CC729"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Sales</w:t>
                </w:r>
              </w:p>
            </w:tc>
            <w:tc>
              <w:tcPr>
                <w:tcW w:w="1369" w:type="dxa"/>
                <w:tcBorders>
                  <w:top w:val="nil"/>
                  <w:left w:val="nil"/>
                  <w:bottom w:val="nil"/>
                  <w:right w:val="nil"/>
                </w:tcBorders>
                <w:shd w:val="clear" w:color="auto" w:fill="auto"/>
                <w:noWrap/>
                <w:vAlign w:val="center"/>
                <w:hideMark/>
              </w:tcPr>
              <w:p w14:paraId="7E1129E3"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4,307,000</w:t>
                </w:r>
              </w:p>
            </w:tc>
            <w:tc>
              <w:tcPr>
                <w:tcW w:w="1324" w:type="dxa"/>
                <w:tcBorders>
                  <w:top w:val="nil"/>
                  <w:left w:val="nil"/>
                  <w:bottom w:val="nil"/>
                  <w:right w:val="nil"/>
                </w:tcBorders>
                <w:shd w:val="clear" w:color="auto" w:fill="auto"/>
                <w:noWrap/>
                <w:vAlign w:val="center"/>
                <w:hideMark/>
              </w:tcPr>
              <w:p w14:paraId="7380D9EE"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9,452,000</w:t>
                </w:r>
              </w:p>
            </w:tc>
            <w:tc>
              <w:tcPr>
                <w:tcW w:w="1212" w:type="dxa"/>
                <w:tcBorders>
                  <w:top w:val="nil"/>
                  <w:left w:val="nil"/>
                  <w:bottom w:val="nil"/>
                  <w:right w:val="nil"/>
                </w:tcBorders>
                <w:shd w:val="clear" w:color="auto" w:fill="auto"/>
                <w:noWrap/>
                <w:vAlign w:val="bottom"/>
                <w:hideMark/>
              </w:tcPr>
              <w:p w14:paraId="31357207"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-5,145,000</w:t>
                </w:r>
              </w:p>
            </w:tc>
            <w:tc>
              <w:tcPr>
                <w:tcW w:w="1120" w:type="dxa"/>
                <w:tcBorders>
                  <w:top w:val="nil"/>
                  <w:left w:val="nil"/>
                  <w:bottom w:val="nil"/>
                  <w:right w:val="nil"/>
                </w:tcBorders>
                <w:shd w:val="clear" w:color="auto" w:fill="auto"/>
                <w:noWrap/>
                <w:vAlign w:val="bottom"/>
                <w:hideMark/>
              </w:tcPr>
              <w:p w14:paraId="6A64460A"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-54.43292</w:t>
                </w:r>
              </w:p>
            </w:tc>
            <w:tc>
              <w:tcPr>
                <w:tcW w:w="960" w:type="dxa"/>
                <w:tcBorders>
                  <w:top w:val="nil"/>
                  <w:left w:val="nil"/>
                  <w:bottom w:val="nil"/>
                  <w:right w:val="nil"/>
                </w:tcBorders>
                <w:shd w:val="clear" w:color="auto" w:fill="auto"/>
                <w:noWrap/>
                <w:vAlign w:val="bottom"/>
                <w:hideMark/>
              </w:tcPr>
              <w:p w14:paraId="23DFE31F"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-55%</w:t>
                </w:r>
              </w:p>
            </w:tc>
          </w:tr>
          <w:tr w:rsidR="00335DDD" w:rsidRPr="00335DDD" w14:paraId="6C0D8AFE" w14:textId="77777777" w:rsidTr="00CB2D88">
            <w:trPr>
              <w:trHeight w:val="290"/>
            </w:trPr>
            <w:tc>
              <w:tcPr>
                <w:tcW w:w="3074" w:type="dxa"/>
                <w:tcBorders>
                  <w:top w:val="nil"/>
                  <w:left w:val="nil"/>
                  <w:bottom w:val="nil"/>
                  <w:right w:val="nil"/>
                </w:tcBorders>
                <w:shd w:val="clear" w:color="auto" w:fill="auto"/>
                <w:noWrap/>
                <w:vAlign w:val="center"/>
                <w:hideMark/>
              </w:tcPr>
              <w:p w14:paraId="5A922188"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Cost of goods sold</w:t>
                </w:r>
              </w:p>
            </w:tc>
            <w:tc>
              <w:tcPr>
                <w:tcW w:w="1369" w:type="dxa"/>
                <w:tcBorders>
                  <w:top w:val="nil"/>
                  <w:left w:val="nil"/>
                  <w:bottom w:val="nil"/>
                  <w:right w:val="nil"/>
                </w:tcBorders>
                <w:shd w:val="clear" w:color="auto" w:fill="auto"/>
                <w:noWrap/>
                <w:vAlign w:val="center"/>
                <w:hideMark/>
              </w:tcPr>
              <w:p w14:paraId="331D43C9"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3,724,000</w:t>
                </w:r>
              </w:p>
            </w:tc>
            <w:tc>
              <w:tcPr>
                <w:tcW w:w="1324" w:type="dxa"/>
                <w:tcBorders>
                  <w:top w:val="nil"/>
                  <w:left w:val="nil"/>
                  <w:bottom w:val="nil"/>
                  <w:right w:val="nil"/>
                </w:tcBorders>
                <w:shd w:val="clear" w:color="auto" w:fill="auto"/>
                <w:noWrap/>
                <w:vAlign w:val="center"/>
                <w:hideMark/>
              </w:tcPr>
              <w:p w14:paraId="04BE46A5"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7,017,000</w:t>
                </w:r>
              </w:p>
            </w:tc>
            <w:tc>
              <w:tcPr>
                <w:tcW w:w="1212" w:type="dxa"/>
                <w:tcBorders>
                  <w:top w:val="nil"/>
                  <w:left w:val="nil"/>
                  <w:bottom w:val="nil"/>
                  <w:right w:val="nil"/>
                </w:tcBorders>
                <w:shd w:val="clear" w:color="auto" w:fill="auto"/>
                <w:noWrap/>
                <w:vAlign w:val="bottom"/>
                <w:hideMark/>
              </w:tcPr>
              <w:p w14:paraId="12A8EC81"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-3,293,000</w:t>
                </w:r>
              </w:p>
            </w:tc>
            <w:tc>
              <w:tcPr>
                <w:tcW w:w="1120" w:type="dxa"/>
                <w:tcBorders>
                  <w:top w:val="nil"/>
                  <w:left w:val="nil"/>
                  <w:bottom w:val="nil"/>
                  <w:right w:val="nil"/>
                </w:tcBorders>
                <w:shd w:val="clear" w:color="auto" w:fill="auto"/>
                <w:noWrap/>
                <w:vAlign w:val="bottom"/>
                <w:hideMark/>
              </w:tcPr>
              <w:p w14:paraId="7585CC0E"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-46.92889</w:t>
                </w:r>
              </w:p>
            </w:tc>
            <w:tc>
              <w:tcPr>
                <w:tcW w:w="960" w:type="dxa"/>
                <w:tcBorders>
                  <w:top w:val="nil"/>
                  <w:left w:val="nil"/>
                  <w:bottom w:val="nil"/>
                  <w:right w:val="nil"/>
                </w:tcBorders>
                <w:shd w:val="clear" w:color="auto" w:fill="auto"/>
                <w:noWrap/>
                <w:vAlign w:val="bottom"/>
                <w:hideMark/>
              </w:tcPr>
              <w:p w14:paraId="28F221F5"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-47%</w:t>
                </w:r>
              </w:p>
            </w:tc>
          </w:tr>
          <w:tr w:rsidR="00335DDD" w:rsidRPr="00335DDD" w14:paraId="457ECD0C" w14:textId="77777777" w:rsidTr="00CB2D88">
            <w:trPr>
              <w:trHeight w:val="290"/>
            </w:trPr>
            <w:tc>
              <w:tcPr>
                <w:tcW w:w="3074" w:type="dxa"/>
                <w:tcBorders>
                  <w:top w:val="nil"/>
                  <w:left w:val="nil"/>
                  <w:bottom w:val="nil"/>
                  <w:right w:val="nil"/>
                </w:tcBorders>
                <w:shd w:val="clear" w:color="auto" w:fill="auto"/>
                <w:noWrap/>
                <w:vAlign w:val="center"/>
                <w:hideMark/>
              </w:tcPr>
              <w:p w14:paraId="5E9A2E0E"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Gross profit</w:t>
                </w:r>
              </w:p>
            </w:tc>
            <w:tc>
              <w:tcPr>
                <w:tcW w:w="1369" w:type="dxa"/>
                <w:tcBorders>
                  <w:top w:val="nil"/>
                  <w:left w:val="nil"/>
                  <w:bottom w:val="nil"/>
                  <w:right w:val="nil"/>
                </w:tcBorders>
                <w:shd w:val="clear" w:color="auto" w:fill="auto"/>
                <w:noWrap/>
                <w:vAlign w:val="center"/>
                <w:hideMark/>
              </w:tcPr>
              <w:p w14:paraId="5BE5AB9F"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583,000</w:t>
                </w:r>
              </w:p>
            </w:tc>
            <w:tc>
              <w:tcPr>
                <w:tcW w:w="1324" w:type="dxa"/>
                <w:tcBorders>
                  <w:top w:val="nil"/>
                  <w:left w:val="nil"/>
                  <w:bottom w:val="nil"/>
                  <w:right w:val="nil"/>
                </w:tcBorders>
                <w:shd w:val="clear" w:color="auto" w:fill="auto"/>
                <w:noWrap/>
                <w:vAlign w:val="center"/>
                <w:hideMark/>
              </w:tcPr>
              <w:p w14:paraId="14F5D91E"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2,435,000</w:t>
                </w:r>
              </w:p>
            </w:tc>
            <w:tc>
              <w:tcPr>
                <w:tcW w:w="1212" w:type="dxa"/>
                <w:tcBorders>
                  <w:top w:val="nil"/>
                  <w:left w:val="nil"/>
                  <w:bottom w:val="nil"/>
                  <w:right w:val="nil"/>
                </w:tcBorders>
                <w:shd w:val="clear" w:color="auto" w:fill="auto"/>
                <w:noWrap/>
                <w:vAlign w:val="bottom"/>
                <w:hideMark/>
              </w:tcPr>
              <w:p w14:paraId="36970C05"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-1,852,000</w:t>
                </w:r>
              </w:p>
            </w:tc>
            <w:tc>
              <w:tcPr>
                <w:tcW w:w="1120" w:type="dxa"/>
                <w:tcBorders>
                  <w:top w:val="nil"/>
                  <w:left w:val="nil"/>
                  <w:bottom w:val="nil"/>
                  <w:right w:val="nil"/>
                </w:tcBorders>
                <w:shd w:val="clear" w:color="auto" w:fill="auto"/>
                <w:noWrap/>
                <w:vAlign w:val="bottom"/>
                <w:hideMark/>
              </w:tcPr>
              <w:p w14:paraId="5BB4F787"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-76.05749</w:t>
                </w:r>
              </w:p>
            </w:tc>
            <w:tc>
              <w:tcPr>
                <w:tcW w:w="960" w:type="dxa"/>
                <w:tcBorders>
                  <w:top w:val="nil"/>
                  <w:left w:val="nil"/>
                  <w:bottom w:val="nil"/>
                  <w:right w:val="nil"/>
                </w:tcBorders>
                <w:shd w:val="clear" w:color="auto" w:fill="auto"/>
                <w:noWrap/>
                <w:vAlign w:val="bottom"/>
                <w:hideMark/>
              </w:tcPr>
              <w:p w14:paraId="4888DC78"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-76%</w:t>
                </w:r>
              </w:p>
            </w:tc>
          </w:tr>
          <w:tr w:rsidR="00335DDD" w:rsidRPr="00335DDD" w14:paraId="1C04FF98" w14:textId="77777777" w:rsidTr="00CB2D88">
            <w:trPr>
              <w:trHeight w:val="290"/>
            </w:trPr>
            <w:tc>
              <w:tcPr>
                <w:tcW w:w="3074" w:type="dxa"/>
                <w:tcBorders>
                  <w:top w:val="nil"/>
                  <w:left w:val="nil"/>
                  <w:bottom w:val="nil"/>
                  <w:right w:val="nil"/>
                </w:tcBorders>
                <w:shd w:val="clear" w:color="auto" w:fill="auto"/>
                <w:noWrap/>
                <w:vAlign w:val="center"/>
                <w:hideMark/>
              </w:tcPr>
              <w:p w14:paraId="2C8D1CF4"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Operating Expenses</w:t>
                </w:r>
              </w:p>
            </w:tc>
            <w:tc>
              <w:tcPr>
                <w:tcW w:w="1369" w:type="dxa"/>
                <w:tcBorders>
                  <w:top w:val="nil"/>
                  <w:left w:val="nil"/>
                  <w:bottom w:val="nil"/>
                  <w:right w:val="nil"/>
                </w:tcBorders>
                <w:shd w:val="clear" w:color="auto" w:fill="auto"/>
                <w:noWrap/>
                <w:vAlign w:val="center"/>
                <w:hideMark/>
              </w:tcPr>
              <w:p w14:paraId="3C9C7D1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702,000</w:t>
                </w:r>
              </w:p>
            </w:tc>
            <w:tc>
              <w:tcPr>
                <w:tcW w:w="1324" w:type="dxa"/>
                <w:tcBorders>
                  <w:top w:val="nil"/>
                  <w:left w:val="nil"/>
                  <w:bottom w:val="nil"/>
                  <w:right w:val="nil"/>
                </w:tcBorders>
                <w:shd w:val="clear" w:color="auto" w:fill="auto"/>
                <w:noWrap/>
                <w:vAlign w:val="center"/>
                <w:hideMark/>
              </w:tcPr>
              <w:p w14:paraId="5A774A32"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859,000</w:t>
                </w:r>
              </w:p>
            </w:tc>
            <w:tc>
              <w:tcPr>
                <w:tcW w:w="1212" w:type="dxa"/>
                <w:tcBorders>
                  <w:top w:val="nil"/>
                  <w:left w:val="nil"/>
                  <w:bottom w:val="nil"/>
                  <w:right w:val="nil"/>
                </w:tcBorders>
                <w:shd w:val="clear" w:color="auto" w:fill="auto"/>
                <w:noWrap/>
                <w:vAlign w:val="bottom"/>
                <w:hideMark/>
              </w:tcPr>
              <w:p w14:paraId="2D66498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-157,000</w:t>
                </w:r>
              </w:p>
            </w:tc>
            <w:tc>
              <w:tcPr>
                <w:tcW w:w="1120" w:type="dxa"/>
                <w:tcBorders>
                  <w:top w:val="nil"/>
                  <w:left w:val="nil"/>
                  <w:bottom w:val="nil"/>
                  <w:right w:val="nil"/>
                </w:tcBorders>
                <w:shd w:val="clear" w:color="auto" w:fill="auto"/>
                <w:noWrap/>
                <w:vAlign w:val="bottom"/>
                <w:hideMark/>
              </w:tcPr>
              <w:p w14:paraId="481F0F4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-18.27707</w:t>
                </w:r>
              </w:p>
            </w:tc>
            <w:tc>
              <w:tcPr>
                <w:tcW w:w="960" w:type="dxa"/>
                <w:tcBorders>
                  <w:top w:val="nil"/>
                  <w:left w:val="nil"/>
                  <w:bottom w:val="nil"/>
                  <w:right w:val="nil"/>
                </w:tcBorders>
                <w:shd w:val="clear" w:color="auto" w:fill="auto"/>
                <w:noWrap/>
                <w:vAlign w:val="bottom"/>
                <w:hideMark/>
              </w:tcPr>
              <w:p w14:paraId="6A997406" w14:textId="1264DF6D"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w:t>
                </w:r>
                <w:r w:rsidRPr="00335DDD">
                  <w:rPr>
                    <w:rFonts w:ascii="Calibri" w:eastAsia="Times New Roman" w:hAnsi="Calibri" w:cs="Calibri"/>
                    <w:color w:val="FF0000"/>
                    <w:lang w:eastAsia="zh-CN"/>
                  </w:rPr>
                  <w:t>8</w:t>
                </w:r>
                <w:r w:rsidRPr="00CB2D88">
                  <w:rPr>
                    <w:rFonts w:ascii="Calibri" w:eastAsia="Times New Roman" w:hAnsi="Calibri" w:cs="Calibri"/>
                    <w:color w:val="FF0000"/>
                    <w:lang w:eastAsia="zh-CN"/>
                  </w:rPr>
                  <w:t>%</w:t>
                </w:r>
              </w:p>
            </w:tc>
          </w:tr>
          <w:tr w:rsidR="00335DDD" w:rsidRPr="00335DDD" w14:paraId="5EC2C042" w14:textId="77777777" w:rsidTr="00CB2D88">
            <w:trPr>
              <w:trHeight w:val="290"/>
            </w:trPr>
            <w:tc>
              <w:tcPr>
                <w:tcW w:w="3074" w:type="dxa"/>
                <w:tcBorders>
                  <w:top w:val="nil"/>
                  <w:left w:val="nil"/>
                  <w:bottom w:val="nil"/>
                  <w:right w:val="nil"/>
                </w:tcBorders>
                <w:shd w:val="clear" w:color="auto" w:fill="auto"/>
                <w:noWrap/>
                <w:vAlign w:val="center"/>
                <w:hideMark/>
              </w:tcPr>
              <w:p w14:paraId="06CE35E6"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Operating income</w:t>
                </w:r>
              </w:p>
            </w:tc>
            <w:tc>
              <w:tcPr>
                <w:tcW w:w="1369" w:type="dxa"/>
                <w:tcBorders>
                  <w:top w:val="nil"/>
                  <w:left w:val="nil"/>
                  <w:bottom w:val="nil"/>
                  <w:right w:val="nil"/>
                </w:tcBorders>
                <w:shd w:val="clear" w:color="auto" w:fill="auto"/>
                <w:noWrap/>
                <w:vAlign w:val="center"/>
                <w:hideMark/>
              </w:tcPr>
              <w:p w14:paraId="2FF67D91"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-119,000</w:t>
                </w:r>
              </w:p>
            </w:tc>
            <w:tc>
              <w:tcPr>
                <w:tcW w:w="1324" w:type="dxa"/>
                <w:tcBorders>
                  <w:top w:val="nil"/>
                  <w:left w:val="nil"/>
                  <w:bottom w:val="nil"/>
                  <w:right w:val="nil"/>
                </w:tcBorders>
                <w:shd w:val="clear" w:color="auto" w:fill="auto"/>
                <w:noWrap/>
                <w:vAlign w:val="center"/>
                <w:hideMark/>
              </w:tcPr>
              <w:p w14:paraId="1E3BE251"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1,576,000</w:t>
                </w:r>
              </w:p>
            </w:tc>
            <w:tc>
              <w:tcPr>
                <w:tcW w:w="1212" w:type="dxa"/>
                <w:tcBorders>
                  <w:top w:val="nil"/>
                  <w:left w:val="nil"/>
                  <w:bottom w:val="nil"/>
                  <w:right w:val="nil"/>
                </w:tcBorders>
                <w:shd w:val="clear" w:color="auto" w:fill="auto"/>
                <w:noWrap/>
                <w:vAlign w:val="bottom"/>
                <w:hideMark/>
              </w:tcPr>
              <w:p w14:paraId="7A661191"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-1,695,000</w:t>
                </w:r>
              </w:p>
            </w:tc>
            <w:tc>
              <w:tcPr>
                <w:tcW w:w="1120" w:type="dxa"/>
                <w:tcBorders>
                  <w:top w:val="nil"/>
                  <w:left w:val="nil"/>
                  <w:bottom w:val="nil"/>
                  <w:right w:val="nil"/>
                </w:tcBorders>
                <w:shd w:val="clear" w:color="auto" w:fill="auto"/>
                <w:noWrap/>
                <w:vAlign w:val="bottom"/>
                <w:hideMark/>
              </w:tcPr>
              <w:p w14:paraId="38BCE73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-107.5508</w:t>
                </w:r>
              </w:p>
            </w:tc>
            <w:tc>
              <w:tcPr>
                <w:tcW w:w="960" w:type="dxa"/>
                <w:tcBorders>
                  <w:top w:val="nil"/>
                  <w:left w:val="nil"/>
                  <w:bottom w:val="nil"/>
                  <w:right w:val="nil"/>
                </w:tcBorders>
                <w:shd w:val="clear" w:color="auto" w:fill="auto"/>
                <w:noWrap/>
                <w:vAlign w:val="bottom"/>
                <w:hideMark/>
              </w:tcPr>
              <w:p w14:paraId="41FE95B9"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-108%</w:t>
                </w:r>
              </w:p>
            </w:tc>
          </w:tr>
          <w:tr w:rsidR="00335DDD" w:rsidRPr="00335DDD" w14:paraId="7273C0DA" w14:textId="77777777" w:rsidTr="00CB2D88">
            <w:trPr>
              <w:trHeight w:val="290"/>
            </w:trPr>
            <w:tc>
              <w:tcPr>
                <w:tcW w:w="3074" w:type="dxa"/>
                <w:tcBorders>
                  <w:top w:val="nil"/>
                  <w:left w:val="nil"/>
                  <w:bottom w:val="nil"/>
                  <w:right w:val="nil"/>
                </w:tcBorders>
                <w:shd w:val="clear" w:color="auto" w:fill="auto"/>
                <w:noWrap/>
                <w:vAlign w:val="center"/>
                <w:hideMark/>
              </w:tcPr>
              <w:p w14:paraId="70568CF3"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Interest Expense</w:t>
                </w:r>
              </w:p>
            </w:tc>
            <w:tc>
              <w:tcPr>
                <w:tcW w:w="1369" w:type="dxa"/>
                <w:tcBorders>
                  <w:top w:val="nil"/>
                  <w:left w:val="nil"/>
                  <w:bottom w:val="nil"/>
                  <w:right w:val="nil"/>
                </w:tcBorders>
                <w:shd w:val="clear" w:color="auto" w:fill="auto"/>
                <w:noWrap/>
                <w:vAlign w:val="center"/>
                <w:hideMark/>
              </w:tcPr>
              <w:p w14:paraId="436A3279"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429,000</w:t>
                </w:r>
              </w:p>
            </w:tc>
            <w:tc>
              <w:tcPr>
                <w:tcW w:w="1324" w:type="dxa"/>
                <w:tcBorders>
                  <w:top w:val="nil"/>
                  <w:left w:val="nil"/>
                  <w:bottom w:val="nil"/>
                  <w:right w:val="nil"/>
                </w:tcBorders>
                <w:shd w:val="clear" w:color="auto" w:fill="auto"/>
                <w:noWrap/>
                <w:vAlign w:val="center"/>
                <w:hideMark/>
              </w:tcPr>
              <w:p w14:paraId="5C1F30E2"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414,000</w:t>
                </w:r>
              </w:p>
            </w:tc>
            <w:tc>
              <w:tcPr>
                <w:tcW w:w="1212" w:type="dxa"/>
                <w:tcBorders>
                  <w:top w:val="nil"/>
                  <w:left w:val="nil"/>
                  <w:bottom w:val="nil"/>
                  <w:right w:val="nil"/>
                </w:tcBorders>
                <w:shd w:val="clear" w:color="auto" w:fill="auto"/>
                <w:noWrap/>
                <w:vAlign w:val="bottom"/>
                <w:hideMark/>
              </w:tcPr>
              <w:p w14:paraId="33A341A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15,000</w:t>
                </w:r>
              </w:p>
            </w:tc>
            <w:tc>
              <w:tcPr>
                <w:tcW w:w="1120" w:type="dxa"/>
                <w:tcBorders>
                  <w:top w:val="nil"/>
                  <w:left w:val="nil"/>
                  <w:bottom w:val="nil"/>
                  <w:right w:val="nil"/>
                </w:tcBorders>
                <w:shd w:val="clear" w:color="auto" w:fill="auto"/>
                <w:noWrap/>
                <w:vAlign w:val="bottom"/>
                <w:hideMark/>
              </w:tcPr>
              <w:p w14:paraId="191A0DDE"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3.6231884</w:t>
                </w:r>
              </w:p>
            </w:tc>
            <w:tc>
              <w:tcPr>
                <w:tcW w:w="960" w:type="dxa"/>
                <w:tcBorders>
                  <w:top w:val="nil"/>
                  <w:left w:val="nil"/>
                  <w:bottom w:val="nil"/>
                  <w:right w:val="nil"/>
                </w:tcBorders>
                <w:shd w:val="clear" w:color="auto" w:fill="auto"/>
                <w:noWrap/>
                <w:vAlign w:val="bottom"/>
                <w:hideMark/>
              </w:tcPr>
              <w:p w14:paraId="1792B699"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4%</w:t>
                </w:r>
              </w:p>
            </w:tc>
          </w:tr>
          <w:tr w:rsidR="00335DDD" w:rsidRPr="00335DDD" w14:paraId="6C72805D" w14:textId="77777777" w:rsidTr="00CB2D88">
            <w:trPr>
              <w:trHeight w:val="290"/>
            </w:trPr>
            <w:tc>
              <w:tcPr>
                <w:tcW w:w="3074" w:type="dxa"/>
                <w:tcBorders>
                  <w:top w:val="nil"/>
                  <w:left w:val="nil"/>
                  <w:bottom w:val="nil"/>
                  <w:right w:val="nil"/>
                </w:tcBorders>
                <w:shd w:val="clear" w:color="auto" w:fill="auto"/>
                <w:noWrap/>
                <w:vAlign w:val="center"/>
                <w:hideMark/>
              </w:tcPr>
              <w:p w14:paraId="5DBA7104"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 xml:space="preserve">Total Other income/ expenses net </w:t>
                </w:r>
              </w:p>
            </w:tc>
            <w:tc>
              <w:tcPr>
                <w:tcW w:w="1369" w:type="dxa"/>
                <w:tcBorders>
                  <w:top w:val="nil"/>
                  <w:left w:val="nil"/>
                  <w:bottom w:val="nil"/>
                  <w:right w:val="nil"/>
                </w:tcBorders>
                <w:shd w:val="clear" w:color="auto" w:fill="auto"/>
                <w:noWrap/>
                <w:vAlign w:val="center"/>
                <w:hideMark/>
              </w:tcPr>
              <w:p w14:paraId="548E902D"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-376,000</w:t>
                </w:r>
              </w:p>
            </w:tc>
            <w:tc>
              <w:tcPr>
                <w:tcW w:w="1324" w:type="dxa"/>
                <w:tcBorders>
                  <w:top w:val="nil"/>
                  <w:left w:val="nil"/>
                  <w:bottom w:val="nil"/>
                  <w:right w:val="nil"/>
                </w:tcBorders>
                <w:shd w:val="clear" w:color="auto" w:fill="auto"/>
                <w:noWrap/>
                <w:vAlign w:val="center"/>
                <w:hideMark/>
              </w:tcPr>
              <w:p w14:paraId="7C3DF37F"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82,000</w:t>
                </w:r>
              </w:p>
            </w:tc>
            <w:tc>
              <w:tcPr>
                <w:tcW w:w="1212" w:type="dxa"/>
                <w:tcBorders>
                  <w:top w:val="nil"/>
                  <w:left w:val="nil"/>
                  <w:bottom w:val="nil"/>
                  <w:right w:val="nil"/>
                </w:tcBorders>
                <w:shd w:val="clear" w:color="auto" w:fill="auto"/>
                <w:noWrap/>
                <w:vAlign w:val="bottom"/>
                <w:hideMark/>
              </w:tcPr>
              <w:p w14:paraId="6FB3579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-458,000</w:t>
                </w:r>
              </w:p>
            </w:tc>
            <w:tc>
              <w:tcPr>
                <w:tcW w:w="1120" w:type="dxa"/>
                <w:tcBorders>
                  <w:top w:val="nil"/>
                  <w:left w:val="nil"/>
                  <w:bottom w:val="nil"/>
                  <w:right w:val="nil"/>
                </w:tcBorders>
                <w:shd w:val="clear" w:color="auto" w:fill="auto"/>
                <w:noWrap/>
                <w:vAlign w:val="bottom"/>
                <w:hideMark/>
              </w:tcPr>
              <w:p w14:paraId="4E33C020"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-558.5366</w:t>
                </w:r>
              </w:p>
            </w:tc>
            <w:tc>
              <w:tcPr>
                <w:tcW w:w="960" w:type="dxa"/>
                <w:tcBorders>
                  <w:top w:val="nil"/>
                  <w:left w:val="nil"/>
                  <w:bottom w:val="nil"/>
                  <w:right w:val="nil"/>
                </w:tcBorders>
                <w:shd w:val="clear" w:color="auto" w:fill="auto"/>
                <w:noWrap/>
                <w:vAlign w:val="bottom"/>
                <w:hideMark/>
              </w:tcPr>
              <w:p w14:paraId="325E731A"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-559%</w:t>
                </w:r>
              </w:p>
            </w:tc>
          </w:tr>
          <w:tr w:rsidR="00335DDD" w:rsidRPr="00335DDD" w14:paraId="14E8EE0B" w14:textId="77777777" w:rsidTr="00CB2D88">
            <w:trPr>
              <w:trHeight w:val="290"/>
            </w:trPr>
            <w:tc>
              <w:tcPr>
                <w:tcW w:w="3074" w:type="dxa"/>
                <w:tcBorders>
                  <w:top w:val="nil"/>
                  <w:left w:val="nil"/>
                  <w:bottom w:val="nil"/>
                  <w:right w:val="nil"/>
                </w:tcBorders>
                <w:shd w:val="clear" w:color="auto" w:fill="auto"/>
                <w:noWrap/>
                <w:vAlign w:val="center"/>
                <w:hideMark/>
              </w:tcPr>
              <w:p w14:paraId="7FB35A68"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Income before taxes</w:t>
                </w:r>
              </w:p>
            </w:tc>
            <w:tc>
              <w:tcPr>
                <w:tcW w:w="1369" w:type="dxa"/>
                <w:tcBorders>
                  <w:top w:val="nil"/>
                  <w:left w:val="nil"/>
                  <w:bottom w:val="nil"/>
                  <w:right w:val="nil"/>
                </w:tcBorders>
                <w:shd w:val="clear" w:color="auto" w:fill="auto"/>
                <w:noWrap/>
                <w:vAlign w:val="center"/>
                <w:hideMark/>
              </w:tcPr>
              <w:p w14:paraId="1EA033E8"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-924,000</w:t>
                </w:r>
              </w:p>
            </w:tc>
            <w:tc>
              <w:tcPr>
                <w:tcW w:w="1324" w:type="dxa"/>
                <w:tcBorders>
                  <w:top w:val="nil"/>
                  <w:left w:val="nil"/>
                  <w:bottom w:val="nil"/>
                  <w:right w:val="nil"/>
                </w:tcBorders>
                <w:shd w:val="clear" w:color="auto" w:fill="auto"/>
                <w:noWrap/>
                <w:vAlign w:val="center"/>
                <w:hideMark/>
              </w:tcPr>
              <w:p w14:paraId="02F402F5"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1,244,000</w:t>
                </w:r>
              </w:p>
            </w:tc>
            <w:tc>
              <w:tcPr>
                <w:tcW w:w="1212" w:type="dxa"/>
                <w:tcBorders>
                  <w:top w:val="nil"/>
                  <w:left w:val="nil"/>
                  <w:bottom w:val="nil"/>
                  <w:right w:val="nil"/>
                </w:tcBorders>
                <w:shd w:val="clear" w:color="auto" w:fill="auto"/>
                <w:noWrap/>
                <w:vAlign w:val="bottom"/>
                <w:hideMark/>
              </w:tcPr>
              <w:p w14:paraId="662222E7"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-2,168,000</w:t>
                </w:r>
              </w:p>
            </w:tc>
            <w:tc>
              <w:tcPr>
                <w:tcW w:w="1120" w:type="dxa"/>
                <w:tcBorders>
                  <w:top w:val="nil"/>
                  <w:left w:val="nil"/>
                  <w:bottom w:val="nil"/>
                  <w:right w:val="nil"/>
                </w:tcBorders>
                <w:shd w:val="clear" w:color="auto" w:fill="auto"/>
                <w:noWrap/>
                <w:vAlign w:val="bottom"/>
                <w:hideMark/>
              </w:tcPr>
              <w:p w14:paraId="46A1F713"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-174.2765</w:t>
                </w:r>
              </w:p>
            </w:tc>
            <w:tc>
              <w:tcPr>
                <w:tcW w:w="960" w:type="dxa"/>
                <w:tcBorders>
                  <w:top w:val="nil"/>
                  <w:left w:val="nil"/>
                  <w:bottom w:val="nil"/>
                  <w:right w:val="nil"/>
                </w:tcBorders>
                <w:shd w:val="clear" w:color="auto" w:fill="auto"/>
                <w:noWrap/>
                <w:vAlign w:val="bottom"/>
                <w:hideMark/>
              </w:tcPr>
              <w:p w14:paraId="4E9067BF"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-174%</w:t>
                </w:r>
              </w:p>
            </w:tc>
          </w:tr>
          <w:tr w:rsidR="00335DDD" w:rsidRPr="00335DDD" w14:paraId="3F7E4917" w14:textId="77777777" w:rsidTr="00CB2D88">
            <w:trPr>
              <w:trHeight w:val="290"/>
            </w:trPr>
            <w:tc>
              <w:tcPr>
                <w:tcW w:w="3074" w:type="dxa"/>
                <w:tcBorders>
                  <w:top w:val="nil"/>
                  <w:left w:val="nil"/>
                  <w:bottom w:val="nil"/>
                  <w:right w:val="nil"/>
                </w:tcBorders>
                <w:shd w:val="clear" w:color="auto" w:fill="auto"/>
                <w:noWrap/>
                <w:vAlign w:val="center"/>
                <w:hideMark/>
              </w:tcPr>
              <w:p w14:paraId="4700E5CD"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Net income</w:t>
                </w:r>
              </w:p>
            </w:tc>
            <w:tc>
              <w:tcPr>
                <w:tcW w:w="1369" w:type="dxa"/>
                <w:tcBorders>
                  <w:top w:val="nil"/>
                  <w:left w:val="nil"/>
                  <w:bottom w:val="nil"/>
                  <w:right w:val="nil"/>
                </w:tcBorders>
                <w:shd w:val="clear" w:color="auto" w:fill="auto"/>
                <w:noWrap/>
                <w:vAlign w:val="center"/>
                <w:hideMark/>
              </w:tcPr>
              <w:p w14:paraId="087CC018"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-715,000</w:t>
                </w:r>
              </w:p>
            </w:tc>
            <w:tc>
              <w:tcPr>
                <w:tcW w:w="1324" w:type="dxa"/>
                <w:tcBorders>
                  <w:top w:val="nil"/>
                  <w:left w:val="nil"/>
                  <w:bottom w:val="nil"/>
                  <w:right w:val="nil"/>
                </w:tcBorders>
                <w:shd w:val="clear" w:color="auto" w:fill="auto"/>
                <w:noWrap/>
                <w:vAlign w:val="center"/>
                <w:hideMark/>
              </w:tcPr>
              <w:p w14:paraId="34E20B4C"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881,000</w:t>
                </w:r>
              </w:p>
            </w:tc>
            <w:tc>
              <w:tcPr>
                <w:tcW w:w="1212" w:type="dxa"/>
                <w:tcBorders>
                  <w:top w:val="nil"/>
                  <w:left w:val="nil"/>
                  <w:bottom w:val="nil"/>
                  <w:right w:val="nil"/>
                </w:tcBorders>
                <w:shd w:val="clear" w:color="auto" w:fill="auto"/>
                <w:noWrap/>
                <w:vAlign w:val="bottom"/>
                <w:hideMark/>
              </w:tcPr>
              <w:p w14:paraId="5ED82D63"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-1,596,000</w:t>
                </w:r>
              </w:p>
            </w:tc>
            <w:tc>
              <w:tcPr>
                <w:tcW w:w="1120" w:type="dxa"/>
                <w:tcBorders>
                  <w:top w:val="nil"/>
                  <w:left w:val="nil"/>
                  <w:bottom w:val="nil"/>
                  <w:right w:val="nil"/>
                </w:tcBorders>
                <w:shd w:val="clear" w:color="auto" w:fill="auto"/>
                <w:noWrap/>
                <w:vAlign w:val="bottom"/>
                <w:hideMark/>
              </w:tcPr>
              <w:p w14:paraId="26521372"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-181.1578</w:t>
                </w:r>
              </w:p>
            </w:tc>
            <w:tc>
              <w:tcPr>
                <w:tcW w:w="960" w:type="dxa"/>
                <w:tcBorders>
                  <w:top w:val="nil"/>
                  <w:left w:val="nil"/>
                  <w:bottom w:val="nil"/>
                  <w:right w:val="nil"/>
                </w:tcBorders>
                <w:shd w:val="clear" w:color="auto" w:fill="auto"/>
                <w:noWrap/>
                <w:vAlign w:val="bottom"/>
                <w:hideMark/>
              </w:tcPr>
              <w:p w14:paraId="35C0C625"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-181%</w:t>
                </w:r>
              </w:p>
            </w:tc>
          </w:tr>
          <w:tr w:rsidR="00335DDD" w:rsidRPr="00CB2D88" w14:paraId="5D4D3423" w14:textId="77777777" w:rsidTr="00CB2D88">
            <w:trPr>
              <w:trHeight w:val="290"/>
            </w:trPr>
            <w:tc>
              <w:tcPr>
                <w:tcW w:w="3074" w:type="dxa"/>
                <w:tcBorders>
                  <w:top w:val="nil"/>
                  <w:left w:val="nil"/>
                  <w:bottom w:val="nil"/>
                  <w:right w:val="nil"/>
                </w:tcBorders>
                <w:shd w:val="clear" w:color="auto" w:fill="auto"/>
                <w:noWrap/>
                <w:vAlign w:val="center"/>
                <w:hideMark/>
              </w:tcPr>
              <w:p w14:paraId="6AC6D46A" w14:textId="77777777" w:rsidR="00CB2D88" w:rsidRPr="00CB2D88" w:rsidRDefault="00CB2D88" w:rsidP="00CB2D88">
                <w:pPr>
                  <w:spacing w:after="0" w:line="240" w:lineRule="auto"/>
                  <w:jc w:val="right"/>
                  <w:rPr>
                    <w:rFonts w:ascii="Calibri" w:eastAsia="Times New Roman" w:hAnsi="Calibri" w:cs="Calibri"/>
                    <w:color w:val="000000"/>
                    <w:lang w:eastAsia="zh-CN"/>
                  </w:rPr>
                </w:pPr>
              </w:p>
            </w:tc>
            <w:tc>
              <w:tcPr>
                <w:tcW w:w="1369" w:type="dxa"/>
                <w:tcBorders>
                  <w:top w:val="nil"/>
                  <w:left w:val="nil"/>
                  <w:bottom w:val="nil"/>
                  <w:right w:val="nil"/>
                </w:tcBorders>
                <w:shd w:val="clear" w:color="auto" w:fill="auto"/>
                <w:noWrap/>
                <w:vAlign w:val="center"/>
                <w:hideMark/>
              </w:tcPr>
              <w:p w14:paraId="68CFD746"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1324" w:type="dxa"/>
                <w:tcBorders>
                  <w:top w:val="nil"/>
                  <w:left w:val="nil"/>
                  <w:bottom w:val="nil"/>
                  <w:right w:val="nil"/>
                </w:tcBorders>
                <w:shd w:val="clear" w:color="auto" w:fill="auto"/>
                <w:noWrap/>
                <w:vAlign w:val="center"/>
                <w:hideMark/>
              </w:tcPr>
              <w:p w14:paraId="08828082" w14:textId="77777777" w:rsidR="00CB2D88" w:rsidRPr="00CB2D88" w:rsidRDefault="00CB2D88" w:rsidP="00CB2D88">
                <w:pPr>
                  <w:spacing w:after="0" w:line="240" w:lineRule="auto"/>
                  <w:jc w:val="right"/>
                  <w:rPr>
                    <w:rFonts w:ascii="Times New Roman" w:eastAsia="Times New Roman" w:hAnsi="Times New Roman" w:cs="Times New Roman"/>
                    <w:sz w:val="20"/>
                    <w:szCs w:val="20"/>
                    <w:lang w:eastAsia="zh-CN"/>
                  </w:rPr>
                </w:pPr>
              </w:p>
            </w:tc>
            <w:tc>
              <w:tcPr>
                <w:tcW w:w="1212" w:type="dxa"/>
                <w:tcBorders>
                  <w:top w:val="nil"/>
                  <w:left w:val="nil"/>
                  <w:bottom w:val="nil"/>
                  <w:right w:val="nil"/>
                </w:tcBorders>
                <w:shd w:val="clear" w:color="auto" w:fill="auto"/>
                <w:noWrap/>
                <w:vAlign w:val="bottom"/>
                <w:hideMark/>
              </w:tcPr>
              <w:p w14:paraId="1188BA2B" w14:textId="77777777" w:rsidR="00CB2D88" w:rsidRPr="00CB2D88" w:rsidRDefault="00CB2D88" w:rsidP="00CB2D88">
                <w:pPr>
                  <w:spacing w:after="0" w:line="240" w:lineRule="auto"/>
                  <w:jc w:val="right"/>
                  <w:rPr>
                    <w:rFonts w:ascii="Times New Roman" w:eastAsia="Times New Roman" w:hAnsi="Times New Roman" w:cs="Times New Roman"/>
                    <w:sz w:val="20"/>
                    <w:szCs w:val="20"/>
                    <w:lang w:eastAsia="zh-CN"/>
                  </w:rPr>
                </w:pPr>
              </w:p>
            </w:tc>
            <w:tc>
              <w:tcPr>
                <w:tcW w:w="1120" w:type="dxa"/>
                <w:tcBorders>
                  <w:top w:val="nil"/>
                  <w:left w:val="nil"/>
                  <w:bottom w:val="nil"/>
                  <w:right w:val="nil"/>
                </w:tcBorders>
                <w:shd w:val="clear" w:color="auto" w:fill="auto"/>
                <w:noWrap/>
                <w:vAlign w:val="bottom"/>
                <w:hideMark/>
              </w:tcPr>
              <w:p w14:paraId="455ACD47"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960" w:type="dxa"/>
                <w:tcBorders>
                  <w:top w:val="nil"/>
                  <w:left w:val="nil"/>
                  <w:bottom w:val="nil"/>
                  <w:right w:val="nil"/>
                </w:tcBorders>
                <w:shd w:val="clear" w:color="auto" w:fill="auto"/>
                <w:noWrap/>
                <w:vAlign w:val="bottom"/>
                <w:hideMark/>
              </w:tcPr>
              <w:p w14:paraId="4781E579" w14:textId="77777777" w:rsidR="00CB2D88" w:rsidRPr="00CB2D88" w:rsidRDefault="00CB2D88" w:rsidP="00CB2D88">
                <w:pPr>
                  <w:spacing w:after="0" w:line="240" w:lineRule="auto"/>
                  <w:rPr>
                    <w:rFonts w:ascii="Times New Roman" w:eastAsia="Times New Roman" w:hAnsi="Times New Roman" w:cs="Times New Roman"/>
                    <w:color w:val="FF0000"/>
                    <w:sz w:val="20"/>
                    <w:szCs w:val="20"/>
                    <w:lang w:eastAsia="zh-CN"/>
                  </w:rPr>
                </w:pPr>
              </w:p>
            </w:tc>
          </w:tr>
        </w:tbl>
        <w:p w14:paraId="46B624AA" w14:textId="77777777" w:rsidR="009C1CE2" w:rsidRDefault="009C1CE2" w:rsidP="007D1947"/>
        <w:tbl>
          <w:tblPr>
            <w:tblW w:w="8432" w:type="dxa"/>
            <w:tblLook w:val="04A0" w:firstRow="1" w:lastRow="0" w:firstColumn="1" w:lastColumn="0" w:noHBand="0" w:noVBand="1"/>
          </w:tblPr>
          <w:tblGrid>
            <w:gridCol w:w="2872"/>
            <w:gridCol w:w="1220"/>
            <w:gridCol w:w="1218"/>
            <w:gridCol w:w="1107"/>
            <w:gridCol w:w="1164"/>
            <w:gridCol w:w="960"/>
          </w:tblGrid>
          <w:tr w:rsidR="00CB2D88" w:rsidRPr="00CB2D88" w14:paraId="56BC4D5A" w14:textId="77777777" w:rsidTr="00CB2D88">
            <w:trPr>
              <w:trHeight w:val="290"/>
            </w:trPr>
            <w:tc>
              <w:tcPr>
                <w:tcW w:w="2872" w:type="dxa"/>
                <w:tcBorders>
                  <w:top w:val="nil"/>
                  <w:left w:val="nil"/>
                  <w:bottom w:val="nil"/>
                  <w:right w:val="nil"/>
                </w:tcBorders>
                <w:shd w:val="clear" w:color="auto" w:fill="auto"/>
                <w:noWrap/>
                <w:vAlign w:val="bottom"/>
                <w:hideMark/>
              </w:tcPr>
              <w:p w14:paraId="16F14075" w14:textId="77777777" w:rsidR="00CB2D88" w:rsidRPr="00CB2D88" w:rsidRDefault="00CB2D88" w:rsidP="00CB2D88">
                <w:pPr>
                  <w:spacing w:after="0" w:line="240" w:lineRule="auto"/>
                  <w:rPr>
                    <w:rFonts w:ascii="Times New Roman" w:eastAsia="Times New Roman" w:hAnsi="Times New Roman" w:cs="Times New Roman"/>
                    <w:sz w:val="24"/>
                    <w:szCs w:val="24"/>
                    <w:lang w:eastAsia="zh-CN"/>
                  </w:rPr>
                </w:pPr>
              </w:p>
            </w:tc>
            <w:tc>
              <w:tcPr>
                <w:tcW w:w="1220" w:type="dxa"/>
                <w:tcBorders>
                  <w:top w:val="nil"/>
                  <w:left w:val="nil"/>
                  <w:bottom w:val="nil"/>
                  <w:right w:val="nil"/>
                </w:tcBorders>
                <w:shd w:val="clear" w:color="auto" w:fill="auto"/>
                <w:noWrap/>
                <w:vAlign w:val="center"/>
                <w:hideMark/>
              </w:tcPr>
              <w:p w14:paraId="40427F3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2020</w:t>
                </w:r>
              </w:p>
            </w:tc>
            <w:tc>
              <w:tcPr>
                <w:tcW w:w="1180" w:type="dxa"/>
                <w:tcBorders>
                  <w:top w:val="nil"/>
                  <w:left w:val="nil"/>
                  <w:bottom w:val="nil"/>
                  <w:right w:val="nil"/>
                </w:tcBorders>
                <w:shd w:val="clear" w:color="auto" w:fill="auto"/>
                <w:noWrap/>
                <w:vAlign w:val="center"/>
                <w:hideMark/>
              </w:tcPr>
              <w:p w14:paraId="5216B84B"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2019</w:t>
                </w:r>
              </w:p>
            </w:tc>
            <w:tc>
              <w:tcPr>
                <w:tcW w:w="1080" w:type="dxa"/>
                <w:tcBorders>
                  <w:top w:val="nil"/>
                  <w:left w:val="nil"/>
                  <w:bottom w:val="nil"/>
                  <w:right w:val="nil"/>
                </w:tcBorders>
                <w:shd w:val="clear" w:color="auto" w:fill="auto"/>
                <w:noWrap/>
                <w:vAlign w:val="center"/>
                <w:hideMark/>
              </w:tcPr>
              <w:p w14:paraId="4CA8FD3F"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Change</w:t>
                </w:r>
              </w:p>
            </w:tc>
            <w:tc>
              <w:tcPr>
                <w:tcW w:w="1120" w:type="dxa"/>
                <w:tcBorders>
                  <w:top w:val="nil"/>
                  <w:left w:val="nil"/>
                  <w:bottom w:val="nil"/>
                  <w:right w:val="nil"/>
                </w:tcBorders>
                <w:shd w:val="clear" w:color="auto" w:fill="auto"/>
                <w:noWrap/>
                <w:vAlign w:val="center"/>
                <w:hideMark/>
              </w:tcPr>
              <w:p w14:paraId="0A08383A"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 Change</w:t>
                </w:r>
              </w:p>
            </w:tc>
            <w:tc>
              <w:tcPr>
                <w:tcW w:w="960" w:type="dxa"/>
                <w:tcBorders>
                  <w:top w:val="nil"/>
                  <w:left w:val="nil"/>
                  <w:bottom w:val="nil"/>
                  <w:right w:val="nil"/>
                </w:tcBorders>
                <w:shd w:val="clear" w:color="auto" w:fill="auto"/>
                <w:noWrap/>
                <w:vAlign w:val="bottom"/>
                <w:hideMark/>
              </w:tcPr>
              <w:p w14:paraId="7861B07B" w14:textId="77777777" w:rsidR="00CB2D88" w:rsidRPr="00CB2D88" w:rsidRDefault="00CB2D88" w:rsidP="00CB2D88">
                <w:pPr>
                  <w:spacing w:after="0" w:line="240" w:lineRule="auto"/>
                  <w:rPr>
                    <w:rFonts w:ascii="Calibri" w:eastAsia="Times New Roman" w:hAnsi="Calibri" w:cs="Calibri"/>
                    <w:color w:val="000000"/>
                    <w:lang w:eastAsia="zh-CN"/>
                  </w:rPr>
                </w:pPr>
              </w:p>
            </w:tc>
          </w:tr>
          <w:tr w:rsidR="00CB2D88" w:rsidRPr="00CB2D88" w14:paraId="357F6D6B" w14:textId="77777777" w:rsidTr="00CB2D88">
            <w:trPr>
              <w:trHeight w:val="290"/>
            </w:trPr>
            <w:tc>
              <w:tcPr>
                <w:tcW w:w="2872" w:type="dxa"/>
                <w:tcBorders>
                  <w:top w:val="nil"/>
                  <w:left w:val="nil"/>
                  <w:bottom w:val="nil"/>
                  <w:right w:val="nil"/>
                </w:tcBorders>
                <w:shd w:val="clear" w:color="auto" w:fill="auto"/>
                <w:noWrap/>
                <w:vAlign w:val="center"/>
                <w:hideMark/>
              </w:tcPr>
              <w:p w14:paraId="10F05A7A"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Current Asset</w:t>
                </w:r>
              </w:p>
            </w:tc>
            <w:tc>
              <w:tcPr>
                <w:tcW w:w="1220" w:type="dxa"/>
                <w:tcBorders>
                  <w:top w:val="nil"/>
                  <w:left w:val="nil"/>
                  <w:bottom w:val="nil"/>
                  <w:right w:val="nil"/>
                </w:tcBorders>
                <w:shd w:val="clear" w:color="auto" w:fill="auto"/>
                <w:noWrap/>
                <w:vAlign w:val="center"/>
                <w:hideMark/>
              </w:tcPr>
              <w:p w14:paraId="6FCBB98F"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4,202,000</w:t>
                </w:r>
              </w:p>
            </w:tc>
            <w:tc>
              <w:tcPr>
                <w:tcW w:w="1180" w:type="dxa"/>
                <w:tcBorders>
                  <w:top w:val="nil"/>
                  <w:left w:val="nil"/>
                  <w:bottom w:val="nil"/>
                  <w:right w:val="nil"/>
                </w:tcBorders>
                <w:shd w:val="clear" w:color="auto" w:fill="auto"/>
                <w:noWrap/>
                <w:vAlign w:val="center"/>
                <w:hideMark/>
              </w:tcPr>
              <w:p w14:paraId="759A8879"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2,093,000</w:t>
                </w:r>
              </w:p>
            </w:tc>
            <w:tc>
              <w:tcPr>
                <w:tcW w:w="1080" w:type="dxa"/>
                <w:tcBorders>
                  <w:top w:val="nil"/>
                  <w:left w:val="nil"/>
                  <w:bottom w:val="nil"/>
                  <w:right w:val="nil"/>
                </w:tcBorders>
                <w:shd w:val="clear" w:color="auto" w:fill="auto"/>
                <w:noWrap/>
                <w:vAlign w:val="bottom"/>
                <w:hideMark/>
              </w:tcPr>
              <w:p w14:paraId="44728EF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2,109,000</w:t>
                </w:r>
              </w:p>
            </w:tc>
            <w:tc>
              <w:tcPr>
                <w:tcW w:w="1120" w:type="dxa"/>
                <w:tcBorders>
                  <w:top w:val="nil"/>
                  <w:left w:val="nil"/>
                  <w:bottom w:val="nil"/>
                  <w:right w:val="nil"/>
                </w:tcBorders>
                <w:shd w:val="clear" w:color="auto" w:fill="auto"/>
                <w:noWrap/>
                <w:vAlign w:val="bottom"/>
                <w:hideMark/>
              </w:tcPr>
              <w:p w14:paraId="79E3105C"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100.76445</w:t>
                </w:r>
              </w:p>
            </w:tc>
            <w:tc>
              <w:tcPr>
                <w:tcW w:w="960" w:type="dxa"/>
                <w:tcBorders>
                  <w:top w:val="nil"/>
                  <w:left w:val="nil"/>
                  <w:bottom w:val="nil"/>
                  <w:right w:val="nil"/>
                </w:tcBorders>
                <w:shd w:val="clear" w:color="auto" w:fill="auto"/>
                <w:noWrap/>
                <w:vAlign w:val="bottom"/>
                <w:hideMark/>
              </w:tcPr>
              <w:p w14:paraId="16F7A4F1"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101%</w:t>
                </w:r>
              </w:p>
            </w:tc>
          </w:tr>
          <w:tr w:rsidR="00CB2D88" w:rsidRPr="00CB2D88" w14:paraId="0D8D1EE4" w14:textId="77777777" w:rsidTr="00CB2D88">
            <w:trPr>
              <w:trHeight w:val="290"/>
            </w:trPr>
            <w:tc>
              <w:tcPr>
                <w:tcW w:w="2872" w:type="dxa"/>
                <w:tcBorders>
                  <w:top w:val="nil"/>
                  <w:left w:val="nil"/>
                  <w:bottom w:val="nil"/>
                  <w:right w:val="nil"/>
                </w:tcBorders>
                <w:shd w:val="clear" w:color="auto" w:fill="auto"/>
                <w:noWrap/>
                <w:vAlign w:val="center"/>
                <w:hideMark/>
              </w:tcPr>
              <w:p w14:paraId="749580BA" w14:textId="683F28E3" w:rsidR="00CB2D88" w:rsidRPr="00CB2D88" w:rsidRDefault="00CC33F0"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Non-Current</w:t>
                </w:r>
                <w:r w:rsidR="00CB2D88" w:rsidRPr="00CB2D88">
                  <w:rPr>
                    <w:rFonts w:ascii="Calibri" w:eastAsia="Times New Roman" w:hAnsi="Calibri" w:cs="Calibri"/>
                    <w:color w:val="000000"/>
                    <w:lang w:eastAsia="zh-CN"/>
                  </w:rPr>
                  <w:t xml:space="preserve"> Asset</w:t>
                </w:r>
              </w:p>
            </w:tc>
            <w:tc>
              <w:tcPr>
                <w:tcW w:w="1220" w:type="dxa"/>
                <w:tcBorders>
                  <w:top w:val="nil"/>
                  <w:left w:val="nil"/>
                  <w:bottom w:val="nil"/>
                  <w:right w:val="nil"/>
                </w:tcBorders>
                <w:shd w:val="clear" w:color="auto" w:fill="auto"/>
                <w:noWrap/>
                <w:vAlign w:val="center"/>
                <w:hideMark/>
              </w:tcPr>
              <w:p w14:paraId="26785E20"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15,810,000</w:t>
                </w:r>
              </w:p>
            </w:tc>
            <w:tc>
              <w:tcPr>
                <w:tcW w:w="1180" w:type="dxa"/>
                <w:tcBorders>
                  <w:top w:val="nil"/>
                  <w:left w:val="nil"/>
                  <w:bottom w:val="nil"/>
                  <w:right w:val="nil"/>
                </w:tcBorders>
                <w:shd w:val="clear" w:color="auto" w:fill="auto"/>
                <w:noWrap/>
                <w:vAlign w:val="center"/>
                <w:hideMark/>
              </w:tcPr>
              <w:p w14:paraId="72BFC385"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12,558,000</w:t>
                </w:r>
              </w:p>
            </w:tc>
            <w:tc>
              <w:tcPr>
                <w:tcW w:w="1080" w:type="dxa"/>
                <w:tcBorders>
                  <w:top w:val="nil"/>
                  <w:left w:val="nil"/>
                  <w:bottom w:val="nil"/>
                  <w:right w:val="nil"/>
                </w:tcBorders>
                <w:shd w:val="clear" w:color="auto" w:fill="auto"/>
                <w:noWrap/>
                <w:vAlign w:val="bottom"/>
                <w:hideMark/>
              </w:tcPr>
              <w:p w14:paraId="41BCB39C"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3,252,000</w:t>
                </w:r>
              </w:p>
            </w:tc>
            <w:tc>
              <w:tcPr>
                <w:tcW w:w="1120" w:type="dxa"/>
                <w:tcBorders>
                  <w:top w:val="nil"/>
                  <w:left w:val="nil"/>
                  <w:bottom w:val="nil"/>
                  <w:right w:val="nil"/>
                </w:tcBorders>
                <w:shd w:val="clear" w:color="auto" w:fill="auto"/>
                <w:noWrap/>
                <w:vAlign w:val="bottom"/>
                <w:hideMark/>
              </w:tcPr>
              <w:p w14:paraId="7F434FE5"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25.895843</w:t>
                </w:r>
              </w:p>
            </w:tc>
            <w:tc>
              <w:tcPr>
                <w:tcW w:w="960" w:type="dxa"/>
                <w:tcBorders>
                  <w:top w:val="nil"/>
                  <w:left w:val="nil"/>
                  <w:bottom w:val="nil"/>
                  <w:right w:val="nil"/>
                </w:tcBorders>
                <w:shd w:val="clear" w:color="auto" w:fill="auto"/>
                <w:noWrap/>
                <w:vAlign w:val="bottom"/>
                <w:hideMark/>
              </w:tcPr>
              <w:p w14:paraId="545CF76E"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26%</w:t>
                </w:r>
              </w:p>
            </w:tc>
          </w:tr>
          <w:tr w:rsidR="00CB2D88" w:rsidRPr="00CB2D88" w14:paraId="6055A622" w14:textId="77777777" w:rsidTr="00CB2D88">
            <w:trPr>
              <w:trHeight w:val="290"/>
            </w:trPr>
            <w:tc>
              <w:tcPr>
                <w:tcW w:w="2872" w:type="dxa"/>
                <w:tcBorders>
                  <w:top w:val="nil"/>
                  <w:left w:val="nil"/>
                  <w:bottom w:val="nil"/>
                  <w:right w:val="nil"/>
                </w:tcBorders>
                <w:shd w:val="clear" w:color="auto" w:fill="auto"/>
                <w:noWrap/>
                <w:vAlign w:val="center"/>
                <w:hideMark/>
              </w:tcPr>
              <w:p w14:paraId="79E6C1D4"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Total Asset</w:t>
                </w:r>
              </w:p>
            </w:tc>
            <w:tc>
              <w:tcPr>
                <w:tcW w:w="1220" w:type="dxa"/>
                <w:tcBorders>
                  <w:top w:val="nil"/>
                  <w:left w:val="nil"/>
                  <w:bottom w:val="nil"/>
                  <w:right w:val="nil"/>
                </w:tcBorders>
                <w:shd w:val="clear" w:color="auto" w:fill="auto"/>
                <w:noWrap/>
                <w:vAlign w:val="center"/>
                <w:hideMark/>
              </w:tcPr>
              <w:p w14:paraId="24A6DA47"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16,755,000</w:t>
                </w:r>
              </w:p>
            </w:tc>
            <w:tc>
              <w:tcPr>
                <w:tcW w:w="1180" w:type="dxa"/>
                <w:tcBorders>
                  <w:top w:val="nil"/>
                  <w:left w:val="nil"/>
                  <w:bottom w:val="nil"/>
                  <w:right w:val="nil"/>
                </w:tcBorders>
                <w:shd w:val="clear" w:color="auto" w:fill="auto"/>
                <w:noWrap/>
                <w:vAlign w:val="center"/>
                <w:hideMark/>
              </w:tcPr>
              <w:p w14:paraId="30109DCD"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14,957,000</w:t>
                </w:r>
              </w:p>
            </w:tc>
            <w:tc>
              <w:tcPr>
                <w:tcW w:w="1080" w:type="dxa"/>
                <w:tcBorders>
                  <w:top w:val="nil"/>
                  <w:left w:val="nil"/>
                  <w:bottom w:val="nil"/>
                  <w:right w:val="nil"/>
                </w:tcBorders>
                <w:shd w:val="clear" w:color="auto" w:fill="auto"/>
                <w:noWrap/>
                <w:vAlign w:val="bottom"/>
                <w:hideMark/>
              </w:tcPr>
              <w:p w14:paraId="08828A4F"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1,798,000</w:t>
                </w:r>
              </w:p>
            </w:tc>
            <w:tc>
              <w:tcPr>
                <w:tcW w:w="1120" w:type="dxa"/>
                <w:tcBorders>
                  <w:top w:val="nil"/>
                  <w:left w:val="nil"/>
                  <w:bottom w:val="nil"/>
                  <w:right w:val="nil"/>
                </w:tcBorders>
                <w:shd w:val="clear" w:color="auto" w:fill="auto"/>
                <w:noWrap/>
                <w:vAlign w:val="bottom"/>
                <w:hideMark/>
              </w:tcPr>
              <w:p w14:paraId="13009B18"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12.021127</w:t>
                </w:r>
              </w:p>
            </w:tc>
            <w:tc>
              <w:tcPr>
                <w:tcW w:w="960" w:type="dxa"/>
                <w:tcBorders>
                  <w:top w:val="nil"/>
                  <w:left w:val="nil"/>
                  <w:bottom w:val="nil"/>
                  <w:right w:val="nil"/>
                </w:tcBorders>
                <w:shd w:val="clear" w:color="auto" w:fill="auto"/>
                <w:noWrap/>
                <w:vAlign w:val="bottom"/>
                <w:hideMark/>
              </w:tcPr>
              <w:p w14:paraId="194AA982"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12%</w:t>
                </w:r>
              </w:p>
            </w:tc>
          </w:tr>
          <w:tr w:rsidR="00CB2D88" w:rsidRPr="00CB2D88" w14:paraId="66E06C25" w14:textId="77777777" w:rsidTr="00CB2D88">
            <w:trPr>
              <w:trHeight w:val="290"/>
            </w:trPr>
            <w:tc>
              <w:tcPr>
                <w:tcW w:w="2872" w:type="dxa"/>
                <w:tcBorders>
                  <w:top w:val="nil"/>
                  <w:left w:val="nil"/>
                  <w:bottom w:val="nil"/>
                  <w:right w:val="nil"/>
                </w:tcBorders>
                <w:shd w:val="clear" w:color="auto" w:fill="auto"/>
                <w:noWrap/>
                <w:vAlign w:val="center"/>
                <w:hideMark/>
              </w:tcPr>
              <w:p w14:paraId="50D3523F"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Current Liabilities</w:t>
                </w:r>
              </w:p>
            </w:tc>
            <w:tc>
              <w:tcPr>
                <w:tcW w:w="1220" w:type="dxa"/>
                <w:tcBorders>
                  <w:top w:val="nil"/>
                  <w:left w:val="nil"/>
                  <w:bottom w:val="nil"/>
                  <w:right w:val="nil"/>
                </w:tcBorders>
                <w:shd w:val="clear" w:color="auto" w:fill="auto"/>
                <w:noWrap/>
                <w:vAlign w:val="center"/>
                <w:hideMark/>
              </w:tcPr>
              <w:p w14:paraId="56072A4E"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2,431,000</w:t>
                </w:r>
              </w:p>
            </w:tc>
            <w:tc>
              <w:tcPr>
                <w:tcW w:w="1180" w:type="dxa"/>
                <w:tcBorders>
                  <w:top w:val="nil"/>
                  <w:left w:val="nil"/>
                  <w:bottom w:val="nil"/>
                  <w:right w:val="nil"/>
                </w:tcBorders>
                <w:shd w:val="clear" w:color="auto" w:fill="auto"/>
                <w:noWrap/>
                <w:vAlign w:val="center"/>
                <w:hideMark/>
              </w:tcPr>
              <w:p w14:paraId="6BEECFFE"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2,871,000</w:t>
                </w:r>
              </w:p>
            </w:tc>
            <w:tc>
              <w:tcPr>
                <w:tcW w:w="1080" w:type="dxa"/>
                <w:tcBorders>
                  <w:top w:val="nil"/>
                  <w:left w:val="nil"/>
                  <w:bottom w:val="nil"/>
                  <w:right w:val="nil"/>
                </w:tcBorders>
                <w:shd w:val="clear" w:color="auto" w:fill="auto"/>
                <w:noWrap/>
                <w:vAlign w:val="bottom"/>
                <w:hideMark/>
              </w:tcPr>
              <w:p w14:paraId="43AE456D"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-440,000</w:t>
                </w:r>
              </w:p>
            </w:tc>
            <w:tc>
              <w:tcPr>
                <w:tcW w:w="1120" w:type="dxa"/>
                <w:tcBorders>
                  <w:top w:val="nil"/>
                  <w:left w:val="nil"/>
                  <w:bottom w:val="nil"/>
                  <w:right w:val="nil"/>
                </w:tcBorders>
                <w:shd w:val="clear" w:color="auto" w:fill="auto"/>
                <w:noWrap/>
                <w:vAlign w:val="bottom"/>
                <w:hideMark/>
              </w:tcPr>
              <w:p w14:paraId="0FAA2DB5"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-15.32567</w:t>
                </w:r>
              </w:p>
            </w:tc>
            <w:tc>
              <w:tcPr>
                <w:tcW w:w="960" w:type="dxa"/>
                <w:tcBorders>
                  <w:top w:val="nil"/>
                  <w:left w:val="nil"/>
                  <w:bottom w:val="nil"/>
                  <w:right w:val="nil"/>
                </w:tcBorders>
                <w:shd w:val="clear" w:color="auto" w:fill="auto"/>
                <w:noWrap/>
                <w:vAlign w:val="bottom"/>
                <w:hideMark/>
              </w:tcPr>
              <w:p w14:paraId="0EA83AB2"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-15%</w:t>
                </w:r>
              </w:p>
            </w:tc>
          </w:tr>
          <w:tr w:rsidR="00CB2D88" w:rsidRPr="00CB2D88" w14:paraId="5CF30666" w14:textId="77777777" w:rsidTr="00CB2D88">
            <w:trPr>
              <w:trHeight w:val="290"/>
            </w:trPr>
            <w:tc>
              <w:tcPr>
                <w:tcW w:w="2872" w:type="dxa"/>
                <w:tcBorders>
                  <w:top w:val="nil"/>
                  <w:left w:val="nil"/>
                  <w:bottom w:val="nil"/>
                  <w:right w:val="nil"/>
                </w:tcBorders>
                <w:shd w:val="clear" w:color="auto" w:fill="auto"/>
                <w:noWrap/>
                <w:vAlign w:val="center"/>
                <w:hideMark/>
              </w:tcPr>
              <w:p w14:paraId="4AA1AB19" w14:textId="14F09A1C" w:rsidR="00CB2D88" w:rsidRPr="00CB2D88" w:rsidRDefault="00CC33F0"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Non-current</w:t>
                </w:r>
                <w:r w:rsidR="00CB2D88" w:rsidRPr="00CB2D88">
                  <w:rPr>
                    <w:rFonts w:ascii="Calibri" w:eastAsia="Times New Roman" w:hAnsi="Calibri" w:cs="Calibri"/>
                    <w:color w:val="000000"/>
                    <w:lang w:eastAsia="zh-CN"/>
                  </w:rPr>
                  <w:t xml:space="preserve"> Liabilities</w:t>
                </w:r>
              </w:p>
            </w:tc>
            <w:tc>
              <w:tcPr>
                <w:tcW w:w="1220" w:type="dxa"/>
                <w:tcBorders>
                  <w:top w:val="nil"/>
                  <w:left w:val="nil"/>
                  <w:bottom w:val="nil"/>
                  <w:right w:val="nil"/>
                </w:tcBorders>
                <w:shd w:val="clear" w:color="auto" w:fill="auto"/>
                <w:noWrap/>
                <w:vAlign w:val="center"/>
                <w:hideMark/>
              </w:tcPr>
              <w:p w14:paraId="372DA7E3"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15,810,000</w:t>
                </w:r>
              </w:p>
            </w:tc>
            <w:tc>
              <w:tcPr>
                <w:tcW w:w="1180" w:type="dxa"/>
                <w:tcBorders>
                  <w:top w:val="nil"/>
                  <w:left w:val="nil"/>
                  <w:bottom w:val="nil"/>
                  <w:right w:val="nil"/>
                </w:tcBorders>
                <w:shd w:val="clear" w:color="auto" w:fill="auto"/>
                <w:noWrap/>
                <w:vAlign w:val="center"/>
                <w:hideMark/>
              </w:tcPr>
              <w:p w14:paraId="6D8E861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12,558,000</w:t>
                </w:r>
              </w:p>
            </w:tc>
            <w:tc>
              <w:tcPr>
                <w:tcW w:w="1080" w:type="dxa"/>
                <w:tcBorders>
                  <w:top w:val="nil"/>
                  <w:left w:val="nil"/>
                  <w:bottom w:val="nil"/>
                  <w:right w:val="nil"/>
                </w:tcBorders>
                <w:shd w:val="clear" w:color="auto" w:fill="auto"/>
                <w:noWrap/>
                <w:vAlign w:val="bottom"/>
                <w:hideMark/>
              </w:tcPr>
              <w:p w14:paraId="0FBAAC92"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3,252,000</w:t>
                </w:r>
              </w:p>
            </w:tc>
            <w:tc>
              <w:tcPr>
                <w:tcW w:w="1120" w:type="dxa"/>
                <w:tcBorders>
                  <w:top w:val="nil"/>
                  <w:left w:val="nil"/>
                  <w:bottom w:val="nil"/>
                  <w:right w:val="nil"/>
                </w:tcBorders>
                <w:shd w:val="clear" w:color="auto" w:fill="auto"/>
                <w:noWrap/>
                <w:vAlign w:val="bottom"/>
                <w:hideMark/>
              </w:tcPr>
              <w:p w14:paraId="077B27E5"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25.895843</w:t>
                </w:r>
              </w:p>
            </w:tc>
            <w:tc>
              <w:tcPr>
                <w:tcW w:w="960" w:type="dxa"/>
                <w:tcBorders>
                  <w:top w:val="nil"/>
                  <w:left w:val="nil"/>
                  <w:bottom w:val="nil"/>
                  <w:right w:val="nil"/>
                </w:tcBorders>
                <w:shd w:val="clear" w:color="auto" w:fill="auto"/>
                <w:noWrap/>
                <w:vAlign w:val="bottom"/>
                <w:hideMark/>
              </w:tcPr>
              <w:p w14:paraId="1AB64147"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26%</w:t>
                </w:r>
              </w:p>
            </w:tc>
          </w:tr>
          <w:tr w:rsidR="00CB2D88" w:rsidRPr="00CB2D88" w14:paraId="1E31D0D4" w14:textId="77777777" w:rsidTr="00CB2D88">
            <w:trPr>
              <w:trHeight w:val="290"/>
            </w:trPr>
            <w:tc>
              <w:tcPr>
                <w:tcW w:w="2872" w:type="dxa"/>
                <w:tcBorders>
                  <w:top w:val="nil"/>
                  <w:left w:val="nil"/>
                  <w:bottom w:val="nil"/>
                  <w:right w:val="nil"/>
                </w:tcBorders>
                <w:shd w:val="clear" w:color="auto" w:fill="auto"/>
                <w:noWrap/>
                <w:vAlign w:val="center"/>
                <w:hideMark/>
              </w:tcPr>
              <w:p w14:paraId="72496D70"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Total Liabilities</w:t>
                </w:r>
              </w:p>
            </w:tc>
            <w:tc>
              <w:tcPr>
                <w:tcW w:w="1220" w:type="dxa"/>
                <w:tcBorders>
                  <w:top w:val="nil"/>
                  <w:left w:val="nil"/>
                  <w:bottom w:val="nil"/>
                  <w:right w:val="nil"/>
                </w:tcBorders>
                <w:shd w:val="clear" w:color="auto" w:fill="auto"/>
                <w:noWrap/>
                <w:vAlign w:val="center"/>
                <w:hideMark/>
              </w:tcPr>
              <w:p w14:paraId="05F86198"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18,241,000</w:t>
                </w:r>
              </w:p>
            </w:tc>
            <w:tc>
              <w:tcPr>
                <w:tcW w:w="1180" w:type="dxa"/>
                <w:tcBorders>
                  <w:top w:val="nil"/>
                  <w:left w:val="nil"/>
                  <w:bottom w:val="nil"/>
                  <w:right w:val="nil"/>
                </w:tcBorders>
                <w:shd w:val="clear" w:color="auto" w:fill="auto"/>
                <w:noWrap/>
                <w:vAlign w:val="center"/>
                <w:hideMark/>
              </w:tcPr>
              <w:p w14:paraId="24C4BA18"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15,429,000</w:t>
                </w:r>
              </w:p>
            </w:tc>
            <w:tc>
              <w:tcPr>
                <w:tcW w:w="1080" w:type="dxa"/>
                <w:tcBorders>
                  <w:top w:val="nil"/>
                  <w:left w:val="nil"/>
                  <w:bottom w:val="nil"/>
                  <w:right w:val="nil"/>
                </w:tcBorders>
                <w:shd w:val="clear" w:color="auto" w:fill="auto"/>
                <w:noWrap/>
                <w:vAlign w:val="bottom"/>
                <w:hideMark/>
              </w:tcPr>
              <w:p w14:paraId="2A23F533"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2,812,000</w:t>
                </w:r>
              </w:p>
            </w:tc>
            <w:tc>
              <w:tcPr>
                <w:tcW w:w="1120" w:type="dxa"/>
                <w:tcBorders>
                  <w:top w:val="nil"/>
                  <w:left w:val="nil"/>
                  <w:bottom w:val="nil"/>
                  <w:right w:val="nil"/>
                </w:tcBorders>
                <w:shd w:val="clear" w:color="auto" w:fill="auto"/>
                <w:noWrap/>
                <w:vAlign w:val="bottom"/>
                <w:hideMark/>
              </w:tcPr>
              <w:p w14:paraId="40826E22"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18.22542</w:t>
                </w:r>
              </w:p>
            </w:tc>
            <w:tc>
              <w:tcPr>
                <w:tcW w:w="960" w:type="dxa"/>
                <w:tcBorders>
                  <w:top w:val="nil"/>
                  <w:left w:val="nil"/>
                  <w:bottom w:val="nil"/>
                  <w:right w:val="nil"/>
                </w:tcBorders>
                <w:shd w:val="clear" w:color="auto" w:fill="auto"/>
                <w:noWrap/>
                <w:vAlign w:val="bottom"/>
                <w:hideMark/>
              </w:tcPr>
              <w:p w14:paraId="66C7E890"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18%</w:t>
                </w:r>
              </w:p>
            </w:tc>
          </w:tr>
          <w:tr w:rsidR="00CB2D88" w:rsidRPr="00CB2D88" w14:paraId="662A5778" w14:textId="77777777" w:rsidTr="00CB2D88">
            <w:trPr>
              <w:trHeight w:val="290"/>
            </w:trPr>
            <w:tc>
              <w:tcPr>
                <w:tcW w:w="2872" w:type="dxa"/>
                <w:tcBorders>
                  <w:top w:val="nil"/>
                  <w:left w:val="nil"/>
                  <w:bottom w:val="nil"/>
                  <w:right w:val="nil"/>
                </w:tcBorders>
                <w:shd w:val="clear" w:color="auto" w:fill="auto"/>
                <w:noWrap/>
                <w:vAlign w:val="center"/>
                <w:hideMark/>
              </w:tcPr>
              <w:p w14:paraId="782519CC"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Common Stock</w:t>
                </w:r>
              </w:p>
            </w:tc>
            <w:tc>
              <w:tcPr>
                <w:tcW w:w="1220" w:type="dxa"/>
                <w:tcBorders>
                  <w:top w:val="nil"/>
                  <w:left w:val="nil"/>
                  <w:bottom w:val="nil"/>
                  <w:right w:val="nil"/>
                </w:tcBorders>
                <w:shd w:val="clear" w:color="auto" w:fill="auto"/>
                <w:noWrap/>
                <w:vAlign w:val="center"/>
                <w:hideMark/>
              </w:tcPr>
              <w:p w14:paraId="425B9D92"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3,000</w:t>
                </w:r>
              </w:p>
            </w:tc>
            <w:tc>
              <w:tcPr>
                <w:tcW w:w="1180" w:type="dxa"/>
                <w:tcBorders>
                  <w:top w:val="nil"/>
                  <w:left w:val="nil"/>
                  <w:bottom w:val="nil"/>
                  <w:right w:val="nil"/>
                </w:tcBorders>
                <w:shd w:val="clear" w:color="auto" w:fill="auto"/>
                <w:noWrap/>
                <w:vAlign w:val="center"/>
                <w:hideMark/>
              </w:tcPr>
              <w:p w14:paraId="4FB8CA9F"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3,000</w:t>
                </w:r>
              </w:p>
            </w:tc>
            <w:tc>
              <w:tcPr>
                <w:tcW w:w="1080" w:type="dxa"/>
                <w:tcBorders>
                  <w:top w:val="nil"/>
                  <w:left w:val="nil"/>
                  <w:bottom w:val="nil"/>
                  <w:right w:val="nil"/>
                </w:tcBorders>
                <w:shd w:val="clear" w:color="auto" w:fill="auto"/>
                <w:noWrap/>
                <w:vAlign w:val="bottom"/>
                <w:hideMark/>
              </w:tcPr>
              <w:p w14:paraId="7F4214C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0</w:t>
                </w:r>
              </w:p>
            </w:tc>
            <w:tc>
              <w:tcPr>
                <w:tcW w:w="1120" w:type="dxa"/>
                <w:tcBorders>
                  <w:top w:val="nil"/>
                  <w:left w:val="nil"/>
                  <w:bottom w:val="nil"/>
                  <w:right w:val="nil"/>
                </w:tcBorders>
                <w:shd w:val="clear" w:color="auto" w:fill="auto"/>
                <w:noWrap/>
                <w:vAlign w:val="bottom"/>
                <w:hideMark/>
              </w:tcPr>
              <w:p w14:paraId="2523AFB2"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0</w:t>
                </w:r>
              </w:p>
            </w:tc>
            <w:tc>
              <w:tcPr>
                <w:tcW w:w="960" w:type="dxa"/>
                <w:tcBorders>
                  <w:top w:val="nil"/>
                  <w:left w:val="nil"/>
                  <w:bottom w:val="nil"/>
                  <w:right w:val="nil"/>
                </w:tcBorders>
                <w:shd w:val="clear" w:color="auto" w:fill="auto"/>
                <w:noWrap/>
                <w:vAlign w:val="bottom"/>
                <w:hideMark/>
              </w:tcPr>
              <w:p w14:paraId="65180951"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0%</w:t>
                </w:r>
              </w:p>
            </w:tc>
          </w:tr>
          <w:tr w:rsidR="00CB2D88" w:rsidRPr="00CB2D88" w14:paraId="456351A7" w14:textId="77777777" w:rsidTr="00CB2D88">
            <w:trPr>
              <w:trHeight w:val="290"/>
            </w:trPr>
            <w:tc>
              <w:tcPr>
                <w:tcW w:w="2872" w:type="dxa"/>
                <w:tcBorders>
                  <w:top w:val="nil"/>
                  <w:left w:val="nil"/>
                  <w:bottom w:val="nil"/>
                  <w:right w:val="nil"/>
                </w:tcBorders>
                <w:shd w:val="clear" w:color="auto" w:fill="auto"/>
                <w:noWrap/>
                <w:vAlign w:val="center"/>
                <w:hideMark/>
              </w:tcPr>
              <w:p w14:paraId="016A77C8"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Retained Earnings</w:t>
                </w:r>
              </w:p>
            </w:tc>
            <w:tc>
              <w:tcPr>
                <w:tcW w:w="1220" w:type="dxa"/>
                <w:tcBorders>
                  <w:top w:val="nil"/>
                  <w:left w:val="nil"/>
                  <w:bottom w:val="nil"/>
                  <w:right w:val="nil"/>
                </w:tcBorders>
                <w:shd w:val="clear" w:color="auto" w:fill="auto"/>
                <w:noWrap/>
                <w:vAlign w:val="center"/>
                <w:hideMark/>
              </w:tcPr>
              <w:p w14:paraId="6C81D752"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-6,732,000</w:t>
                </w:r>
              </w:p>
            </w:tc>
            <w:tc>
              <w:tcPr>
                <w:tcW w:w="1180" w:type="dxa"/>
                <w:tcBorders>
                  <w:top w:val="nil"/>
                  <w:left w:val="nil"/>
                  <w:bottom w:val="nil"/>
                  <w:right w:val="nil"/>
                </w:tcBorders>
                <w:shd w:val="clear" w:color="auto" w:fill="auto"/>
                <w:noWrap/>
                <w:vAlign w:val="center"/>
                <w:hideMark/>
              </w:tcPr>
              <w:p w14:paraId="4C2E5050"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-5,965,000</w:t>
                </w:r>
              </w:p>
            </w:tc>
            <w:tc>
              <w:tcPr>
                <w:tcW w:w="1080" w:type="dxa"/>
                <w:tcBorders>
                  <w:top w:val="nil"/>
                  <w:left w:val="nil"/>
                  <w:bottom w:val="nil"/>
                  <w:right w:val="nil"/>
                </w:tcBorders>
                <w:shd w:val="clear" w:color="auto" w:fill="auto"/>
                <w:noWrap/>
                <w:vAlign w:val="bottom"/>
                <w:hideMark/>
              </w:tcPr>
              <w:p w14:paraId="27CBE541"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-767,000</w:t>
                </w:r>
              </w:p>
            </w:tc>
            <w:tc>
              <w:tcPr>
                <w:tcW w:w="1120" w:type="dxa"/>
                <w:tcBorders>
                  <w:top w:val="nil"/>
                  <w:left w:val="nil"/>
                  <w:bottom w:val="nil"/>
                  <w:right w:val="nil"/>
                </w:tcBorders>
                <w:shd w:val="clear" w:color="auto" w:fill="auto"/>
                <w:noWrap/>
                <w:vAlign w:val="bottom"/>
                <w:hideMark/>
              </w:tcPr>
              <w:p w14:paraId="5426C06F"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12.85834</w:t>
                </w:r>
              </w:p>
            </w:tc>
            <w:tc>
              <w:tcPr>
                <w:tcW w:w="960" w:type="dxa"/>
                <w:tcBorders>
                  <w:top w:val="nil"/>
                  <w:left w:val="nil"/>
                  <w:bottom w:val="nil"/>
                  <w:right w:val="nil"/>
                </w:tcBorders>
                <w:shd w:val="clear" w:color="auto" w:fill="auto"/>
                <w:noWrap/>
                <w:vAlign w:val="bottom"/>
                <w:hideMark/>
              </w:tcPr>
              <w:p w14:paraId="6DB149A6"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13%</w:t>
                </w:r>
              </w:p>
            </w:tc>
          </w:tr>
          <w:tr w:rsidR="00CB2D88" w:rsidRPr="00CB2D88" w14:paraId="0D5A1EC3" w14:textId="77777777" w:rsidTr="00CB2D88">
            <w:trPr>
              <w:trHeight w:val="290"/>
            </w:trPr>
            <w:tc>
              <w:tcPr>
                <w:tcW w:w="2872" w:type="dxa"/>
                <w:tcBorders>
                  <w:top w:val="nil"/>
                  <w:left w:val="nil"/>
                  <w:bottom w:val="nil"/>
                  <w:right w:val="nil"/>
                </w:tcBorders>
                <w:shd w:val="clear" w:color="auto" w:fill="auto"/>
                <w:noWrap/>
                <w:vAlign w:val="center"/>
                <w:hideMark/>
              </w:tcPr>
              <w:p w14:paraId="0E404053"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Total Stockholders' Equity</w:t>
                </w:r>
              </w:p>
            </w:tc>
            <w:tc>
              <w:tcPr>
                <w:tcW w:w="1220" w:type="dxa"/>
                <w:tcBorders>
                  <w:top w:val="nil"/>
                  <w:left w:val="nil"/>
                  <w:bottom w:val="nil"/>
                  <w:right w:val="nil"/>
                </w:tcBorders>
                <w:shd w:val="clear" w:color="auto" w:fill="auto"/>
                <w:noWrap/>
                <w:vAlign w:val="center"/>
                <w:hideMark/>
              </w:tcPr>
              <w:p w14:paraId="51F05CA9"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-1,490,000</w:t>
                </w:r>
              </w:p>
            </w:tc>
            <w:tc>
              <w:tcPr>
                <w:tcW w:w="1180" w:type="dxa"/>
                <w:tcBorders>
                  <w:top w:val="nil"/>
                  <w:left w:val="nil"/>
                  <w:bottom w:val="nil"/>
                  <w:right w:val="nil"/>
                </w:tcBorders>
                <w:shd w:val="clear" w:color="auto" w:fill="auto"/>
                <w:noWrap/>
                <w:vAlign w:val="center"/>
                <w:hideMark/>
              </w:tcPr>
              <w:p w14:paraId="0D1F9531"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-482,000</w:t>
                </w:r>
              </w:p>
            </w:tc>
            <w:tc>
              <w:tcPr>
                <w:tcW w:w="1080" w:type="dxa"/>
                <w:tcBorders>
                  <w:top w:val="nil"/>
                  <w:left w:val="nil"/>
                  <w:bottom w:val="nil"/>
                  <w:right w:val="nil"/>
                </w:tcBorders>
                <w:shd w:val="clear" w:color="auto" w:fill="auto"/>
                <w:noWrap/>
                <w:vAlign w:val="bottom"/>
                <w:hideMark/>
              </w:tcPr>
              <w:p w14:paraId="0FAB2B75"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-1,008,000</w:t>
                </w:r>
              </w:p>
            </w:tc>
            <w:tc>
              <w:tcPr>
                <w:tcW w:w="1120" w:type="dxa"/>
                <w:tcBorders>
                  <w:top w:val="nil"/>
                  <w:left w:val="nil"/>
                  <w:bottom w:val="nil"/>
                  <w:right w:val="nil"/>
                </w:tcBorders>
                <w:shd w:val="clear" w:color="auto" w:fill="auto"/>
                <w:noWrap/>
                <w:vAlign w:val="bottom"/>
                <w:hideMark/>
              </w:tcPr>
              <w:p w14:paraId="34AED2E3"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209.12863</w:t>
                </w:r>
              </w:p>
            </w:tc>
            <w:tc>
              <w:tcPr>
                <w:tcW w:w="960" w:type="dxa"/>
                <w:tcBorders>
                  <w:top w:val="nil"/>
                  <w:left w:val="nil"/>
                  <w:bottom w:val="nil"/>
                  <w:right w:val="nil"/>
                </w:tcBorders>
                <w:shd w:val="clear" w:color="auto" w:fill="auto"/>
                <w:noWrap/>
                <w:vAlign w:val="bottom"/>
                <w:hideMark/>
              </w:tcPr>
              <w:p w14:paraId="31DD2ED3"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209%</w:t>
                </w:r>
              </w:p>
            </w:tc>
          </w:tr>
          <w:tr w:rsidR="00CB2D88" w:rsidRPr="00CB2D88" w14:paraId="20D305E4" w14:textId="77777777" w:rsidTr="00CB2D88">
            <w:trPr>
              <w:trHeight w:val="290"/>
            </w:trPr>
            <w:tc>
              <w:tcPr>
                <w:tcW w:w="2872" w:type="dxa"/>
                <w:tcBorders>
                  <w:top w:val="nil"/>
                  <w:left w:val="nil"/>
                  <w:bottom w:val="nil"/>
                  <w:right w:val="nil"/>
                </w:tcBorders>
                <w:shd w:val="clear" w:color="auto" w:fill="auto"/>
                <w:noWrap/>
                <w:vAlign w:val="center"/>
                <w:hideMark/>
              </w:tcPr>
              <w:p w14:paraId="555AC49A" w14:textId="77777777" w:rsidR="00CB2D88" w:rsidRPr="00CB2D88" w:rsidRDefault="00CB2D88" w:rsidP="00CB2D88">
                <w:pPr>
                  <w:spacing w:after="0" w:line="240" w:lineRule="auto"/>
                  <w:rPr>
                    <w:rFonts w:ascii="Calibri" w:eastAsia="Times New Roman" w:hAnsi="Calibri" w:cs="Calibri"/>
                    <w:color w:val="000000"/>
                    <w:lang w:eastAsia="zh-CN"/>
                  </w:rPr>
                </w:pPr>
                <w:r w:rsidRPr="00CB2D88">
                  <w:rPr>
                    <w:rFonts w:ascii="Calibri" w:eastAsia="Times New Roman" w:hAnsi="Calibri" w:cs="Calibri"/>
                    <w:color w:val="000000"/>
                    <w:lang w:eastAsia="zh-CN"/>
                  </w:rPr>
                  <w:t>Total Liabilities and Stockholder</w:t>
                </w:r>
              </w:p>
            </w:tc>
            <w:tc>
              <w:tcPr>
                <w:tcW w:w="1220" w:type="dxa"/>
                <w:tcBorders>
                  <w:top w:val="nil"/>
                  <w:left w:val="nil"/>
                  <w:bottom w:val="nil"/>
                  <w:right w:val="nil"/>
                </w:tcBorders>
                <w:shd w:val="clear" w:color="auto" w:fill="auto"/>
                <w:noWrap/>
                <w:vAlign w:val="center"/>
                <w:hideMark/>
              </w:tcPr>
              <w:p w14:paraId="163536C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16,755,000</w:t>
                </w:r>
              </w:p>
            </w:tc>
            <w:tc>
              <w:tcPr>
                <w:tcW w:w="1180" w:type="dxa"/>
                <w:tcBorders>
                  <w:top w:val="nil"/>
                  <w:left w:val="nil"/>
                  <w:bottom w:val="nil"/>
                  <w:right w:val="nil"/>
                </w:tcBorders>
                <w:shd w:val="clear" w:color="auto" w:fill="auto"/>
                <w:noWrap/>
                <w:vAlign w:val="center"/>
                <w:hideMark/>
              </w:tcPr>
              <w:p w14:paraId="1282C97C"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14,957,000</w:t>
                </w:r>
              </w:p>
            </w:tc>
            <w:tc>
              <w:tcPr>
                <w:tcW w:w="1080" w:type="dxa"/>
                <w:tcBorders>
                  <w:top w:val="nil"/>
                  <w:left w:val="nil"/>
                  <w:bottom w:val="nil"/>
                  <w:right w:val="nil"/>
                </w:tcBorders>
                <w:shd w:val="clear" w:color="auto" w:fill="auto"/>
                <w:noWrap/>
                <w:vAlign w:val="bottom"/>
                <w:hideMark/>
              </w:tcPr>
              <w:p w14:paraId="3E784A14"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1,798,000</w:t>
                </w:r>
              </w:p>
            </w:tc>
            <w:tc>
              <w:tcPr>
                <w:tcW w:w="1120" w:type="dxa"/>
                <w:tcBorders>
                  <w:top w:val="nil"/>
                  <w:left w:val="nil"/>
                  <w:bottom w:val="nil"/>
                  <w:right w:val="nil"/>
                </w:tcBorders>
                <w:shd w:val="clear" w:color="auto" w:fill="auto"/>
                <w:noWrap/>
                <w:vAlign w:val="bottom"/>
                <w:hideMark/>
              </w:tcPr>
              <w:p w14:paraId="27BEA54D" w14:textId="77777777" w:rsidR="00CB2D88" w:rsidRPr="00CB2D88" w:rsidRDefault="00CB2D88" w:rsidP="00CB2D88">
                <w:pPr>
                  <w:spacing w:after="0" w:line="240" w:lineRule="auto"/>
                  <w:jc w:val="right"/>
                  <w:rPr>
                    <w:rFonts w:ascii="Calibri" w:eastAsia="Times New Roman" w:hAnsi="Calibri" w:cs="Calibri"/>
                    <w:color w:val="000000"/>
                    <w:lang w:eastAsia="zh-CN"/>
                  </w:rPr>
                </w:pPr>
                <w:r w:rsidRPr="00CB2D88">
                  <w:rPr>
                    <w:rFonts w:ascii="Calibri" w:eastAsia="Times New Roman" w:hAnsi="Calibri" w:cs="Calibri"/>
                    <w:color w:val="000000"/>
                    <w:lang w:eastAsia="zh-CN"/>
                  </w:rPr>
                  <w:t>12.021127</w:t>
                </w:r>
              </w:p>
            </w:tc>
            <w:tc>
              <w:tcPr>
                <w:tcW w:w="960" w:type="dxa"/>
                <w:tcBorders>
                  <w:top w:val="nil"/>
                  <w:left w:val="nil"/>
                  <w:bottom w:val="nil"/>
                  <w:right w:val="nil"/>
                </w:tcBorders>
                <w:shd w:val="clear" w:color="auto" w:fill="auto"/>
                <w:noWrap/>
                <w:vAlign w:val="bottom"/>
                <w:hideMark/>
              </w:tcPr>
              <w:p w14:paraId="57D8521D" w14:textId="77777777" w:rsidR="00CB2D88" w:rsidRPr="00CB2D88" w:rsidRDefault="00CB2D88" w:rsidP="00CB2D88">
                <w:pPr>
                  <w:spacing w:after="0" w:line="240" w:lineRule="auto"/>
                  <w:jc w:val="right"/>
                  <w:rPr>
                    <w:rFonts w:ascii="Calibri" w:eastAsia="Times New Roman" w:hAnsi="Calibri" w:cs="Calibri"/>
                    <w:color w:val="FF0000"/>
                    <w:lang w:eastAsia="zh-CN"/>
                  </w:rPr>
                </w:pPr>
                <w:r w:rsidRPr="00CB2D88">
                  <w:rPr>
                    <w:rFonts w:ascii="Calibri" w:eastAsia="Times New Roman" w:hAnsi="Calibri" w:cs="Calibri"/>
                    <w:color w:val="FF0000"/>
                    <w:lang w:eastAsia="zh-CN"/>
                  </w:rPr>
                  <w:t>12%</w:t>
                </w:r>
              </w:p>
            </w:tc>
          </w:tr>
          <w:tr w:rsidR="00CB2D88" w:rsidRPr="00CB2D88" w14:paraId="50741E4C" w14:textId="77777777" w:rsidTr="00CB2D88">
            <w:trPr>
              <w:trHeight w:val="290"/>
            </w:trPr>
            <w:tc>
              <w:tcPr>
                <w:tcW w:w="2872" w:type="dxa"/>
                <w:tcBorders>
                  <w:top w:val="nil"/>
                  <w:left w:val="nil"/>
                  <w:bottom w:val="nil"/>
                  <w:right w:val="nil"/>
                </w:tcBorders>
                <w:shd w:val="clear" w:color="auto" w:fill="auto"/>
                <w:noWrap/>
                <w:vAlign w:val="center"/>
                <w:hideMark/>
              </w:tcPr>
              <w:p w14:paraId="5A95D01F" w14:textId="77777777" w:rsidR="00CB2D88" w:rsidRPr="00CB2D88" w:rsidRDefault="00CB2D88" w:rsidP="00CB2D88">
                <w:pPr>
                  <w:spacing w:after="0" w:line="240" w:lineRule="auto"/>
                  <w:jc w:val="right"/>
                  <w:rPr>
                    <w:rFonts w:ascii="Calibri" w:eastAsia="Times New Roman" w:hAnsi="Calibri" w:cs="Calibri"/>
                    <w:color w:val="000000"/>
                    <w:lang w:eastAsia="zh-CN"/>
                  </w:rPr>
                </w:pPr>
              </w:p>
            </w:tc>
            <w:tc>
              <w:tcPr>
                <w:tcW w:w="1220" w:type="dxa"/>
                <w:tcBorders>
                  <w:top w:val="nil"/>
                  <w:left w:val="nil"/>
                  <w:bottom w:val="nil"/>
                  <w:right w:val="nil"/>
                </w:tcBorders>
                <w:shd w:val="clear" w:color="auto" w:fill="auto"/>
                <w:noWrap/>
                <w:vAlign w:val="bottom"/>
                <w:hideMark/>
              </w:tcPr>
              <w:p w14:paraId="405E1C5D"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1180" w:type="dxa"/>
                <w:tcBorders>
                  <w:top w:val="nil"/>
                  <w:left w:val="nil"/>
                  <w:bottom w:val="nil"/>
                  <w:right w:val="nil"/>
                </w:tcBorders>
                <w:shd w:val="clear" w:color="auto" w:fill="auto"/>
                <w:noWrap/>
                <w:vAlign w:val="bottom"/>
                <w:hideMark/>
              </w:tcPr>
              <w:p w14:paraId="7572F339"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1080" w:type="dxa"/>
                <w:tcBorders>
                  <w:top w:val="nil"/>
                  <w:left w:val="nil"/>
                  <w:bottom w:val="nil"/>
                  <w:right w:val="nil"/>
                </w:tcBorders>
                <w:shd w:val="clear" w:color="auto" w:fill="auto"/>
                <w:noWrap/>
                <w:vAlign w:val="bottom"/>
                <w:hideMark/>
              </w:tcPr>
              <w:p w14:paraId="55E9D0EF"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1120" w:type="dxa"/>
                <w:tcBorders>
                  <w:top w:val="nil"/>
                  <w:left w:val="nil"/>
                  <w:bottom w:val="nil"/>
                  <w:right w:val="nil"/>
                </w:tcBorders>
                <w:shd w:val="clear" w:color="auto" w:fill="auto"/>
                <w:noWrap/>
                <w:vAlign w:val="bottom"/>
                <w:hideMark/>
              </w:tcPr>
              <w:p w14:paraId="06014B27"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c>
              <w:tcPr>
                <w:tcW w:w="960" w:type="dxa"/>
                <w:tcBorders>
                  <w:top w:val="nil"/>
                  <w:left w:val="nil"/>
                  <w:bottom w:val="nil"/>
                  <w:right w:val="nil"/>
                </w:tcBorders>
                <w:shd w:val="clear" w:color="auto" w:fill="auto"/>
                <w:noWrap/>
                <w:vAlign w:val="bottom"/>
                <w:hideMark/>
              </w:tcPr>
              <w:p w14:paraId="7AACC0FA" w14:textId="77777777" w:rsidR="00CB2D88" w:rsidRPr="00CB2D88" w:rsidRDefault="00CB2D88" w:rsidP="00CB2D88">
                <w:pPr>
                  <w:spacing w:after="0" w:line="240" w:lineRule="auto"/>
                  <w:rPr>
                    <w:rFonts w:ascii="Times New Roman" w:eastAsia="Times New Roman" w:hAnsi="Times New Roman" w:cs="Times New Roman"/>
                    <w:sz w:val="20"/>
                    <w:szCs w:val="20"/>
                    <w:lang w:eastAsia="zh-CN"/>
                  </w:rPr>
                </w:pPr>
              </w:p>
            </w:tc>
          </w:tr>
        </w:tbl>
        <w:p w14:paraId="54A971B6" w14:textId="77777777" w:rsidR="009C1CE2" w:rsidRDefault="009C1CE2" w:rsidP="007D1947"/>
        <w:p w14:paraId="0F73E235" w14:textId="77777777" w:rsidR="009C1CE2" w:rsidRDefault="009C1CE2" w:rsidP="007D1947"/>
        <w:p w14:paraId="6BB9D402" w14:textId="57BBC64E" w:rsidR="009C1CE2" w:rsidRDefault="009C1CE2" w:rsidP="007D1947"/>
        <w:p w14:paraId="59B39087" w14:textId="58BC5DFD" w:rsidR="00E51C3C" w:rsidRDefault="00E51C3C" w:rsidP="007D1947"/>
        <w:p w14:paraId="5DF6A78D" w14:textId="5A86C528" w:rsidR="008B46F0" w:rsidRDefault="008B46F0" w:rsidP="007D1947"/>
        <w:p w14:paraId="0658C9C8" w14:textId="77777777" w:rsidR="0076247D" w:rsidRDefault="0076247D" w:rsidP="007D1947"/>
        <w:p w14:paraId="4D2CC2EC" w14:textId="77777777" w:rsidR="0076247D" w:rsidRDefault="0076247D" w:rsidP="007D1947"/>
        <w:p w14:paraId="259DDE17" w14:textId="5569441B" w:rsidR="0076247D" w:rsidRDefault="0076247D" w:rsidP="00A5631F">
          <w:pPr>
            <w:spacing w:line="360" w:lineRule="auto"/>
            <w:jc w:val="both"/>
            <w:rPr>
              <w:rFonts w:ascii="Arial" w:hAnsi="Arial" w:cs="Arial"/>
              <w:sz w:val="24"/>
              <w:szCs w:val="24"/>
            </w:rPr>
          </w:pPr>
        </w:p>
        <w:p w14:paraId="4903059A" w14:textId="4F13E88E" w:rsidR="002344BD" w:rsidRDefault="002344BD" w:rsidP="002344BD"/>
        <w:p w14:paraId="49CD6BD3" w14:textId="68AE4821" w:rsidR="002344BD" w:rsidRDefault="002344BD" w:rsidP="002344BD"/>
        <w:p w14:paraId="011208F6" w14:textId="2BEE7938" w:rsidR="002344BD" w:rsidRDefault="002344BD" w:rsidP="002344BD"/>
        <w:p w14:paraId="76AD277E" w14:textId="6BD1036C" w:rsidR="002344BD" w:rsidRDefault="002344BD" w:rsidP="002344BD"/>
        <w:p w14:paraId="4C7D2505" w14:textId="77777777" w:rsidR="002344BD" w:rsidRPr="009C1CE2" w:rsidRDefault="002344BD" w:rsidP="002344BD"/>
        <w:p w14:paraId="13FAD172" w14:textId="639F1C65" w:rsidR="002344BD" w:rsidRPr="002344BD" w:rsidRDefault="002344BD" w:rsidP="002344BD">
          <w:pPr>
            <w:pStyle w:val="ListParagraph"/>
            <w:numPr>
              <w:ilvl w:val="0"/>
              <w:numId w:val="5"/>
            </w:numPr>
            <w:autoSpaceDE w:val="0"/>
            <w:autoSpaceDN w:val="0"/>
            <w:adjustRightInd w:val="0"/>
            <w:rPr>
              <w:rFonts w:ascii="Calibri" w:hAnsi="Calibri"/>
              <w:b/>
              <w:sz w:val="24"/>
              <w:szCs w:val="24"/>
            </w:rPr>
          </w:pPr>
          <w:r w:rsidRPr="002344BD">
            <w:rPr>
              <w:rFonts w:ascii="Calibri" w:hAnsi="Calibri"/>
              <w:b/>
              <w:sz w:val="24"/>
              <w:szCs w:val="24"/>
            </w:rPr>
            <w:t xml:space="preserve">Calculate Horizontal ratios for 2019 and 2020 to aid the analysis of the financial information included within the attached financial statements.  You should discuss the trends seen in these ratios in </w:t>
          </w:r>
          <w:r w:rsidR="00920BE0" w:rsidRPr="002344BD">
            <w:rPr>
              <w:rFonts w:ascii="Calibri" w:hAnsi="Calibri"/>
              <w:b/>
              <w:sz w:val="24"/>
              <w:szCs w:val="24"/>
            </w:rPr>
            <w:t>detail and</w:t>
          </w:r>
          <w:r w:rsidRPr="002344BD">
            <w:rPr>
              <w:rFonts w:ascii="Calibri" w:hAnsi="Calibri"/>
              <w:b/>
              <w:sz w:val="24"/>
              <w:szCs w:val="24"/>
            </w:rPr>
            <w:t xml:space="preserve"> draw appropriate conclusions.</w:t>
          </w:r>
        </w:p>
        <w:p w14:paraId="1841B67E" w14:textId="77777777" w:rsidR="002344BD" w:rsidRDefault="002344BD" w:rsidP="002344BD">
          <w:pPr>
            <w:pStyle w:val="ListParagraph"/>
            <w:autoSpaceDE w:val="0"/>
            <w:autoSpaceDN w:val="0"/>
            <w:adjustRightInd w:val="0"/>
            <w:rPr>
              <w:rFonts w:ascii="Calibri" w:hAnsi="Calibri"/>
              <w:sz w:val="24"/>
              <w:szCs w:val="24"/>
            </w:rPr>
          </w:pPr>
        </w:p>
        <w:p w14:paraId="5C6926D1" w14:textId="77777777" w:rsidR="002344BD" w:rsidRPr="00A5631F" w:rsidRDefault="002344BD" w:rsidP="00A5631F">
          <w:pPr>
            <w:spacing w:line="360" w:lineRule="auto"/>
            <w:jc w:val="both"/>
            <w:rPr>
              <w:rFonts w:ascii="Arial" w:hAnsi="Arial" w:cs="Arial"/>
              <w:sz w:val="24"/>
              <w:szCs w:val="24"/>
            </w:rPr>
          </w:pPr>
        </w:p>
        <w:p w14:paraId="5A9DE7FD" w14:textId="4778E88D" w:rsidR="008B46F0" w:rsidRPr="00A5631F" w:rsidRDefault="008B46F0" w:rsidP="00A5631F">
          <w:pPr>
            <w:spacing w:line="360" w:lineRule="auto"/>
            <w:jc w:val="both"/>
            <w:rPr>
              <w:rFonts w:ascii="Arial" w:hAnsi="Arial" w:cs="Arial"/>
              <w:sz w:val="24"/>
              <w:szCs w:val="24"/>
            </w:rPr>
          </w:pPr>
          <w:r w:rsidRPr="00A5631F">
            <w:rPr>
              <w:rFonts w:ascii="Arial" w:hAnsi="Arial" w:cs="Arial"/>
              <w:sz w:val="24"/>
              <w:szCs w:val="24"/>
            </w:rPr>
            <w:t xml:space="preserve">The Horizontal ratios were calculated for 2019 and 2020, </w:t>
          </w:r>
          <w:r w:rsidR="00720CB4" w:rsidRPr="00A5631F">
            <w:rPr>
              <w:rFonts w:ascii="Arial" w:hAnsi="Arial" w:cs="Arial"/>
              <w:sz w:val="24"/>
              <w:szCs w:val="24"/>
            </w:rPr>
            <w:t xml:space="preserve">horizontal analyses </w:t>
          </w:r>
          <w:r w:rsidR="003D3EEB" w:rsidRPr="00A5631F">
            <w:rPr>
              <w:rFonts w:ascii="Arial" w:hAnsi="Arial" w:cs="Arial"/>
              <w:sz w:val="24"/>
              <w:szCs w:val="24"/>
            </w:rPr>
            <w:t>are</w:t>
          </w:r>
          <w:r w:rsidR="00720CB4" w:rsidRPr="00A5631F">
            <w:rPr>
              <w:rFonts w:ascii="Arial" w:hAnsi="Arial" w:cs="Arial"/>
              <w:sz w:val="24"/>
              <w:szCs w:val="24"/>
            </w:rPr>
            <w:t xml:space="preserve"> composted with two aspects, comparative analyses (compare the organisation results from one year to the other), and trend Analyses (compare results for multiple rears against the year to investigate, within the organisation), this is done by comparing the results of 2020 to </w:t>
          </w:r>
          <w:r w:rsidR="003D3EEB" w:rsidRPr="00A5631F">
            <w:rPr>
              <w:rFonts w:ascii="Arial" w:hAnsi="Arial" w:cs="Arial"/>
              <w:sz w:val="24"/>
              <w:szCs w:val="24"/>
            </w:rPr>
            <w:t>2019,</w:t>
          </w:r>
          <w:r w:rsidR="00720CB4" w:rsidRPr="00A5631F">
            <w:rPr>
              <w:rFonts w:ascii="Arial" w:hAnsi="Arial" w:cs="Arial"/>
              <w:sz w:val="24"/>
              <w:szCs w:val="24"/>
            </w:rPr>
            <w:t xml:space="preserve"> to realize how sales are to profit, etc. First thing to analyse is what the organisation trades, we do this by looking at the financial statement and look for gross </w:t>
          </w:r>
          <w:r w:rsidR="003D3EEB" w:rsidRPr="00A5631F">
            <w:rPr>
              <w:rFonts w:ascii="Arial" w:hAnsi="Arial" w:cs="Arial"/>
              <w:sz w:val="24"/>
              <w:szCs w:val="24"/>
            </w:rPr>
            <w:t xml:space="preserve">profit, and cost of goods sold because is only available for organisations that trade goods. To analyse this numbers is necessary a </w:t>
          </w:r>
          <w:r w:rsidR="00B13B93" w:rsidRPr="00A5631F">
            <w:rPr>
              <w:rFonts w:ascii="Arial" w:hAnsi="Arial" w:cs="Arial"/>
              <w:sz w:val="24"/>
              <w:szCs w:val="24"/>
            </w:rPr>
            <w:t>formula,</w:t>
          </w:r>
          <w:r w:rsidR="003D3EEB" w:rsidRPr="00A5631F">
            <w:rPr>
              <w:rFonts w:ascii="Arial" w:hAnsi="Arial" w:cs="Arial"/>
              <w:sz w:val="24"/>
              <w:szCs w:val="24"/>
            </w:rPr>
            <w:t xml:space="preserve"> currently known as NO (new year-old </w:t>
          </w:r>
          <w:r w:rsidR="004B2EEA" w:rsidRPr="00A5631F">
            <w:rPr>
              <w:rFonts w:ascii="Arial" w:hAnsi="Arial" w:cs="Arial"/>
              <w:sz w:val="24"/>
              <w:szCs w:val="24"/>
            </w:rPr>
            <w:t>year)</w:t>
          </w:r>
          <w:r w:rsidR="003D3EEB" w:rsidRPr="00A5631F">
            <w:rPr>
              <w:rFonts w:ascii="Arial" w:hAnsi="Arial" w:cs="Arial"/>
              <w:sz w:val="24"/>
              <w:szCs w:val="24"/>
            </w:rPr>
            <w:t xml:space="preserve">, to calculate de percentage we use NOO (new year-old </w:t>
          </w:r>
          <w:r w:rsidR="006A6EDD" w:rsidRPr="00A5631F">
            <w:rPr>
              <w:rFonts w:ascii="Arial" w:hAnsi="Arial" w:cs="Arial"/>
              <w:sz w:val="24"/>
              <w:szCs w:val="24"/>
            </w:rPr>
            <w:t>year,</w:t>
          </w:r>
          <w:r w:rsidR="003D3EEB" w:rsidRPr="00A5631F">
            <w:rPr>
              <w:rFonts w:ascii="Arial" w:hAnsi="Arial" w:cs="Arial"/>
              <w:sz w:val="24"/>
              <w:szCs w:val="24"/>
            </w:rPr>
            <w:t xml:space="preserve"> /old </w:t>
          </w:r>
          <w:r w:rsidR="00E56149" w:rsidRPr="00A5631F">
            <w:rPr>
              <w:rFonts w:ascii="Arial" w:hAnsi="Arial" w:cs="Arial"/>
              <w:sz w:val="24"/>
              <w:szCs w:val="24"/>
            </w:rPr>
            <w:t>year) (</w:t>
          </w:r>
          <w:r w:rsidR="00B13B93" w:rsidRPr="00A5631F">
            <w:rPr>
              <w:rFonts w:ascii="Arial" w:hAnsi="Arial" w:cs="Arial"/>
              <w:sz w:val="24"/>
              <w:szCs w:val="24"/>
            </w:rPr>
            <w:t xml:space="preserve">2020-2019/2019 x 100 = %), </w:t>
          </w:r>
          <w:r w:rsidR="001863D4">
            <w:rPr>
              <w:rFonts w:ascii="Arial" w:hAnsi="Arial" w:cs="Arial"/>
              <w:sz w:val="24"/>
              <w:szCs w:val="24"/>
            </w:rPr>
            <w:t xml:space="preserve">below is a representative of </w:t>
          </w:r>
          <w:r w:rsidR="001863D4" w:rsidRPr="00A5631F">
            <w:rPr>
              <w:rFonts w:ascii="Arial" w:hAnsi="Arial" w:cs="Arial"/>
              <w:sz w:val="24"/>
              <w:szCs w:val="24"/>
            </w:rPr>
            <w:t>analyse</w:t>
          </w:r>
          <w:r w:rsidR="00B13B93" w:rsidRPr="00A5631F">
            <w:rPr>
              <w:rFonts w:ascii="Arial" w:hAnsi="Arial" w:cs="Arial"/>
              <w:sz w:val="24"/>
              <w:szCs w:val="24"/>
            </w:rPr>
            <w:t xml:space="preserve"> of the outcome.</w:t>
          </w:r>
        </w:p>
        <w:p w14:paraId="6B24F1BC" w14:textId="77777777" w:rsidR="00B13B93" w:rsidRDefault="00B13B93" w:rsidP="007D1947"/>
        <w:p w14:paraId="7415F300" w14:textId="77777777" w:rsidR="002344BD" w:rsidRDefault="002344BD" w:rsidP="00A5631F">
          <w:pPr>
            <w:spacing w:line="360" w:lineRule="auto"/>
            <w:jc w:val="both"/>
            <w:rPr>
              <w:rFonts w:ascii="Arial" w:hAnsi="Arial" w:cs="Arial"/>
              <w:sz w:val="24"/>
              <w:szCs w:val="24"/>
            </w:rPr>
          </w:pPr>
        </w:p>
        <w:p w14:paraId="0350C8FD" w14:textId="77777777" w:rsidR="002344BD" w:rsidRDefault="002344BD" w:rsidP="00A5631F">
          <w:pPr>
            <w:spacing w:line="360" w:lineRule="auto"/>
            <w:jc w:val="both"/>
            <w:rPr>
              <w:rFonts w:ascii="Arial" w:hAnsi="Arial" w:cs="Arial"/>
              <w:sz w:val="24"/>
              <w:szCs w:val="24"/>
            </w:rPr>
          </w:pPr>
        </w:p>
        <w:p w14:paraId="76DBCD62" w14:textId="77777777" w:rsidR="002344BD" w:rsidRDefault="002344BD" w:rsidP="00A5631F">
          <w:pPr>
            <w:spacing w:line="360" w:lineRule="auto"/>
            <w:jc w:val="both"/>
            <w:rPr>
              <w:rFonts w:ascii="Arial" w:hAnsi="Arial" w:cs="Arial"/>
              <w:sz w:val="24"/>
              <w:szCs w:val="24"/>
            </w:rPr>
          </w:pPr>
        </w:p>
        <w:p w14:paraId="1D85A88C" w14:textId="77777777" w:rsidR="002344BD" w:rsidRDefault="002344BD" w:rsidP="00A5631F">
          <w:pPr>
            <w:spacing w:line="360" w:lineRule="auto"/>
            <w:jc w:val="both"/>
            <w:rPr>
              <w:rFonts w:ascii="Arial" w:hAnsi="Arial" w:cs="Arial"/>
              <w:sz w:val="24"/>
              <w:szCs w:val="24"/>
            </w:rPr>
          </w:pPr>
        </w:p>
        <w:p w14:paraId="2E053AA9" w14:textId="77777777" w:rsidR="002344BD" w:rsidRDefault="002344BD" w:rsidP="00A5631F">
          <w:pPr>
            <w:spacing w:line="360" w:lineRule="auto"/>
            <w:jc w:val="both"/>
            <w:rPr>
              <w:rFonts w:ascii="Arial" w:hAnsi="Arial" w:cs="Arial"/>
              <w:sz w:val="24"/>
              <w:szCs w:val="24"/>
            </w:rPr>
          </w:pPr>
        </w:p>
        <w:p w14:paraId="624D437B" w14:textId="77777777" w:rsidR="002344BD" w:rsidRDefault="002344BD" w:rsidP="00A5631F">
          <w:pPr>
            <w:spacing w:line="360" w:lineRule="auto"/>
            <w:jc w:val="both"/>
            <w:rPr>
              <w:rFonts w:ascii="Arial" w:hAnsi="Arial" w:cs="Arial"/>
              <w:sz w:val="24"/>
              <w:szCs w:val="24"/>
            </w:rPr>
          </w:pPr>
        </w:p>
        <w:p w14:paraId="54569AEC" w14:textId="77777777" w:rsidR="002344BD" w:rsidRDefault="002344BD" w:rsidP="00A5631F">
          <w:pPr>
            <w:spacing w:line="360" w:lineRule="auto"/>
            <w:jc w:val="both"/>
            <w:rPr>
              <w:rFonts w:ascii="Arial" w:hAnsi="Arial" w:cs="Arial"/>
              <w:sz w:val="24"/>
              <w:szCs w:val="24"/>
            </w:rPr>
          </w:pPr>
        </w:p>
        <w:p w14:paraId="33F18203" w14:textId="77777777" w:rsidR="002344BD" w:rsidRDefault="002344BD" w:rsidP="00A5631F">
          <w:pPr>
            <w:spacing w:line="360" w:lineRule="auto"/>
            <w:jc w:val="both"/>
            <w:rPr>
              <w:rFonts w:ascii="Arial" w:hAnsi="Arial" w:cs="Arial"/>
              <w:sz w:val="24"/>
              <w:szCs w:val="24"/>
            </w:rPr>
          </w:pPr>
        </w:p>
        <w:p w14:paraId="7A0BDF78" w14:textId="77777777" w:rsidR="002344BD" w:rsidRDefault="002344BD" w:rsidP="00A5631F">
          <w:pPr>
            <w:spacing w:line="360" w:lineRule="auto"/>
            <w:jc w:val="both"/>
            <w:rPr>
              <w:rFonts w:ascii="Arial" w:hAnsi="Arial" w:cs="Arial"/>
              <w:sz w:val="24"/>
              <w:szCs w:val="24"/>
            </w:rPr>
          </w:pPr>
        </w:p>
        <w:p w14:paraId="04FD1CCC" w14:textId="77777777" w:rsidR="002344BD" w:rsidRDefault="002344BD" w:rsidP="00A5631F">
          <w:pPr>
            <w:spacing w:line="360" w:lineRule="auto"/>
            <w:jc w:val="both"/>
            <w:rPr>
              <w:rFonts w:ascii="Arial" w:hAnsi="Arial" w:cs="Arial"/>
              <w:sz w:val="24"/>
              <w:szCs w:val="24"/>
            </w:rPr>
          </w:pPr>
        </w:p>
        <w:p w14:paraId="113B87C8" w14:textId="77777777" w:rsidR="002344BD" w:rsidRDefault="002344BD" w:rsidP="00A5631F">
          <w:pPr>
            <w:spacing w:line="360" w:lineRule="auto"/>
            <w:jc w:val="both"/>
            <w:rPr>
              <w:rFonts w:ascii="Arial" w:hAnsi="Arial" w:cs="Arial"/>
              <w:sz w:val="24"/>
              <w:szCs w:val="24"/>
            </w:rPr>
          </w:pPr>
        </w:p>
        <w:p w14:paraId="0E7DE689" w14:textId="7D46691D" w:rsidR="008B46F0" w:rsidRPr="00A5631F" w:rsidRDefault="008B46F0" w:rsidP="00A5631F">
          <w:pPr>
            <w:spacing w:line="360" w:lineRule="auto"/>
            <w:jc w:val="both"/>
            <w:rPr>
              <w:rFonts w:ascii="Arial" w:hAnsi="Arial" w:cs="Arial"/>
              <w:sz w:val="24"/>
              <w:szCs w:val="24"/>
            </w:rPr>
          </w:pPr>
          <w:r w:rsidRPr="00A5631F">
            <w:rPr>
              <w:rFonts w:ascii="Arial" w:hAnsi="Arial" w:cs="Arial"/>
              <w:sz w:val="24"/>
              <w:szCs w:val="24"/>
            </w:rPr>
            <w:t xml:space="preserve">Hilton Holding had a representative </w:t>
          </w:r>
          <w:r w:rsidR="003B385B" w:rsidRPr="00A5631F">
            <w:rPr>
              <w:rFonts w:ascii="Arial" w:hAnsi="Arial" w:cs="Arial"/>
              <w:sz w:val="24"/>
              <w:szCs w:val="24"/>
            </w:rPr>
            <w:t xml:space="preserve">decline between 2019 to </w:t>
          </w:r>
          <w:r w:rsidR="006A6EDD" w:rsidRPr="00A5631F">
            <w:rPr>
              <w:rFonts w:ascii="Arial" w:hAnsi="Arial" w:cs="Arial"/>
              <w:sz w:val="24"/>
              <w:szCs w:val="24"/>
            </w:rPr>
            <w:t>2020, sales</w:t>
          </w:r>
          <w:r w:rsidR="004B2EEA" w:rsidRPr="00A5631F">
            <w:rPr>
              <w:rFonts w:ascii="Arial" w:hAnsi="Arial" w:cs="Arial"/>
              <w:sz w:val="24"/>
              <w:szCs w:val="24"/>
            </w:rPr>
            <w:t xml:space="preserve"> are represented by </w:t>
          </w:r>
          <w:r w:rsidR="006A6EDD" w:rsidRPr="00A5631F">
            <w:rPr>
              <w:rFonts w:ascii="Arial" w:hAnsi="Arial" w:cs="Arial"/>
              <w:sz w:val="24"/>
              <w:szCs w:val="24"/>
            </w:rPr>
            <w:t>$9,452,000 in 2019 to $4,307,000in 2020, making a loss of -5,145,000</w:t>
          </w:r>
          <w:r w:rsidR="001863D4" w:rsidRPr="00A5631F">
            <w:rPr>
              <w:rFonts w:ascii="Arial" w:hAnsi="Arial" w:cs="Arial"/>
              <w:sz w:val="24"/>
              <w:szCs w:val="24"/>
            </w:rPr>
            <w:t>, by</w:t>
          </w:r>
          <w:r w:rsidR="003B385B" w:rsidRPr="00A5631F">
            <w:rPr>
              <w:rFonts w:ascii="Arial" w:hAnsi="Arial" w:cs="Arial"/>
              <w:sz w:val="24"/>
              <w:szCs w:val="24"/>
            </w:rPr>
            <w:t xml:space="preserve"> around -55</w:t>
          </w:r>
          <w:r w:rsidR="004A7BF8" w:rsidRPr="00A5631F">
            <w:rPr>
              <w:rFonts w:ascii="Arial" w:hAnsi="Arial" w:cs="Arial"/>
              <w:sz w:val="24"/>
              <w:szCs w:val="24"/>
            </w:rPr>
            <w:t>%,</w:t>
          </w:r>
          <w:r w:rsidR="003B385B" w:rsidRPr="00A5631F">
            <w:rPr>
              <w:rFonts w:ascii="Arial" w:hAnsi="Arial" w:cs="Arial"/>
              <w:sz w:val="24"/>
              <w:szCs w:val="24"/>
            </w:rPr>
            <w:t xml:space="preserve"> which is not surprising having in consideration the current environment in which this </w:t>
          </w:r>
          <w:r w:rsidR="004A7BF8" w:rsidRPr="00A5631F">
            <w:rPr>
              <w:rFonts w:ascii="Arial" w:hAnsi="Arial" w:cs="Arial"/>
              <w:sz w:val="24"/>
              <w:szCs w:val="24"/>
            </w:rPr>
            <w:t>occur,</w:t>
          </w:r>
          <w:r w:rsidR="003B385B" w:rsidRPr="00A5631F">
            <w:rPr>
              <w:rFonts w:ascii="Arial" w:hAnsi="Arial" w:cs="Arial"/>
              <w:sz w:val="24"/>
              <w:szCs w:val="24"/>
            </w:rPr>
            <w:t xml:space="preserve"> 2019 brought Covid -19 and all the restriction imposed by the governments around the </w:t>
          </w:r>
          <w:r w:rsidR="004A7BF8" w:rsidRPr="00A5631F">
            <w:rPr>
              <w:rFonts w:ascii="Arial" w:hAnsi="Arial" w:cs="Arial"/>
              <w:sz w:val="24"/>
              <w:szCs w:val="24"/>
            </w:rPr>
            <w:t>world,</w:t>
          </w:r>
          <w:r w:rsidR="003B385B" w:rsidRPr="00A5631F">
            <w:rPr>
              <w:rFonts w:ascii="Arial" w:hAnsi="Arial" w:cs="Arial"/>
              <w:sz w:val="24"/>
              <w:szCs w:val="24"/>
            </w:rPr>
            <w:t xml:space="preserve"> with most of the </w:t>
          </w:r>
          <w:r w:rsidR="004A7BF8" w:rsidRPr="00A5631F">
            <w:rPr>
              <w:rFonts w:ascii="Arial" w:hAnsi="Arial" w:cs="Arial"/>
              <w:sz w:val="24"/>
              <w:szCs w:val="24"/>
            </w:rPr>
            <w:t>hotels,</w:t>
          </w:r>
          <w:r w:rsidR="003B385B" w:rsidRPr="00A5631F">
            <w:rPr>
              <w:rFonts w:ascii="Arial" w:hAnsi="Arial" w:cs="Arial"/>
              <w:sz w:val="24"/>
              <w:szCs w:val="24"/>
            </w:rPr>
            <w:t xml:space="preserve"> closed to any practise of business, therefore this numbers are very representative of that. Evidence </w:t>
          </w:r>
          <w:r w:rsidR="001863D4" w:rsidRPr="00A5631F">
            <w:rPr>
              <w:rFonts w:ascii="Arial" w:hAnsi="Arial" w:cs="Arial"/>
              <w:sz w:val="24"/>
              <w:szCs w:val="24"/>
            </w:rPr>
            <w:t>Suggest that</w:t>
          </w:r>
          <w:r w:rsidR="003B385B" w:rsidRPr="00A5631F">
            <w:rPr>
              <w:rFonts w:ascii="Arial" w:hAnsi="Arial" w:cs="Arial"/>
              <w:sz w:val="24"/>
              <w:szCs w:val="24"/>
            </w:rPr>
            <w:t xml:space="preserve"> in the face of uncertainty and liquidity constraints, current income may still be a key factor influencing </w:t>
          </w:r>
          <w:r w:rsidR="004A7BF8" w:rsidRPr="00A5631F">
            <w:rPr>
              <w:rFonts w:ascii="Arial" w:hAnsi="Arial" w:cs="Arial"/>
              <w:sz w:val="24"/>
              <w:szCs w:val="24"/>
            </w:rPr>
            <w:t>consumption (Griffiths, Wall, 2007)</w:t>
          </w:r>
        </w:p>
        <w:p w14:paraId="5424B574" w14:textId="77777777" w:rsidR="008B46F0" w:rsidRDefault="008B46F0" w:rsidP="007D1947"/>
        <w:p w14:paraId="4D6E8FAC" w14:textId="4015284B" w:rsidR="00E51C3C" w:rsidRDefault="009A7658" w:rsidP="007D1947">
          <w:r>
            <w:t xml:space="preserve">                                  </w:t>
          </w:r>
          <w:r w:rsidR="00E51C3C">
            <w:rPr>
              <w:noProof/>
              <w:lang w:eastAsia="en-GB"/>
            </w:rPr>
            <w:drawing>
              <wp:inline distT="0" distB="0" distL="0" distR="0" wp14:anchorId="7B9988B6" wp14:editId="27D87CA2">
                <wp:extent cx="3327400" cy="2419350"/>
                <wp:effectExtent l="0" t="0" r="6350" b="0"/>
                <wp:docPr id="1" name="Chart 1">
                  <a:extLst xmlns:a="http://schemas.openxmlformats.org/drawingml/2006/main">
                    <a:ext uri="{FF2B5EF4-FFF2-40B4-BE49-F238E27FC236}">
                      <a16:creationId xmlns:a16="http://schemas.microsoft.com/office/drawing/2014/main" id="{410522A6-CCC0-4607-BE5E-2C9CB44F03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17218F1" w14:textId="23D6E12D" w:rsidR="00316A65" w:rsidRPr="00481C9E" w:rsidRDefault="002A076B" w:rsidP="00481C9E">
          <w:pPr>
            <w:spacing w:line="360" w:lineRule="auto"/>
            <w:jc w:val="both"/>
            <w:rPr>
              <w:rFonts w:ascii="Arial" w:hAnsi="Arial" w:cs="Arial"/>
              <w:sz w:val="24"/>
              <w:szCs w:val="24"/>
            </w:rPr>
          </w:pPr>
          <w:r w:rsidRPr="00A5631F">
            <w:rPr>
              <w:rFonts w:ascii="Arial" w:hAnsi="Arial" w:cs="Arial"/>
              <w:sz w:val="24"/>
              <w:szCs w:val="24"/>
            </w:rPr>
            <w:t xml:space="preserve">             </w:t>
          </w:r>
          <w:r w:rsidR="009A7658">
            <w:rPr>
              <w:rFonts w:ascii="Arial" w:hAnsi="Arial" w:cs="Arial"/>
              <w:sz w:val="24"/>
              <w:szCs w:val="24"/>
            </w:rPr>
            <w:t xml:space="preserve">                     </w:t>
          </w:r>
          <w:r w:rsidRPr="00A5631F">
            <w:rPr>
              <w:rFonts w:ascii="Arial" w:hAnsi="Arial" w:cs="Arial"/>
              <w:sz w:val="24"/>
              <w:szCs w:val="24"/>
            </w:rPr>
            <w:t xml:space="preserve">  1- Graphic</w:t>
          </w:r>
          <w:r w:rsidR="004A7BF8" w:rsidRPr="00A5631F">
            <w:rPr>
              <w:rFonts w:ascii="Arial" w:hAnsi="Arial" w:cs="Arial"/>
              <w:sz w:val="24"/>
              <w:szCs w:val="24"/>
            </w:rPr>
            <w:t xml:space="preserve"> representative of sales </w:t>
          </w:r>
        </w:p>
        <w:p w14:paraId="7DAD32A5" w14:textId="77777777" w:rsidR="00316A65" w:rsidRDefault="00316A65" w:rsidP="007D1947"/>
        <w:p w14:paraId="6B20C790" w14:textId="77777777" w:rsidR="00316A65" w:rsidRDefault="00316A65" w:rsidP="007D1947"/>
        <w:p w14:paraId="03B3E252" w14:textId="77777777" w:rsidR="004B2EEA" w:rsidRDefault="004B2EEA" w:rsidP="007D1947"/>
        <w:p w14:paraId="7C7C011F" w14:textId="77777777" w:rsidR="004B2EEA" w:rsidRPr="00A5631F" w:rsidRDefault="004B2EEA" w:rsidP="00A5631F">
          <w:pPr>
            <w:spacing w:line="360" w:lineRule="auto"/>
            <w:jc w:val="both"/>
            <w:rPr>
              <w:rFonts w:ascii="Arial" w:hAnsi="Arial" w:cs="Arial"/>
              <w:sz w:val="24"/>
              <w:szCs w:val="24"/>
            </w:rPr>
          </w:pPr>
        </w:p>
        <w:p w14:paraId="0017EF73" w14:textId="77777777" w:rsidR="002344BD" w:rsidRDefault="002344BD" w:rsidP="00A5631F">
          <w:pPr>
            <w:spacing w:line="360" w:lineRule="auto"/>
            <w:jc w:val="both"/>
            <w:rPr>
              <w:rFonts w:ascii="Arial" w:hAnsi="Arial" w:cs="Arial"/>
              <w:sz w:val="24"/>
              <w:szCs w:val="24"/>
            </w:rPr>
          </w:pPr>
        </w:p>
        <w:p w14:paraId="7706F9C4" w14:textId="77777777" w:rsidR="002344BD" w:rsidRDefault="002344BD" w:rsidP="00A5631F">
          <w:pPr>
            <w:spacing w:line="360" w:lineRule="auto"/>
            <w:jc w:val="both"/>
            <w:rPr>
              <w:rFonts w:ascii="Arial" w:hAnsi="Arial" w:cs="Arial"/>
              <w:sz w:val="24"/>
              <w:szCs w:val="24"/>
            </w:rPr>
          </w:pPr>
        </w:p>
        <w:p w14:paraId="21C48FBE" w14:textId="77777777" w:rsidR="002344BD" w:rsidRDefault="002344BD" w:rsidP="00A5631F">
          <w:pPr>
            <w:spacing w:line="360" w:lineRule="auto"/>
            <w:jc w:val="both"/>
            <w:rPr>
              <w:rFonts w:ascii="Arial" w:hAnsi="Arial" w:cs="Arial"/>
              <w:sz w:val="24"/>
              <w:szCs w:val="24"/>
            </w:rPr>
          </w:pPr>
        </w:p>
        <w:p w14:paraId="68F152BF" w14:textId="77777777" w:rsidR="002344BD" w:rsidRDefault="002344BD" w:rsidP="00A5631F">
          <w:pPr>
            <w:spacing w:line="360" w:lineRule="auto"/>
            <w:jc w:val="both"/>
            <w:rPr>
              <w:rFonts w:ascii="Arial" w:hAnsi="Arial" w:cs="Arial"/>
              <w:sz w:val="24"/>
              <w:szCs w:val="24"/>
            </w:rPr>
          </w:pPr>
        </w:p>
        <w:p w14:paraId="601CA2DA" w14:textId="77777777" w:rsidR="002344BD" w:rsidRDefault="002344BD" w:rsidP="00A5631F">
          <w:pPr>
            <w:spacing w:line="360" w:lineRule="auto"/>
            <w:jc w:val="both"/>
            <w:rPr>
              <w:rFonts w:ascii="Arial" w:hAnsi="Arial" w:cs="Arial"/>
              <w:sz w:val="24"/>
              <w:szCs w:val="24"/>
            </w:rPr>
          </w:pPr>
        </w:p>
        <w:p w14:paraId="7B2F7B36" w14:textId="0D00507E" w:rsidR="004B2EEA" w:rsidRPr="00A5631F" w:rsidRDefault="00E34B0B" w:rsidP="00A5631F">
          <w:pPr>
            <w:spacing w:line="360" w:lineRule="auto"/>
            <w:jc w:val="both"/>
            <w:rPr>
              <w:rFonts w:ascii="Arial" w:hAnsi="Arial" w:cs="Arial"/>
              <w:sz w:val="24"/>
              <w:szCs w:val="24"/>
            </w:rPr>
          </w:pPr>
          <w:r w:rsidRPr="00A5631F">
            <w:rPr>
              <w:rFonts w:ascii="Arial" w:hAnsi="Arial" w:cs="Arial"/>
              <w:sz w:val="24"/>
              <w:szCs w:val="24"/>
            </w:rPr>
            <w:t xml:space="preserve">The cost of goods sold was $7,017,000 in 2019, and $3,724,000, making a loss of - $3,293,000, by -47%, although this is a bad result, it is good and </w:t>
          </w:r>
          <w:r w:rsidR="007444E1" w:rsidRPr="00A5631F">
            <w:rPr>
              <w:rFonts w:ascii="Arial" w:hAnsi="Arial" w:cs="Arial"/>
              <w:sz w:val="24"/>
              <w:szCs w:val="24"/>
            </w:rPr>
            <w:t>surprising, we want revenue to increase and the cost to decrease,</w:t>
          </w:r>
          <w:r w:rsidRPr="00A5631F">
            <w:rPr>
              <w:rFonts w:ascii="Arial" w:hAnsi="Arial" w:cs="Arial"/>
              <w:sz w:val="24"/>
              <w:szCs w:val="24"/>
            </w:rPr>
            <w:t xml:space="preserve"> each occur by 8%</w:t>
          </w:r>
          <w:r w:rsidR="007444E1" w:rsidRPr="00A5631F">
            <w:rPr>
              <w:rFonts w:ascii="Arial" w:hAnsi="Arial" w:cs="Arial"/>
              <w:sz w:val="24"/>
              <w:szCs w:val="24"/>
            </w:rPr>
            <w:t xml:space="preserve">, this means higher profitably, and higher retain earnings, higher equity and </w:t>
          </w:r>
          <w:r w:rsidR="0076247D" w:rsidRPr="00A5631F">
            <w:rPr>
              <w:rFonts w:ascii="Arial" w:hAnsi="Arial" w:cs="Arial"/>
              <w:sz w:val="24"/>
              <w:szCs w:val="24"/>
            </w:rPr>
            <w:t>that is</w:t>
          </w:r>
          <w:r w:rsidR="007444E1" w:rsidRPr="00A5631F">
            <w:rPr>
              <w:rFonts w:ascii="Arial" w:hAnsi="Arial" w:cs="Arial"/>
              <w:sz w:val="24"/>
              <w:szCs w:val="24"/>
            </w:rPr>
            <w:t xml:space="preserve"> </w:t>
          </w:r>
          <w:r w:rsidR="008A16FD" w:rsidRPr="00A5631F">
            <w:rPr>
              <w:rFonts w:ascii="Arial" w:hAnsi="Arial" w:cs="Arial"/>
              <w:sz w:val="24"/>
              <w:szCs w:val="24"/>
            </w:rPr>
            <w:t>positive,</w:t>
          </w:r>
          <w:r w:rsidR="007444E1" w:rsidRPr="00A5631F">
            <w:rPr>
              <w:rFonts w:ascii="Arial" w:hAnsi="Arial" w:cs="Arial"/>
              <w:sz w:val="24"/>
              <w:szCs w:val="24"/>
            </w:rPr>
            <w:t xml:space="preserve"> the company own more to the owners now.</w:t>
          </w:r>
        </w:p>
        <w:p w14:paraId="66CB006B" w14:textId="14DC03AE" w:rsidR="0076247D" w:rsidRDefault="0076247D" w:rsidP="007D1947"/>
        <w:p w14:paraId="5785F8E2" w14:textId="77777777" w:rsidR="0076247D" w:rsidRDefault="0076247D" w:rsidP="007D1947"/>
        <w:p w14:paraId="5D44CB41" w14:textId="4284C968" w:rsidR="00316A65" w:rsidRDefault="004B2EEA" w:rsidP="007D1947">
          <w:r>
            <w:rPr>
              <w:noProof/>
              <w:lang w:eastAsia="en-GB"/>
            </w:rPr>
            <mc:AlternateContent>
              <mc:Choice Requires="cx1">
                <w:drawing>
                  <wp:inline distT="0" distB="0" distL="0" distR="0" wp14:anchorId="02539E96" wp14:editId="63E4E206">
                    <wp:extent cx="4572000" cy="2743200"/>
                    <wp:effectExtent l="0" t="0" r="0" b="0"/>
                    <wp:docPr id="5" name="Chart 5">
                      <a:extLst xmlns:a="http://schemas.openxmlformats.org/drawingml/2006/main">
                        <a:ext uri="{FF2B5EF4-FFF2-40B4-BE49-F238E27FC236}">
                          <a16:creationId xmlns:a16="http://schemas.microsoft.com/office/drawing/2014/main" id="{4FF9EA44-AB58-400F-81AA-8055B204057A}"/>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14:anchorId="02539E96" wp14:editId="63E4E206">
                    <wp:extent cx="4572000" cy="2743200"/>
                    <wp:effectExtent l="0" t="0" r="0" b="0"/>
                    <wp:docPr id="5" name="Chart 5">
                      <a:extLst xmlns:a="http://schemas.openxmlformats.org/drawingml/2006/main">
                        <a:ext uri="{FF2B5EF4-FFF2-40B4-BE49-F238E27FC236}">
                          <a16:creationId xmlns:a16="http://schemas.microsoft.com/office/drawing/2014/main" id="{4FF9EA44-AB58-400F-81AA-8055B204057A}"/>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5">
                              <a:extLst>
                                <a:ext uri="{FF2B5EF4-FFF2-40B4-BE49-F238E27FC236}">
                                  <a16:creationId xmlns:a16="http://schemas.microsoft.com/office/drawing/2014/main" id="{4FF9EA44-AB58-400F-81AA-8055B204057A}"/>
                                </a:ext>
                              </a:extLst>
                            </pic:cNvPr>
                            <pic:cNvPicPr>
                              <a:picLocks noGrp="1" noRot="1" noChangeAspect="1" noMove="1" noResize="1" noEditPoints="1" noAdjustHandles="1" noChangeArrowheads="1" noChangeShapeType="1"/>
                            </pic:cNvPicPr>
                          </pic:nvPicPr>
                          <pic:blipFill>
                            <a:blip r:embed="rId16"/>
                            <a:stretch>
                              <a:fillRect/>
                            </a:stretch>
                          </pic:blipFill>
                          <pic:spPr>
                            <a:xfrm>
                              <a:off x="0" y="0"/>
                              <a:ext cx="4572000" cy="2743200"/>
                            </a:xfrm>
                            <a:prstGeom prst="rect">
                              <a:avLst/>
                            </a:prstGeom>
                          </pic:spPr>
                        </pic:pic>
                      </a:graphicData>
                    </a:graphic>
                  </wp:inline>
                </w:drawing>
              </mc:Fallback>
            </mc:AlternateContent>
          </w:r>
        </w:p>
        <w:p w14:paraId="4B765A13" w14:textId="7F2EA77B" w:rsidR="00316A65" w:rsidRPr="00A5631F" w:rsidRDefault="00E34B0B" w:rsidP="00A5631F">
          <w:pPr>
            <w:spacing w:line="360" w:lineRule="auto"/>
            <w:jc w:val="both"/>
            <w:rPr>
              <w:rFonts w:ascii="Arial" w:hAnsi="Arial" w:cs="Arial"/>
              <w:sz w:val="24"/>
              <w:szCs w:val="24"/>
            </w:rPr>
          </w:pPr>
          <w:r w:rsidRPr="00A5631F">
            <w:rPr>
              <w:rFonts w:ascii="Arial" w:hAnsi="Arial" w:cs="Arial"/>
              <w:sz w:val="24"/>
              <w:szCs w:val="24"/>
            </w:rPr>
            <w:t xml:space="preserve">                                2- Graphic of cost of goods sold </w:t>
          </w:r>
        </w:p>
        <w:p w14:paraId="7EB7138C" w14:textId="798EF6C5" w:rsidR="00316A65" w:rsidRDefault="00316A65" w:rsidP="007D1947"/>
        <w:p w14:paraId="7C9DDE12" w14:textId="4F5D5824" w:rsidR="008A16FD" w:rsidRDefault="008A16FD" w:rsidP="007D1947"/>
        <w:p w14:paraId="4B0B43CE" w14:textId="3AC45B44" w:rsidR="008A16FD" w:rsidRDefault="008A16FD" w:rsidP="007D1947"/>
        <w:p w14:paraId="19EE0E75" w14:textId="5CAD654F" w:rsidR="0076247D" w:rsidRDefault="0076247D" w:rsidP="007D1947"/>
        <w:p w14:paraId="03147A7E" w14:textId="43ABF1BD" w:rsidR="0076247D" w:rsidRDefault="0076247D" w:rsidP="007D1947"/>
        <w:p w14:paraId="3665C1D2" w14:textId="78C95DD1" w:rsidR="0076247D" w:rsidRDefault="0076247D" w:rsidP="007D1947"/>
        <w:p w14:paraId="60211488" w14:textId="701D9E1D" w:rsidR="0076247D" w:rsidRDefault="0076247D" w:rsidP="007D1947"/>
        <w:p w14:paraId="3B47B047" w14:textId="48426371" w:rsidR="0076247D" w:rsidRDefault="0076247D" w:rsidP="007D1947"/>
        <w:p w14:paraId="35EDC31D" w14:textId="7D62F9EF" w:rsidR="0076247D" w:rsidRDefault="0076247D" w:rsidP="007D1947"/>
        <w:p w14:paraId="530C2C64" w14:textId="150FCA87" w:rsidR="0076247D" w:rsidRDefault="0076247D" w:rsidP="007D1947"/>
        <w:p w14:paraId="19D95A7D" w14:textId="42711ECA" w:rsidR="0076247D" w:rsidRDefault="0076247D" w:rsidP="007D1947"/>
        <w:p w14:paraId="08B6F9C3" w14:textId="77777777" w:rsidR="0076247D" w:rsidRDefault="0076247D" w:rsidP="007D1947"/>
        <w:p w14:paraId="16C2B260" w14:textId="3F7DE222" w:rsidR="0076247D" w:rsidRPr="00A5631F" w:rsidRDefault="008A16FD" w:rsidP="00A5631F">
          <w:pPr>
            <w:spacing w:line="360" w:lineRule="auto"/>
            <w:jc w:val="both"/>
            <w:rPr>
              <w:rFonts w:ascii="Arial" w:hAnsi="Arial" w:cs="Arial"/>
              <w:sz w:val="24"/>
              <w:szCs w:val="24"/>
            </w:rPr>
          </w:pPr>
          <w:r w:rsidRPr="00A5631F">
            <w:rPr>
              <w:rFonts w:ascii="Arial" w:hAnsi="Arial" w:cs="Arial"/>
              <w:sz w:val="24"/>
              <w:szCs w:val="24"/>
            </w:rPr>
            <w:t xml:space="preserve">The we analyse the Gross profit, this is an important indicator for </w:t>
          </w:r>
          <w:r w:rsidR="000E3768" w:rsidRPr="00A5631F">
            <w:rPr>
              <w:rFonts w:ascii="Arial" w:hAnsi="Arial" w:cs="Arial"/>
              <w:sz w:val="24"/>
              <w:szCs w:val="24"/>
            </w:rPr>
            <w:t>organisations,</w:t>
          </w:r>
          <w:r w:rsidRPr="00A5631F">
            <w:rPr>
              <w:rFonts w:ascii="Arial" w:hAnsi="Arial" w:cs="Arial"/>
              <w:sz w:val="24"/>
              <w:szCs w:val="24"/>
            </w:rPr>
            <w:t xml:space="preserve"> is the amount available to cover expenses, operating expenses, interest and income </w:t>
          </w:r>
          <w:r w:rsidR="000E3768" w:rsidRPr="00A5631F">
            <w:rPr>
              <w:rFonts w:ascii="Arial" w:hAnsi="Arial" w:cs="Arial"/>
              <w:sz w:val="24"/>
              <w:szCs w:val="24"/>
            </w:rPr>
            <w:t>tax,</w:t>
          </w:r>
          <w:r w:rsidRPr="00A5631F">
            <w:rPr>
              <w:rFonts w:ascii="Arial" w:hAnsi="Arial" w:cs="Arial"/>
              <w:sz w:val="24"/>
              <w:szCs w:val="24"/>
            </w:rPr>
            <w:t xml:space="preserve"> also is the amount that allow us to generate profit for the owners. Not surprising that </w:t>
          </w:r>
          <w:r w:rsidR="000E3768" w:rsidRPr="00A5631F">
            <w:rPr>
              <w:rFonts w:ascii="Arial" w:hAnsi="Arial" w:cs="Arial"/>
              <w:sz w:val="24"/>
              <w:szCs w:val="24"/>
            </w:rPr>
            <w:t xml:space="preserve">2019 $2,435,000 to $583,000 in 2020, is a loss of -$1,852,000, representing -76%. </w:t>
          </w:r>
          <w:r w:rsidR="0076247D" w:rsidRPr="00A5631F">
            <w:rPr>
              <w:rFonts w:ascii="Arial" w:hAnsi="Arial" w:cs="Arial"/>
              <w:sz w:val="24"/>
              <w:szCs w:val="24"/>
            </w:rPr>
            <w:t xml:space="preserve">This is bad, having less gross profit then expected to cover our </w:t>
          </w:r>
          <w:r w:rsidR="002777BB" w:rsidRPr="00A5631F">
            <w:rPr>
              <w:rFonts w:ascii="Arial" w:hAnsi="Arial" w:cs="Arial"/>
              <w:sz w:val="24"/>
              <w:szCs w:val="24"/>
            </w:rPr>
            <w:t>expenses,</w:t>
          </w:r>
          <w:r w:rsidR="0076247D" w:rsidRPr="00A5631F">
            <w:rPr>
              <w:rFonts w:ascii="Arial" w:hAnsi="Arial" w:cs="Arial"/>
              <w:sz w:val="24"/>
              <w:szCs w:val="24"/>
            </w:rPr>
            <w:t xml:space="preserve"> because of sales being down by -55</w:t>
          </w:r>
          <w:r w:rsidR="002777BB" w:rsidRPr="00A5631F">
            <w:rPr>
              <w:rFonts w:ascii="Arial" w:hAnsi="Arial" w:cs="Arial"/>
              <w:sz w:val="24"/>
              <w:szCs w:val="24"/>
            </w:rPr>
            <w:t>%. If</w:t>
          </w:r>
          <w:r w:rsidR="000E3768" w:rsidRPr="00A5631F">
            <w:rPr>
              <w:rFonts w:ascii="Arial" w:hAnsi="Arial" w:cs="Arial"/>
              <w:sz w:val="24"/>
              <w:szCs w:val="24"/>
            </w:rPr>
            <w:t xml:space="preserve"> is </w:t>
          </w:r>
          <w:r w:rsidR="0076247D" w:rsidRPr="00A5631F">
            <w:rPr>
              <w:rFonts w:ascii="Arial" w:hAnsi="Arial" w:cs="Arial"/>
              <w:sz w:val="24"/>
              <w:szCs w:val="24"/>
            </w:rPr>
            <w:t>too</w:t>
          </w:r>
          <w:r w:rsidR="000E3768" w:rsidRPr="00A5631F">
            <w:rPr>
              <w:rFonts w:ascii="Arial" w:hAnsi="Arial" w:cs="Arial"/>
              <w:sz w:val="24"/>
              <w:szCs w:val="24"/>
            </w:rPr>
            <w:t xml:space="preserve"> low to cover the expenses, then the profit is going to go </w:t>
          </w:r>
          <w:r w:rsidR="0076247D" w:rsidRPr="00A5631F">
            <w:rPr>
              <w:rFonts w:ascii="Arial" w:hAnsi="Arial" w:cs="Arial"/>
              <w:sz w:val="24"/>
              <w:szCs w:val="24"/>
            </w:rPr>
            <w:t>down,</w:t>
          </w:r>
          <w:r w:rsidR="000E3768" w:rsidRPr="00A5631F">
            <w:rPr>
              <w:rFonts w:ascii="Arial" w:hAnsi="Arial" w:cs="Arial"/>
              <w:sz w:val="24"/>
              <w:szCs w:val="24"/>
            </w:rPr>
            <w:t xml:space="preserve"> this may mean the organisati</w:t>
          </w:r>
          <w:r w:rsidR="0076247D" w:rsidRPr="00A5631F">
            <w:rPr>
              <w:rFonts w:ascii="Arial" w:hAnsi="Arial" w:cs="Arial"/>
              <w:sz w:val="24"/>
              <w:szCs w:val="24"/>
            </w:rPr>
            <w:t>o</w:t>
          </w:r>
          <w:r w:rsidR="000E3768" w:rsidRPr="00A5631F">
            <w:rPr>
              <w:rFonts w:ascii="Arial" w:hAnsi="Arial" w:cs="Arial"/>
              <w:sz w:val="24"/>
              <w:szCs w:val="24"/>
            </w:rPr>
            <w:t xml:space="preserve">n is not </w:t>
          </w:r>
          <w:r w:rsidR="0076247D" w:rsidRPr="00A5631F">
            <w:rPr>
              <w:rFonts w:ascii="Arial" w:hAnsi="Arial" w:cs="Arial"/>
              <w:sz w:val="24"/>
              <w:szCs w:val="24"/>
            </w:rPr>
            <w:t>profitable,</w:t>
          </w:r>
          <w:r w:rsidR="000E3768" w:rsidRPr="00A5631F">
            <w:rPr>
              <w:rFonts w:ascii="Arial" w:hAnsi="Arial" w:cs="Arial"/>
              <w:sz w:val="24"/>
              <w:szCs w:val="24"/>
            </w:rPr>
            <w:t xml:space="preserve"> again because of the external factor of the environment, this number were not a surprise.</w:t>
          </w:r>
          <w:r w:rsidR="002A076B" w:rsidRPr="00A5631F">
            <w:rPr>
              <w:rFonts w:ascii="Arial" w:hAnsi="Arial" w:cs="Arial"/>
              <w:sz w:val="24"/>
              <w:szCs w:val="24"/>
            </w:rPr>
            <w:t xml:space="preserve">   </w:t>
          </w:r>
        </w:p>
        <w:p w14:paraId="64E17E54" w14:textId="77777777" w:rsidR="0076247D" w:rsidRDefault="0076247D" w:rsidP="007D1947"/>
        <w:p w14:paraId="6EE12680" w14:textId="77777777" w:rsidR="0076247D" w:rsidRDefault="0076247D" w:rsidP="007D1947"/>
        <w:p w14:paraId="5A3188CC" w14:textId="77777777" w:rsidR="0076247D" w:rsidRDefault="0076247D" w:rsidP="007D1947"/>
        <w:p w14:paraId="65D81FFB" w14:textId="4E8EDFEE" w:rsidR="002A076B" w:rsidRDefault="008A16FD" w:rsidP="007D1947">
          <w:r>
            <w:rPr>
              <w:noProof/>
              <w:lang w:eastAsia="en-GB"/>
            </w:rPr>
            <w:drawing>
              <wp:inline distT="0" distB="0" distL="0" distR="0" wp14:anchorId="30C749C5" wp14:editId="6865DEDC">
                <wp:extent cx="4572000" cy="2743200"/>
                <wp:effectExtent l="0" t="0" r="0" b="0"/>
                <wp:docPr id="6" name="Chart 6">
                  <a:extLst xmlns:a="http://schemas.openxmlformats.org/drawingml/2006/main">
                    <a:ext uri="{FF2B5EF4-FFF2-40B4-BE49-F238E27FC236}">
                      <a16:creationId xmlns:a16="http://schemas.microsoft.com/office/drawing/2014/main" id="{4F4DBA61-5CB5-48E4-814D-DB1D40889C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2A076B">
            <w:t xml:space="preserve">                                        </w:t>
          </w:r>
        </w:p>
        <w:p w14:paraId="5C7E5288" w14:textId="55EBDE23" w:rsidR="00316A65" w:rsidRPr="00A5631F" w:rsidRDefault="008A16FD" w:rsidP="00A5631F">
          <w:pPr>
            <w:spacing w:line="360" w:lineRule="auto"/>
            <w:jc w:val="both"/>
            <w:rPr>
              <w:rFonts w:ascii="Arial" w:hAnsi="Arial" w:cs="Arial"/>
              <w:sz w:val="24"/>
              <w:szCs w:val="24"/>
            </w:rPr>
          </w:pPr>
          <w:r w:rsidRPr="00A5631F">
            <w:rPr>
              <w:rFonts w:ascii="Arial" w:hAnsi="Arial" w:cs="Arial"/>
              <w:sz w:val="24"/>
              <w:szCs w:val="24"/>
            </w:rPr>
            <w:t xml:space="preserve">                                       3- Graphic of Gross Profit </w:t>
          </w:r>
        </w:p>
        <w:p w14:paraId="0DD7DA7A" w14:textId="2CE54301" w:rsidR="002A076B" w:rsidRDefault="002A076B" w:rsidP="007D1947"/>
        <w:p w14:paraId="7248382E" w14:textId="57A02D1A" w:rsidR="002A076B" w:rsidRDefault="002A076B" w:rsidP="007D1947"/>
        <w:p w14:paraId="36EF29F8" w14:textId="1029DBAC" w:rsidR="002A076B" w:rsidRDefault="002A076B" w:rsidP="007D1947"/>
        <w:p w14:paraId="30DD2163" w14:textId="2E56ACE1" w:rsidR="002A076B" w:rsidRDefault="002A076B" w:rsidP="007D1947"/>
        <w:p w14:paraId="4E330C61" w14:textId="77777777" w:rsidR="002A076B" w:rsidRDefault="002A076B" w:rsidP="007D1947"/>
        <w:p w14:paraId="77327612" w14:textId="77777777" w:rsidR="00316A65" w:rsidRDefault="00316A65" w:rsidP="007D1947"/>
        <w:p w14:paraId="2325BBE1" w14:textId="77777777" w:rsidR="00316A65" w:rsidRDefault="00316A65" w:rsidP="007D1947"/>
        <w:p w14:paraId="3662D309" w14:textId="77777777" w:rsidR="00316A65" w:rsidRDefault="00316A65" w:rsidP="007D1947"/>
        <w:p w14:paraId="18D28DD4" w14:textId="4749EA82" w:rsidR="00316A65" w:rsidRDefault="00316A65" w:rsidP="007D1947"/>
        <w:p w14:paraId="79B65FAE" w14:textId="65930609" w:rsidR="00862DF1" w:rsidRPr="00A5631F" w:rsidRDefault="009E2464" w:rsidP="00A5631F">
          <w:pPr>
            <w:spacing w:line="360" w:lineRule="auto"/>
            <w:jc w:val="both"/>
            <w:rPr>
              <w:rFonts w:ascii="Arial" w:hAnsi="Arial" w:cs="Arial"/>
              <w:sz w:val="24"/>
              <w:szCs w:val="24"/>
            </w:rPr>
          </w:pPr>
          <w:r w:rsidRPr="00A5631F">
            <w:rPr>
              <w:rFonts w:ascii="Arial" w:hAnsi="Arial" w:cs="Arial"/>
              <w:sz w:val="24"/>
              <w:szCs w:val="24"/>
            </w:rPr>
            <w:t xml:space="preserve">In operating expenses is not surprising to </w:t>
          </w:r>
          <w:r w:rsidR="002344BD" w:rsidRPr="00A5631F">
            <w:rPr>
              <w:rFonts w:ascii="Arial" w:hAnsi="Arial" w:cs="Arial"/>
              <w:sz w:val="24"/>
              <w:szCs w:val="24"/>
            </w:rPr>
            <w:t>see</w:t>
          </w:r>
          <w:r w:rsidRPr="00A5631F">
            <w:rPr>
              <w:rFonts w:ascii="Arial" w:hAnsi="Arial" w:cs="Arial"/>
              <w:sz w:val="24"/>
              <w:szCs w:val="24"/>
            </w:rPr>
            <w:t xml:space="preserve"> a </w:t>
          </w:r>
          <w:r w:rsidR="001863D4" w:rsidRPr="00A5631F">
            <w:rPr>
              <w:rFonts w:ascii="Arial" w:hAnsi="Arial" w:cs="Arial"/>
              <w:sz w:val="24"/>
              <w:szCs w:val="24"/>
            </w:rPr>
            <w:t>decrease,</w:t>
          </w:r>
          <w:r w:rsidRPr="00A5631F">
            <w:rPr>
              <w:rFonts w:ascii="Arial" w:hAnsi="Arial" w:cs="Arial"/>
              <w:sz w:val="24"/>
              <w:szCs w:val="24"/>
            </w:rPr>
            <w:t xml:space="preserve"> due to decrease in sales as </w:t>
          </w:r>
          <w:r w:rsidR="001863D4" w:rsidRPr="00A5631F">
            <w:rPr>
              <w:rFonts w:ascii="Arial" w:hAnsi="Arial" w:cs="Arial"/>
              <w:sz w:val="24"/>
              <w:szCs w:val="24"/>
            </w:rPr>
            <w:t>well,</w:t>
          </w:r>
          <w:r w:rsidRPr="00A5631F">
            <w:rPr>
              <w:rFonts w:ascii="Arial" w:hAnsi="Arial" w:cs="Arial"/>
              <w:sz w:val="24"/>
              <w:szCs w:val="24"/>
            </w:rPr>
            <w:t xml:space="preserve"> normally we would expect our operating expenses to </w:t>
          </w:r>
          <w:r w:rsidR="001863D4" w:rsidRPr="00A5631F">
            <w:rPr>
              <w:rFonts w:ascii="Arial" w:hAnsi="Arial" w:cs="Arial"/>
              <w:sz w:val="24"/>
              <w:szCs w:val="24"/>
            </w:rPr>
            <w:t>increase,</w:t>
          </w:r>
          <w:r w:rsidRPr="00A5631F">
            <w:rPr>
              <w:rFonts w:ascii="Arial" w:hAnsi="Arial" w:cs="Arial"/>
              <w:sz w:val="24"/>
              <w:szCs w:val="24"/>
            </w:rPr>
            <w:t xml:space="preserve"> however the percentage show as </w:t>
          </w:r>
          <w:r w:rsidR="001863D4" w:rsidRPr="00A5631F">
            <w:rPr>
              <w:rFonts w:ascii="Arial" w:hAnsi="Arial" w:cs="Arial"/>
              <w:sz w:val="24"/>
              <w:szCs w:val="24"/>
            </w:rPr>
            <w:t>more,</w:t>
          </w:r>
          <w:r w:rsidRPr="00A5631F">
            <w:rPr>
              <w:rFonts w:ascii="Arial" w:hAnsi="Arial" w:cs="Arial"/>
              <w:sz w:val="24"/>
              <w:szCs w:val="24"/>
            </w:rPr>
            <w:t xml:space="preserve"> only decrease by -18</w:t>
          </w:r>
          <w:r w:rsidR="001863D4" w:rsidRPr="00A5631F">
            <w:rPr>
              <w:rFonts w:ascii="Arial" w:hAnsi="Arial" w:cs="Arial"/>
              <w:sz w:val="24"/>
              <w:szCs w:val="24"/>
            </w:rPr>
            <w:t>%,</w:t>
          </w:r>
          <w:r w:rsidRPr="00A5631F">
            <w:rPr>
              <w:rFonts w:ascii="Arial" w:hAnsi="Arial" w:cs="Arial"/>
              <w:sz w:val="24"/>
              <w:szCs w:val="24"/>
            </w:rPr>
            <w:t xml:space="preserve"> this is Good because the decrease is less </w:t>
          </w:r>
          <w:r w:rsidR="002344BD" w:rsidRPr="00A5631F">
            <w:rPr>
              <w:rFonts w:ascii="Arial" w:hAnsi="Arial" w:cs="Arial"/>
              <w:sz w:val="24"/>
              <w:szCs w:val="24"/>
            </w:rPr>
            <w:t>than</w:t>
          </w:r>
          <w:r w:rsidRPr="00A5631F">
            <w:rPr>
              <w:rFonts w:ascii="Arial" w:hAnsi="Arial" w:cs="Arial"/>
              <w:sz w:val="24"/>
              <w:szCs w:val="24"/>
            </w:rPr>
            <w:t xml:space="preserve"> in sales, this show that Hilton reduce the cost by 37% operating the business, however reducing the costs to operate our organisation will leave more profit for other expenses and profit. A </w:t>
          </w:r>
          <w:r w:rsidR="002777BB" w:rsidRPr="00A5631F">
            <w:rPr>
              <w:rFonts w:ascii="Arial" w:hAnsi="Arial" w:cs="Arial"/>
              <w:sz w:val="24"/>
              <w:szCs w:val="24"/>
            </w:rPr>
            <w:t>further</w:t>
          </w:r>
          <w:r w:rsidRPr="00A5631F">
            <w:rPr>
              <w:rFonts w:ascii="Arial" w:hAnsi="Arial" w:cs="Arial"/>
              <w:sz w:val="24"/>
              <w:szCs w:val="24"/>
            </w:rPr>
            <w:t xml:space="preserve"> analyse show that operating expenses have consume more </w:t>
          </w:r>
          <w:r w:rsidR="002777BB" w:rsidRPr="00A5631F">
            <w:rPr>
              <w:rFonts w:ascii="Arial" w:hAnsi="Arial" w:cs="Arial"/>
              <w:sz w:val="24"/>
              <w:szCs w:val="24"/>
            </w:rPr>
            <w:t>than</w:t>
          </w:r>
          <w:r w:rsidRPr="00A5631F">
            <w:rPr>
              <w:rFonts w:ascii="Arial" w:hAnsi="Arial" w:cs="Arial"/>
              <w:sz w:val="24"/>
              <w:szCs w:val="24"/>
            </w:rPr>
            <w:t xml:space="preserve"> the gross </w:t>
          </w:r>
          <w:r w:rsidR="002777BB" w:rsidRPr="00A5631F">
            <w:rPr>
              <w:rFonts w:ascii="Arial" w:hAnsi="Arial" w:cs="Arial"/>
              <w:sz w:val="24"/>
              <w:szCs w:val="24"/>
            </w:rPr>
            <w:t>profit,</w:t>
          </w:r>
          <w:r w:rsidRPr="00A5631F">
            <w:rPr>
              <w:rFonts w:ascii="Arial" w:hAnsi="Arial" w:cs="Arial"/>
              <w:sz w:val="24"/>
              <w:szCs w:val="24"/>
            </w:rPr>
            <w:t xml:space="preserve"> means Hilton is good at managing the cost </w:t>
          </w:r>
          <w:r w:rsidR="002777BB" w:rsidRPr="00A5631F">
            <w:rPr>
              <w:rFonts w:ascii="Arial" w:hAnsi="Arial" w:cs="Arial"/>
              <w:sz w:val="24"/>
              <w:szCs w:val="24"/>
            </w:rPr>
            <w:t xml:space="preserve">they still spend more in operating expenses, means less profit for 2020, and have a negative impact in profit. Although Hilton should celebrate the lower operating expenses, regards to </w:t>
          </w:r>
          <w:r w:rsidR="002578A1" w:rsidRPr="00A5631F">
            <w:rPr>
              <w:rFonts w:ascii="Arial" w:hAnsi="Arial" w:cs="Arial"/>
              <w:sz w:val="24"/>
              <w:szCs w:val="24"/>
            </w:rPr>
            <w:t>sales,</w:t>
          </w:r>
          <w:r w:rsidR="002777BB" w:rsidRPr="00A5631F">
            <w:rPr>
              <w:rFonts w:ascii="Arial" w:hAnsi="Arial" w:cs="Arial"/>
              <w:sz w:val="24"/>
              <w:szCs w:val="24"/>
            </w:rPr>
            <w:t xml:space="preserve"> the people in charge of this department should be reward for reducing costs.</w:t>
          </w:r>
          <w:r w:rsidR="002578A1" w:rsidRPr="00A5631F">
            <w:rPr>
              <w:rFonts w:ascii="Arial" w:hAnsi="Arial" w:cs="Arial"/>
              <w:sz w:val="24"/>
              <w:szCs w:val="24"/>
            </w:rPr>
            <w:t xml:space="preserve"> </w:t>
          </w:r>
          <w:r w:rsidR="00A92609" w:rsidRPr="00A5631F">
            <w:rPr>
              <w:rFonts w:ascii="Arial" w:hAnsi="Arial" w:cs="Arial"/>
              <w:sz w:val="24"/>
              <w:szCs w:val="24"/>
            </w:rPr>
            <w:t>However,</w:t>
          </w:r>
          <w:r w:rsidR="002578A1" w:rsidRPr="00A5631F">
            <w:rPr>
              <w:rFonts w:ascii="Arial" w:hAnsi="Arial" w:cs="Arial"/>
              <w:sz w:val="24"/>
              <w:szCs w:val="24"/>
            </w:rPr>
            <w:t xml:space="preserve"> is not a great result we know that the savings was not enough to compensate, for the lower gross profit, and why the gross profit is lower because of less sales -55%, and this will have a negative impact in the Hilton. </w:t>
          </w:r>
        </w:p>
        <w:p w14:paraId="4E278209" w14:textId="77777777" w:rsidR="00862DF1" w:rsidRDefault="00862DF1" w:rsidP="007D1947"/>
        <w:p w14:paraId="35E8A74D" w14:textId="77777777" w:rsidR="00316A65" w:rsidRDefault="00316A65" w:rsidP="007D1947"/>
        <w:p w14:paraId="3FDB8851" w14:textId="54320DB5" w:rsidR="00316A65" w:rsidRDefault="00862DF1" w:rsidP="007D1947">
          <w:r>
            <w:rPr>
              <w:noProof/>
              <w:lang w:eastAsia="en-GB"/>
            </w:rPr>
            <w:drawing>
              <wp:inline distT="0" distB="0" distL="0" distR="0" wp14:anchorId="1F44BFC8" wp14:editId="2B7E2C21">
                <wp:extent cx="4572000" cy="2743200"/>
                <wp:effectExtent l="0" t="0" r="0" b="0"/>
                <wp:docPr id="7" name="Chart 7">
                  <a:extLst xmlns:a="http://schemas.openxmlformats.org/drawingml/2006/main">
                    <a:ext uri="{FF2B5EF4-FFF2-40B4-BE49-F238E27FC236}">
                      <a16:creationId xmlns:a16="http://schemas.microsoft.com/office/drawing/2014/main" id="{93F5FD71-9086-4B32-B4A0-FAD07C84F7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49BF49C" w14:textId="6A2A89CA" w:rsidR="00316A65" w:rsidRPr="00A5631F" w:rsidRDefault="002578A1" w:rsidP="00A5631F">
          <w:pPr>
            <w:spacing w:line="360" w:lineRule="auto"/>
            <w:jc w:val="both"/>
            <w:rPr>
              <w:rFonts w:ascii="Arial" w:hAnsi="Arial" w:cs="Arial"/>
              <w:sz w:val="24"/>
              <w:szCs w:val="24"/>
            </w:rPr>
          </w:pPr>
          <w:r w:rsidRPr="00A5631F">
            <w:rPr>
              <w:rFonts w:ascii="Arial" w:hAnsi="Arial" w:cs="Arial"/>
              <w:sz w:val="24"/>
              <w:szCs w:val="24"/>
            </w:rPr>
            <w:t xml:space="preserve">                                         4- Graphic of operating Expenses </w:t>
          </w:r>
        </w:p>
        <w:p w14:paraId="7CF4FD05" w14:textId="5D9BA592" w:rsidR="002578A1" w:rsidRDefault="002578A1" w:rsidP="007D1947"/>
        <w:p w14:paraId="372BBC83" w14:textId="23EBCBB4" w:rsidR="002578A1" w:rsidRDefault="002578A1" w:rsidP="007D1947"/>
        <w:p w14:paraId="27F27143" w14:textId="77777777" w:rsidR="002578A1" w:rsidRDefault="002578A1" w:rsidP="007D1947"/>
        <w:p w14:paraId="00D13016" w14:textId="77777777" w:rsidR="00C35B44" w:rsidRDefault="00C35B44" w:rsidP="007D1947"/>
        <w:p w14:paraId="35011A0F" w14:textId="77777777" w:rsidR="00C35B44" w:rsidRDefault="00C35B44" w:rsidP="007D1947"/>
        <w:p w14:paraId="021CDEC4" w14:textId="77777777" w:rsidR="00C35B44" w:rsidRDefault="00C35B44" w:rsidP="007D1947"/>
        <w:p w14:paraId="50DA11D6" w14:textId="77777777" w:rsidR="00C35B44" w:rsidRDefault="00C35B44" w:rsidP="007D1947"/>
        <w:p w14:paraId="4E0C7E72" w14:textId="77777777" w:rsidR="00C35B44" w:rsidRDefault="00C35B44" w:rsidP="007D1947"/>
        <w:p w14:paraId="6C4A8D7E" w14:textId="77777777" w:rsidR="00C35B44" w:rsidRDefault="00C35B44" w:rsidP="007D1947"/>
        <w:p w14:paraId="57D7B210" w14:textId="780890E5" w:rsidR="00070245" w:rsidRPr="00A5631F" w:rsidRDefault="00070245" w:rsidP="00A5631F">
          <w:pPr>
            <w:spacing w:line="360" w:lineRule="auto"/>
            <w:jc w:val="both"/>
            <w:rPr>
              <w:rFonts w:ascii="Arial" w:hAnsi="Arial" w:cs="Arial"/>
              <w:sz w:val="24"/>
              <w:szCs w:val="24"/>
            </w:rPr>
          </w:pPr>
          <w:r w:rsidRPr="00A5631F">
            <w:rPr>
              <w:rFonts w:ascii="Arial" w:hAnsi="Arial" w:cs="Arial"/>
              <w:sz w:val="24"/>
              <w:szCs w:val="24"/>
            </w:rPr>
            <w:t xml:space="preserve">Analysing the interest expenses, we see that increase by $15,000, or 4%, which is bad, this means either Hilton had to borrow more money from </w:t>
          </w:r>
          <w:r w:rsidR="001863D4" w:rsidRPr="00A5631F">
            <w:rPr>
              <w:rFonts w:ascii="Arial" w:hAnsi="Arial" w:cs="Arial"/>
              <w:sz w:val="24"/>
              <w:szCs w:val="24"/>
            </w:rPr>
            <w:t>creditors (</w:t>
          </w:r>
          <w:r w:rsidRPr="00A5631F">
            <w:rPr>
              <w:rFonts w:ascii="Arial" w:hAnsi="Arial" w:cs="Arial"/>
              <w:sz w:val="24"/>
              <w:szCs w:val="24"/>
            </w:rPr>
            <w:t>bank</w:t>
          </w:r>
          <w:r w:rsidR="00920BE0" w:rsidRPr="00A5631F">
            <w:rPr>
              <w:rFonts w:ascii="Arial" w:hAnsi="Arial" w:cs="Arial"/>
              <w:sz w:val="24"/>
              <w:szCs w:val="24"/>
            </w:rPr>
            <w:t>),</w:t>
          </w:r>
          <w:r w:rsidRPr="00A5631F">
            <w:rPr>
              <w:rFonts w:ascii="Arial" w:hAnsi="Arial" w:cs="Arial"/>
              <w:sz w:val="24"/>
              <w:szCs w:val="24"/>
            </w:rPr>
            <w:t xml:space="preserve"> or their interest rate went </w:t>
          </w:r>
          <w:r w:rsidR="00C35B44" w:rsidRPr="00A5631F">
            <w:rPr>
              <w:rFonts w:ascii="Arial" w:hAnsi="Arial" w:cs="Arial"/>
              <w:sz w:val="24"/>
              <w:szCs w:val="24"/>
            </w:rPr>
            <w:t>up.</w:t>
          </w:r>
          <w:r w:rsidRPr="00A5631F">
            <w:rPr>
              <w:rFonts w:ascii="Arial" w:hAnsi="Arial" w:cs="Arial"/>
              <w:sz w:val="24"/>
              <w:szCs w:val="24"/>
            </w:rPr>
            <w:t xml:space="preserve"> This is </w:t>
          </w:r>
          <w:r w:rsidR="001863D4" w:rsidRPr="00A5631F">
            <w:rPr>
              <w:rFonts w:ascii="Arial" w:hAnsi="Arial" w:cs="Arial"/>
              <w:sz w:val="24"/>
              <w:szCs w:val="24"/>
            </w:rPr>
            <w:t>bad</w:t>
          </w:r>
          <w:r w:rsidRPr="00A5631F">
            <w:rPr>
              <w:rFonts w:ascii="Arial" w:hAnsi="Arial" w:cs="Arial"/>
              <w:sz w:val="24"/>
              <w:szCs w:val="24"/>
            </w:rPr>
            <w:t xml:space="preserve">, reduce profit available for growth and expansions, and less money to pay to the </w:t>
          </w:r>
          <w:r w:rsidR="001863D4" w:rsidRPr="00A5631F">
            <w:rPr>
              <w:rFonts w:ascii="Arial" w:hAnsi="Arial" w:cs="Arial"/>
              <w:sz w:val="24"/>
              <w:szCs w:val="24"/>
            </w:rPr>
            <w:t>owners (</w:t>
          </w:r>
          <w:r w:rsidRPr="00A5631F">
            <w:rPr>
              <w:rFonts w:ascii="Arial" w:hAnsi="Arial" w:cs="Arial"/>
              <w:sz w:val="24"/>
              <w:szCs w:val="24"/>
            </w:rPr>
            <w:t xml:space="preserve">dividends). </w:t>
          </w:r>
        </w:p>
        <w:p w14:paraId="16C6EBF5" w14:textId="77777777" w:rsidR="00070245" w:rsidRDefault="00070245" w:rsidP="007D1947"/>
        <w:p w14:paraId="1E03CCB9" w14:textId="70C9E6BE" w:rsidR="00316A65" w:rsidRDefault="00A92609" w:rsidP="007D1947">
          <w:r>
            <w:rPr>
              <w:noProof/>
              <w:lang w:eastAsia="en-GB"/>
            </w:rPr>
            <w:drawing>
              <wp:inline distT="0" distB="0" distL="0" distR="0" wp14:anchorId="0CA5FC5D" wp14:editId="56CF40A5">
                <wp:extent cx="4572000" cy="2743200"/>
                <wp:effectExtent l="0" t="0" r="0" b="0"/>
                <wp:docPr id="8" name="Chart 8">
                  <a:extLst xmlns:a="http://schemas.openxmlformats.org/drawingml/2006/main">
                    <a:ext uri="{FF2B5EF4-FFF2-40B4-BE49-F238E27FC236}">
                      <a16:creationId xmlns:a16="http://schemas.microsoft.com/office/drawing/2014/main" id="{156A3750-6DEF-4CCF-ACC5-F3A355CFB6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AF13933" w14:textId="186662CD" w:rsidR="00316A65" w:rsidRPr="00A5631F" w:rsidRDefault="00A92609" w:rsidP="00A5631F">
          <w:pPr>
            <w:spacing w:line="360" w:lineRule="auto"/>
            <w:jc w:val="both"/>
            <w:rPr>
              <w:rFonts w:ascii="Arial" w:hAnsi="Arial" w:cs="Arial"/>
              <w:sz w:val="24"/>
              <w:szCs w:val="24"/>
            </w:rPr>
          </w:pPr>
          <w:r w:rsidRPr="00A5631F">
            <w:rPr>
              <w:rFonts w:ascii="Arial" w:hAnsi="Arial" w:cs="Arial"/>
              <w:sz w:val="24"/>
              <w:szCs w:val="24"/>
            </w:rPr>
            <w:t xml:space="preserve">                                      5- Graphic for interest expenses </w:t>
          </w:r>
        </w:p>
        <w:p w14:paraId="5922FF7A" w14:textId="19BC0CAB" w:rsidR="00A92609" w:rsidRDefault="00A92609" w:rsidP="007D1947"/>
        <w:p w14:paraId="5E3EB810" w14:textId="272823A4" w:rsidR="00E56149" w:rsidRDefault="00E56149" w:rsidP="007D1947"/>
        <w:p w14:paraId="49EC1EA6" w14:textId="02609881" w:rsidR="00E56149" w:rsidRDefault="00E56149" w:rsidP="007D1947"/>
        <w:p w14:paraId="20AA2D02" w14:textId="77777777" w:rsidR="00C35B44" w:rsidRDefault="00C35B44" w:rsidP="00C35B44"/>
        <w:p w14:paraId="41B844FD" w14:textId="77777777" w:rsidR="00C35B44" w:rsidRDefault="00C35B44" w:rsidP="00C35B44"/>
        <w:p w14:paraId="676A9B87" w14:textId="77777777" w:rsidR="00C35B44" w:rsidRDefault="00C35B44" w:rsidP="00C35B44"/>
        <w:p w14:paraId="70E8063D" w14:textId="77777777" w:rsidR="00C35B44" w:rsidRDefault="00C35B44" w:rsidP="00C35B44"/>
        <w:p w14:paraId="2491F424" w14:textId="77777777" w:rsidR="00C35B44" w:rsidRDefault="00C35B44" w:rsidP="00C35B44"/>
        <w:p w14:paraId="292E89A4" w14:textId="77777777" w:rsidR="00C35B44" w:rsidRDefault="00C35B44" w:rsidP="00C35B44"/>
        <w:p w14:paraId="6A8147D9" w14:textId="77777777" w:rsidR="00C35B44" w:rsidRDefault="00C35B44" w:rsidP="00C35B44"/>
        <w:p w14:paraId="42532835" w14:textId="77777777" w:rsidR="00C35B44" w:rsidRDefault="00C35B44" w:rsidP="00C35B44"/>
        <w:p w14:paraId="55312CCF" w14:textId="77777777" w:rsidR="00C35B44" w:rsidRPr="00A5631F" w:rsidRDefault="00C35B44" w:rsidP="00A5631F">
          <w:pPr>
            <w:spacing w:line="360" w:lineRule="auto"/>
            <w:jc w:val="both"/>
            <w:rPr>
              <w:rFonts w:ascii="Arial" w:hAnsi="Arial" w:cs="Arial"/>
              <w:sz w:val="24"/>
              <w:szCs w:val="24"/>
            </w:rPr>
          </w:pPr>
        </w:p>
        <w:p w14:paraId="5DA28C8C" w14:textId="11153514" w:rsidR="00C35B44" w:rsidRPr="00A5631F" w:rsidRDefault="00DB3A32" w:rsidP="00A5631F">
          <w:pPr>
            <w:spacing w:line="360" w:lineRule="auto"/>
            <w:jc w:val="both"/>
            <w:rPr>
              <w:rFonts w:ascii="Arial" w:hAnsi="Arial" w:cs="Arial"/>
              <w:sz w:val="24"/>
              <w:szCs w:val="24"/>
            </w:rPr>
          </w:pPr>
          <w:r w:rsidRPr="00A5631F">
            <w:rPr>
              <w:rFonts w:ascii="Arial" w:hAnsi="Arial" w:cs="Arial"/>
              <w:sz w:val="24"/>
              <w:szCs w:val="24"/>
            </w:rPr>
            <w:t xml:space="preserve">Profit before income tax decreased by -$2,168,000 or -174%, this is not </w:t>
          </w:r>
          <w:r w:rsidR="00C35B44" w:rsidRPr="00A5631F">
            <w:rPr>
              <w:rFonts w:ascii="Arial" w:hAnsi="Arial" w:cs="Arial"/>
              <w:sz w:val="24"/>
              <w:szCs w:val="24"/>
            </w:rPr>
            <w:t>surprising,</w:t>
          </w:r>
          <w:r w:rsidRPr="00A5631F">
            <w:rPr>
              <w:rFonts w:ascii="Arial" w:hAnsi="Arial" w:cs="Arial"/>
              <w:sz w:val="24"/>
              <w:szCs w:val="24"/>
            </w:rPr>
            <w:t xml:space="preserve"> although sales only fall by -55%, and Hilton had less decrease in operating expenses of -18%, and the interest expenses raised by 4%, the cost of goods sold </w:t>
          </w:r>
          <w:r w:rsidR="00920BE0">
            <w:rPr>
              <w:rFonts w:ascii="Arial" w:hAnsi="Arial" w:cs="Arial"/>
              <w:sz w:val="24"/>
              <w:szCs w:val="24"/>
            </w:rPr>
            <w:t>h</w:t>
          </w:r>
          <w:r w:rsidRPr="00A5631F">
            <w:rPr>
              <w:rFonts w:ascii="Arial" w:hAnsi="Arial" w:cs="Arial"/>
              <w:sz w:val="24"/>
              <w:szCs w:val="24"/>
            </w:rPr>
            <w:t>a</w:t>
          </w:r>
          <w:r w:rsidR="00920BE0">
            <w:rPr>
              <w:rFonts w:ascii="Arial" w:hAnsi="Arial" w:cs="Arial"/>
              <w:sz w:val="24"/>
              <w:szCs w:val="24"/>
            </w:rPr>
            <w:t>d a</w:t>
          </w:r>
          <w:r w:rsidRPr="00A5631F">
            <w:rPr>
              <w:rFonts w:ascii="Arial" w:hAnsi="Arial" w:cs="Arial"/>
              <w:sz w:val="24"/>
              <w:szCs w:val="24"/>
            </w:rPr>
            <w:t xml:space="preserve"> decrease of -47%, the result of fall by -174% is 100% due to all departments being </w:t>
          </w:r>
          <w:r w:rsidR="00C35B44" w:rsidRPr="00A5631F">
            <w:rPr>
              <w:rFonts w:ascii="Arial" w:hAnsi="Arial" w:cs="Arial"/>
              <w:sz w:val="24"/>
              <w:szCs w:val="24"/>
            </w:rPr>
            <w:t>decreasing,</w:t>
          </w:r>
          <w:r w:rsidRPr="00A5631F">
            <w:rPr>
              <w:rFonts w:ascii="Arial" w:hAnsi="Arial" w:cs="Arial"/>
              <w:sz w:val="24"/>
              <w:szCs w:val="24"/>
            </w:rPr>
            <w:t xml:space="preserve"> and this </w:t>
          </w:r>
          <w:r w:rsidR="00802468" w:rsidRPr="00A5631F">
            <w:rPr>
              <w:rFonts w:ascii="Arial" w:hAnsi="Arial" w:cs="Arial"/>
              <w:sz w:val="24"/>
              <w:szCs w:val="24"/>
            </w:rPr>
            <w:t>negatively affected</w:t>
          </w:r>
          <w:r w:rsidRPr="00A5631F">
            <w:rPr>
              <w:rFonts w:ascii="Arial" w:hAnsi="Arial" w:cs="Arial"/>
              <w:sz w:val="24"/>
              <w:szCs w:val="24"/>
            </w:rPr>
            <w:t xml:space="preserve"> </w:t>
          </w:r>
          <w:r w:rsidR="00C35B44" w:rsidRPr="00A5631F">
            <w:rPr>
              <w:rFonts w:ascii="Arial" w:hAnsi="Arial" w:cs="Arial"/>
              <w:sz w:val="24"/>
              <w:szCs w:val="24"/>
            </w:rPr>
            <w:t>the profit before income tax.</w:t>
          </w:r>
        </w:p>
        <w:p w14:paraId="772A6615" w14:textId="77777777" w:rsidR="00C35B44" w:rsidRDefault="00C35B44" w:rsidP="00C35B44"/>
        <w:p w14:paraId="4C42EE29" w14:textId="77777777" w:rsidR="00C35B44" w:rsidRDefault="00C35B44" w:rsidP="00C35B44"/>
        <w:p w14:paraId="3F6EB839" w14:textId="63598205" w:rsidR="00A92609" w:rsidRDefault="00C35B44" w:rsidP="00C35B44">
          <w:r>
            <w:t xml:space="preserve">             </w:t>
          </w:r>
          <w:r w:rsidR="000A089D">
            <w:rPr>
              <w:noProof/>
              <w:lang w:eastAsia="en-GB"/>
            </w:rPr>
            <w:drawing>
              <wp:inline distT="0" distB="0" distL="0" distR="0" wp14:anchorId="6F06B8EA" wp14:editId="6FF0DC3F">
                <wp:extent cx="4572000" cy="2743200"/>
                <wp:effectExtent l="0" t="0" r="0" b="0"/>
                <wp:docPr id="2" name="Chart 2">
                  <a:extLst xmlns:a="http://schemas.openxmlformats.org/drawingml/2006/main">
                    <a:ext uri="{FF2B5EF4-FFF2-40B4-BE49-F238E27FC236}">
                      <a16:creationId xmlns:a16="http://schemas.microsoft.com/office/drawing/2014/main" id="{6E5B70FB-4466-4DFE-8FA5-8C720287A7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0A089D">
            <w:tab/>
          </w:r>
        </w:p>
        <w:p w14:paraId="71240870" w14:textId="0DB897DC" w:rsidR="00A92609" w:rsidRPr="00A5631F" w:rsidRDefault="00C35B44" w:rsidP="00A5631F">
          <w:pPr>
            <w:spacing w:line="360" w:lineRule="auto"/>
            <w:jc w:val="both"/>
            <w:rPr>
              <w:rFonts w:ascii="Arial" w:hAnsi="Arial" w:cs="Arial"/>
              <w:sz w:val="24"/>
              <w:szCs w:val="24"/>
            </w:rPr>
          </w:pPr>
          <w:r w:rsidRPr="00A5631F">
            <w:rPr>
              <w:rFonts w:ascii="Arial" w:hAnsi="Arial" w:cs="Arial"/>
              <w:sz w:val="24"/>
              <w:szCs w:val="24"/>
            </w:rPr>
            <w:t xml:space="preserve">                                             6 – Profit before income taxes </w:t>
          </w:r>
        </w:p>
        <w:p w14:paraId="434B418B" w14:textId="391E565A" w:rsidR="00A92609" w:rsidRDefault="00A92609" w:rsidP="007D1947"/>
        <w:p w14:paraId="5BE380E7" w14:textId="41D4FF53" w:rsidR="00A92609" w:rsidRDefault="00A92609" w:rsidP="007D1947"/>
        <w:p w14:paraId="2353F217" w14:textId="4EFA9476" w:rsidR="00A92609" w:rsidRDefault="00A92609" w:rsidP="007D1947"/>
        <w:p w14:paraId="7E1E63C8" w14:textId="6EE6E597" w:rsidR="00C35B44" w:rsidRDefault="00C35B44" w:rsidP="007D1947"/>
        <w:p w14:paraId="2B02CE76" w14:textId="77777777" w:rsidR="00C35B44" w:rsidRDefault="00C35B44" w:rsidP="007D1947"/>
        <w:p w14:paraId="1AE746DF" w14:textId="77777777" w:rsidR="00A92609" w:rsidRDefault="00A92609" w:rsidP="007D1947"/>
        <w:p w14:paraId="3D158B51" w14:textId="3A6ED3A8" w:rsidR="001C2EC1" w:rsidRDefault="001C2EC1" w:rsidP="007D1947"/>
        <w:p w14:paraId="77746C93" w14:textId="71F9B6FD" w:rsidR="001C2EC1" w:rsidRDefault="001C2EC1" w:rsidP="007D1947"/>
        <w:p w14:paraId="310EE12E" w14:textId="71F62FB2" w:rsidR="007E1251" w:rsidRDefault="007E1251" w:rsidP="007D1947"/>
        <w:p w14:paraId="703D42C4" w14:textId="77777777" w:rsidR="00A171A3" w:rsidRDefault="00A171A3" w:rsidP="007D1947"/>
        <w:p w14:paraId="591217AF" w14:textId="77777777" w:rsidR="00A171A3" w:rsidRDefault="00A171A3" w:rsidP="007D1947"/>
        <w:p w14:paraId="380DBCE5" w14:textId="04E17BB9" w:rsidR="009E4E16" w:rsidRPr="00A5631F" w:rsidRDefault="008E3200" w:rsidP="00A5631F">
          <w:pPr>
            <w:spacing w:line="360" w:lineRule="auto"/>
            <w:jc w:val="both"/>
            <w:rPr>
              <w:rFonts w:ascii="Arial" w:hAnsi="Arial" w:cs="Arial"/>
              <w:sz w:val="24"/>
              <w:szCs w:val="24"/>
            </w:rPr>
          </w:pPr>
          <w:r w:rsidRPr="00A5631F">
            <w:rPr>
              <w:rFonts w:ascii="Arial" w:hAnsi="Arial" w:cs="Arial"/>
              <w:sz w:val="24"/>
              <w:szCs w:val="24"/>
            </w:rPr>
            <w:t xml:space="preserve">Other income/expenses had </w:t>
          </w:r>
          <w:r w:rsidR="00836C56" w:rsidRPr="00A5631F">
            <w:rPr>
              <w:rFonts w:ascii="Arial" w:hAnsi="Arial" w:cs="Arial"/>
              <w:sz w:val="24"/>
              <w:szCs w:val="24"/>
            </w:rPr>
            <w:t>an</w:t>
          </w:r>
          <w:r w:rsidRPr="00A5631F">
            <w:rPr>
              <w:rFonts w:ascii="Arial" w:hAnsi="Arial" w:cs="Arial"/>
              <w:sz w:val="24"/>
              <w:szCs w:val="24"/>
            </w:rPr>
            <w:t xml:space="preserve"> incredible decrease of -$458,000 at -559</w:t>
          </w:r>
          <w:r w:rsidR="00A171A3" w:rsidRPr="00A5631F">
            <w:rPr>
              <w:rFonts w:ascii="Arial" w:hAnsi="Arial" w:cs="Arial"/>
              <w:sz w:val="24"/>
              <w:szCs w:val="24"/>
            </w:rPr>
            <w:t>%,</w:t>
          </w:r>
          <w:r w:rsidRPr="00A5631F">
            <w:rPr>
              <w:rFonts w:ascii="Arial" w:hAnsi="Arial" w:cs="Arial"/>
              <w:sz w:val="24"/>
              <w:szCs w:val="24"/>
            </w:rPr>
            <w:t xml:space="preserve"> when calculate the income tax rate we see that Hilton had a 15% tax rate for 2019 (1,244,000/82,000), in the other hand in 2020 only 2</w:t>
          </w:r>
          <w:r w:rsidR="002344BD">
            <w:rPr>
              <w:rFonts w:ascii="Arial" w:hAnsi="Arial" w:cs="Arial"/>
              <w:sz w:val="24"/>
              <w:szCs w:val="24"/>
            </w:rPr>
            <w:t>,</w:t>
          </w:r>
          <w:r w:rsidR="002344BD" w:rsidRPr="00A5631F">
            <w:rPr>
              <w:rFonts w:ascii="Arial" w:hAnsi="Arial" w:cs="Arial"/>
              <w:sz w:val="24"/>
              <w:szCs w:val="24"/>
            </w:rPr>
            <w:t>4</w:t>
          </w:r>
          <w:r w:rsidRPr="00A5631F">
            <w:rPr>
              <w:rFonts w:ascii="Arial" w:hAnsi="Arial" w:cs="Arial"/>
              <w:sz w:val="24"/>
              <w:szCs w:val="24"/>
            </w:rPr>
            <w:t>% of tax rate in 2020(-924,000/-376,000</w:t>
          </w:r>
          <w:proofErr w:type="gramStart"/>
          <w:r w:rsidRPr="00A5631F">
            <w:rPr>
              <w:rFonts w:ascii="Arial" w:hAnsi="Arial" w:cs="Arial"/>
              <w:sz w:val="24"/>
              <w:szCs w:val="24"/>
            </w:rPr>
            <w:t>),</w:t>
          </w:r>
          <w:r w:rsidR="000158F9">
            <w:rPr>
              <w:rFonts w:ascii="Arial" w:hAnsi="Arial" w:cs="Arial"/>
              <w:sz w:val="24"/>
              <w:szCs w:val="24"/>
            </w:rPr>
            <w:t>the</w:t>
          </w:r>
          <w:proofErr w:type="gramEnd"/>
          <w:r w:rsidR="000158F9">
            <w:rPr>
              <w:rFonts w:ascii="Arial" w:hAnsi="Arial" w:cs="Arial"/>
              <w:sz w:val="24"/>
              <w:szCs w:val="24"/>
            </w:rPr>
            <w:t xml:space="preserve"> data from the source suggest that</w:t>
          </w:r>
          <w:r w:rsidRPr="00A5631F">
            <w:rPr>
              <w:rFonts w:ascii="Arial" w:hAnsi="Arial" w:cs="Arial"/>
              <w:sz w:val="24"/>
              <w:szCs w:val="24"/>
            </w:rPr>
            <w:t xml:space="preserve"> this is excellent as Hilton is paying lower taxes to the government and this will improve profitabilit</w:t>
          </w:r>
          <w:r w:rsidR="00A171A3" w:rsidRPr="00A5631F">
            <w:rPr>
              <w:rFonts w:ascii="Arial" w:hAnsi="Arial" w:cs="Arial"/>
              <w:sz w:val="24"/>
              <w:szCs w:val="24"/>
            </w:rPr>
            <w:t>y.</w:t>
          </w:r>
        </w:p>
        <w:p w14:paraId="76411F92" w14:textId="77777777" w:rsidR="00A171A3" w:rsidRDefault="00A171A3" w:rsidP="007D1947"/>
        <w:p w14:paraId="6352E02B" w14:textId="39C3908A" w:rsidR="009E4E16" w:rsidRDefault="008E3200" w:rsidP="007D1947">
          <w:r>
            <w:rPr>
              <w:noProof/>
              <w:lang w:eastAsia="en-GB"/>
            </w:rPr>
            <w:drawing>
              <wp:inline distT="0" distB="0" distL="0" distR="0" wp14:anchorId="1E8CD773" wp14:editId="1C321E09">
                <wp:extent cx="4572000" cy="2743200"/>
                <wp:effectExtent l="0" t="0" r="0" b="0"/>
                <wp:docPr id="4" name="Chart 4">
                  <a:extLst xmlns:a="http://schemas.openxmlformats.org/drawingml/2006/main">
                    <a:ext uri="{FF2B5EF4-FFF2-40B4-BE49-F238E27FC236}">
                      <a16:creationId xmlns:a16="http://schemas.microsoft.com/office/drawing/2014/main" id="{20FED070-C4B6-4426-9130-E4043AFEE3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A0AF2AA" w14:textId="2993DC35" w:rsidR="009E4E16" w:rsidRPr="00A5631F" w:rsidRDefault="00A171A3" w:rsidP="00A5631F">
          <w:pPr>
            <w:spacing w:line="360" w:lineRule="auto"/>
            <w:jc w:val="both"/>
            <w:rPr>
              <w:rFonts w:ascii="Arial" w:hAnsi="Arial" w:cs="Arial"/>
              <w:sz w:val="24"/>
              <w:szCs w:val="24"/>
            </w:rPr>
          </w:pPr>
          <w:r w:rsidRPr="00A5631F">
            <w:rPr>
              <w:rFonts w:ascii="Arial" w:hAnsi="Arial" w:cs="Arial"/>
              <w:sz w:val="24"/>
              <w:szCs w:val="24"/>
            </w:rPr>
            <w:t xml:space="preserve">                                    7- Graphic of other income/expenses </w:t>
          </w:r>
        </w:p>
        <w:p w14:paraId="47DB7288" w14:textId="438CE478" w:rsidR="00A171A3" w:rsidRDefault="00A171A3" w:rsidP="004D519C">
          <w:pPr>
            <w:pStyle w:val="Heading1"/>
          </w:pPr>
          <w:bookmarkStart w:id="4" w:name="_Toc104027183"/>
        </w:p>
        <w:p w14:paraId="0F25ACBC" w14:textId="3360534F" w:rsidR="00836C56" w:rsidRDefault="00836C56" w:rsidP="00836C56"/>
        <w:p w14:paraId="1168BB38" w14:textId="79E30BB0" w:rsidR="00836C56" w:rsidRDefault="00836C56" w:rsidP="00836C56"/>
        <w:p w14:paraId="16444F8F" w14:textId="77777777" w:rsidR="00836C56" w:rsidRPr="00836C56" w:rsidRDefault="00836C56" w:rsidP="00836C56"/>
        <w:p w14:paraId="630200CE" w14:textId="77777777" w:rsidR="00A171A3" w:rsidRDefault="00A171A3" w:rsidP="004D519C">
          <w:pPr>
            <w:pStyle w:val="Heading1"/>
          </w:pPr>
        </w:p>
        <w:p w14:paraId="336E19C4" w14:textId="55ACD4B9" w:rsidR="00A171A3" w:rsidRDefault="00A171A3" w:rsidP="004D519C">
          <w:pPr>
            <w:pStyle w:val="Heading1"/>
          </w:pPr>
        </w:p>
        <w:p w14:paraId="6269AAC0" w14:textId="4B0BB58A" w:rsidR="00836C56" w:rsidRDefault="00836C56" w:rsidP="00836C56"/>
        <w:p w14:paraId="3288F42A" w14:textId="77777777" w:rsidR="00836C56" w:rsidRPr="00836C56" w:rsidRDefault="00836C56" w:rsidP="00836C56"/>
        <w:p w14:paraId="46917604" w14:textId="12190C25" w:rsidR="002344BD" w:rsidRDefault="002344BD" w:rsidP="004D519C">
          <w:pPr>
            <w:pStyle w:val="Heading1"/>
          </w:pPr>
        </w:p>
        <w:p w14:paraId="530738E0" w14:textId="474F4185" w:rsidR="004A11F6" w:rsidRDefault="004D519C" w:rsidP="004D519C">
          <w:pPr>
            <w:pStyle w:val="Heading1"/>
          </w:pPr>
          <w:r>
            <w:t>Financial Analysis Trends</w:t>
          </w:r>
          <w:bookmarkEnd w:id="4"/>
        </w:p>
        <w:p w14:paraId="77C250A6" w14:textId="47D2FE42" w:rsidR="00A171A3" w:rsidRDefault="00A171A3" w:rsidP="00A171A3"/>
        <w:p w14:paraId="047108B1" w14:textId="7F671DA7" w:rsidR="0020009D" w:rsidRDefault="0020009D" w:rsidP="00A171A3"/>
        <w:p w14:paraId="31E98814" w14:textId="35FB3B5E" w:rsidR="0020009D" w:rsidRPr="00A5631F" w:rsidRDefault="0020009D" w:rsidP="00A5631F">
          <w:pPr>
            <w:spacing w:line="360" w:lineRule="auto"/>
            <w:jc w:val="both"/>
            <w:rPr>
              <w:rFonts w:ascii="Arial" w:hAnsi="Arial" w:cs="Arial"/>
              <w:sz w:val="24"/>
              <w:szCs w:val="24"/>
            </w:rPr>
          </w:pPr>
          <w:r w:rsidRPr="00A5631F">
            <w:rPr>
              <w:rFonts w:ascii="Arial" w:hAnsi="Arial" w:cs="Arial"/>
              <w:sz w:val="24"/>
              <w:szCs w:val="24"/>
            </w:rPr>
            <w:t xml:space="preserve">Financial Trend analysis provides dynamic picture of Hilton by showing is financial direction over a period. Index numbers are used in trend analysis to show percentage change in various financial statement items. We need to have at least 2 years for horizontal analyse, in this report we have 2019 and 2020. Using 2019 as an index </w:t>
          </w:r>
          <w:r w:rsidR="000F0AD3" w:rsidRPr="00A5631F">
            <w:rPr>
              <w:rFonts w:ascii="Arial" w:hAnsi="Arial" w:cs="Arial"/>
              <w:sz w:val="24"/>
              <w:szCs w:val="24"/>
            </w:rPr>
            <w:t>number (rate</w:t>
          </w:r>
          <w:r w:rsidR="002344BD" w:rsidRPr="00A5631F">
            <w:rPr>
              <w:rFonts w:ascii="Arial" w:hAnsi="Arial" w:cs="Arial"/>
              <w:sz w:val="24"/>
              <w:szCs w:val="24"/>
            </w:rPr>
            <w:t>) =</w:t>
          </w:r>
          <w:r w:rsidRPr="00A5631F">
            <w:rPr>
              <w:rFonts w:ascii="Arial" w:hAnsi="Arial" w:cs="Arial"/>
              <w:sz w:val="24"/>
              <w:szCs w:val="24"/>
            </w:rPr>
            <w:t xml:space="preserve"> year amount (portion)/year base </w:t>
          </w:r>
          <w:r w:rsidR="002344BD" w:rsidRPr="00A5631F">
            <w:rPr>
              <w:rFonts w:ascii="Arial" w:hAnsi="Arial" w:cs="Arial"/>
              <w:sz w:val="24"/>
              <w:szCs w:val="24"/>
            </w:rPr>
            <w:t>amount (</w:t>
          </w:r>
          <w:r w:rsidRPr="00A5631F">
            <w:rPr>
              <w:rFonts w:ascii="Arial" w:hAnsi="Arial" w:cs="Arial"/>
              <w:sz w:val="24"/>
              <w:szCs w:val="24"/>
            </w:rPr>
            <w:t>base</w:t>
          </w:r>
          <w:r w:rsidR="000F0AD3" w:rsidRPr="00A5631F">
            <w:rPr>
              <w:rFonts w:ascii="Arial" w:hAnsi="Arial" w:cs="Arial"/>
              <w:sz w:val="24"/>
              <w:szCs w:val="24"/>
            </w:rPr>
            <w:t>).</w:t>
          </w:r>
          <w:r w:rsidRPr="00A5631F">
            <w:rPr>
              <w:rFonts w:ascii="Arial" w:hAnsi="Arial" w:cs="Arial"/>
              <w:sz w:val="24"/>
              <w:szCs w:val="24"/>
            </w:rPr>
            <w:t xml:space="preserve"> </w:t>
          </w:r>
          <w:r w:rsidR="000F0AD3" w:rsidRPr="00A5631F">
            <w:rPr>
              <w:rFonts w:ascii="Arial" w:hAnsi="Arial" w:cs="Arial"/>
              <w:sz w:val="24"/>
              <w:szCs w:val="24"/>
            </w:rPr>
            <w:t>Even with 2019 and 2020, there were very bad years for the business, Hilton still maintains a good pos</w:t>
          </w:r>
          <w:r w:rsidR="002344BD">
            <w:rPr>
              <w:rFonts w:ascii="Arial" w:hAnsi="Arial" w:cs="Arial"/>
              <w:sz w:val="24"/>
              <w:szCs w:val="24"/>
            </w:rPr>
            <w:t>ition, a relatively good number.</w:t>
          </w:r>
          <w:r w:rsidR="000F0AD3" w:rsidRPr="00A5631F">
            <w:rPr>
              <w:rFonts w:ascii="Arial" w:hAnsi="Arial" w:cs="Arial"/>
              <w:sz w:val="24"/>
              <w:szCs w:val="24"/>
            </w:rPr>
            <w:t xml:space="preserve"> </w:t>
          </w:r>
          <w:r w:rsidR="002344BD" w:rsidRPr="00A5631F">
            <w:rPr>
              <w:rFonts w:ascii="Arial" w:hAnsi="Arial" w:cs="Arial"/>
              <w:sz w:val="24"/>
              <w:szCs w:val="24"/>
            </w:rPr>
            <w:t>In</w:t>
          </w:r>
          <w:r w:rsidR="002344BD">
            <w:rPr>
              <w:rFonts w:ascii="Arial" w:hAnsi="Arial" w:cs="Arial"/>
              <w:sz w:val="24"/>
              <w:szCs w:val="24"/>
            </w:rPr>
            <w:t xml:space="preserve"> 2019 had 2.194 or 219,</w:t>
          </w:r>
          <w:r w:rsidR="000F0AD3" w:rsidRPr="00A5631F">
            <w:rPr>
              <w:rFonts w:ascii="Arial" w:hAnsi="Arial" w:cs="Arial"/>
              <w:sz w:val="24"/>
              <w:szCs w:val="24"/>
            </w:rPr>
            <w:t xml:space="preserve">4% in net sales, net income had -1.232 or -123,2%, which is not </w:t>
          </w:r>
          <w:r w:rsidR="001C7BDE" w:rsidRPr="00A5631F">
            <w:rPr>
              <w:rFonts w:ascii="Arial" w:hAnsi="Arial" w:cs="Arial"/>
              <w:sz w:val="24"/>
              <w:szCs w:val="24"/>
            </w:rPr>
            <w:t>surprising,</w:t>
          </w:r>
          <w:r w:rsidR="000F0AD3" w:rsidRPr="00A5631F">
            <w:rPr>
              <w:rFonts w:ascii="Arial" w:hAnsi="Arial" w:cs="Arial"/>
              <w:sz w:val="24"/>
              <w:szCs w:val="24"/>
            </w:rPr>
            <w:t xml:space="preserve"> and Total assets had a </w:t>
          </w:r>
          <w:r w:rsidR="001C7BDE" w:rsidRPr="00A5631F">
            <w:rPr>
              <w:rFonts w:ascii="Arial" w:hAnsi="Arial" w:cs="Arial"/>
              <w:sz w:val="24"/>
              <w:szCs w:val="24"/>
            </w:rPr>
            <w:t>slight increase</w:t>
          </w:r>
          <w:r w:rsidR="000F0AD3" w:rsidRPr="00A5631F">
            <w:rPr>
              <w:rFonts w:ascii="Arial" w:hAnsi="Arial" w:cs="Arial"/>
              <w:sz w:val="24"/>
              <w:szCs w:val="24"/>
            </w:rPr>
            <w:t xml:space="preserve"> of 0,</w:t>
          </w:r>
          <w:r w:rsidR="001C7BDE" w:rsidRPr="00A5631F">
            <w:rPr>
              <w:rFonts w:ascii="Arial" w:hAnsi="Arial" w:cs="Arial"/>
              <w:sz w:val="24"/>
              <w:szCs w:val="24"/>
            </w:rPr>
            <w:t xml:space="preserve">892 or 0,89%, which is very good, under the </w:t>
          </w:r>
          <w:r w:rsidR="00836C56" w:rsidRPr="00A5631F">
            <w:rPr>
              <w:rFonts w:ascii="Arial" w:hAnsi="Arial" w:cs="Arial"/>
              <w:sz w:val="24"/>
              <w:szCs w:val="24"/>
            </w:rPr>
            <w:t>circumstances Hilton</w:t>
          </w:r>
          <w:r w:rsidR="001C7BDE" w:rsidRPr="00A5631F">
            <w:rPr>
              <w:rFonts w:ascii="Arial" w:hAnsi="Arial" w:cs="Arial"/>
              <w:sz w:val="24"/>
              <w:szCs w:val="24"/>
            </w:rPr>
            <w:t xml:space="preserve"> faced by governments around the </w:t>
          </w:r>
          <w:r w:rsidR="00836C56" w:rsidRPr="00A5631F">
            <w:rPr>
              <w:rFonts w:ascii="Arial" w:hAnsi="Arial" w:cs="Arial"/>
              <w:sz w:val="24"/>
              <w:szCs w:val="24"/>
            </w:rPr>
            <w:t>world.</w:t>
          </w:r>
          <w:r w:rsidR="001C7BDE" w:rsidRPr="00A5631F">
            <w:rPr>
              <w:rFonts w:ascii="Arial" w:hAnsi="Arial" w:cs="Arial"/>
              <w:sz w:val="24"/>
              <w:szCs w:val="24"/>
            </w:rPr>
            <w:t xml:space="preserve"> </w:t>
          </w:r>
          <w:r w:rsidR="000158F9">
            <w:rPr>
              <w:rFonts w:ascii="Arial" w:hAnsi="Arial" w:cs="Arial"/>
              <w:sz w:val="24"/>
              <w:szCs w:val="24"/>
            </w:rPr>
            <w:t xml:space="preserve">The findings suggest </w:t>
          </w:r>
          <w:proofErr w:type="gramStart"/>
          <w:r w:rsidR="000158F9">
            <w:rPr>
              <w:rFonts w:ascii="Arial" w:hAnsi="Arial" w:cs="Arial"/>
              <w:sz w:val="24"/>
              <w:szCs w:val="24"/>
            </w:rPr>
            <w:t>that,</w:t>
          </w:r>
          <w:proofErr w:type="gramEnd"/>
          <w:r w:rsidR="001C7BDE" w:rsidRPr="00A5631F">
            <w:rPr>
              <w:rFonts w:ascii="Arial" w:hAnsi="Arial" w:cs="Arial"/>
              <w:sz w:val="24"/>
              <w:szCs w:val="24"/>
            </w:rPr>
            <w:t xml:space="preserve"> Hilton still was able to maintain a good reputation in the </w:t>
          </w:r>
          <w:r w:rsidR="00836C56" w:rsidRPr="00A5631F">
            <w:rPr>
              <w:rFonts w:ascii="Arial" w:hAnsi="Arial" w:cs="Arial"/>
              <w:sz w:val="24"/>
              <w:szCs w:val="24"/>
            </w:rPr>
            <w:t>market and</w:t>
          </w:r>
          <w:r w:rsidR="001C7BDE" w:rsidRPr="00A5631F">
            <w:rPr>
              <w:rFonts w:ascii="Arial" w:hAnsi="Arial" w:cs="Arial"/>
              <w:sz w:val="24"/>
              <w:szCs w:val="24"/>
            </w:rPr>
            <w:t xml:space="preserve"> showing good signals of </w:t>
          </w:r>
          <w:r w:rsidR="00836C56" w:rsidRPr="00A5631F">
            <w:rPr>
              <w:rFonts w:ascii="Arial" w:hAnsi="Arial" w:cs="Arial"/>
              <w:sz w:val="24"/>
              <w:szCs w:val="24"/>
            </w:rPr>
            <w:t>recovery.</w:t>
          </w:r>
        </w:p>
        <w:p w14:paraId="5B370134" w14:textId="77777777" w:rsidR="0020009D" w:rsidRPr="00A171A3" w:rsidRDefault="0020009D" w:rsidP="00A171A3"/>
        <w:p w14:paraId="571DD5CC" w14:textId="77777777" w:rsidR="009C1CE2" w:rsidRDefault="009C1CE2" w:rsidP="009C1CE2"/>
        <w:p w14:paraId="2E9FC695" w14:textId="57DE659C" w:rsidR="009C1CE2" w:rsidRDefault="00802468" w:rsidP="009C1CE2">
          <w:r>
            <w:rPr>
              <w:noProof/>
              <w:lang w:eastAsia="en-GB"/>
            </w:rPr>
            <w:drawing>
              <wp:inline distT="0" distB="0" distL="0" distR="0" wp14:anchorId="09ECF0FC" wp14:editId="20A77E6A">
                <wp:extent cx="5924550" cy="3086100"/>
                <wp:effectExtent l="0" t="0" r="0" b="0"/>
                <wp:docPr id="9" name="Chart 9">
                  <a:extLst xmlns:a="http://schemas.openxmlformats.org/drawingml/2006/main">
                    <a:ext uri="{FF2B5EF4-FFF2-40B4-BE49-F238E27FC236}">
                      <a16:creationId xmlns:a16="http://schemas.microsoft.com/office/drawing/2014/main" id="{A6CD2C1A-8954-42E4-A7C6-30CFF95E77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1202C62" w14:textId="2DAF2167" w:rsidR="00836C56" w:rsidRPr="00481C9E" w:rsidRDefault="00802468" w:rsidP="00481C9E">
          <w:pPr>
            <w:spacing w:line="360" w:lineRule="auto"/>
            <w:jc w:val="both"/>
            <w:rPr>
              <w:rFonts w:ascii="Arial" w:hAnsi="Arial" w:cs="Arial"/>
              <w:sz w:val="24"/>
              <w:szCs w:val="24"/>
            </w:rPr>
          </w:pPr>
          <w:r w:rsidRPr="00A5631F">
            <w:rPr>
              <w:rFonts w:ascii="Arial" w:hAnsi="Arial" w:cs="Arial"/>
              <w:sz w:val="24"/>
              <w:szCs w:val="24"/>
            </w:rPr>
            <w:t xml:space="preserve">                                              8-Graphic of trend analysis </w:t>
          </w:r>
        </w:p>
        <w:p w14:paraId="0F4F4920" w14:textId="77777777" w:rsidR="00895950" w:rsidRPr="00895950" w:rsidRDefault="00895950" w:rsidP="00895950">
          <w:pPr>
            <w:pStyle w:val="ListParagraph"/>
            <w:rPr>
              <w:rFonts w:ascii="Calibri" w:hAnsi="Calibri"/>
              <w:sz w:val="24"/>
              <w:szCs w:val="24"/>
            </w:rPr>
          </w:pPr>
        </w:p>
        <w:p w14:paraId="6DE5888F" w14:textId="045C4B87" w:rsidR="002344BD" w:rsidRDefault="002344BD" w:rsidP="00895950">
          <w:pPr>
            <w:autoSpaceDE w:val="0"/>
            <w:autoSpaceDN w:val="0"/>
            <w:adjustRightInd w:val="0"/>
            <w:rPr>
              <w:rFonts w:ascii="Calibri" w:hAnsi="Calibri"/>
              <w:sz w:val="24"/>
              <w:szCs w:val="24"/>
            </w:rPr>
          </w:pPr>
        </w:p>
        <w:p w14:paraId="41D85024" w14:textId="05643211" w:rsidR="001C2D36" w:rsidRDefault="001C2D36" w:rsidP="00895950">
          <w:pPr>
            <w:autoSpaceDE w:val="0"/>
            <w:autoSpaceDN w:val="0"/>
            <w:adjustRightInd w:val="0"/>
            <w:rPr>
              <w:rFonts w:ascii="Calibri" w:hAnsi="Calibri"/>
              <w:sz w:val="24"/>
              <w:szCs w:val="24"/>
            </w:rPr>
          </w:pPr>
          <w:r w:rsidRPr="001C2D36">
            <w:rPr>
              <w:rFonts w:ascii="Calibri" w:hAnsi="Calibri"/>
              <w:noProof/>
              <w:sz w:val="24"/>
              <w:szCs w:val="24"/>
              <w:lang w:eastAsia="en-GB"/>
            </w:rPr>
            <w:lastRenderedPageBreak/>
            <w:drawing>
              <wp:inline distT="0" distB="0" distL="0" distR="0" wp14:anchorId="2EFA6107" wp14:editId="0E04DA27">
                <wp:extent cx="2425165" cy="2749550"/>
                <wp:effectExtent l="0" t="0" r="0" b="0"/>
                <wp:docPr id="3" name="Picture 3" descr="Chart, scatter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scatter chart, bubble chart&#10;&#10;Description automatically generated"/>
                        <pic:cNvPicPr/>
                      </pic:nvPicPr>
                      <pic:blipFill>
                        <a:blip r:embed="rId23"/>
                        <a:stretch>
                          <a:fillRect/>
                        </a:stretch>
                      </pic:blipFill>
                      <pic:spPr>
                        <a:xfrm>
                          <a:off x="0" y="0"/>
                          <a:ext cx="2430545" cy="2755650"/>
                        </a:xfrm>
                        <a:prstGeom prst="rect">
                          <a:avLst/>
                        </a:prstGeom>
                      </pic:spPr>
                    </pic:pic>
                  </a:graphicData>
                </a:graphic>
              </wp:inline>
            </w:drawing>
          </w:r>
          <w:r>
            <w:rPr>
              <w:rFonts w:ascii="Calibri" w:hAnsi="Calibri"/>
              <w:sz w:val="24"/>
              <w:szCs w:val="24"/>
            </w:rPr>
            <w:t xml:space="preserve">             </w:t>
          </w:r>
          <w:r w:rsidRPr="001C2D36">
            <w:rPr>
              <w:rFonts w:ascii="Calibri" w:hAnsi="Calibri"/>
              <w:noProof/>
              <w:sz w:val="24"/>
              <w:szCs w:val="24"/>
              <w:lang w:eastAsia="en-GB"/>
            </w:rPr>
            <w:drawing>
              <wp:inline distT="0" distB="0" distL="0" distR="0" wp14:anchorId="6FE16C59" wp14:editId="467A4D6E">
                <wp:extent cx="2652220" cy="2914650"/>
                <wp:effectExtent l="0" t="0" r="0" b="0"/>
                <wp:docPr id="10" name="Picture 10"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waterfall chart&#10;&#10;Description automatically generated"/>
                        <pic:cNvPicPr/>
                      </pic:nvPicPr>
                      <pic:blipFill>
                        <a:blip r:embed="rId24"/>
                        <a:stretch>
                          <a:fillRect/>
                        </a:stretch>
                      </pic:blipFill>
                      <pic:spPr>
                        <a:xfrm>
                          <a:off x="0" y="0"/>
                          <a:ext cx="2658868" cy="2921956"/>
                        </a:xfrm>
                        <a:prstGeom prst="rect">
                          <a:avLst/>
                        </a:prstGeom>
                      </pic:spPr>
                    </pic:pic>
                  </a:graphicData>
                </a:graphic>
              </wp:inline>
            </w:drawing>
          </w:r>
        </w:p>
        <w:p w14:paraId="0B63F4DB" w14:textId="4F56DE27" w:rsidR="001C2D36" w:rsidRPr="00A5631F" w:rsidRDefault="001C2D36" w:rsidP="00A5631F">
          <w:pPr>
            <w:autoSpaceDE w:val="0"/>
            <w:autoSpaceDN w:val="0"/>
            <w:adjustRightInd w:val="0"/>
            <w:spacing w:line="360" w:lineRule="auto"/>
            <w:jc w:val="both"/>
            <w:rPr>
              <w:rFonts w:ascii="Arial" w:hAnsi="Arial" w:cs="Arial"/>
              <w:sz w:val="24"/>
              <w:szCs w:val="24"/>
            </w:rPr>
          </w:pPr>
          <w:r w:rsidRPr="00A5631F">
            <w:rPr>
              <w:rFonts w:ascii="Arial" w:hAnsi="Arial" w:cs="Arial"/>
              <w:sz w:val="24"/>
              <w:szCs w:val="24"/>
            </w:rPr>
            <w:t xml:space="preserve">                      9- Graphics representative from Yahoo (2022), for Hilton </w:t>
          </w:r>
          <w:r w:rsidR="00EF5F3E" w:rsidRPr="00A5631F">
            <w:rPr>
              <w:rFonts w:ascii="Arial" w:hAnsi="Arial" w:cs="Arial"/>
              <w:sz w:val="24"/>
              <w:szCs w:val="24"/>
            </w:rPr>
            <w:t>Hotels.</w:t>
          </w:r>
          <w:r w:rsidRPr="00A5631F">
            <w:rPr>
              <w:rFonts w:ascii="Arial" w:hAnsi="Arial" w:cs="Arial"/>
              <w:sz w:val="24"/>
              <w:szCs w:val="24"/>
            </w:rPr>
            <w:t xml:space="preserve"> </w:t>
          </w:r>
        </w:p>
        <w:p w14:paraId="077AD2D9" w14:textId="77777777" w:rsidR="001C2D36" w:rsidRPr="00A90D2A" w:rsidRDefault="001C2D36" w:rsidP="00895950">
          <w:pPr>
            <w:autoSpaceDE w:val="0"/>
            <w:autoSpaceDN w:val="0"/>
            <w:adjustRightInd w:val="0"/>
            <w:rPr>
              <w:rFonts w:ascii="Arial" w:hAnsi="Arial" w:cs="Arial"/>
              <w:sz w:val="24"/>
              <w:szCs w:val="24"/>
            </w:rPr>
          </w:pPr>
        </w:p>
        <w:p w14:paraId="79D6AAC0" w14:textId="026891AE" w:rsidR="002344BD" w:rsidRDefault="002344BD" w:rsidP="00A90D2A">
          <w:pPr>
            <w:spacing w:line="360" w:lineRule="auto"/>
            <w:jc w:val="both"/>
            <w:rPr>
              <w:rFonts w:ascii="Arial" w:hAnsi="Arial" w:cs="Arial"/>
              <w:sz w:val="24"/>
              <w:szCs w:val="24"/>
            </w:rPr>
          </w:pPr>
        </w:p>
        <w:p w14:paraId="0115699D" w14:textId="21919579" w:rsidR="002344BD" w:rsidRPr="002344BD" w:rsidRDefault="002344BD" w:rsidP="002344BD">
          <w:pPr>
            <w:pStyle w:val="ListParagraph"/>
            <w:numPr>
              <w:ilvl w:val="0"/>
              <w:numId w:val="9"/>
            </w:numPr>
            <w:autoSpaceDE w:val="0"/>
            <w:autoSpaceDN w:val="0"/>
            <w:adjustRightInd w:val="0"/>
            <w:rPr>
              <w:rFonts w:ascii="Calibri" w:hAnsi="Calibri"/>
              <w:b/>
              <w:sz w:val="24"/>
              <w:szCs w:val="24"/>
            </w:rPr>
          </w:pPr>
          <w:r w:rsidRPr="002344BD">
            <w:rPr>
              <w:rFonts w:ascii="Calibri" w:hAnsi="Calibri"/>
              <w:b/>
              <w:sz w:val="24"/>
              <w:szCs w:val="24"/>
            </w:rPr>
            <w:t>Outline the importance of using ratio analysis for decision making.</w:t>
          </w:r>
        </w:p>
        <w:p w14:paraId="280B28FE" w14:textId="0A8E43B1" w:rsidR="002344BD" w:rsidRDefault="002344BD" w:rsidP="00A90D2A">
          <w:pPr>
            <w:spacing w:line="360" w:lineRule="auto"/>
            <w:jc w:val="both"/>
            <w:rPr>
              <w:rFonts w:ascii="Arial" w:hAnsi="Arial" w:cs="Arial"/>
              <w:sz w:val="24"/>
              <w:szCs w:val="24"/>
            </w:rPr>
          </w:pPr>
        </w:p>
        <w:p w14:paraId="5D3D2F5F" w14:textId="3B618A80" w:rsidR="00895950" w:rsidRPr="00A90D2A" w:rsidRDefault="00895950" w:rsidP="00A90D2A">
          <w:pPr>
            <w:spacing w:line="360" w:lineRule="auto"/>
            <w:jc w:val="both"/>
            <w:rPr>
              <w:rFonts w:ascii="Arial" w:hAnsi="Arial" w:cs="Arial"/>
              <w:sz w:val="24"/>
              <w:szCs w:val="24"/>
            </w:rPr>
          </w:pPr>
          <w:r w:rsidRPr="00A90D2A">
            <w:rPr>
              <w:rFonts w:ascii="Arial" w:hAnsi="Arial" w:cs="Arial"/>
              <w:sz w:val="24"/>
              <w:szCs w:val="24"/>
            </w:rPr>
            <w:t xml:space="preserve">Assessing corporate performance, is </w:t>
          </w:r>
          <w:r w:rsidR="00B273B4" w:rsidRPr="00A90D2A">
            <w:rPr>
              <w:rFonts w:ascii="Arial" w:hAnsi="Arial" w:cs="Arial"/>
              <w:sz w:val="24"/>
              <w:szCs w:val="24"/>
            </w:rPr>
            <w:t xml:space="preserve">important, this knowledge will help management to determine new strategies, or to change or amend existing strategies taking in account the changing circumstances. </w:t>
          </w:r>
          <w:r w:rsidR="001863D4" w:rsidRPr="00A90D2A">
            <w:rPr>
              <w:rFonts w:ascii="Arial" w:hAnsi="Arial" w:cs="Arial"/>
              <w:sz w:val="24"/>
              <w:szCs w:val="24"/>
            </w:rPr>
            <w:t>When</w:t>
          </w:r>
          <w:r w:rsidR="00B273B4" w:rsidRPr="00A90D2A">
            <w:rPr>
              <w:rFonts w:ascii="Arial" w:hAnsi="Arial" w:cs="Arial"/>
              <w:sz w:val="24"/>
              <w:szCs w:val="24"/>
            </w:rPr>
            <w:t xml:space="preserve"> analysing ratios management is looking for how risky the business </w:t>
          </w:r>
          <w:r w:rsidR="00B0450E" w:rsidRPr="00A90D2A">
            <w:rPr>
              <w:rFonts w:ascii="Arial" w:hAnsi="Arial" w:cs="Arial"/>
              <w:sz w:val="24"/>
              <w:szCs w:val="24"/>
            </w:rPr>
            <w:t>is</w:t>
          </w:r>
          <w:r w:rsidR="00B273B4" w:rsidRPr="00A90D2A">
            <w:rPr>
              <w:rFonts w:ascii="Arial" w:hAnsi="Arial" w:cs="Arial"/>
              <w:sz w:val="24"/>
              <w:szCs w:val="24"/>
            </w:rPr>
            <w:t>, how to compare to current markets, is it earning enough to cover costs, and how well competitors are.</w:t>
          </w:r>
          <w:r w:rsidR="00B0450E" w:rsidRPr="00A90D2A">
            <w:rPr>
              <w:rFonts w:ascii="Arial" w:hAnsi="Arial" w:cs="Arial"/>
              <w:sz w:val="24"/>
              <w:szCs w:val="24"/>
            </w:rPr>
            <w:t xml:space="preserve"> Different persons in the business seek for different information in the ratio analysis </w:t>
          </w:r>
          <w:r w:rsidR="00A90D2A" w:rsidRPr="00A90D2A">
            <w:rPr>
              <w:rFonts w:ascii="Arial" w:hAnsi="Arial" w:cs="Arial"/>
              <w:sz w:val="24"/>
              <w:szCs w:val="24"/>
            </w:rPr>
            <w:t>(Ratio Analysis, 2022) Managers</w:t>
          </w:r>
          <w:r w:rsidR="00B0450E" w:rsidRPr="00A90D2A">
            <w:rPr>
              <w:rFonts w:ascii="Arial" w:hAnsi="Arial" w:cs="Arial"/>
              <w:sz w:val="24"/>
              <w:szCs w:val="24"/>
            </w:rPr>
            <w:t xml:space="preserve"> are more interested in indicator ratios, of how well the business </w:t>
          </w:r>
          <w:r w:rsidR="00703501" w:rsidRPr="00A90D2A">
            <w:rPr>
              <w:rFonts w:ascii="Arial" w:hAnsi="Arial" w:cs="Arial"/>
              <w:sz w:val="24"/>
              <w:szCs w:val="24"/>
            </w:rPr>
            <w:t>running,</w:t>
          </w:r>
          <w:r w:rsidR="00B0450E" w:rsidRPr="00A90D2A">
            <w:rPr>
              <w:rFonts w:ascii="Arial" w:hAnsi="Arial" w:cs="Arial"/>
              <w:sz w:val="24"/>
              <w:szCs w:val="24"/>
            </w:rPr>
            <w:t xml:space="preserve"> and how well is performing in relation to the competitors in the same sector. When organisations </w:t>
          </w:r>
          <w:r w:rsidR="00703501" w:rsidRPr="00A90D2A">
            <w:rPr>
              <w:rFonts w:ascii="Arial" w:hAnsi="Arial" w:cs="Arial"/>
              <w:sz w:val="24"/>
              <w:szCs w:val="24"/>
            </w:rPr>
            <w:t>must</w:t>
          </w:r>
          <w:r w:rsidR="00B0450E" w:rsidRPr="00A90D2A">
            <w:rPr>
              <w:rFonts w:ascii="Arial" w:hAnsi="Arial" w:cs="Arial"/>
              <w:sz w:val="24"/>
              <w:szCs w:val="24"/>
            </w:rPr>
            <w:t xml:space="preserve"> make decisions, numerous </w:t>
          </w:r>
          <w:r w:rsidR="00703501" w:rsidRPr="00A90D2A">
            <w:rPr>
              <w:rFonts w:ascii="Arial" w:hAnsi="Arial" w:cs="Arial"/>
              <w:sz w:val="24"/>
              <w:szCs w:val="24"/>
            </w:rPr>
            <w:t xml:space="preserve">factors will be analysed, compared and considered, managers will look and analyse competitors, markets and all economic environments. However crucial to any decision is the health of the business </w:t>
          </w:r>
          <w:r w:rsidR="009E4E12" w:rsidRPr="00A90D2A">
            <w:rPr>
              <w:rFonts w:ascii="Arial" w:hAnsi="Arial" w:cs="Arial"/>
              <w:sz w:val="24"/>
              <w:szCs w:val="24"/>
            </w:rPr>
            <w:t>itself,</w:t>
          </w:r>
          <w:r w:rsidR="00703501" w:rsidRPr="00A90D2A">
            <w:rPr>
              <w:rFonts w:ascii="Arial" w:hAnsi="Arial" w:cs="Arial"/>
              <w:sz w:val="24"/>
              <w:szCs w:val="24"/>
            </w:rPr>
            <w:t xml:space="preserve"> the </w:t>
          </w:r>
          <w:r w:rsidR="009E4E12" w:rsidRPr="00A90D2A">
            <w:rPr>
              <w:rFonts w:ascii="Arial" w:hAnsi="Arial" w:cs="Arial"/>
              <w:sz w:val="24"/>
              <w:szCs w:val="24"/>
            </w:rPr>
            <w:t>manager will</w:t>
          </w:r>
          <w:r w:rsidR="00703501" w:rsidRPr="00A90D2A">
            <w:rPr>
              <w:rFonts w:ascii="Arial" w:hAnsi="Arial" w:cs="Arial"/>
              <w:sz w:val="24"/>
              <w:szCs w:val="24"/>
            </w:rPr>
            <w:t xml:space="preserve"> need to analyse all company numbers before taking any </w:t>
          </w:r>
          <w:r w:rsidR="009E4E12" w:rsidRPr="00A90D2A">
            <w:rPr>
              <w:rFonts w:ascii="Arial" w:hAnsi="Arial" w:cs="Arial"/>
              <w:sz w:val="24"/>
              <w:szCs w:val="24"/>
            </w:rPr>
            <w:t>action,</w:t>
          </w:r>
          <w:r w:rsidR="00703501" w:rsidRPr="00A90D2A">
            <w:rPr>
              <w:rFonts w:ascii="Arial" w:hAnsi="Arial" w:cs="Arial"/>
              <w:sz w:val="24"/>
              <w:szCs w:val="24"/>
            </w:rPr>
            <w:t xml:space="preserve"> and there are some ratios that will give the business key information. </w:t>
          </w:r>
          <w:r w:rsidR="009E4E12" w:rsidRPr="00A90D2A">
            <w:rPr>
              <w:rFonts w:ascii="Arial" w:hAnsi="Arial" w:cs="Arial"/>
              <w:sz w:val="24"/>
              <w:szCs w:val="24"/>
            </w:rPr>
            <w:t xml:space="preserve">(Solman, Jones, 2017), Management and organisations should consider all the ratios available to make sure that is making </w:t>
          </w:r>
          <w:r w:rsidR="001B7C4C" w:rsidRPr="00A90D2A">
            <w:rPr>
              <w:rFonts w:ascii="Arial" w:hAnsi="Arial" w:cs="Arial"/>
              <w:sz w:val="24"/>
              <w:szCs w:val="24"/>
            </w:rPr>
            <w:t xml:space="preserve">the proper use of the current assets and that it has enough reserves to carry out any </w:t>
          </w:r>
          <w:r w:rsidR="005C4D40" w:rsidRPr="00A90D2A">
            <w:rPr>
              <w:rFonts w:ascii="Arial" w:hAnsi="Arial" w:cs="Arial"/>
              <w:sz w:val="24"/>
              <w:szCs w:val="24"/>
            </w:rPr>
            <w:t>change,</w:t>
          </w:r>
          <w:r w:rsidR="001B7C4C" w:rsidRPr="00A90D2A">
            <w:rPr>
              <w:rFonts w:ascii="Arial" w:hAnsi="Arial" w:cs="Arial"/>
              <w:sz w:val="24"/>
              <w:szCs w:val="24"/>
            </w:rPr>
            <w:t xml:space="preserve"> plans, </w:t>
          </w:r>
          <w:r w:rsidR="00947E04" w:rsidRPr="00A90D2A">
            <w:rPr>
              <w:rFonts w:ascii="Arial" w:hAnsi="Arial" w:cs="Arial"/>
              <w:sz w:val="24"/>
              <w:szCs w:val="24"/>
            </w:rPr>
            <w:t>targets,</w:t>
          </w:r>
          <w:r w:rsidR="001B7C4C" w:rsidRPr="00A90D2A">
            <w:rPr>
              <w:rFonts w:ascii="Arial" w:hAnsi="Arial" w:cs="Arial"/>
              <w:sz w:val="24"/>
              <w:szCs w:val="24"/>
            </w:rPr>
            <w:t xml:space="preserve"> etc. </w:t>
          </w:r>
        </w:p>
        <w:p w14:paraId="32BB3BCE" w14:textId="77777777" w:rsidR="00AA2A91" w:rsidRPr="00A90D2A" w:rsidRDefault="00AA2A91" w:rsidP="00A90D2A"/>
        <w:p w14:paraId="38DE1E7D" w14:textId="77777777" w:rsidR="00A90D2A" w:rsidRDefault="00A90D2A" w:rsidP="00A90D2A"/>
        <w:p w14:paraId="3F8E2534" w14:textId="1E83F741" w:rsidR="002344BD" w:rsidRPr="002344BD" w:rsidRDefault="002344BD" w:rsidP="002344BD">
          <w:pPr>
            <w:pStyle w:val="ListParagraph"/>
            <w:numPr>
              <w:ilvl w:val="0"/>
              <w:numId w:val="7"/>
            </w:numPr>
            <w:autoSpaceDE w:val="0"/>
            <w:autoSpaceDN w:val="0"/>
            <w:adjustRightInd w:val="0"/>
            <w:rPr>
              <w:rFonts w:ascii="Calibri" w:hAnsi="Calibri"/>
              <w:b/>
              <w:sz w:val="24"/>
              <w:szCs w:val="24"/>
            </w:rPr>
          </w:pPr>
          <w:r w:rsidRPr="002344BD">
            <w:rPr>
              <w:rFonts w:ascii="Calibri" w:hAnsi="Calibri"/>
              <w:b/>
              <w:sz w:val="24"/>
              <w:szCs w:val="24"/>
            </w:rPr>
            <w:t xml:space="preserve">You are to investigate the limitation of ratio analysis, including why an understanding of ratios and their fluctuations is essential for </w:t>
          </w:r>
          <w:r w:rsidR="00920BE0" w:rsidRPr="002344BD">
            <w:rPr>
              <w:rFonts w:ascii="Calibri" w:hAnsi="Calibri"/>
              <w:b/>
              <w:sz w:val="24"/>
              <w:szCs w:val="24"/>
            </w:rPr>
            <w:t>hotel</w:t>
          </w:r>
          <w:r w:rsidRPr="002344BD">
            <w:rPr>
              <w:rFonts w:ascii="Calibri" w:hAnsi="Calibri"/>
              <w:b/>
              <w:sz w:val="24"/>
              <w:szCs w:val="24"/>
            </w:rPr>
            <w:t xml:space="preserve"> management in analysing the information seen in their financial statements.</w:t>
          </w:r>
        </w:p>
        <w:p w14:paraId="2733DAB6" w14:textId="77777777" w:rsidR="00A90D2A" w:rsidRDefault="00A90D2A" w:rsidP="00A90D2A"/>
        <w:p w14:paraId="225D5D4F" w14:textId="77777777" w:rsidR="00A90D2A" w:rsidRDefault="00A90D2A" w:rsidP="00A90D2A"/>
        <w:p w14:paraId="699B83DE" w14:textId="0B5A4D8A" w:rsidR="004F61C4" w:rsidRPr="00A90D2A" w:rsidRDefault="00335DDD" w:rsidP="00A90D2A">
          <w:pPr>
            <w:spacing w:line="360" w:lineRule="auto"/>
            <w:jc w:val="both"/>
            <w:rPr>
              <w:rFonts w:ascii="Arial" w:hAnsi="Arial" w:cs="Arial"/>
              <w:sz w:val="24"/>
              <w:szCs w:val="24"/>
            </w:rPr>
          </w:pPr>
          <w:r w:rsidRPr="00A90D2A">
            <w:rPr>
              <w:rFonts w:ascii="Arial" w:hAnsi="Arial" w:cs="Arial"/>
              <w:sz w:val="24"/>
              <w:szCs w:val="24"/>
            </w:rPr>
            <w:t xml:space="preserve">Although Ratio analysis can be very useful technique, is important to realise is limitations. The </w:t>
          </w:r>
          <w:r w:rsidR="003A5B95" w:rsidRPr="00A90D2A">
            <w:rPr>
              <w:rFonts w:ascii="Arial" w:hAnsi="Arial" w:cs="Arial"/>
              <w:sz w:val="24"/>
              <w:szCs w:val="24"/>
            </w:rPr>
            <w:t xml:space="preserve">Statements are historical information and backwards- looking. Inflation can and will influence </w:t>
          </w:r>
          <w:r w:rsidR="008C40D8" w:rsidRPr="00A90D2A">
            <w:rPr>
              <w:rFonts w:ascii="Arial" w:hAnsi="Arial" w:cs="Arial"/>
              <w:sz w:val="24"/>
              <w:szCs w:val="24"/>
            </w:rPr>
            <w:t xml:space="preserve">in the evaluation demonstrated in financial statements, specifically where assets are </w:t>
          </w:r>
          <w:r w:rsidR="000D278A" w:rsidRPr="00A90D2A">
            <w:rPr>
              <w:rFonts w:ascii="Arial" w:hAnsi="Arial" w:cs="Arial"/>
              <w:sz w:val="24"/>
              <w:szCs w:val="24"/>
            </w:rPr>
            <w:t>detained</w:t>
          </w:r>
          <w:r w:rsidR="008C40D8" w:rsidRPr="00A90D2A">
            <w:rPr>
              <w:rFonts w:ascii="Arial" w:hAnsi="Arial" w:cs="Arial"/>
              <w:sz w:val="24"/>
              <w:szCs w:val="24"/>
            </w:rPr>
            <w:t xml:space="preserve"> at historical cost in the balance sheet (statement of financial position), also the balance sheet is </w:t>
          </w:r>
          <w:r w:rsidR="000203A4" w:rsidRPr="00A90D2A">
            <w:rPr>
              <w:rFonts w:ascii="Arial" w:hAnsi="Arial" w:cs="Arial"/>
              <w:sz w:val="24"/>
              <w:szCs w:val="24"/>
            </w:rPr>
            <w:t>an</w:t>
          </w:r>
          <w:r w:rsidR="008C40D8" w:rsidRPr="00A90D2A">
            <w:rPr>
              <w:rFonts w:ascii="Arial" w:hAnsi="Arial" w:cs="Arial"/>
              <w:sz w:val="24"/>
              <w:szCs w:val="24"/>
            </w:rPr>
            <w:t xml:space="preserve"> illustration of liabilities and assets, on the last day of each year (Collier, 2015</w:t>
          </w:r>
          <w:r w:rsidR="000D278A" w:rsidRPr="00A90D2A">
            <w:rPr>
              <w:rFonts w:ascii="Arial" w:hAnsi="Arial" w:cs="Arial"/>
              <w:sz w:val="24"/>
              <w:szCs w:val="24"/>
            </w:rPr>
            <w:t>). Therefor</w:t>
          </w:r>
          <w:r w:rsidR="008651E2" w:rsidRPr="00A90D2A">
            <w:rPr>
              <w:rFonts w:ascii="Arial" w:hAnsi="Arial" w:cs="Arial"/>
              <w:sz w:val="24"/>
              <w:szCs w:val="24"/>
            </w:rPr>
            <w:t xml:space="preserve"> the use of </w:t>
          </w:r>
          <w:r w:rsidR="000D278A" w:rsidRPr="00A90D2A">
            <w:rPr>
              <w:rFonts w:ascii="Arial" w:hAnsi="Arial" w:cs="Arial"/>
              <w:sz w:val="24"/>
              <w:szCs w:val="24"/>
            </w:rPr>
            <w:t>out-of-date</w:t>
          </w:r>
          <w:r w:rsidR="008651E2" w:rsidRPr="00A90D2A">
            <w:rPr>
              <w:rFonts w:ascii="Arial" w:hAnsi="Arial" w:cs="Arial"/>
              <w:sz w:val="24"/>
              <w:szCs w:val="24"/>
            </w:rPr>
            <w:t xml:space="preserve"> information for comparison may be of limited </w:t>
          </w:r>
          <w:r w:rsidR="000D278A" w:rsidRPr="00A90D2A">
            <w:rPr>
              <w:rFonts w:ascii="Arial" w:hAnsi="Arial" w:cs="Arial"/>
              <w:sz w:val="24"/>
              <w:szCs w:val="24"/>
            </w:rPr>
            <w:t>use if</w:t>
          </w:r>
          <w:r w:rsidR="008651E2" w:rsidRPr="00A90D2A">
            <w:rPr>
              <w:rFonts w:ascii="Arial" w:hAnsi="Arial" w:cs="Arial"/>
              <w:sz w:val="24"/>
              <w:szCs w:val="24"/>
            </w:rPr>
            <w:t xml:space="preserve"> the organisation made substantial </w:t>
          </w:r>
          <w:r w:rsidR="000D278A" w:rsidRPr="00A90D2A">
            <w:rPr>
              <w:rFonts w:ascii="Arial" w:hAnsi="Arial" w:cs="Arial"/>
              <w:sz w:val="24"/>
              <w:szCs w:val="24"/>
            </w:rPr>
            <w:t>changes.</w:t>
          </w:r>
          <w:r w:rsidR="008651E2" w:rsidRPr="00A90D2A">
            <w:rPr>
              <w:rFonts w:ascii="Arial" w:hAnsi="Arial" w:cs="Arial"/>
              <w:sz w:val="24"/>
              <w:szCs w:val="24"/>
            </w:rPr>
            <w:t xml:space="preserve"> There is a need for rather careful </w:t>
          </w:r>
          <w:r w:rsidR="000D278A" w:rsidRPr="00A90D2A">
            <w:rPr>
              <w:rFonts w:ascii="Arial" w:hAnsi="Arial" w:cs="Arial"/>
              <w:sz w:val="24"/>
              <w:szCs w:val="24"/>
            </w:rPr>
            <w:t xml:space="preserve">interpretation, when comparing two or more organisations liquidity </w:t>
          </w:r>
          <w:r w:rsidR="00D40596" w:rsidRPr="00A90D2A">
            <w:rPr>
              <w:rFonts w:ascii="Arial" w:hAnsi="Arial" w:cs="Arial"/>
              <w:sz w:val="24"/>
              <w:szCs w:val="24"/>
            </w:rPr>
            <w:t>ratios,</w:t>
          </w:r>
          <w:r w:rsidR="000D278A" w:rsidRPr="00A90D2A">
            <w:rPr>
              <w:rFonts w:ascii="Arial" w:hAnsi="Arial" w:cs="Arial"/>
              <w:sz w:val="24"/>
              <w:szCs w:val="24"/>
            </w:rPr>
            <w:t xml:space="preserve"> if one company have higher numbers this may look </w:t>
          </w:r>
          <w:r w:rsidR="00D40596" w:rsidRPr="00A90D2A">
            <w:rPr>
              <w:rFonts w:ascii="Arial" w:hAnsi="Arial" w:cs="Arial"/>
              <w:sz w:val="24"/>
              <w:szCs w:val="24"/>
            </w:rPr>
            <w:t>good,</w:t>
          </w:r>
          <w:r w:rsidR="000D278A" w:rsidRPr="00A90D2A">
            <w:rPr>
              <w:rFonts w:ascii="Arial" w:hAnsi="Arial" w:cs="Arial"/>
              <w:sz w:val="24"/>
              <w:szCs w:val="24"/>
            </w:rPr>
            <w:t xml:space="preserve"> further investigation may reveal that </w:t>
          </w:r>
          <w:r w:rsidR="00D40596" w:rsidRPr="00A90D2A">
            <w:rPr>
              <w:rFonts w:ascii="Arial" w:hAnsi="Arial" w:cs="Arial"/>
              <w:sz w:val="24"/>
              <w:szCs w:val="24"/>
            </w:rPr>
            <w:t xml:space="preserve">higher ratios are outcome of higher inventory, and receivable levels, which indicated a weak working capital management by the organisation with higher </w:t>
          </w:r>
          <w:r w:rsidR="00C3117B" w:rsidRPr="00A90D2A">
            <w:rPr>
              <w:rFonts w:ascii="Arial" w:hAnsi="Arial" w:cs="Arial"/>
              <w:sz w:val="24"/>
              <w:szCs w:val="24"/>
            </w:rPr>
            <w:t>ratios (ACCA, 2018).</w:t>
          </w:r>
          <w:r w:rsidR="00D40596" w:rsidRPr="00A90D2A">
            <w:rPr>
              <w:rFonts w:ascii="Arial" w:hAnsi="Arial" w:cs="Arial"/>
              <w:sz w:val="24"/>
              <w:szCs w:val="24"/>
            </w:rPr>
            <w:t xml:space="preserve"> These judgments are to influence this financial numbers which are the basis of ratio </w:t>
          </w:r>
          <w:r w:rsidR="00C3117B" w:rsidRPr="00A90D2A">
            <w:rPr>
              <w:rFonts w:ascii="Arial" w:hAnsi="Arial" w:cs="Arial"/>
              <w:sz w:val="24"/>
              <w:szCs w:val="24"/>
            </w:rPr>
            <w:t xml:space="preserve">analysis. Ratios are not definitive , unless estimated and calculated over a considerable amount of years, to be able to identify a trend , or in comparison with identical industry for benchmarking </w:t>
          </w:r>
          <w:r w:rsidR="00174F43" w:rsidRPr="00A90D2A">
            <w:rPr>
              <w:rFonts w:ascii="Arial" w:hAnsi="Arial" w:cs="Arial"/>
              <w:sz w:val="24"/>
              <w:szCs w:val="24"/>
            </w:rPr>
            <w:t xml:space="preserve">(measure of your company success against competitors, to improve performance).For this reason ratios interpretation should have in consideration the context of economic industry, competitive factors , as well as company unique </w:t>
          </w:r>
          <w:r w:rsidR="00CB5030" w:rsidRPr="00A90D2A">
            <w:rPr>
              <w:rFonts w:ascii="Arial" w:hAnsi="Arial" w:cs="Arial"/>
              <w:sz w:val="24"/>
              <w:szCs w:val="24"/>
            </w:rPr>
            <w:t xml:space="preserve">strategy , ratio analysis is not sufficient on its own , they are only calculated once a year with published publish financial statements , being susceptible of manipulation, accounts may choose to distorted the profit (small companies may distorted working capital ratios depending </w:t>
          </w:r>
          <w:r w:rsidR="007D2FE4" w:rsidRPr="00A90D2A">
            <w:rPr>
              <w:rFonts w:ascii="Arial" w:hAnsi="Arial" w:cs="Arial"/>
              <w:sz w:val="24"/>
              <w:szCs w:val="24"/>
            </w:rPr>
            <w:t xml:space="preserve">on customer pays , and how suppliers are paid before or after the year-end). Accounts in the companies have access to more </w:t>
          </w:r>
          <w:r w:rsidR="002B4B65" w:rsidRPr="00A90D2A">
            <w:rPr>
              <w:rFonts w:ascii="Arial" w:hAnsi="Arial" w:cs="Arial"/>
              <w:sz w:val="24"/>
              <w:szCs w:val="24"/>
            </w:rPr>
            <w:t>information,</w:t>
          </w:r>
          <w:r w:rsidR="007D2FE4" w:rsidRPr="00A90D2A">
            <w:rPr>
              <w:rFonts w:ascii="Arial" w:hAnsi="Arial" w:cs="Arial"/>
              <w:sz w:val="24"/>
              <w:szCs w:val="24"/>
            </w:rPr>
            <w:t xml:space="preserve"> and organisation will look at a monthly ratio </w:t>
          </w:r>
          <w:r w:rsidR="002B4B65" w:rsidRPr="00A90D2A">
            <w:rPr>
              <w:rFonts w:ascii="Arial" w:hAnsi="Arial" w:cs="Arial"/>
              <w:sz w:val="24"/>
              <w:szCs w:val="24"/>
            </w:rPr>
            <w:t>basis,</w:t>
          </w:r>
          <w:r w:rsidR="007D2FE4" w:rsidRPr="00A90D2A">
            <w:rPr>
              <w:rFonts w:ascii="Arial" w:hAnsi="Arial" w:cs="Arial"/>
              <w:sz w:val="24"/>
              <w:szCs w:val="24"/>
            </w:rPr>
            <w:t xml:space="preserve"> internally this will be more reliable in terms of trends and opportunities for </w:t>
          </w:r>
          <w:r w:rsidR="002B4B65" w:rsidRPr="00A90D2A">
            <w:rPr>
              <w:rFonts w:ascii="Arial" w:hAnsi="Arial" w:cs="Arial"/>
              <w:sz w:val="24"/>
              <w:szCs w:val="24"/>
            </w:rPr>
            <w:t xml:space="preserve">improvement. when making ratio analysis, two considerations </w:t>
          </w:r>
          <w:r w:rsidR="004818C5" w:rsidRPr="00A90D2A">
            <w:rPr>
              <w:rFonts w:ascii="Arial" w:hAnsi="Arial" w:cs="Arial"/>
              <w:sz w:val="24"/>
              <w:szCs w:val="24"/>
            </w:rPr>
            <w:t>must</w:t>
          </w:r>
          <w:r w:rsidR="002B4B65" w:rsidRPr="00A90D2A">
            <w:rPr>
              <w:rFonts w:ascii="Arial" w:hAnsi="Arial" w:cs="Arial"/>
              <w:sz w:val="24"/>
              <w:szCs w:val="24"/>
            </w:rPr>
            <w:t xml:space="preserve"> be </w:t>
          </w:r>
          <w:r w:rsidR="004818C5" w:rsidRPr="00A90D2A">
            <w:rPr>
              <w:rFonts w:ascii="Arial" w:hAnsi="Arial" w:cs="Arial"/>
              <w:sz w:val="24"/>
              <w:szCs w:val="24"/>
            </w:rPr>
            <w:t>made,</w:t>
          </w:r>
          <w:r w:rsidR="002B4B65" w:rsidRPr="00A90D2A">
            <w:rPr>
              <w:rFonts w:ascii="Arial" w:hAnsi="Arial" w:cs="Arial"/>
              <w:sz w:val="24"/>
              <w:szCs w:val="24"/>
            </w:rPr>
            <w:t xml:space="preserve"> first is there are many different definitions of </w:t>
          </w:r>
          <w:r w:rsidR="004818C5" w:rsidRPr="00A90D2A">
            <w:rPr>
              <w:rFonts w:ascii="Arial" w:hAnsi="Arial" w:cs="Arial"/>
              <w:sz w:val="24"/>
              <w:szCs w:val="24"/>
            </w:rPr>
            <w:t>ratios,</w:t>
          </w:r>
          <w:r w:rsidR="002B4B65" w:rsidRPr="00A90D2A">
            <w:rPr>
              <w:rFonts w:ascii="Arial" w:hAnsi="Arial" w:cs="Arial"/>
              <w:sz w:val="24"/>
              <w:szCs w:val="24"/>
            </w:rPr>
            <w:t xml:space="preserve"> and the availability of comparable information</w:t>
          </w:r>
          <w:r w:rsidR="004818C5" w:rsidRPr="00A90D2A">
            <w:rPr>
              <w:rFonts w:ascii="Arial" w:hAnsi="Arial" w:cs="Arial"/>
              <w:sz w:val="24"/>
              <w:szCs w:val="24"/>
            </w:rPr>
            <w:t xml:space="preserve">, so care is needed when interpreting and calculating ratios. </w:t>
          </w:r>
          <w:r w:rsidR="004818C5" w:rsidRPr="00A90D2A">
            <w:rPr>
              <w:rFonts w:ascii="Arial" w:hAnsi="Arial" w:cs="Arial"/>
              <w:sz w:val="24"/>
              <w:szCs w:val="24"/>
            </w:rPr>
            <w:lastRenderedPageBreak/>
            <w:t xml:space="preserve">To gather more information, it is of good use to read annual reports, financial and trade </w:t>
          </w:r>
          <w:r w:rsidR="00FF1DDA" w:rsidRPr="00A90D2A">
            <w:rPr>
              <w:rFonts w:ascii="Arial" w:hAnsi="Arial" w:cs="Arial"/>
              <w:sz w:val="24"/>
              <w:szCs w:val="24"/>
            </w:rPr>
            <w:t>press,</w:t>
          </w:r>
          <w:r w:rsidR="004818C5" w:rsidRPr="00A90D2A">
            <w:rPr>
              <w:rFonts w:ascii="Arial" w:hAnsi="Arial" w:cs="Arial"/>
              <w:sz w:val="24"/>
              <w:szCs w:val="24"/>
            </w:rPr>
            <w:t xml:space="preserve"> internet </w:t>
          </w:r>
          <w:r w:rsidR="00FF1DDA" w:rsidRPr="00A90D2A">
            <w:rPr>
              <w:rFonts w:ascii="Arial" w:hAnsi="Arial" w:cs="Arial"/>
              <w:sz w:val="24"/>
              <w:szCs w:val="24"/>
            </w:rPr>
            <w:t>reports,</w:t>
          </w:r>
          <w:r w:rsidR="004818C5" w:rsidRPr="00A90D2A">
            <w:rPr>
              <w:rFonts w:ascii="Arial" w:hAnsi="Arial" w:cs="Arial"/>
              <w:sz w:val="24"/>
              <w:szCs w:val="24"/>
            </w:rPr>
            <w:t xml:space="preserve"> consultant and analyst reports, market </w:t>
          </w:r>
          <w:r w:rsidR="00FF1DDA" w:rsidRPr="00A90D2A">
            <w:rPr>
              <w:rFonts w:ascii="Arial" w:hAnsi="Arial" w:cs="Arial"/>
              <w:sz w:val="24"/>
              <w:szCs w:val="24"/>
            </w:rPr>
            <w:t>research,</w:t>
          </w:r>
          <w:r w:rsidR="004818C5" w:rsidRPr="00A90D2A">
            <w:rPr>
              <w:rFonts w:ascii="Arial" w:hAnsi="Arial" w:cs="Arial"/>
              <w:sz w:val="24"/>
              <w:szCs w:val="24"/>
            </w:rPr>
            <w:t xml:space="preserve"> providing information about economic </w:t>
          </w:r>
          <w:r w:rsidR="00FF1DDA" w:rsidRPr="00A90D2A">
            <w:rPr>
              <w:rFonts w:ascii="Arial" w:hAnsi="Arial" w:cs="Arial"/>
              <w:sz w:val="24"/>
              <w:szCs w:val="24"/>
            </w:rPr>
            <w:t>change,</w:t>
          </w:r>
          <w:r w:rsidR="004818C5" w:rsidRPr="00A90D2A">
            <w:rPr>
              <w:rFonts w:ascii="Arial" w:hAnsi="Arial" w:cs="Arial"/>
              <w:sz w:val="24"/>
              <w:szCs w:val="24"/>
            </w:rPr>
            <w:t xml:space="preserve"> the </w:t>
          </w:r>
          <w:r w:rsidR="002F5DE2" w:rsidRPr="00A90D2A">
            <w:rPr>
              <w:rFonts w:ascii="Arial" w:hAnsi="Arial" w:cs="Arial"/>
              <w:sz w:val="24"/>
              <w:szCs w:val="24"/>
            </w:rPr>
            <w:t>industry,</w:t>
          </w:r>
          <w:r w:rsidR="004818C5" w:rsidRPr="00A90D2A">
            <w:rPr>
              <w:rFonts w:ascii="Arial" w:hAnsi="Arial" w:cs="Arial"/>
              <w:sz w:val="24"/>
              <w:szCs w:val="24"/>
            </w:rPr>
            <w:t xml:space="preserve"> </w:t>
          </w:r>
          <w:r w:rsidR="002F5DE2" w:rsidRPr="00A90D2A">
            <w:rPr>
              <w:rFonts w:ascii="Arial" w:hAnsi="Arial" w:cs="Arial"/>
              <w:sz w:val="24"/>
              <w:szCs w:val="24"/>
            </w:rPr>
            <w:t>competitors,</w:t>
          </w:r>
          <w:r w:rsidR="004818C5" w:rsidRPr="00A90D2A">
            <w:rPr>
              <w:rFonts w:ascii="Arial" w:hAnsi="Arial" w:cs="Arial"/>
              <w:sz w:val="24"/>
              <w:szCs w:val="24"/>
            </w:rPr>
            <w:t xml:space="preserve"> suppliers issues, </w:t>
          </w:r>
          <w:r w:rsidR="00D10672" w:rsidRPr="00A90D2A">
            <w:rPr>
              <w:rFonts w:ascii="Arial" w:hAnsi="Arial" w:cs="Arial"/>
              <w:sz w:val="24"/>
              <w:szCs w:val="24"/>
            </w:rPr>
            <w:t>condition,</w:t>
          </w:r>
          <w:r w:rsidR="004818C5" w:rsidRPr="00A90D2A">
            <w:rPr>
              <w:rFonts w:ascii="Arial" w:hAnsi="Arial" w:cs="Arial"/>
              <w:sz w:val="24"/>
              <w:szCs w:val="24"/>
            </w:rPr>
            <w:t xml:space="preserve"> </w:t>
          </w:r>
          <w:r w:rsidR="00D10672" w:rsidRPr="00A90D2A">
            <w:rPr>
              <w:rFonts w:ascii="Arial" w:hAnsi="Arial" w:cs="Arial"/>
              <w:sz w:val="24"/>
              <w:szCs w:val="24"/>
            </w:rPr>
            <w:t>etc (</w:t>
          </w:r>
          <w:r w:rsidR="00FF1DDA" w:rsidRPr="00A90D2A">
            <w:rPr>
              <w:rFonts w:ascii="Arial" w:hAnsi="Arial" w:cs="Arial"/>
              <w:sz w:val="24"/>
              <w:szCs w:val="24"/>
            </w:rPr>
            <w:t>collier, 2015, ACCA, 2018).</w:t>
          </w:r>
          <w:r w:rsidR="004818C5" w:rsidRPr="00A90D2A">
            <w:rPr>
              <w:rFonts w:ascii="Arial" w:hAnsi="Arial" w:cs="Arial"/>
              <w:sz w:val="24"/>
              <w:szCs w:val="24"/>
            </w:rPr>
            <w:t xml:space="preserve"> </w:t>
          </w:r>
          <w:r w:rsidR="00821C15" w:rsidRPr="00A90D2A">
            <w:rPr>
              <w:rFonts w:ascii="Arial" w:hAnsi="Arial" w:cs="Arial"/>
              <w:sz w:val="24"/>
              <w:szCs w:val="24"/>
            </w:rPr>
            <w:t>U</w:t>
          </w:r>
          <w:r w:rsidR="00D10672" w:rsidRPr="00A90D2A">
            <w:rPr>
              <w:rFonts w:ascii="Arial" w:hAnsi="Arial" w:cs="Arial"/>
              <w:sz w:val="24"/>
              <w:szCs w:val="24"/>
            </w:rPr>
            <w:t xml:space="preserve">nderstanding of ratios and their fluctuations is essential for hotel </w:t>
          </w:r>
          <w:r w:rsidR="00821C15" w:rsidRPr="00A90D2A">
            <w:rPr>
              <w:rFonts w:ascii="Arial" w:hAnsi="Arial" w:cs="Arial"/>
              <w:sz w:val="24"/>
              <w:szCs w:val="24"/>
            </w:rPr>
            <w:t>management, Malk and Schmidgall (</w:t>
          </w:r>
          <w:r w:rsidR="004F61C4" w:rsidRPr="00A90D2A">
            <w:rPr>
              <w:rFonts w:ascii="Arial" w:hAnsi="Arial" w:cs="Arial"/>
              <w:sz w:val="24"/>
              <w:szCs w:val="24"/>
            </w:rPr>
            <w:t>1993) made</w:t>
          </w:r>
          <w:r w:rsidR="00821C15" w:rsidRPr="00A90D2A">
            <w:rPr>
              <w:rFonts w:ascii="Arial" w:hAnsi="Arial" w:cs="Arial"/>
              <w:sz w:val="24"/>
              <w:szCs w:val="24"/>
            </w:rPr>
            <w:t xml:space="preserve"> an </w:t>
          </w:r>
          <w:r w:rsidR="004F61C4" w:rsidRPr="00A90D2A">
            <w:rPr>
              <w:rFonts w:ascii="Arial" w:hAnsi="Arial" w:cs="Arial"/>
              <w:sz w:val="24"/>
              <w:szCs w:val="24"/>
            </w:rPr>
            <w:t>investigation</w:t>
          </w:r>
          <w:r w:rsidR="00821C15" w:rsidRPr="00A90D2A">
            <w:rPr>
              <w:rFonts w:ascii="Arial" w:hAnsi="Arial" w:cs="Arial"/>
              <w:sz w:val="24"/>
              <w:szCs w:val="24"/>
            </w:rPr>
            <w:t xml:space="preserve"> about room departments and conclude that ratios are developed for the environment of hotel </w:t>
          </w:r>
          <w:r w:rsidR="004F61C4" w:rsidRPr="00A90D2A">
            <w:rPr>
              <w:rFonts w:ascii="Arial" w:hAnsi="Arial" w:cs="Arial"/>
              <w:sz w:val="24"/>
              <w:szCs w:val="24"/>
            </w:rPr>
            <w:t>operations,</w:t>
          </w:r>
          <w:r w:rsidR="00821C15" w:rsidRPr="00A90D2A">
            <w:rPr>
              <w:rFonts w:ascii="Arial" w:hAnsi="Arial" w:cs="Arial"/>
              <w:sz w:val="24"/>
              <w:szCs w:val="24"/>
            </w:rPr>
            <w:t xml:space="preserve"> and recommend their use for decision makers, in the sector.</w:t>
          </w:r>
          <w:r w:rsidR="004F61C4" w:rsidRPr="00A90D2A">
            <w:rPr>
              <w:rFonts w:ascii="Arial" w:hAnsi="Arial" w:cs="Arial"/>
              <w:sz w:val="24"/>
              <w:szCs w:val="24"/>
            </w:rPr>
            <w:t xml:space="preserve"> So many academics and Professionals had investigated and discussed so much about the subject, therefore is not surprising that now a days general managers consider activity and operating ratios as the most preferable and useful tool to help them in decision making</w:t>
          </w:r>
          <w:r w:rsidR="00EE551F" w:rsidRPr="00A90D2A">
            <w:rPr>
              <w:rFonts w:ascii="Arial" w:hAnsi="Arial" w:cs="Arial"/>
              <w:sz w:val="24"/>
              <w:szCs w:val="24"/>
            </w:rPr>
            <w:t>.</w:t>
          </w:r>
          <w:r w:rsidR="004F61C4" w:rsidRPr="00A90D2A">
            <w:rPr>
              <w:rFonts w:ascii="Arial" w:hAnsi="Arial" w:cs="Arial"/>
              <w:sz w:val="24"/>
              <w:szCs w:val="24"/>
            </w:rPr>
            <w:t xml:space="preserve"> Interpreting the financial statements and ratios </w:t>
          </w:r>
          <w:r w:rsidR="00632F41" w:rsidRPr="00A90D2A">
            <w:rPr>
              <w:rFonts w:ascii="Arial" w:hAnsi="Arial" w:cs="Arial"/>
              <w:sz w:val="24"/>
              <w:szCs w:val="24"/>
            </w:rPr>
            <w:t xml:space="preserve">helps to improve performance, based on business context and competitiveness, giving the information necessary for </w:t>
          </w:r>
          <w:r w:rsidR="00EE551F" w:rsidRPr="00A90D2A">
            <w:rPr>
              <w:rFonts w:ascii="Arial" w:hAnsi="Arial" w:cs="Arial"/>
              <w:sz w:val="24"/>
              <w:szCs w:val="24"/>
            </w:rPr>
            <w:t xml:space="preserve">judgement and ideas about trends, patterns, financial health and futures investments. When analysing ratios over two </w:t>
          </w:r>
          <w:r w:rsidR="000203A4" w:rsidRPr="00A90D2A">
            <w:rPr>
              <w:rFonts w:ascii="Arial" w:hAnsi="Arial" w:cs="Arial"/>
              <w:sz w:val="24"/>
              <w:szCs w:val="24"/>
            </w:rPr>
            <w:t>years,</w:t>
          </w:r>
          <w:r w:rsidR="00EE551F" w:rsidRPr="00A90D2A">
            <w:rPr>
              <w:rFonts w:ascii="Arial" w:hAnsi="Arial" w:cs="Arial"/>
              <w:sz w:val="24"/>
              <w:szCs w:val="24"/>
            </w:rPr>
            <w:t xml:space="preserve"> it is important to understand the causes, influencing the </w:t>
          </w:r>
          <w:r w:rsidR="000203A4" w:rsidRPr="00A90D2A">
            <w:rPr>
              <w:rFonts w:ascii="Arial" w:hAnsi="Arial" w:cs="Arial"/>
              <w:sz w:val="24"/>
              <w:szCs w:val="24"/>
            </w:rPr>
            <w:t>change. Since most organisation have accounted this ratio numbers can be analysed monthly, therefore going an advantage to the manager to correct the targets and goals of the organisation quite quickly and maximise the performance.</w:t>
          </w:r>
        </w:p>
        <w:p w14:paraId="08145929" w14:textId="6D3A5A48" w:rsidR="00D10672" w:rsidRPr="00D10672" w:rsidRDefault="00D10672" w:rsidP="00D10672">
          <w:r w:rsidRPr="00D10672">
            <w:rPr>
              <w:rFonts w:ascii="Calibri" w:hAnsi="Calibri"/>
              <w:sz w:val="24"/>
              <w:szCs w:val="24"/>
            </w:rPr>
            <w:t xml:space="preserve"> </w:t>
          </w:r>
        </w:p>
        <w:p w14:paraId="080C1603" w14:textId="62954DE6" w:rsidR="00AA2A91" w:rsidRDefault="00AA2A91" w:rsidP="004D519C"/>
        <w:p w14:paraId="14DA691E" w14:textId="19FF6158" w:rsidR="00276C72" w:rsidRDefault="00276C72" w:rsidP="004D519C"/>
        <w:p w14:paraId="75461E58" w14:textId="56974D6A" w:rsidR="00276C72" w:rsidRDefault="000158F9" w:rsidP="004D519C">
          <w:r>
            <w:rPr>
              <w:b/>
              <w:bCs/>
              <w:noProof/>
              <w:sz w:val="28"/>
              <w:szCs w:val="28"/>
              <w:lang w:eastAsia="en-GB"/>
            </w:rPr>
            <w:drawing>
              <wp:inline distT="0" distB="0" distL="0" distR="0" wp14:anchorId="0581C396" wp14:editId="2F6826AF">
                <wp:extent cx="5731510" cy="2707005"/>
                <wp:effectExtent l="0" t="0" r="2540" b="0"/>
                <wp:docPr id="11" name="Picture 11"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0" cy="2707005"/>
                        </a:xfrm>
                        <a:prstGeom prst="rect">
                          <a:avLst/>
                        </a:prstGeom>
                        <a:noFill/>
                        <a:ln>
                          <a:noFill/>
                          <a:prstDash/>
                        </a:ln>
                      </pic:spPr>
                    </pic:pic>
                  </a:graphicData>
                </a:graphic>
              </wp:inline>
            </w:drawing>
          </w:r>
        </w:p>
        <w:p w14:paraId="0125CA5F" w14:textId="31274464" w:rsidR="00276C72" w:rsidRPr="000158F9" w:rsidRDefault="000158F9" w:rsidP="004D519C">
          <w:pPr>
            <w:rPr>
              <w:rFonts w:ascii="Arial" w:hAnsi="Arial" w:cs="Arial"/>
              <w:sz w:val="24"/>
              <w:szCs w:val="24"/>
            </w:rPr>
          </w:pPr>
          <w:r w:rsidRPr="000158F9">
            <w:rPr>
              <w:rFonts w:ascii="Arial" w:hAnsi="Arial" w:cs="Arial"/>
              <w:sz w:val="24"/>
              <w:szCs w:val="24"/>
            </w:rPr>
            <w:t xml:space="preserve">                           10 – Representation of </w:t>
          </w:r>
          <w:r w:rsidR="00C31F7A">
            <w:rPr>
              <w:rFonts w:ascii="Arial" w:hAnsi="Arial" w:cs="Arial"/>
              <w:sz w:val="24"/>
              <w:szCs w:val="24"/>
            </w:rPr>
            <w:t xml:space="preserve">risk </w:t>
          </w:r>
          <w:r w:rsidRPr="000158F9">
            <w:rPr>
              <w:rFonts w:ascii="Arial" w:hAnsi="Arial" w:cs="Arial"/>
              <w:sz w:val="24"/>
              <w:szCs w:val="24"/>
            </w:rPr>
            <w:t xml:space="preserve">rating of Hilton </w:t>
          </w:r>
        </w:p>
        <w:p w14:paraId="08B37A4D" w14:textId="449B6694" w:rsidR="00A90D2A" w:rsidRDefault="00A90D2A" w:rsidP="004D519C"/>
        <w:p w14:paraId="18BB2352" w14:textId="77777777" w:rsidR="00A90D2A" w:rsidRDefault="00A90D2A" w:rsidP="004D519C"/>
        <w:p w14:paraId="3B761FE2" w14:textId="77777777" w:rsidR="00AA2A91" w:rsidRDefault="00AA2A91" w:rsidP="00AA2A91">
          <w:pPr>
            <w:pStyle w:val="Heading1"/>
          </w:pPr>
          <w:bookmarkStart w:id="5" w:name="_Toc104027184"/>
          <w:r>
            <w:t>Conclusion</w:t>
          </w:r>
          <w:r w:rsidR="00D854A5">
            <w:t xml:space="preserve"> </w:t>
          </w:r>
          <w:r w:rsidR="00D854A5" w:rsidRPr="00D854A5">
            <w:t>(average of 10% of word count)</w:t>
          </w:r>
          <w:bookmarkEnd w:id="5"/>
        </w:p>
        <w:p w14:paraId="3DB1E6EF" w14:textId="77777777" w:rsidR="00AA2A91" w:rsidRPr="00A90D2A" w:rsidRDefault="00AA2A91" w:rsidP="00A90D2A">
          <w:pPr>
            <w:spacing w:line="360" w:lineRule="auto"/>
            <w:jc w:val="both"/>
            <w:rPr>
              <w:rFonts w:ascii="Arial" w:hAnsi="Arial" w:cs="Arial"/>
              <w:sz w:val="24"/>
              <w:szCs w:val="24"/>
            </w:rPr>
          </w:pPr>
        </w:p>
        <w:p w14:paraId="1835104B" w14:textId="7387D96E" w:rsidR="00AA2A91" w:rsidRPr="00A90D2A" w:rsidRDefault="00496F88" w:rsidP="00A90D2A">
          <w:pPr>
            <w:spacing w:line="360" w:lineRule="auto"/>
            <w:jc w:val="both"/>
            <w:rPr>
              <w:rFonts w:ascii="Arial" w:hAnsi="Arial" w:cs="Arial"/>
              <w:sz w:val="24"/>
              <w:szCs w:val="24"/>
            </w:rPr>
          </w:pPr>
          <w:r w:rsidRPr="00A90D2A">
            <w:rPr>
              <w:rFonts w:ascii="Arial" w:hAnsi="Arial" w:cs="Arial"/>
              <w:sz w:val="24"/>
              <w:szCs w:val="24"/>
            </w:rPr>
            <w:t>These reports</w:t>
          </w:r>
          <w:r w:rsidR="00EF5F3E" w:rsidRPr="00A90D2A">
            <w:rPr>
              <w:rFonts w:ascii="Arial" w:hAnsi="Arial" w:cs="Arial"/>
              <w:sz w:val="24"/>
              <w:szCs w:val="24"/>
            </w:rPr>
            <w:t xml:space="preserve"> analyse Hilton </w:t>
          </w:r>
          <w:r w:rsidRPr="00A90D2A">
            <w:rPr>
              <w:rFonts w:ascii="Arial" w:hAnsi="Arial" w:cs="Arial"/>
              <w:sz w:val="24"/>
              <w:szCs w:val="24"/>
            </w:rPr>
            <w:t>worldwide Holdings for</w:t>
          </w:r>
          <w:r w:rsidR="00EF5F3E" w:rsidRPr="00A90D2A">
            <w:rPr>
              <w:rFonts w:ascii="Arial" w:hAnsi="Arial" w:cs="Arial"/>
              <w:sz w:val="24"/>
              <w:szCs w:val="24"/>
            </w:rPr>
            <w:t xml:space="preserve"> the year 2019 and 2020, for horizontal analysis, ratios and financial </w:t>
          </w:r>
          <w:r w:rsidRPr="00A90D2A">
            <w:rPr>
              <w:rFonts w:ascii="Arial" w:hAnsi="Arial" w:cs="Arial"/>
              <w:sz w:val="24"/>
              <w:szCs w:val="24"/>
            </w:rPr>
            <w:t>analysis with</w:t>
          </w:r>
          <w:r w:rsidR="00EF5F3E" w:rsidRPr="00A90D2A">
            <w:rPr>
              <w:rFonts w:ascii="Arial" w:hAnsi="Arial" w:cs="Arial"/>
              <w:sz w:val="24"/>
              <w:szCs w:val="24"/>
            </w:rPr>
            <w:t xml:space="preserve"> </w:t>
          </w:r>
          <w:r w:rsidRPr="00A90D2A">
            <w:rPr>
              <w:rFonts w:ascii="Arial" w:hAnsi="Arial" w:cs="Arial"/>
              <w:sz w:val="24"/>
              <w:szCs w:val="24"/>
            </w:rPr>
            <w:t>trends.</w:t>
          </w:r>
          <w:r w:rsidR="00EF5F3E" w:rsidRPr="00A90D2A">
            <w:rPr>
              <w:rFonts w:ascii="Arial" w:hAnsi="Arial" w:cs="Arial"/>
              <w:sz w:val="24"/>
              <w:szCs w:val="24"/>
            </w:rPr>
            <w:t xml:space="preserve"> </w:t>
          </w:r>
          <w:r w:rsidRPr="00A90D2A">
            <w:rPr>
              <w:rFonts w:ascii="Arial" w:hAnsi="Arial" w:cs="Arial"/>
              <w:sz w:val="24"/>
              <w:szCs w:val="24"/>
            </w:rPr>
            <w:t xml:space="preserve">2019 and 2020 were not very good years, seeing a decrease falling -55% of </w:t>
          </w:r>
          <w:r w:rsidR="00616514" w:rsidRPr="00A90D2A">
            <w:rPr>
              <w:rFonts w:ascii="Arial" w:hAnsi="Arial" w:cs="Arial"/>
              <w:sz w:val="24"/>
              <w:szCs w:val="24"/>
            </w:rPr>
            <w:t>sales,</w:t>
          </w:r>
          <w:r w:rsidRPr="00A90D2A">
            <w:rPr>
              <w:rFonts w:ascii="Arial" w:hAnsi="Arial" w:cs="Arial"/>
              <w:sz w:val="24"/>
              <w:szCs w:val="24"/>
            </w:rPr>
            <w:t xml:space="preserve"> we need to remember and have in consideration that 2019 has the beginning of the pandemic covid-</w:t>
          </w:r>
          <w:r w:rsidR="00616514" w:rsidRPr="00A90D2A">
            <w:rPr>
              <w:rFonts w:ascii="Arial" w:hAnsi="Arial" w:cs="Arial"/>
              <w:sz w:val="24"/>
              <w:szCs w:val="24"/>
            </w:rPr>
            <w:t>19,</w:t>
          </w:r>
          <w:r w:rsidRPr="00A90D2A">
            <w:rPr>
              <w:rFonts w:ascii="Arial" w:hAnsi="Arial" w:cs="Arial"/>
              <w:sz w:val="24"/>
              <w:szCs w:val="24"/>
            </w:rPr>
            <w:t xml:space="preserve"> and that Hilton had many external factors helping this </w:t>
          </w:r>
          <w:r w:rsidR="00616514" w:rsidRPr="00A90D2A">
            <w:rPr>
              <w:rFonts w:ascii="Arial" w:hAnsi="Arial" w:cs="Arial"/>
              <w:sz w:val="24"/>
              <w:szCs w:val="24"/>
            </w:rPr>
            <w:t>decrease,</w:t>
          </w:r>
          <w:r w:rsidRPr="00A90D2A">
            <w:rPr>
              <w:rFonts w:ascii="Arial" w:hAnsi="Arial" w:cs="Arial"/>
              <w:sz w:val="24"/>
              <w:szCs w:val="24"/>
            </w:rPr>
            <w:t xml:space="preserve"> because most of Hilton hotels were infect </w:t>
          </w:r>
          <w:r w:rsidR="00616514" w:rsidRPr="00A90D2A">
            <w:rPr>
              <w:rFonts w:ascii="Arial" w:hAnsi="Arial" w:cs="Arial"/>
              <w:sz w:val="24"/>
              <w:szCs w:val="24"/>
            </w:rPr>
            <w:t xml:space="preserve">close. Ratios are only representative number that alone do not say much, </w:t>
          </w:r>
          <w:r w:rsidR="00920BE0" w:rsidRPr="00A90D2A">
            <w:rPr>
              <w:rFonts w:ascii="Arial" w:hAnsi="Arial" w:cs="Arial"/>
              <w:sz w:val="24"/>
              <w:szCs w:val="24"/>
            </w:rPr>
            <w:t>in</w:t>
          </w:r>
          <w:r w:rsidR="00616514" w:rsidRPr="00A90D2A">
            <w:rPr>
              <w:rFonts w:ascii="Arial" w:hAnsi="Arial" w:cs="Arial"/>
              <w:sz w:val="24"/>
              <w:szCs w:val="24"/>
            </w:rPr>
            <w:t xml:space="preserve"> 2020 Hilton had very bad results, with revenue still very </w:t>
          </w:r>
          <w:r w:rsidR="00640A9F" w:rsidRPr="00A90D2A">
            <w:rPr>
              <w:rFonts w:ascii="Arial" w:hAnsi="Arial" w:cs="Arial"/>
              <w:sz w:val="24"/>
              <w:szCs w:val="24"/>
            </w:rPr>
            <w:t>good,</w:t>
          </w:r>
          <w:r w:rsidR="00616514" w:rsidRPr="00A90D2A">
            <w:rPr>
              <w:rFonts w:ascii="Arial" w:hAnsi="Arial" w:cs="Arial"/>
              <w:sz w:val="24"/>
              <w:szCs w:val="24"/>
            </w:rPr>
            <w:t xml:space="preserve"> but the earnings decreasing very </w:t>
          </w:r>
          <w:r w:rsidR="00276C72" w:rsidRPr="00A90D2A">
            <w:rPr>
              <w:rFonts w:ascii="Arial" w:hAnsi="Arial" w:cs="Arial"/>
              <w:sz w:val="24"/>
              <w:szCs w:val="24"/>
            </w:rPr>
            <w:t>sharply,</w:t>
          </w:r>
          <w:r w:rsidR="00616514" w:rsidRPr="00A90D2A">
            <w:rPr>
              <w:rFonts w:ascii="Arial" w:hAnsi="Arial" w:cs="Arial"/>
              <w:sz w:val="24"/>
              <w:szCs w:val="24"/>
            </w:rPr>
            <w:t xml:space="preserve"> it is not surprising under the external factor affecting Hospitality </w:t>
          </w:r>
          <w:r w:rsidR="00276C72" w:rsidRPr="00A90D2A">
            <w:rPr>
              <w:rFonts w:ascii="Arial" w:hAnsi="Arial" w:cs="Arial"/>
              <w:sz w:val="24"/>
              <w:szCs w:val="24"/>
            </w:rPr>
            <w:t>industry.</w:t>
          </w:r>
          <w:r w:rsidR="00616514" w:rsidRPr="00A90D2A">
            <w:rPr>
              <w:rFonts w:ascii="Arial" w:hAnsi="Arial" w:cs="Arial"/>
              <w:sz w:val="24"/>
              <w:szCs w:val="24"/>
            </w:rPr>
            <w:t xml:space="preserve"> Ratios analysis are great indicators and tools to use for decision making, discovered that different people read and are interested in different ratios</w:t>
          </w:r>
          <w:r w:rsidR="00640A9F" w:rsidRPr="00A90D2A">
            <w:rPr>
              <w:rFonts w:ascii="Arial" w:hAnsi="Arial" w:cs="Arial"/>
              <w:sz w:val="24"/>
              <w:szCs w:val="24"/>
            </w:rPr>
            <w:t xml:space="preserve">, when analysing Hilton has found that the help of all ratios can give a completely different picture of the company. And Hilton position, although had a miss in 2019 and 2020, was not so bad. Looking to the ratios and their fluctuations is essential for hotel management, to outline plans, solutions, to understand how the company is </w:t>
          </w:r>
          <w:r w:rsidR="00276C72" w:rsidRPr="00A90D2A">
            <w:rPr>
              <w:rFonts w:ascii="Arial" w:hAnsi="Arial" w:cs="Arial"/>
              <w:sz w:val="24"/>
              <w:szCs w:val="24"/>
            </w:rPr>
            <w:t>performing,</w:t>
          </w:r>
          <w:r w:rsidR="00640A9F" w:rsidRPr="00A90D2A">
            <w:rPr>
              <w:rFonts w:ascii="Arial" w:hAnsi="Arial" w:cs="Arial"/>
              <w:sz w:val="24"/>
              <w:szCs w:val="24"/>
            </w:rPr>
            <w:t xml:space="preserve"> and implement the changes necessaries to rich the targets and goals of the organisations</w:t>
          </w:r>
          <w:r w:rsidR="00276C72" w:rsidRPr="00A90D2A">
            <w:rPr>
              <w:rFonts w:ascii="Arial" w:hAnsi="Arial" w:cs="Arial"/>
              <w:sz w:val="24"/>
              <w:szCs w:val="24"/>
            </w:rPr>
            <w:t>.</w:t>
          </w:r>
          <w:r w:rsidR="00640A9F" w:rsidRPr="00A90D2A">
            <w:rPr>
              <w:rFonts w:ascii="Arial" w:hAnsi="Arial" w:cs="Arial"/>
              <w:sz w:val="24"/>
              <w:szCs w:val="24"/>
            </w:rPr>
            <w:t xml:space="preserve"> </w:t>
          </w:r>
        </w:p>
        <w:p w14:paraId="46BEC451" w14:textId="77777777" w:rsidR="00AA2A91" w:rsidRDefault="00AA2A91" w:rsidP="00AA2A91"/>
        <w:p w14:paraId="1F7E44AC" w14:textId="77777777" w:rsidR="00AA2A91" w:rsidRDefault="00AA2A91" w:rsidP="00AA2A91"/>
        <w:p w14:paraId="4A1D4DE1" w14:textId="77777777" w:rsidR="00AA2A91" w:rsidRDefault="00AA2A91" w:rsidP="00AA2A91"/>
        <w:p w14:paraId="614190F2" w14:textId="77777777" w:rsidR="00AA2A91" w:rsidRDefault="00AA2A91" w:rsidP="00AA2A91"/>
        <w:p w14:paraId="2B627672" w14:textId="77777777" w:rsidR="00AA2A91" w:rsidRDefault="00AA2A91" w:rsidP="00AA2A91"/>
        <w:p w14:paraId="4B8ACFBB" w14:textId="66564E04" w:rsidR="009A7658" w:rsidRDefault="009A7658" w:rsidP="00AA2A91">
          <w:pPr>
            <w:pStyle w:val="Heading1"/>
          </w:pPr>
          <w:bookmarkStart w:id="6" w:name="_Toc104027185"/>
        </w:p>
        <w:p w14:paraId="17FBC9E5" w14:textId="77777777" w:rsidR="009A7658" w:rsidRPr="009A7658" w:rsidRDefault="009A7658" w:rsidP="009A7658"/>
        <w:p w14:paraId="264A46E3" w14:textId="77777777" w:rsidR="009A7658" w:rsidRDefault="009A7658" w:rsidP="00AA2A91">
          <w:pPr>
            <w:pStyle w:val="Heading1"/>
          </w:pPr>
        </w:p>
        <w:p w14:paraId="58C49762" w14:textId="317D12E2" w:rsidR="00AA2A91" w:rsidRPr="00AA2A91" w:rsidRDefault="00AA2A91" w:rsidP="00AA2A91">
          <w:pPr>
            <w:pStyle w:val="Heading1"/>
          </w:pPr>
          <w:r>
            <w:t>Bibliography</w:t>
          </w:r>
          <w:bookmarkEnd w:id="6"/>
        </w:p>
        <w:p w14:paraId="08F07262" w14:textId="77777777" w:rsidR="004A11F6" w:rsidRPr="007D1947" w:rsidRDefault="004A11F6" w:rsidP="007D1947"/>
        <w:p w14:paraId="2858CFCD" w14:textId="09648B05" w:rsidR="00A90D2A" w:rsidRPr="00A90D2A" w:rsidRDefault="00E73FE4" w:rsidP="00A90D2A">
          <w:pPr>
            <w:spacing w:line="360" w:lineRule="auto"/>
            <w:jc w:val="both"/>
            <w:rPr>
              <w:rFonts w:ascii="Arial" w:hAnsi="Arial" w:cs="Arial"/>
              <w:sz w:val="24"/>
              <w:szCs w:val="24"/>
            </w:rPr>
          </w:pPr>
          <w:r w:rsidRPr="00A90D2A">
            <w:rPr>
              <w:rFonts w:ascii="Arial" w:hAnsi="Arial" w:cs="Arial"/>
              <w:sz w:val="24"/>
              <w:szCs w:val="24"/>
            </w:rPr>
            <w:lastRenderedPageBreak/>
            <w:t>ACCA Approved Study Text, 2018,” Advanced Financial Management (AFM)”, London</w:t>
          </w:r>
          <w:r w:rsidR="001863D4" w:rsidRPr="00A90D2A">
            <w:rPr>
              <w:rFonts w:ascii="Arial" w:hAnsi="Arial" w:cs="Arial"/>
              <w:sz w:val="24"/>
              <w:szCs w:val="24"/>
            </w:rPr>
            <w:t>, 3PP</w:t>
          </w:r>
          <w:r w:rsidRPr="00A90D2A">
            <w:rPr>
              <w:rFonts w:ascii="Arial" w:hAnsi="Arial" w:cs="Arial"/>
              <w:sz w:val="24"/>
              <w:szCs w:val="24"/>
            </w:rPr>
            <w:t xml:space="preserve"> Learning Media Ltd </w:t>
          </w:r>
        </w:p>
        <w:p w14:paraId="12668535" w14:textId="7E6F7995" w:rsidR="00E73FE4" w:rsidRPr="00A90D2A" w:rsidRDefault="00A90D2A" w:rsidP="00A90D2A">
          <w:pPr>
            <w:spacing w:line="360" w:lineRule="auto"/>
            <w:jc w:val="both"/>
            <w:rPr>
              <w:rFonts w:ascii="Arial" w:hAnsi="Arial" w:cs="Arial"/>
              <w:sz w:val="24"/>
              <w:szCs w:val="24"/>
            </w:rPr>
          </w:pPr>
          <w:r w:rsidRPr="00A90D2A">
            <w:rPr>
              <w:rFonts w:ascii="Arial" w:hAnsi="Arial" w:cs="Arial"/>
              <w:sz w:val="24"/>
              <w:szCs w:val="24"/>
            </w:rPr>
            <w:t xml:space="preserve">Corporate Finance Institute. 2022. Ratio Analysis Available </w:t>
          </w:r>
          <w:r w:rsidR="002344BD" w:rsidRPr="00A90D2A">
            <w:rPr>
              <w:rFonts w:ascii="Arial" w:hAnsi="Arial" w:cs="Arial"/>
              <w:sz w:val="24"/>
              <w:szCs w:val="24"/>
            </w:rPr>
            <w:t xml:space="preserve">at </w:t>
          </w:r>
          <w:hyperlink r:id="rId26" w:history="1">
            <w:r w:rsidRPr="00A90D2A">
              <w:rPr>
                <w:rStyle w:val="Hyperlink"/>
                <w:rFonts w:ascii="Arial" w:hAnsi="Arial" w:cs="Arial"/>
                <w:sz w:val="24"/>
                <w:szCs w:val="24"/>
              </w:rPr>
              <w:t>https://corporatefinanceinstitute.com/resources/knowledge/finance/ratio-analysis/</w:t>
            </w:r>
          </w:hyperlink>
          <w:r w:rsidRPr="00A90D2A">
            <w:rPr>
              <w:rFonts w:ascii="Arial" w:hAnsi="Arial" w:cs="Arial"/>
              <w:sz w:val="24"/>
              <w:szCs w:val="24"/>
            </w:rPr>
            <w:t xml:space="preserve">  Accessed 20/ 05/ 22</w:t>
          </w:r>
        </w:p>
      </w:sdtContent>
    </w:sdt>
    <w:p w14:paraId="0B60BCAC" w14:textId="02A52C2B" w:rsidR="00CA09F3" w:rsidRDefault="009547E7" w:rsidP="00A90D2A">
      <w:pPr>
        <w:spacing w:line="360" w:lineRule="auto"/>
        <w:jc w:val="both"/>
        <w:rPr>
          <w:rFonts w:ascii="Arial" w:hAnsi="Arial" w:cs="Arial"/>
          <w:sz w:val="24"/>
          <w:szCs w:val="24"/>
        </w:rPr>
      </w:pPr>
      <w:r w:rsidRPr="00A90D2A">
        <w:rPr>
          <w:rFonts w:ascii="Arial" w:hAnsi="Arial" w:cs="Arial"/>
          <w:sz w:val="24"/>
          <w:szCs w:val="24"/>
        </w:rPr>
        <w:t xml:space="preserve"> Davies</w:t>
      </w:r>
      <w:r w:rsidR="00276C72" w:rsidRPr="00A90D2A">
        <w:rPr>
          <w:rFonts w:ascii="Arial" w:hAnsi="Arial" w:cs="Arial"/>
          <w:sz w:val="24"/>
          <w:szCs w:val="24"/>
        </w:rPr>
        <w:t>. D</w:t>
      </w:r>
      <w:r w:rsidR="001863D4" w:rsidRPr="00A90D2A">
        <w:rPr>
          <w:rFonts w:ascii="Arial" w:hAnsi="Arial" w:cs="Arial"/>
          <w:sz w:val="24"/>
          <w:szCs w:val="24"/>
        </w:rPr>
        <w:t>, 2015</w:t>
      </w:r>
      <w:r w:rsidRPr="00A90D2A">
        <w:rPr>
          <w:rFonts w:ascii="Arial" w:hAnsi="Arial" w:cs="Arial"/>
          <w:sz w:val="24"/>
          <w:szCs w:val="24"/>
        </w:rPr>
        <w:t xml:space="preserve">, Managing Financial </w:t>
      </w:r>
      <w:r w:rsidR="001C53C0" w:rsidRPr="00A90D2A">
        <w:rPr>
          <w:rFonts w:ascii="Arial" w:hAnsi="Arial" w:cs="Arial"/>
          <w:sz w:val="24"/>
          <w:szCs w:val="24"/>
        </w:rPr>
        <w:t>Information</w:t>
      </w:r>
      <w:r w:rsidR="00E73FE4" w:rsidRPr="00A90D2A">
        <w:rPr>
          <w:rFonts w:ascii="Arial" w:hAnsi="Arial" w:cs="Arial"/>
          <w:sz w:val="24"/>
          <w:szCs w:val="24"/>
        </w:rPr>
        <w:t xml:space="preserve">, </w:t>
      </w:r>
      <w:r w:rsidR="002344BD">
        <w:rPr>
          <w:rFonts w:ascii="Arial" w:hAnsi="Arial" w:cs="Arial"/>
          <w:sz w:val="24"/>
          <w:szCs w:val="24"/>
        </w:rPr>
        <w:t>2</w:t>
      </w:r>
      <w:r w:rsidR="002344BD" w:rsidRPr="002344BD">
        <w:rPr>
          <w:rFonts w:ascii="Arial" w:hAnsi="Arial" w:cs="Arial"/>
          <w:sz w:val="24"/>
          <w:szCs w:val="24"/>
          <w:vertAlign w:val="superscript"/>
        </w:rPr>
        <w:t>nd</w:t>
      </w:r>
      <w:r w:rsidR="002344BD">
        <w:rPr>
          <w:rFonts w:ascii="Arial" w:hAnsi="Arial" w:cs="Arial"/>
          <w:sz w:val="24"/>
          <w:szCs w:val="24"/>
        </w:rPr>
        <w:t xml:space="preserve"> </w:t>
      </w:r>
      <w:r w:rsidR="002344BD" w:rsidRPr="00A90D2A">
        <w:rPr>
          <w:rFonts w:ascii="Arial" w:hAnsi="Arial" w:cs="Arial"/>
          <w:sz w:val="24"/>
          <w:szCs w:val="24"/>
        </w:rPr>
        <w:t>Edition</w:t>
      </w:r>
      <w:r w:rsidR="00E73FE4" w:rsidRPr="00A90D2A">
        <w:rPr>
          <w:rFonts w:ascii="Arial" w:hAnsi="Arial" w:cs="Arial"/>
          <w:sz w:val="24"/>
          <w:szCs w:val="24"/>
        </w:rPr>
        <w:t>, Wiltshire,</w:t>
      </w:r>
      <w:r w:rsidRPr="00A90D2A">
        <w:rPr>
          <w:rFonts w:ascii="Arial" w:hAnsi="Arial" w:cs="Arial"/>
          <w:sz w:val="24"/>
          <w:szCs w:val="24"/>
        </w:rPr>
        <w:t xml:space="preserve"> CIPD</w:t>
      </w:r>
    </w:p>
    <w:p w14:paraId="5DD6F6AB" w14:textId="0B9BB226" w:rsidR="00AE5C8D" w:rsidRPr="00A90D2A" w:rsidRDefault="00AE5C8D" w:rsidP="009A7658">
      <w:pPr>
        <w:jc w:val="both"/>
        <w:rPr>
          <w:rFonts w:ascii="Arial" w:hAnsi="Arial" w:cs="Arial"/>
          <w:sz w:val="24"/>
          <w:szCs w:val="24"/>
        </w:rPr>
      </w:pPr>
      <w:r w:rsidRPr="00AE5C8D">
        <w:rPr>
          <w:rFonts w:ascii="Arial" w:hAnsi="Arial" w:cs="Arial"/>
          <w:sz w:val="24"/>
          <w:szCs w:val="24"/>
        </w:rPr>
        <w:t>Finance.yahoo.com. 2022. Yahoo is part of the Yahoo family of brands Available at https://finance.yahoo.com/quote/HLT/balance-sheet/ Accessed 18/05/2022</w:t>
      </w:r>
    </w:p>
    <w:p w14:paraId="2A9FADB7" w14:textId="0C6C8C4D" w:rsidR="00A448A2" w:rsidRPr="00A90D2A" w:rsidRDefault="00A448A2" w:rsidP="00A90D2A">
      <w:pPr>
        <w:spacing w:line="360" w:lineRule="auto"/>
        <w:jc w:val="both"/>
        <w:rPr>
          <w:rFonts w:ascii="Arial" w:hAnsi="Arial" w:cs="Arial"/>
          <w:sz w:val="24"/>
          <w:szCs w:val="24"/>
        </w:rPr>
      </w:pPr>
      <w:r w:rsidRPr="00A90D2A">
        <w:rPr>
          <w:rFonts w:ascii="Arial" w:hAnsi="Arial" w:cs="Arial"/>
          <w:sz w:val="24"/>
          <w:szCs w:val="24"/>
        </w:rPr>
        <w:t>Hilton annual report 2022, Izoterma.in.ua. 2022. Hilton annual report 2022 Available at https://izoterma.in.ua/clc/hilton-annual-report-2022 Accessed 22 /05/2022</w:t>
      </w:r>
    </w:p>
    <w:p w14:paraId="62FEFC40" w14:textId="3A3E0A64" w:rsidR="00A448A2" w:rsidRPr="003E54AC" w:rsidRDefault="00A448A2" w:rsidP="00A90D2A">
      <w:pPr>
        <w:spacing w:line="360" w:lineRule="auto"/>
        <w:jc w:val="both"/>
        <w:rPr>
          <w:rFonts w:ascii="Arial" w:hAnsi="Arial" w:cs="Arial"/>
          <w:sz w:val="24"/>
          <w:szCs w:val="24"/>
        </w:rPr>
      </w:pPr>
      <w:r w:rsidRPr="00A90D2A">
        <w:rPr>
          <w:rFonts w:ascii="Arial" w:hAnsi="Arial" w:cs="Arial"/>
          <w:sz w:val="24"/>
          <w:szCs w:val="24"/>
        </w:rPr>
        <w:t xml:space="preserve">Griffiths. </w:t>
      </w:r>
      <w:r w:rsidR="00920BE0" w:rsidRPr="00A90D2A">
        <w:rPr>
          <w:rFonts w:ascii="Arial" w:hAnsi="Arial" w:cs="Arial"/>
          <w:sz w:val="24"/>
          <w:szCs w:val="24"/>
        </w:rPr>
        <w:t>A</w:t>
      </w:r>
      <w:r w:rsidRPr="00A90D2A">
        <w:rPr>
          <w:rFonts w:ascii="Arial" w:hAnsi="Arial" w:cs="Arial"/>
          <w:sz w:val="24"/>
          <w:szCs w:val="24"/>
        </w:rPr>
        <w:t xml:space="preserve"> Wall. S, 2011, “Economics for business and management “, 3rd edition, </w:t>
      </w:r>
      <w:r w:rsidRPr="003E54AC">
        <w:rPr>
          <w:rFonts w:ascii="Arial" w:hAnsi="Arial" w:cs="Arial"/>
          <w:sz w:val="24"/>
          <w:szCs w:val="24"/>
        </w:rPr>
        <w:t>Harlow, Pearson</w:t>
      </w:r>
    </w:p>
    <w:p w14:paraId="682FD0CD" w14:textId="13C3FE87" w:rsidR="00A448A2" w:rsidRPr="003E54AC" w:rsidRDefault="00A448A2" w:rsidP="00A90D2A">
      <w:pPr>
        <w:spacing w:line="360" w:lineRule="auto"/>
        <w:jc w:val="both"/>
        <w:rPr>
          <w:rFonts w:ascii="Arial" w:hAnsi="Arial" w:cs="Arial"/>
          <w:sz w:val="24"/>
          <w:szCs w:val="24"/>
        </w:rPr>
      </w:pPr>
      <w:r w:rsidRPr="003E54AC">
        <w:rPr>
          <w:rFonts w:ascii="Arial" w:hAnsi="Arial" w:cs="Arial"/>
          <w:sz w:val="24"/>
          <w:szCs w:val="24"/>
        </w:rPr>
        <w:t xml:space="preserve">Griffiths. </w:t>
      </w:r>
      <w:r w:rsidR="00920BE0" w:rsidRPr="003E54AC">
        <w:rPr>
          <w:rFonts w:ascii="Arial" w:hAnsi="Arial" w:cs="Arial"/>
          <w:sz w:val="24"/>
          <w:szCs w:val="24"/>
        </w:rPr>
        <w:t>A</w:t>
      </w:r>
      <w:r w:rsidRPr="003E54AC">
        <w:rPr>
          <w:rFonts w:ascii="Arial" w:hAnsi="Arial" w:cs="Arial"/>
          <w:sz w:val="24"/>
          <w:szCs w:val="24"/>
        </w:rPr>
        <w:t xml:space="preserve"> Wall. S</w:t>
      </w:r>
      <w:r w:rsidR="002344BD" w:rsidRPr="003E54AC">
        <w:rPr>
          <w:rFonts w:ascii="Arial" w:hAnsi="Arial" w:cs="Arial"/>
          <w:sz w:val="24"/>
          <w:szCs w:val="24"/>
        </w:rPr>
        <w:t>, 2007</w:t>
      </w:r>
      <w:r w:rsidRPr="003E54AC">
        <w:rPr>
          <w:rFonts w:ascii="Arial" w:hAnsi="Arial" w:cs="Arial"/>
          <w:sz w:val="24"/>
          <w:szCs w:val="24"/>
        </w:rPr>
        <w:t>, “Applied Economics”, 11th Edition, Harlow, Pearson</w:t>
      </w:r>
    </w:p>
    <w:p w14:paraId="246B76D9" w14:textId="085F981E" w:rsidR="003E54AC" w:rsidRPr="003E54AC" w:rsidRDefault="003E54AC" w:rsidP="003E54AC">
      <w:pPr>
        <w:rPr>
          <w:rFonts w:ascii="Arial" w:hAnsi="Arial" w:cs="Arial"/>
          <w:sz w:val="24"/>
          <w:szCs w:val="24"/>
        </w:rPr>
      </w:pPr>
      <w:r w:rsidRPr="003E54AC">
        <w:rPr>
          <w:rFonts w:ascii="Arial" w:hAnsi="Arial" w:cs="Arial"/>
          <w:sz w:val="24"/>
          <w:szCs w:val="24"/>
        </w:rPr>
        <w:t>Marr.B, 2012</w:t>
      </w:r>
      <w:r w:rsidR="00920BE0" w:rsidRPr="003E54AC">
        <w:rPr>
          <w:rFonts w:ascii="Arial" w:hAnsi="Arial" w:cs="Arial"/>
          <w:sz w:val="24"/>
          <w:szCs w:val="24"/>
        </w:rPr>
        <w:t>,” Key</w:t>
      </w:r>
      <w:r w:rsidRPr="003E54AC">
        <w:rPr>
          <w:rFonts w:ascii="Arial" w:hAnsi="Arial" w:cs="Arial"/>
          <w:sz w:val="24"/>
          <w:szCs w:val="24"/>
        </w:rPr>
        <w:t xml:space="preserve"> Performance Indicators: 75 Measures every Manager needs to know, UK, Pearson </w:t>
      </w:r>
    </w:p>
    <w:p w14:paraId="126975A3" w14:textId="77777777" w:rsidR="00E73FE4" w:rsidRPr="00A90D2A" w:rsidRDefault="00E73FE4" w:rsidP="00A90D2A">
      <w:pPr>
        <w:spacing w:line="360" w:lineRule="auto"/>
        <w:jc w:val="both"/>
        <w:rPr>
          <w:rFonts w:ascii="Arial" w:hAnsi="Arial" w:cs="Arial"/>
          <w:sz w:val="24"/>
          <w:szCs w:val="24"/>
        </w:rPr>
      </w:pPr>
      <w:r w:rsidRPr="00A90D2A">
        <w:rPr>
          <w:rFonts w:ascii="Arial" w:hAnsi="Arial" w:cs="Arial"/>
          <w:sz w:val="24"/>
          <w:szCs w:val="24"/>
        </w:rPr>
        <w:t>Malk, M. &amp; Schmidgall, R. (1993).” Financial analysis of the rooms department”. The Bottom Line, 8</w:t>
      </w:r>
    </w:p>
    <w:p w14:paraId="5EA81EA6" w14:textId="0332E3CE" w:rsidR="009E4E12" w:rsidRPr="00A90D2A" w:rsidRDefault="00FF1DDA" w:rsidP="00A90D2A">
      <w:pPr>
        <w:spacing w:line="360" w:lineRule="auto"/>
        <w:jc w:val="both"/>
        <w:rPr>
          <w:rFonts w:ascii="Arial" w:hAnsi="Arial" w:cs="Arial"/>
          <w:sz w:val="24"/>
          <w:szCs w:val="24"/>
        </w:rPr>
      </w:pPr>
      <w:r w:rsidRPr="00A90D2A">
        <w:rPr>
          <w:rFonts w:ascii="Arial" w:hAnsi="Arial" w:cs="Arial"/>
          <w:sz w:val="24"/>
          <w:szCs w:val="24"/>
        </w:rPr>
        <w:t xml:space="preserve">Paulo M Collier, </w:t>
      </w:r>
      <w:r w:rsidR="00E73FE4" w:rsidRPr="00A90D2A">
        <w:rPr>
          <w:rFonts w:ascii="Arial" w:hAnsi="Arial" w:cs="Arial"/>
          <w:sz w:val="24"/>
          <w:szCs w:val="24"/>
        </w:rPr>
        <w:t>2015</w:t>
      </w:r>
      <w:r w:rsidRPr="00A90D2A">
        <w:rPr>
          <w:rFonts w:ascii="Arial" w:hAnsi="Arial" w:cs="Arial"/>
          <w:sz w:val="24"/>
          <w:szCs w:val="24"/>
        </w:rPr>
        <w:t>,</w:t>
      </w:r>
      <w:r w:rsidR="00E73FE4" w:rsidRPr="00A90D2A">
        <w:rPr>
          <w:rFonts w:ascii="Arial" w:hAnsi="Arial" w:cs="Arial"/>
          <w:sz w:val="24"/>
          <w:szCs w:val="24"/>
        </w:rPr>
        <w:t>”</w:t>
      </w:r>
      <w:r w:rsidRPr="00A90D2A">
        <w:rPr>
          <w:rFonts w:ascii="Arial" w:hAnsi="Arial" w:cs="Arial"/>
          <w:sz w:val="24"/>
          <w:szCs w:val="24"/>
        </w:rPr>
        <w:t xml:space="preserve"> Accounting for managers, interpreting accounting information for decision making</w:t>
      </w:r>
      <w:r w:rsidR="00E73FE4" w:rsidRPr="00A90D2A">
        <w:rPr>
          <w:rFonts w:ascii="Arial" w:hAnsi="Arial" w:cs="Arial"/>
          <w:sz w:val="24"/>
          <w:szCs w:val="24"/>
        </w:rPr>
        <w:t>”</w:t>
      </w:r>
      <w:r w:rsidR="002344BD">
        <w:rPr>
          <w:rFonts w:ascii="Arial" w:hAnsi="Arial" w:cs="Arial"/>
          <w:sz w:val="24"/>
          <w:szCs w:val="24"/>
        </w:rPr>
        <w:t>, 5</w:t>
      </w:r>
      <w:r w:rsidR="002344BD" w:rsidRPr="002344BD">
        <w:rPr>
          <w:rFonts w:ascii="Arial" w:hAnsi="Arial" w:cs="Arial"/>
          <w:sz w:val="24"/>
          <w:szCs w:val="24"/>
          <w:vertAlign w:val="superscript"/>
        </w:rPr>
        <w:t>th</w:t>
      </w:r>
      <w:r w:rsidR="002344BD">
        <w:rPr>
          <w:rFonts w:ascii="Arial" w:hAnsi="Arial" w:cs="Arial"/>
          <w:sz w:val="24"/>
          <w:szCs w:val="24"/>
        </w:rPr>
        <w:t xml:space="preserve"> </w:t>
      </w:r>
      <w:r w:rsidR="002344BD" w:rsidRPr="00A90D2A">
        <w:rPr>
          <w:rFonts w:ascii="Arial" w:hAnsi="Arial" w:cs="Arial"/>
          <w:sz w:val="24"/>
          <w:szCs w:val="24"/>
        </w:rPr>
        <w:t>Edition</w:t>
      </w:r>
      <w:r w:rsidR="00E73FE4" w:rsidRPr="00A90D2A">
        <w:rPr>
          <w:rFonts w:ascii="Arial" w:hAnsi="Arial" w:cs="Arial"/>
          <w:sz w:val="24"/>
          <w:szCs w:val="24"/>
        </w:rPr>
        <w:t>, West Sussex, J</w:t>
      </w:r>
      <w:r w:rsidRPr="00A90D2A">
        <w:rPr>
          <w:rFonts w:ascii="Arial" w:hAnsi="Arial" w:cs="Arial"/>
          <w:sz w:val="24"/>
          <w:szCs w:val="24"/>
        </w:rPr>
        <w:t>ohn Wiley &amp;Son Ltd</w:t>
      </w:r>
    </w:p>
    <w:p w14:paraId="17E03C24" w14:textId="6699376A" w:rsidR="00A5631F" w:rsidRDefault="000158F9" w:rsidP="00A5631F">
      <w:pPr>
        <w:pStyle w:val="NormalWeb"/>
        <w:shd w:val="clear" w:color="auto" w:fill="FFFFFF"/>
        <w:spacing w:before="0" w:beforeAutospacing="0" w:after="0" w:afterAutospacing="0" w:line="360" w:lineRule="auto"/>
        <w:ind w:hanging="120"/>
        <w:jc w:val="both"/>
        <w:rPr>
          <w:rFonts w:ascii="Arial" w:hAnsi="Arial" w:cs="Arial"/>
          <w:color w:val="000000"/>
        </w:rPr>
      </w:pPr>
      <w:r>
        <w:rPr>
          <w:rFonts w:ascii="Arial" w:hAnsi="Arial" w:cs="Arial"/>
        </w:rPr>
        <w:t xml:space="preserve">  </w:t>
      </w:r>
      <w:r w:rsidR="009E4E12" w:rsidRPr="00A90D2A">
        <w:rPr>
          <w:rFonts w:ascii="Arial" w:hAnsi="Arial" w:cs="Arial"/>
        </w:rPr>
        <w:t xml:space="preserve">Solman. </w:t>
      </w:r>
      <w:r w:rsidR="005C4D40" w:rsidRPr="00A90D2A">
        <w:rPr>
          <w:rFonts w:ascii="Arial" w:hAnsi="Arial" w:cs="Arial"/>
        </w:rPr>
        <w:t>J,</w:t>
      </w:r>
      <w:r w:rsidR="009E4E12" w:rsidRPr="00A90D2A">
        <w:rPr>
          <w:rFonts w:ascii="Arial" w:hAnsi="Arial" w:cs="Arial"/>
        </w:rPr>
        <w:t xml:space="preserve"> </w:t>
      </w:r>
      <w:r w:rsidR="005C4D40" w:rsidRPr="00A90D2A">
        <w:rPr>
          <w:rFonts w:ascii="Arial" w:hAnsi="Arial" w:cs="Arial"/>
        </w:rPr>
        <w:t>Jones. E</w:t>
      </w:r>
      <w:r w:rsidR="009E4E12" w:rsidRPr="00A90D2A">
        <w:rPr>
          <w:rFonts w:ascii="Arial" w:hAnsi="Arial" w:cs="Arial"/>
        </w:rPr>
        <w:t xml:space="preserve">, </w:t>
      </w:r>
      <w:r w:rsidR="00276C72" w:rsidRPr="00A90D2A">
        <w:rPr>
          <w:rFonts w:ascii="Arial" w:hAnsi="Arial" w:cs="Arial"/>
        </w:rPr>
        <w:t>2017, “</w:t>
      </w:r>
      <w:r w:rsidR="009E4E12" w:rsidRPr="00A90D2A">
        <w:rPr>
          <w:rFonts w:ascii="Arial" w:hAnsi="Arial" w:cs="Arial"/>
        </w:rPr>
        <w:t>Essent</w:t>
      </w:r>
      <w:r w:rsidR="002344BD">
        <w:rPr>
          <w:rFonts w:ascii="Arial" w:hAnsi="Arial" w:cs="Arial"/>
        </w:rPr>
        <w:t>ial Economics for business”, 5</w:t>
      </w:r>
      <w:r w:rsidR="002344BD" w:rsidRPr="002344BD">
        <w:rPr>
          <w:rFonts w:ascii="Arial" w:hAnsi="Arial" w:cs="Arial"/>
          <w:vertAlign w:val="superscript"/>
        </w:rPr>
        <w:t>th</w:t>
      </w:r>
      <w:r w:rsidR="002344BD">
        <w:rPr>
          <w:rFonts w:ascii="Arial" w:hAnsi="Arial" w:cs="Arial"/>
        </w:rPr>
        <w:t xml:space="preserve"> </w:t>
      </w:r>
      <w:r w:rsidR="002344BD" w:rsidRPr="00A90D2A">
        <w:rPr>
          <w:rFonts w:ascii="Arial" w:hAnsi="Arial" w:cs="Arial"/>
        </w:rPr>
        <w:t>Edition</w:t>
      </w:r>
      <w:r w:rsidR="00276C72" w:rsidRPr="00A90D2A">
        <w:rPr>
          <w:rFonts w:ascii="Arial" w:hAnsi="Arial" w:cs="Arial"/>
        </w:rPr>
        <w:t xml:space="preserve">, Harlow, </w:t>
      </w:r>
      <w:r w:rsidR="005C4D40" w:rsidRPr="00A90D2A">
        <w:rPr>
          <w:rFonts w:ascii="Arial" w:hAnsi="Arial" w:cs="Arial"/>
        </w:rPr>
        <w:t>Pearson</w:t>
      </w:r>
      <w:r w:rsidR="00A5631F" w:rsidRPr="00A5631F">
        <w:rPr>
          <w:rFonts w:ascii="Arial" w:hAnsi="Arial" w:cs="Arial"/>
          <w:color w:val="000000"/>
        </w:rPr>
        <w:t xml:space="preserve"> </w:t>
      </w:r>
    </w:p>
    <w:p w14:paraId="789FA1A4" w14:textId="275006B6" w:rsidR="005C4D40" w:rsidRPr="003E54AC" w:rsidRDefault="00A5631F" w:rsidP="009A7658">
      <w:pPr>
        <w:pStyle w:val="NormalWeb"/>
        <w:shd w:val="clear" w:color="auto" w:fill="FFFFFF"/>
        <w:spacing w:before="0" w:beforeAutospacing="0" w:after="0" w:afterAutospacing="0" w:line="360" w:lineRule="auto"/>
        <w:jc w:val="both"/>
        <w:rPr>
          <w:rFonts w:ascii="Arial" w:hAnsi="Arial" w:cs="Arial"/>
          <w:color w:val="666666"/>
        </w:rPr>
      </w:pPr>
      <w:r w:rsidRPr="003E54AC">
        <w:rPr>
          <w:rStyle w:val="selectable"/>
          <w:rFonts w:ascii="Arial" w:hAnsi="Arial" w:cs="Arial"/>
          <w:color w:val="000000"/>
        </w:rPr>
        <w:t>Smart Capital Mind. 2022. </w:t>
      </w:r>
      <w:r w:rsidRPr="003E54AC">
        <w:rPr>
          <w:rStyle w:val="selectable"/>
          <w:rFonts w:ascii="Arial" w:hAnsi="Arial" w:cs="Arial"/>
          <w:i/>
          <w:iCs/>
          <w:color w:val="000000"/>
        </w:rPr>
        <w:t>What Is the Connection between Trend and Ratio Analysis?</w:t>
      </w:r>
      <w:r w:rsidRPr="003E54AC">
        <w:rPr>
          <w:rStyle w:val="selectable"/>
          <w:rFonts w:ascii="Arial" w:hAnsi="Arial" w:cs="Arial"/>
          <w:color w:val="000000"/>
        </w:rPr>
        <w:t xml:space="preserve">  Available at: https://www.smartcapitalmind.com/what-is-the-connection-between-trend-and-ratio-analysis.htlm accessed 19/05/202</w:t>
      </w:r>
      <w:r w:rsidR="005B0024" w:rsidRPr="003E54AC">
        <w:rPr>
          <w:rStyle w:val="selectable"/>
          <w:rFonts w:ascii="Arial" w:hAnsi="Arial" w:cs="Arial"/>
          <w:color w:val="000000"/>
        </w:rPr>
        <w:t>2</w:t>
      </w:r>
    </w:p>
    <w:p w14:paraId="73C3F3C2" w14:textId="67721878" w:rsidR="003E54AC" w:rsidRPr="003E54AC" w:rsidRDefault="003E54AC" w:rsidP="003E54AC">
      <w:pPr>
        <w:rPr>
          <w:rFonts w:ascii="Arial" w:hAnsi="Arial" w:cs="Arial"/>
          <w:sz w:val="24"/>
          <w:szCs w:val="24"/>
        </w:rPr>
      </w:pPr>
      <w:r w:rsidRPr="003E54AC">
        <w:rPr>
          <w:rFonts w:ascii="Arial" w:hAnsi="Arial" w:cs="Arial"/>
          <w:sz w:val="24"/>
          <w:szCs w:val="24"/>
        </w:rPr>
        <w:t>Walsh.C,2010, “Key Management Ratios- The 100+Ratios every Manager needs to Know, 4</w:t>
      </w:r>
      <w:r w:rsidRPr="003E54AC">
        <w:rPr>
          <w:rFonts w:ascii="Arial" w:hAnsi="Arial" w:cs="Arial"/>
          <w:sz w:val="24"/>
          <w:szCs w:val="24"/>
          <w:vertAlign w:val="superscript"/>
        </w:rPr>
        <w:t>th</w:t>
      </w:r>
      <w:r w:rsidRPr="003E54AC">
        <w:rPr>
          <w:rFonts w:ascii="Arial" w:hAnsi="Arial" w:cs="Arial"/>
          <w:sz w:val="24"/>
          <w:szCs w:val="24"/>
        </w:rPr>
        <w:t xml:space="preserve"> </w:t>
      </w:r>
      <w:r w:rsidR="00920BE0" w:rsidRPr="003E54AC">
        <w:rPr>
          <w:rFonts w:ascii="Arial" w:hAnsi="Arial" w:cs="Arial"/>
          <w:sz w:val="24"/>
          <w:szCs w:val="24"/>
        </w:rPr>
        <w:t>Edition, UK, Prentice</w:t>
      </w:r>
      <w:r w:rsidRPr="003E54AC">
        <w:rPr>
          <w:rFonts w:ascii="Arial" w:hAnsi="Arial" w:cs="Arial"/>
          <w:sz w:val="24"/>
          <w:szCs w:val="24"/>
        </w:rPr>
        <w:t xml:space="preserve"> Hall </w:t>
      </w:r>
    </w:p>
    <w:p w14:paraId="6BA488A1" w14:textId="5A4D0DA7" w:rsidR="00FF1DDA" w:rsidRDefault="00FF1DDA"/>
    <w:sectPr w:rsidR="00FF1DDA"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62463" w14:textId="77777777" w:rsidR="004277B8" w:rsidRDefault="004277B8" w:rsidP="00316A65">
      <w:pPr>
        <w:spacing w:after="0" w:line="240" w:lineRule="auto"/>
      </w:pPr>
      <w:r>
        <w:separator/>
      </w:r>
    </w:p>
  </w:endnote>
  <w:endnote w:type="continuationSeparator" w:id="0">
    <w:p w14:paraId="29847D0D" w14:textId="77777777" w:rsidR="004277B8" w:rsidRDefault="004277B8" w:rsidP="00316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B7FF3" w14:textId="77777777" w:rsidR="004277B8" w:rsidRDefault="004277B8" w:rsidP="00316A65">
      <w:pPr>
        <w:spacing w:after="0" w:line="240" w:lineRule="auto"/>
      </w:pPr>
      <w:r>
        <w:separator/>
      </w:r>
    </w:p>
  </w:footnote>
  <w:footnote w:type="continuationSeparator" w:id="0">
    <w:p w14:paraId="5443424B" w14:textId="77777777" w:rsidR="004277B8" w:rsidRDefault="004277B8" w:rsidP="00316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95B45"/>
    <w:multiLevelType w:val="hybridMultilevel"/>
    <w:tmpl w:val="7F2C20E6"/>
    <w:lvl w:ilvl="0" w:tplc="08090017">
      <w:start w:val="1"/>
      <w:numFmt w:val="low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 w15:restartNumberingAfterBreak="0">
    <w:nsid w:val="2D8157F3"/>
    <w:multiLevelType w:val="hybridMultilevel"/>
    <w:tmpl w:val="7F2C20E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A961FF1"/>
    <w:multiLevelType w:val="hybridMultilevel"/>
    <w:tmpl w:val="182A5C94"/>
    <w:lvl w:ilvl="0" w:tplc="998C12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1F0BE7"/>
    <w:multiLevelType w:val="hybridMultilevel"/>
    <w:tmpl w:val="17AC7456"/>
    <w:lvl w:ilvl="0" w:tplc="23DE64F8">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C531D1"/>
    <w:multiLevelType w:val="hybridMultilevel"/>
    <w:tmpl w:val="1140415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775F5810"/>
    <w:multiLevelType w:val="hybridMultilevel"/>
    <w:tmpl w:val="7F2C20E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D4E79AD"/>
    <w:multiLevelType w:val="hybridMultilevel"/>
    <w:tmpl w:val="4DA2CE6C"/>
    <w:lvl w:ilvl="0" w:tplc="C736D6B4">
      <w:start w:val="3"/>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2125689771">
    <w:abstractNumId w:val="5"/>
  </w:num>
  <w:num w:numId="2" w16cid:durableId="1539079000">
    <w:abstractNumId w:val="5"/>
  </w:num>
  <w:num w:numId="3" w16cid:durableId="1545483892">
    <w:abstractNumId w:val="4"/>
  </w:num>
  <w:num w:numId="4" w16cid:durableId="1198933557">
    <w:abstractNumId w:val="2"/>
  </w:num>
  <w:num w:numId="5" w16cid:durableId="11977005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93806">
    <w:abstractNumId w:val="0"/>
  </w:num>
  <w:num w:numId="7" w16cid:durableId="1825854994">
    <w:abstractNumId w:val="6"/>
  </w:num>
  <w:num w:numId="8" w16cid:durableId="748306679">
    <w:abstractNumId w:val="1"/>
  </w:num>
  <w:num w:numId="9" w16cid:durableId="10111756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58F9"/>
    <w:rsid w:val="000203A4"/>
    <w:rsid w:val="00070245"/>
    <w:rsid w:val="000A089D"/>
    <w:rsid w:val="000D278A"/>
    <w:rsid w:val="000E3768"/>
    <w:rsid w:val="000F0AD3"/>
    <w:rsid w:val="00115B96"/>
    <w:rsid w:val="0012765F"/>
    <w:rsid w:val="00174F43"/>
    <w:rsid w:val="001863D4"/>
    <w:rsid w:val="001B7C4C"/>
    <w:rsid w:val="001C2D36"/>
    <w:rsid w:val="001C2EC1"/>
    <w:rsid w:val="001C53C0"/>
    <w:rsid w:val="001C7BDE"/>
    <w:rsid w:val="001E4E42"/>
    <w:rsid w:val="0020009D"/>
    <w:rsid w:val="00203775"/>
    <w:rsid w:val="002344BD"/>
    <w:rsid w:val="002578A1"/>
    <w:rsid w:val="00276C72"/>
    <w:rsid w:val="002777BB"/>
    <w:rsid w:val="002A076B"/>
    <w:rsid w:val="002B4B65"/>
    <w:rsid w:val="002F5DE2"/>
    <w:rsid w:val="00316A65"/>
    <w:rsid w:val="00324CCD"/>
    <w:rsid w:val="00335DDD"/>
    <w:rsid w:val="003A5B95"/>
    <w:rsid w:val="003B385B"/>
    <w:rsid w:val="003D3EEB"/>
    <w:rsid w:val="003E54AC"/>
    <w:rsid w:val="004277B8"/>
    <w:rsid w:val="004818C5"/>
    <w:rsid w:val="00481C9E"/>
    <w:rsid w:val="00496F88"/>
    <w:rsid w:val="004A11F6"/>
    <w:rsid w:val="004A7BF8"/>
    <w:rsid w:val="004B2EEA"/>
    <w:rsid w:val="004D519C"/>
    <w:rsid w:val="004F61C4"/>
    <w:rsid w:val="005B0024"/>
    <w:rsid w:val="005C4D40"/>
    <w:rsid w:val="00616514"/>
    <w:rsid w:val="00632F41"/>
    <w:rsid w:val="00640A9F"/>
    <w:rsid w:val="006A6EDD"/>
    <w:rsid w:val="006F5231"/>
    <w:rsid w:val="00703501"/>
    <w:rsid w:val="00720CB4"/>
    <w:rsid w:val="007444E1"/>
    <w:rsid w:val="0076247D"/>
    <w:rsid w:val="007A7EE8"/>
    <w:rsid w:val="007D1947"/>
    <w:rsid w:val="007D2FE4"/>
    <w:rsid w:val="007E1251"/>
    <w:rsid w:val="007F4C4B"/>
    <w:rsid w:val="00802468"/>
    <w:rsid w:val="00821C15"/>
    <w:rsid w:val="00836C56"/>
    <w:rsid w:val="00862DF1"/>
    <w:rsid w:val="008651E2"/>
    <w:rsid w:val="00895950"/>
    <w:rsid w:val="008A16FD"/>
    <w:rsid w:val="008B46F0"/>
    <w:rsid w:val="008C40D8"/>
    <w:rsid w:val="008E3200"/>
    <w:rsid w:val="00920BE0"/>
    <w:rsid w:val="00947E04"/>
    <w:rsid w:val="009547E7"/>
    <w:rsid w:val="009A395D"/>
    <w:rsid w:val="009A7658"/>
    <w:rsid w:val="009C1CE2"/>
    <w:rsid w:val="009E2464"/>
    <w:rsid w:val="009E4E12"/>
    <w:rsid w:val="009E4E16"/>
    <w:rsid w:val="00A171A3"/>
    <w:rsid w:val="00A448A2"/>
    <w:rsid w:val="00A5631F"/>
    <w:rsid w:val="00A90D2A"/>
    <w:rsid w:val="00A92609"/>
    <w:rsid w:val="00AA2A91"/>
    <w:rsid w:val="00AE0216"/>
    <w:rsid w:val="00AE5C8D"/>
    <w:rsid w:val="00B0450E"/>
    <w:rsid w:val="00B130BB"/>
    <w:rsid w:val="00B13B93"/>
    <w:rsid w:val="00B273B4"/>
    <w:rsid w:val="00B822D8"/>
    <w:rsid w:val="00C3117B"/>
    <w:rsid w:val="00C31F7A"/>
    <w:rsid w:val="00C35B44"/>
    <w:rsid w:val="00C71FB5"/>
    <w:rsid w:val="00CA09F3"/>
    <w:rsid w:val="00CB2D88"/>
    <w:rsid w:val="00CB5030"/>
    <w:rsid w:val="00CC33F0"/>
    <w:rsid w:val="00D10672"/>
    <w:rsid w:val="00D40596"/>
    <w:rsid w:val="00D854A5"/>
    <w:rsid w:val="00DB3A32"/>
    <w:rsid w:val="00DB6A70"/>
    <w:rsid w:val="00E10313"/>
    <w:rsid w:val="00E34B0B"/>
    <w:rsid w:val="00E51C3C"/>
    <w:rsid w:val="00E56149"/>
    <w:rsid w:val="00E73FE4"/>
    <w:rsid w:val="00EE551F"/>
    <w:rsid w:val="00EF5F3E"/>
    <w:rsid w:val="00FF1D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316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A65"/>
  </w:style>
  <w:style w:type="paragraph" w:styleId="Footer">
    <w:name w:val="footer"/>
    <w:basedOn w:val="Normal"/>
    <w:link w:val="FooterChar"/>
    <w:uiPriority w:val="99"/>
    <w:unhideWhenUsed/>
    <w:rsid w:val="00316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A65"/>
  </w:style>
  <w:style w:type="paragraph" w:styleId="NormalWeb">
    <w:name w:val="Normal (Web)"/>
    <w:basedOn w:val="Normal"/>
    <w:uiPriority w:val="99"/>
    <w:unhideWhenUsed/>
    <w:rsid w:val="00A448A2"/>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selectable">
    <w:name w:val="selectable"/>
    <w:basedOn w:val="DefaultParagraphFont"/>
    <w:rsid w:val="00A448A2"/>
  </w:style>
  <w:style w:type="character" w:styleId="Strong">
    <w:name w:val="Strong"/>
    <w:basedOn w:val="DefaultParagraphFont"/>
    <w:uiPriority w:val="22"/>
    <w:qFormat/>
    <w:rsid w:val="00A448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85427">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 w:id="1664695160">
      <w:bodyDiv w:val="1"/>
      <w:marLeft w:val="0"/>
      <w:marRight w:val="0"/>
      <w:marTop w:val="0"/>
      <w:marBottom w:val="0"/>
      <w:divBdr>
        <w:top w:val="none" w:sz="0" w:space="0" w:color="auto"/>
        <w:left w:val="none" w:sz="0" w:space="0" w:color="auto"/>
        <w:bottom w:val="none" w:sz="0" w:space="0" w:color="auto"/>
        <w:right w:val="none" w:sz="0" w:space="0" w:color="auto"/>
      </w:divBdr>
    </w:div>
    <w:div w:id="180368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chart" Target="charts/chart3.xml"/><Relationship Id="rId26" Type="http://schemas.openxmlformats.org/officeDocument/2006/relationships/hyperlink" Target="https://corporatefinanceinstitute.com/resources/knowledge/finance/ratio-analysis/" TargetMode="External"/><Relationship Id="rId3" Type="http://schemas.openxmlformats.org/officeDocument/2006/relationships/customXml" Target="../customXml/item3.xml"/><Relationship Id="rId21" Type="http://schemas.openxmlformats.org/officeDocument/2006/relationships/chart" Target="charts/chart6.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hart" Target="charts/chart2.xm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hart" Target="charts/chart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5.png"/><Relationship Id="rId5" Type="http://schemas.openxmlformats.org/officeDocument/2006/relationships/customXml" Target="../customXml/item5.xml"/><Relationship Id="rId15" Type="http://schemas.microsoft.com/office/2014/relationships/chartEx" Target="charts/chartEx1.xml"/><Relationship Id="rId23" Type="http://schemas.openxmlformats.org/officeDocument/2006/relationships/image" Target="media/image4.png"/><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1.xml"/><Relationship Id="rId22" Type="http://schemas.openxmlformats.org/officeDocument/2006/relationships/chart" Target="charts/chart7.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Financial%20Management\Horizontal%20Calculations%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8560892388451444"/>
          <c:y val="2.5428331875182269E-2"/>
          <c:w val="0.81439107611548556"/>
          <c:h val="0.92087962962962966"/>
        </c:manualLayout>
      </c:layout>
      <c:barChart>
        <c:barDir val="col"/>
        <c:grouping val="clustered"/>
        <c:varyColors val="0"/>
        <c:ser>
          <c:idx val="0"/>
          <c:order val="0"/>
          <c:tx>
            <c:strRef>
              <c:f>'Task 5'!$A$5</c:f>
              <c:strCache>
                <c:ptCount val="1"/>
                <c:pt idx="0">
                  <c:v>Sales</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numRef>
              <c:f>'Task 5'!$B$4:$F$4</c:f>
              <c:numCache>
                <c:formatCode>m/d/yyyy</c:formatCode>
                <c:ptCount val="5"/>
                <c:pt idx="0">
                  <c:v>44561</c:v>
                </c:pt>
                <c:pt idx="1">
                  <c:v>44196</c:v>
                </c:pt>
              </c:numCache>
            </c:numRef>
          </c:cat>
          <c:val>
            <c:numRef>
              <c:f>'Task 5'!$B$5:$F$5</c:f>
              <c:numCache>
                <c:formatCode>#,##0</c:formatCode>
                <c:ptCount val="5"/>
                <c:pt idx="0">
                  <c:v>4307000</c:v>
                </c:pt>
                <c:pt idx="1">
                  <c:v>9452000</c:v>
                </c:pt>
                <c:pt idx="2">
                  <c:v>-5145000</c:v>
                </c:pt>
                <c:pt idx="3" formatCode="General">
                  <c:v>-54.432924248836223</c:v>
                </c:pt>
                <c:pt idx="4" formatCode="0%">
                  <c:v>-0.55000000000000004</c:v>
                </c:pt>
              </c:numCache>
            </c:numRef>
          </c:val>
          <c:extLst>
            <c:ext xmlns:c16="http://schemas.microsoft.com/office/drawing/2014/chart" uri="{C3380CC4-5D6E-409C-BE32-E72D297353CC}">
              <c16:uniqueId val="{00000001-C5F2-4C8F-AB5F-A0868277F907}"/>
            </c:ext>
          </c:extLst>
        </c:ser>
        <c:dLbls>
          <c:showLegendKey val="0"/>
          <c:showVal val="0"/>
          <c:showCatName val="0"/>
          <c:showSerName val="0"/>
          <c:showPercent val="0"/>
          <c:showBubbleSize val="0"/>
        </c:dLbls>
        <c:gapWidth val="219"/>
        <c:overlap val="-27"/>
        <c:axId val="562576584"/>
        <c:axId val="562577896"/>
      </c:barChart>
      <c:dateAx>
        <c:axId val="562576584"/>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577896"/>
        <c:crosses val="autoZero"/>
        <c:auto val="1"/>
        <c:lblOffset val="100"/>
        <c:baseTimeUnit val="years"/>
      </c:dateAx>
      <c:valAx>
        <c:axId val="5625778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576584"/>
        <c:crosses val="autoZero"/>
        <c:crossBetween val="between"/>
      </c:valAx>
      <c:spPr>
        <a:noFill/>
        <a:ln>
          <a:noFill/>
        </a:ln>
        <a:effectLst/>
      </c:spPr>
    </c:plotArea>
    <c:legend>
      <c:legendPos val="r"/>
      <c:layout>
        <c:manualLayout>
          <c:xMode val="edge"/>
          <c:yMode val="edge"/>
          <c:x val="0.64879695858628361"/>
          <c:y val="0.75810940955215245"/>
          <c:w val="0.32830227805493778"/>
          <c:h val="0.2349093764854196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'Task 5'!$A$7</c:f>
              <c:strCache>
                <c:ptCount val="1"/>
                <c:pt idx="0">
                  <c:v>Gross profit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51-4097-93CF-FD2599EDB9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51-4097-93CF-FD2599EDB9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451-4097-93CF-FD2599EDB90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451-4097-93CF-FD2599EDB90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451-4097-93CF-FD2599EDB9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'Task 5'!$B$7:$F$7</c:f>
              <c:numCache>
                <c:formatCode>#,##0</c:formatCode>
                <c:ptCount val="5"/>
                <c:pt idx="0">
                  <c:v>583000</c:v>
                </c:pt>
                <c:pt idx="1">
                  <c:v>2435000</c:v>
                </c:pt>
                <c:pt idx="2">
                  <c:v>-1852000</c:v>
                </c:pt>
                <c:pt idx="3" formatCode="General">
                  <c:v>-76.05749486652978</c:v>
                </c:pt>
                <c:pt idx="4" formatCode="0%">
                  <c:v>-0.76</c:v>
                </c:pt>
              </c:numCache>
            </c:numRef>
          </c:val>
          <c:extLst>
            <c:ext xmlns:c16="http://schemas.microsoft.com/office/drawing/2014/chart" uri="{C3380CC4-5D6E-409C-BE32-E72D297353CC}">
              <c16:uniqueId val="{0000000A-4451-4097-93CF-FD2599EDB90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0"/>
          <c:order val="0"/>
          <c:tx>
            <c:strRef>
              <c:f>'Task 5'!$A$8</c:f>
              <c:strCache>
                <c:ptCount val="1"/>
                <c:pt idx="0">
                  <c:v>Operating Expenses</c:v>
                </c:pt>
              </c:strCache>
            </c:strRef>
          </c:tx>
          <c:spPr>
            <a:ln w="25400" cap="rnd">
              <a:solidFill>
                <a:schemeClr val="lt1"/>
              </a:solidFill>
              <a:round/>
            </a:ln>
            <a:effectLst>
              <a:outerShdw dist="25400" dir="2700000" algn="tl" rotWithShape="0">
                <a:schemeClr val="accent1"/>
              </a:outerShdw>
            </a:effectLst>
          </c:spPr>
          <c:marker>
            <c:symbol val="none"/>
          </c:marker>
          <c:dLbls>
            <c:spPr>
              <a:solidFill>
                <a:schemeClr val="accent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val>
            <c:numRef>
              <c:f>'Task 5'!$B$8:$F$8</c:f>
              <c:numCache>
                <c:formatCode>#,##0</c:formatCode>
                <c:ptCount val="5"/>
                <c:pt idx="0">
                  <c:v>702000</c:v>
                </c:pt>
                <c:pt idx="1">
                  <c:v>859000</c:v>
                </c:pt>
                <c:pt idx="2">
                  <c:v>-157000</c:v>
                </c:pt>
                <c:pt idx="3" formatCode="General">
                  <c:v>-18.277066356228172</c:v>
                </c:pt>
                <c:pt idx="4" formatCode="0%">
                  <c:v>-0.18</c:v>
                </c:pt>
              </c:numCache>
            </c:numRef>
          </c:val>
          <c:smooth val="0"/>
          <c:extLst>
            <c:ext xmlns:c16="http://schemas.microsoft.com/office/drawing/2014/chart" uri="{C3380CC4-5D6E-409C-BE32-E72D297353CC}">
              <c16:uniqueId val="{00000000-C282-4C44-9FFF-453ADC615FB6}"/>
            </c:ext>
          </c:extLst>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589356088"/>
        <c:axId val="589355760"/>
      </c:lineChart>
      <c:catAx>
        <c:axId val="589356088"/>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30" baseline="0">
                <a:solidFill>
                  <a:schemeClr val="lt1"/>
                </a:solidFill>
                <a:latin typeface="+mn-lt"/>
                <a:ea typeface="+mn-ea"/>
                <a:cs typeface="+mn-cs"/>
              </a:defRPr>
            </a:pPr>
            <a:endParaRPr lang="en-US"/>
          </a:p>
        </c:txPr>
        <c:crossAx val="589355760"/>
        <c:crosses val="autoZero"/>
        <c:auto val="1"/>
        <c:lblAlgn val="ctr"/>
        <c:lblOffset val="100"/>
        <c:noMultiLvlLbl val="0"/>
      </c:catAx>
      <c:valAx>
        <c:axId val="589355760"/>
        <c:scaling>
          <c:orientation val="minMax"/>
        </c:scaling>
        <c:delete val="1"/>
        <c:axPos val="l"/>
        <c:numFmt formatCode="#,##0" sourceLinked="1"/>
        <c:majorTickMark val="none"/>
        <c:minorTickMark val="none"/>
        <c:tickLblPos val="nextTo"/>
        <c:crossAx val="5893560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lt1">
          <a:lumMod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'Task 5'!$A$10</c:f>
              <c:strCache>
                <c:ptCount val="1"/>
                <c:pt idx="0">
                  <c:v>Interest Expense</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'Task 5'!$B$10:$F$10</c:f>
              <c:numCache>
                <c:formatCode>#,##0</c:formatCode>
                <c:ptCount val="5"/>
                <c:pt idx="0">
                  <c:v>429000</c:v>
                </c:pt>
                <c:pt idx="1">
                  <c:v>414000</c:v>
                </c:pt>
                <c:pt idx="2">
                  <c:v>15000</c:v>
                </c:pt>
                <c:pt idx="3" formatCode="General">
                  <c:v>3.6231884057971016</c:v>
                </c:pt>
                <c:pt idx="4" formatCode="0%">
                  <c:v>0.04</c:v>
                </c:pt>
              </c:numCache>
            </c:numRef>
          </c:val>
          <c:smooth val="0"/>
          <c:extLst>
            <c:ext xmlns:c16="http://schemas.microsoft.com/office/drawing/2014/chart" uri="{C3380CC4-5D6E-409C-BE32-E72D297353CC}">
              <c16:uniqueId val="{00000000-CA39-40D8-8AC8-B3BA2BC1BB3C}"/>
            </c:ext>
          </c:extLst>
        </c:ser>
        <c:dLbls>
          <c:showLegendKey val="0"/>
          <c:showVal val="1"/>
          <c:showCatName val="0"/>
          <c:showSerName val="0"/>
          <c:showPercent val="0"/>
          <c:showBubbleSize val="0"/>
        </c:dLbls>
        <c:axId val="565337120"/>
        <c:axId val="565340400"/>
        <c:axId val="565207224"/>
      </c:line3DChart>
      <c:catAx>
        <c:axId val="565337120"/>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340400"/>
        <c:crosses val="autoZero"/>
        <c:auto val="1"/>
        <c:lblAlgn val="ctr"/>
        <c:lblOffset val="100"/>
        <c:noMultiLvlLbl val="0"/>
      </c:catAx>
      <c:valAx>
        <c:axId val="5653404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337120"/>
        <c:crosses val="autoZero"/>
        <c:crossBetween val="between"/>
      </c:valAx>
      <c:serAx>
        <c:axId val="565207224"/>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340400"/>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ofPieChart>
        <c:ofPieType val="pie"/>
        <c:varyColors val="1"/>
        <c:ser>
          <c:idx val="0"/>
          <c:order val="0"/>
          <c:tx>
            <c:strRef>
              <c:f>'Task 5'!$A$12</c:f>
              <c:strCache>
                <c:ptCount val="1"/>
                <c:pt idx="0">
                  <c:v>Income before taxes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B37-4055-BD39-4B8FF220E0D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B37-4055-BD39-4B8FF220E0D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B37-4055-BD39-4B8FF220E0D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B37-4055-BD39-4B8FF220E0D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B37-4055-BD39-4B8FF220E0D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B37-4055-BD39-4B8FF220E0D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'Task 5'!$B$12:$F$12</c:f>
              <c:numCache>
                <c:formatCode>#,##0</c:formatCode>
                <c:ptCount val="5"/>
                <c:pt idx="0">
                  <c:v>-924000</c:v>
                </c:pt>
                <c:pt idx="1">
                  <c:v>1244000</c:v>
                </c:pt>
                <c:pt idx="2">
                  <c:v>-2168000</c:v>
                </c:pt>
                <c:pt idx="3" formatCode="General">
                  <c:v>-174.2765273311897</c:v>
                </c:pt>
                <c:pt idx="4" formatCode="0%">
                  <c:v>-1.74</c:v>
                </c:pt>
              </c:numCache>
            </c:numRef>
          </c:val>
          <c:extLst>
            <c:ext xmlns:c16="http://schemas.microsoft.com/office/drawing/2014/chart" uri="{C3380CC4-5D6E-409C-BE32-E72D297353CC}">
              <c16:uniqueId val="{0000000C-4B37-4055-BD39-4B8FF220E0D9}"/>
            </c:ext>
          </c:extLst>
        </c:ser>
        <c:dLbls>
          <c:dLblPos val="bestFit"/>
          <c:showLegendKey val="0"/>
          <c:showVal val="1"/>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other</a:t>
            </a:r>
            <a:r>
              <a:rPr lang="en-GB" baseline="0"/>
              <a:t> income/expenses</a:t>
            </a:r>
            <a:endParaRPr lang="en-GB"/>
          </a:p>
        </c:rich>
      </c:tx>
      <c:layout>
        <c:manualLayout>
          <c:xMode val="edge"/>
          <c:yMode val="edge"/>
          <c:x val="0.37615966754155733"/>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'Task 5'!$A$11</c:f>
              <c:strCache>
                <c:ptCount val="1"/>
                <c:pt idx="0">
                  <c:v>Total Other income/ expenses net </c:v>
                </c:pt>
              </c:strCache>
            </c:strRef>
          </c:cat>
          <c:val>
            <c:numRef>
              <c:f>'Task 5'!$B$11</c:f>
              <c:numCache>
                <c:formatCode>#,##0</c:formatCode>
                <c:ptCount val="1"/>
                <c:pt idx="0">
                  <c:v>-376000</c:v>
                </c:pt>
              </c:numCache>
            </c:numRef>
          </c:val>
          <c:extLst>
            <c:ext xmlns:c16="http://schemas.microsoft.com/office/drawing/2014/chart" uri="{C3380CC4-5D6E-409C-BE32-E72D297353CC}">
              <c16:uniqueId val="{00000000-22BD-421D-B60F-6E9F0F35CF13}"/>
            </c:ext>
          </c:extLst>
        </c:ser>
        <c:ser>
          <c:idx val="1"/>
          <c:order val="1"/>
          <c:spPr>
            <a:solidFill>
              <a:schemeClr val="accent2"/>
            </a:solidFill>
            <a:ln>
              <a:noFill/>
            </a:ln>
            <a:effectLst/>
            <a:sp3d/>
          </c:spPr>
          <c:invertIfNegative val="0"/>
          <c:cat>
            <c:strRef>
              <c:f>'Task 5'!$A$11</c:f>
              <c:strCache>
                <c:ptCount val="1"/>
                <c:pt idx="0">
                  <c:v>Total Other income/ expenses net </c:v>
                </c:pt>
              </c:strCache>
            </c:strRef>
          </c:cat>
          <c:val>
            <c:numRef>
              <c:f>'Task 5'!$C$11</c:f>
              <c:numCache>
                <c:formatCode>#,##0</c:formatCode>
                <c:ptCount val="1"/>
                <c:pt idx="0">
                  <c:v>82000</c:v>
                </c:pt>
              </c:numCache>
            </c:numRef>
          </c:val>
          <c:extLst>
            <c:ext xmlns:c16="http://schemas.microsoft.com/office/drawing/2014/chart" uri="{C3380CC4-5D6E-409C-BE32-E72D297353CC}">
              <c16:uniqueId val="{00000001-22BD-421D-B60F-6E9F0F35CF13}"/>
            </c:ext>
          </c:extLst>
        </c:ser>
        <c:ser>
          <c:idx val="2"/>
          <c:order val="2"/>
          <c:spPr>
            <a:solidFill>
              <a:schemeClr val="accent3"/>
            </a:solidFill>
            <a:ln>
              <a:noFill/>
            </a:ln>
            <a:effectLst/>
            <a:sp3d/>
          </c:spPr>
          <c:invertIfNegative val="0"/>
          <c:cat>
            <c:strRef>
              <c:f>'Task 5'!$A$11</c:f>
              <c:strCache>
                <c:ptCount val="1"/>
                <c:pt idx="0">
                  <c:v>Total Other income/ expenses net </c:v>
                </c:pt>
              </c:strCache>
            </c:strRef>
          </c:cat>
          <c:val>
            <c:numRef>
              <c:f>'Task 5'!$D$11</c:f>
              <c:numCache>
                <c:formatCode>#,##0</c:formatCode>
                <c:ptCount val="1"/>
                <c:pt idx="0">
                  <c:v>-458000</c:v>
                </c:pt>
              </c:numCache>
            </c:numRef>
          </c:val>
          <c:extLst>
            <c:ext xmlns:c16="http://schemas.microsoft.com/office/drawing/2014/chart" uri="{C3380CC4-5D6E-409C-BE32-E72D297353CC}">
              <c16:uniqueId val="{00000002-22BD-421D-B60F-6E9F0F35CF13}"/>
            </c:ext>
          </c:extLst>
        </c:ser>
        <c:ser>
          <c:idx val="3"/>
          <c:order val="3"/>
          <c:spPr>
            <a:solidFill>
              <a:schemeClr val="accent4"/>
            </a:solidFill>
            <a:ln>
              <a:noFill/>
            </a:ln>
            <a:effectLst/>
            <a:sp3d/>
          </c:spPr>
          <c:invertIfNegative val="0"/>
          <c:cat>
            <c:strRef>
              <c:f>'Task 5'!$A$11</c:f>
              <c:strCache>
                <c:ptCount val="1"/>
                <c:pt idx="0">
                  <c:v>Total Other income/ expenses net </c:v>
                </c:pt>
              </c:strCache>
            </c:strRef>
          </c:cat>
          <c:val>
            <c:numRef>
              <c:f>'Task 5'!$E$11</c:f>
              <c:numCache>
                <c:formatCode>General</c:formatCode>
                <c:ptCount val="1"/>
                <c:pt idx="0">
                  <c:v>-558.53658536585363</c:v>
                </c:pt>
              </c:numCache>
            </c:numRef>
          </c:val>
          <c:extLst>
            <c:ext xmlns:c16="http://schemas.microsoft.com/office/drawing/2014/chart" uri="{C3380CC4-5D6E-409C-BE32-E72D297353CC}">
              <c16:uniqueId val="{00000003-22BD-421D-B60F-6E9F0F35CF13}"/>
            </c:ext>
          </c:extLst>
        </c:ser>
        <c:ser>
          <c:idx val="4"/>
          <c:order val="4"/>
          <c:spPr>
            <a:solidFill>
              <a:schemeClr val="accent5"/>
            </a:solidFill>
            <a:ln>
              <a:noFill/>
            </a:ln>
            <a:effectLst/>
            <a:sp3d/>
          </c:spPr>
          <c:invertIfNegative val="0"/>
          <c:cat>
            <c:strRef>
              <c:f>'Task 5'!$A$11</c:f>
              <c:strCache>
                <c:ptCount val="1"/>
                <c:pt idx="0">
                  <c:v>Total Other income/ expenses net </c:v>
                </c:pt>
              </c:strCache>
            </c:strRef>
          </c:cat>
          <c:val>
            <c:numRef>
              <c:f>'Task 5'!$F$11</c:f>
              <c:numCache>
                <c:formatCode>0%</c:formatCode>
                <c:ptCount val="1"/>
                <c:pt idx="0">
                  <c:v>-5.59</c:v>
                </c:pt>
              </c:numCache>
            </c:numRef>
          </c:val>
          <c:extLst>
            <c:ext xmlns:c16="http://schemas.microsoft.com/office/drawing/2014/chart" uri="{C3380CC4-5D6E-409C-BE32-E72D297353CC}">
              <c16:uniqueId val="{00000004-22BD-421D-B60F-6E9F0F35CF13}"/>
            </c:ext>
          </c:extLst>
        </c:ser>
        <c:dLbls>
          <c:showLegendKey val="0"/>
          <c:showVal val="0"/>
          <c:showCatName val="0"/>
          <c:showSerName val="0"/>
          <c:showPercent val="0"/>
          <c:showBubbleSize val="0"/>
        </c:dLbls>
        <c:gapWidth val="150"/>
        <c:shape val="box"/>
        <c:axId val="650525248"/>
        <c:axId val="650522624"/>
        <c:axId val="0"/>
      </c:bar3DChart>
      <c:catAx>
        <c:axId val="6505252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0522624"/>
        <c:crosses val="autoZero"/>
        <c:auto val="1"/>
        <c:lblAlgn val="ctr"/>
        <c:lblOffset val="100"/>
        <c:noMultiLvlLbl val="0"/>
      </c:catAx>
      <c:valAx>
        <c:axId val="650522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05252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trend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'Task 5'!$B$3:$B$4</c:f>
              <c:strCache>
                <c:ptCount val="2"/>
                <c:pt idx="0">
                  <c:v>2020</c:v>
                </c:pt>
                <c:pt idx="1">
                  <c:v>31/12/2021</c:v>
                </c:pt>
              </c:strCache>
            </c:strRef>
          </c:tx>
          <c:spPr>
            <a:solidFill>
              <a:schemeClr val="accent1"/>
            </a:solidFill>
            <a:ln>
              <a:noFill/>
            </a:ln>
            <a:effectLst/>
          </c:spPr>
          <c:invertIfNegative val="0"/>
          <c:cat>
            <c:strRef>
              <c:f>'Task 5'!$A$5:$A$30</c:f>
              <c:strCache>
                <c:ptCount val="26"/>
                <c:pt idx="0">
                  <c:v>Sales</c:v>
                </c:pt>
                <c:pt idx="1">
                  <c:v>Cost of goods sold</c:v>
                </c:pt>
                <c:pt idx="2">
                  <c:v>Gross profit</c:v>
                </c:pt>
                <c:pt idx="3">
                  <c:v>Operating Expenses</c:v>
                </c:pt>
                <c:pt idx="4">
                  <c:v>Operating income</c:v>
                </c:pt>
                <c:pt idx="5">
                  <c:v>Interest Expense</c:v>
                </c:pt>
                <c:pt idx="6">
                  <c:v>Total Other income/ expenses net </c:v>
                </c:pt>
                <c:pt idx="7">
                  <c:v>Income before taxes</c:v>
                </c:pt>
                <c:pt idx="8">
                  <c:v>Net income</c:v>
                </c:pt>
                <c:pt idx="16">
                  <c:v>Current Asset</c:v>
                </c:pt>
                <c:pt idx="17">
                  <c:v>Non Current Asset</c:v>
                </c:pt>
                <c:pt idx="18">
                  <c:v>Total Asset</c:v>
                </c:pt>
                <c:pt idx="19">
                  <c:v>Current Liabilities</c:v>
                </c:pt>
                <c:pt idx="20">
                  <c:v>Non current Liabilities</c:v>
                </c:pt>
                <c:pt idx="21">
                  <c:v>Total Liabilities</c:v>
                </c:pt>
                <c:pt idx="22">
                  <c:v>Common Stock</c:v>
                </c:pt>
                <c:pt idx="23">
                  <c:v>Retained Earnings</c:v>
                </c:pt>
                <c:pt idx="24">
                  <c:v>Total Stockholders' Equity</c:v>
                </c:pt>
                <c:pt idx="25">
                  <c:v>Total Liabilities and Stockholder</c:v>
                </c:pt>
              </c:strCache>
            </c:strRef>
          </c:cat>
          <c:val>
            <c:numRef>
              <c:f>'Task 5'!$B$5:$B$30</c:f>
              <c:numCache>
                <c:formatCode>#,##0</c:formatCode>
                <c:ptCount val="26"/>
                <c:pt idx="0">
                  <c:v>4307000</c:v>
                </c:pt>
                <c:pt idx="1">
                  <c:v>3724000</c:v>
                </c:pt>
                <c:pt idx="2">
                  <c:v>583000</c:v>
                </c:pt>
                <c:pt idx="3">
                  <c:v>702000</c:v>
                </c:pt>
                <c:pt idx="4">
                  <c:v>-119000</c:v>
                </c:pt>
                <c:pt idx="5">
                  <c:v>429000</c:v>
                </c:pt>
                <c:pt idx="6">
                  <c:v>-376000</c:v>
                </c:pt>
                <c:pt idx="7">
                  <c:v>-924000</c:v>
                </c:pt>
                <c:pt idx="8">
                  <c:v>-715000</c:v>
                </c:pt>
                <c:pt idx="15" formatCode="General">
                  <c:v>2020</c:v>
                </c:pt>
                <c:pt idx="16">
                  <c:v>4202000</c:v>
                </c:pt>
                <c:pt idx="17">
                  <c:v>15810000</c:v>
                </c:pt>
                <c:pt idx="18">
                  <c:v>16755000</c:v>
                </c:pt>
                <c:pt idx="19">
                  <c:v>2431000</c:v>
                </c:pt>
                <c:pt idx="20">
                  <c:v>15810000</c:v>
                </c:pt>
                <c:pt idx="21">
                  <c:v>18241000</c:v>
                </c:pt>
                <c:pt idx="22">
                  <c:v>3000</c:v>
                </c:pt>
                <c:pt idx="23">
                  <c:v>-6732000</c:v>
                </c:pt>
                <c:pt idx="24">
                  <c:v>-1490000</c:v>
                </c:pt>
                <c:pt idx="25">
                  <c:v>16755000</c:v>
                </c:pt>
              </c:numCache>
            </c:numRef>
          </c:val>
          <c:extLst>
            <c:ext xmlns:c16="http://schemas.microsoft.com/office/drawing/2014/chart" uri="{C3380CC4-5D6E-409C-BE32-E72D297353CC}">
              <c16:uniqueId val="{00000000-94C1-49E6-96C5-3E270A7F0937}"/>
            </c:ext>
          </c:extLst>
        </c:ser>
        <c:ser>
          <c:idx val="1"/>
          <c:order val="1"/>
          <c:tx>
            <c:strRef>
              <c:f>'Task 5'!$C$3:$C$4</c:f>
              <c:strCache>
                <c:ptCount val="2"/>
                <c:pt idx="0">
                  <c:v>2019</c:v>
                </c:pt>
                <c:pt idx="1">
                  <c:v>31/12/2020</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strRef>
              <c:f>'Task 5'!$A$5:$A$30</c:f>
              <c:strCache>
                <c:ptCount val="26"/>
                <c:pt idx="0">
                  <c:v>Sales</c:v>
                </c:pt>
                <c:pt idx="1">
                  <c:v>Cost of goods sold</c:v>
                </c:pt>
                <c:pt idx="2">
                  <c:v>Gross profit</c:v>
                </c:pt>
                <c:pt idx="3">
                  <c:v>Operating Expenses</c:v>
                </c:pt>
                <c:pt idx="4">
                  <c:v>Operating income</c:v>
                </c:pt>
                <c:pt idx="5">
                  <c:v>Interest Expense</c:v>
                </c:pt>
                <c:pt idx="6">
                  <c:v>Total Other income/ expenses net </c:v>
                </c:pt>
                <c:pt idx="7">
                  <c:v>Income before taxes</c:v>
                </c:pt>
                <c:pt idx="8">
                  <c:v>Net income</c:v>
                </c:pt>
                <c:pt idx="16">
                  <c:v>Current Asset</c:v>
                </c:pt>
                <c:pt idx="17">
                  <c:v>Non Current Asset</c:v>
                </c:pt>
                <c:pt idx="18">
                  <c:v>Total Asset</c:v>
                </c:pt>
                <c:pt idx="19">
                  <c:v>Current Liabilities</c:v>
                </c:pt>
                <c:pt idx="20">
                  <c:v>Non current Liabilities</c:v>
                </c:pt>
                <c:pt idx="21">
                  <c:v>Total Liabilities</c:v>
                </c:pt>
                <c:pt idx="22">
                  <c:v>Common Stock</c:v>
                </c:pt>
                <c:pt idx="23">
                  <c:v>Retained Earnings</c:v>
                </c:pt>
                <c:pt idx="24">
                  <c:v>Total Stockholders' Equity</c:v>
                </c:pt>
                <c:pt idx="25">
                  <c:v>Total Liabilities and Stockholder</c:v>
                </c:pt>
              </c:strCache>
            </c:strRef>
          </c:cat>
          <c:val>
            <c:numRef>
              <c:f>'Task 5'!$C$5:$C$30</c:f>
              <c:numCache>
                <c:formatCode>#,##0</c:formatCode>
                <c:ptCount val="26"/>
                <c:pt idx="0">
                  <c:v>9452000</c:v>
                </c:pt>
                <c:pt idx="1">
                  <c:v>7017000</c:v>
                </c:pt>
                <c:pt idx="2">
                  <c:v>2435000</c:v>
                </c:pt>
                <c:pt idx="3">
                  <c:v>859000</c:v>
                </c:pt>
                <c:pt idx="4">
                  <c:v>1576000</c:v>
                </c:pt>
                <c:pt idx="5">
                  <c:v>414000</c:v>
                </c:pt>
                <c:pt idx="6">
                  <c:v>82000</c:v>
                </c:pt>
                <c:pt idx="7">
                  <c:v>1244000</c:v>
                </c:pt>
                <c:pt idx="8">
                  <c:v>881000</c:v>
                </c:pt>
                <c:pt idx="15" formatCode="General">
                  <c:v>2019</c:v>
                </c:pt>
                <c:pt idx="16">
                  <c:v>2093000</c:v>
                </c:pt>
                <c:pt idx="17">
                  <c:v>12558000</c:v>
                </c:pt>
                <c:pt idx="18">
                  <c:v>14957000</c:v>
                </c:pt>
                <c:pt idx="19">
                  <c:v>2871000</c:v>
                </c:pt>
                <c:pt idx="20">
                  <c:v>12558000</c:v>
                </c:pt>
                <c:pt idx="21">
                  <c:v>15429000</c:v>
                </c:pt>
                <c:pt idx="22">
                  <c:v>3000</c:v>
                </c:pt>
                <c:pt idx="23">
                  <c:v>-5965000</c:v>
                </c:pt>
                <c:pt idx="24">
                  <c:v>-482000</c:v>
                </c:pt>
                <c:pt idx="25">
                  <c:v>14957000</c:v>
                </c:pt>
              </c:numCache>
            </c:numRef>
          </c:val>
          <c:extLst>
            <c:ext xmlns:c16="http://schemas.microsoft.com/office/drawing/2014/chart" uri="{C3380CC4-5D6E-409C-BE32-E72D297353CC}">
              <c16:uniqueId val="{00000002-94C1-49E6-96C5-3E270A7F0937}"/>
            </c:ext>
          </c:extLst>
        </c:ser>
        <c:ser>
          <c:idx val="2"/>
          <c:order val="2"/>
          <c:tx>
            <c:strRef>
              <c:f>'Task 5'!$D$3:$D$4</c:f>
              <c:strCache>
                <c:ptCount val="2"/>
                <c:pt idx="0">
                  <c:v>Change</c:v>
                </c:pt>
              </c:strCache>
            </c:strRef>
          </c:tx>
          <c:spPr>
            <a:solidFill>
              <a:schemeClr val="accent3"/>
            </a:solidFill>
            <a:ln>
              <a:noFill/>
            </a:ln>
            <a:effectLst/>
          </c:spPr>
          <c:invertIfNegative val="0"/>
          <c:cat>
            <c:strRef>
              <c:f>'Task 5'!$A$5:$A$30</c:f>
              <c:strCache>
                <c:ptCount val="26"/>
                <c:pt idx="0">
                  <c:v>Sales</c:v>
                </c:pt>
                <c:pt idx="1">
                  <c:v>Cost of goods sold</c:v>
                </c:pt>
                <c:pt idx="2">
                  <c:v>Gross profit</c:v>
                </c:pt>
                <c:pt idx="3">
                  <c:v>Operating Expenses</c:v>
                </c:pt>
                <c:pt idx="4">
                  <c:v>Operating income</c:v>
                </c:pt>
                <c:pt idx="5">
                  <c:v>Interest Expense</c:v>
                </c:pt>
                <c:pt idx="6">
                  <c:v>Total Other income/ expenses net </c:v>
                </c:pt>
                <c:pt idx="7">
                  <c:v>Income before taxes</c:v>
                </c:pt>
                <c:pt idx="8">
                  <c:v>Net income</c:v>
                </c:pt>
                <c:pt idx="16">
                  <c:v>Current Asset</c:v>
                </c:pt>
                <c:pt idx="17">
                  <c:v>Non Current Asset</c:v>
                </c:pt>
                <c:pt idx="18">
                  <c:v>Total Asset</c:v>
                </c:pt>
                <c:pt idx="19">
                  <c:v>Current Liabilities</c:v>
                </c:pt>
                <c:pt idx="20">
                  <c:v>Non current Liabilities</c:v>
                </c:pt>
                <c:pt idx="21">
                  <c:v>Total Liabilities</c:v>
                </c:pt>
                <c:pt idx="22">
                  <c:v>Common Stock</c:v>
                </c:pt>
                <c:pt idx="23">
                  <c:v>Retained Earnings</c:v>
                </c:pt>
                <c:pt idx="24">
                  <c:v>Total Stockholders' Equity</c:v>
                </c:pt>
                <c:pt idx="25">
                  <c:v>Total Liabilities and Stockholder</c:v>
                </c:pt>
              </c:strCache>
            </c:strRef>
          </c:cat>
          <c:val>
            <c:numRef>
              <c:f>'Task 5'!$D$5:$D$30</c:f>
              <c:numCache>
                <c:formatCode>#,##0</c:formatCode>
                <c:ptCount val="26"/>
                <c:pt idx="0">
                  <c:v>-5145000</c:v>
                </c:pt>
                <c:pt idx="1">
                  <c:v>-3293000</c:v>
                </c:pt>
                <c:pt idx="2">
                  <c:v>-1852000</c:v>
                </c:pt>
                <c:pt idx="3">
                  <c:v>-157000</c:v>
                </c:pt>
                <c:pt idx="4">
                  <c:v>-1695000</c:v>
                </c:pt>
                <c:pt idx="5">
                  <c:v>15000</c:v>
                </c:pt>
                <c:pt idx="6">
                  <c:v>-458000</c:v>
                </c:pt>
                <c:pt idx="7">
                  <c:v>-2168000</c:v>
                </c:pt>
                <c:pt idx="8">
                  <c:v>-1596000</c:v>
                </c:pt>
                <c:pt idx="15" formatCode="General">
                  <c:v>0</c:v>
                </c:pt>
                <c:pt idx="16">
                  <c:v>2109000</c:v>
                </c:pt>
                <c:pt idx="17">
                  <c:v>3252000</c:v>
                </c:pt>
                <c:pt idx="18">
                  <c:v>1798000</c:v>
                </c:pt>
                <c:pt idx="19">
                  <c:v>-440000</c:v>
                </c:pt>
                <c:pt idx="20">
                  <c:v>3252000</c:v>
                </c:pt>
                <c:pt idx="21">
                  <c:v>2812000</c:v>
                </c:pt>
                <c:pt idx="22">
                  <c:v>0</c:v>
                </c:pt>
                <c:pt idx="23">
                  <c:v>-767000</c:v>
                </c:pt>
                <c:pt idx="24">
                  <c:v>-1008000</c:v>
                </c:pt>
                <c:pt idx="25">
                  <c:v>1798000</c:v>
                </c:pt>
              </c:numCache>
            </c:numRef>
          </c:val>
          <c:extLst>
            <c:ext xmlns:c16="http://schemas.microsoft.com/office/drawing/2014/chart" uri="{C3380CC4-5D6E-409C-BE32-E72D297353CC}">
              <c16:uniqueId val="{00000003-94C1-49E6-96C5-3E270A7F0937}"/>
            </c:ext>
          </c:extLst>
        </c:ser>
        <c:ser>
          <c:idx val="3"/>
          <c:order val="3"/>
          <c:tx>
            <c:strRef>
              <c:f>'Task 5'!$E$3:$E$4</c:f>
              <c:strCache>
                <c:ptCount val="2"/>
                <c:pt idx="0">
                  <c:v>% Change</c:v>
                </c:pt>
              </c:strCache>
            </c:strRef>
          </c:tx>
          <c:spPr>
            <a:solidFill>
              <a:schemeClr val="accent4"/>
            </a:solidFill>
            <a:ln>
              <a:noFill/>
            </a:ln>
            <a:effectLst/>
          </c:spPr>
          <c:invertIfNegative val="0"/>
          <c:cat>
            <c:strRef>
              <c:f>'Task 5'!$A$5:$A$30</c:f>
              <c:strCache>
                <c:ptCount val="26"/>
                <c:pt idx="0">
                  <c:v>Sales</c:v>
                </c:pt>
                <c:pt idx="1">
                  <c:v>Cost of goods sold</c:v>
                </c:pt>
                <c:pt idx="2">
                  <c:v>Gross profit</c:v>
                </c:pt>
                <c:pt idx="3">
                  <c:v>Operating Expenses</c:v>
                </c:pt>
                <c:pt idx="4">
                  <c:v>Operating income</c:v>
                </c:pt>
                <c:pt idx="5">
                  <c:v>Interest Expense</c:v>
                </c:pt>
                <c:pt idx="6">
                  <c:v>Total Other income/ expenses net </c:v>
                </c:pt>
                <c:pt idx="7">
                  <c:v>Income before taxes</c:v>
                </c:pt>
                <c:pt idx="8">
                  <c:v>Net income</c:v>
                </c:pt>
                <c:pt idx="16">
                  <c:v>Current Asset</c:v>
                </c:pt>
                <c:pt idx="17">
                  <c:v>Non Current Asset</c:v>
                </c:pt>
                <c:pt idx="18">
                  <c:v>Total Asset</c:v>
                </c:pt>
                <c:pt idx="19">
                  <c:v>Current Liabilities</c:v>
                </c:pt>
                <c:pt idx="20">
                  <c:v>Non current Liabilities</c:v>
                </c:pt>
                <c:pt idx="21">
                  <c:v>Total Liabilities</c:v>
                </c:pt>
                <c:pt idx="22">
                  <c:v>Common Stock</c:v>
                </c:pt>
                <c:pt idx="23">
                  <c:v>Retained Earnings</c:v>
                </c:pt>
                <c:pt idx="24">
                  <c:v>Total Stockholders' Equity</c:v>
                </c:pt>
                <c:pt idx="25">
                  <c:v>Total Liabilities and Stockholder</c:v>
                </c:pt>
              </c:strCache>
            </c:strRef>
          </c:cat>
          <c:val>
            <c:numRef>
              <c:f>'Task 5'!$E$5:$E$30</c:f>
              <c:numCache>
                <c:formatCode>General</c:formatCode>
                <c:ptCount val="26"/>
                <c:pt idx="0">
                  <c:v>-54.432924248836223</c:v>
                </c:pt>
                <c:pt idx="1">
                  <c:v>-46.928886988741624</c:v>
                </c:pt>
                <c:pt idx="2">
                  <c:v>-76.05749486652978</c:v>
                </c:pt>
                <c:pt idx="3">
                  <c:v>-18.277066356228172</c:v>
                </c:pt>
                <c:pt idx="4">
                  <c:v>-107.55076142131981</c:v>
                </c:pt>
                <c:pt idx="5">
                  <c:v>3.6231884057971016</c:v>
                </c:pt>
                <c:pt idx="6">
                  <c:v>-558.53658536585363</c:v>
                </c:pt>
                <c:pt idx="7">
                  <c:v>-174.2765273311897</c:v>
                </c:pt>
                <c:pt idx="8">
                  <c:v>-181.15777525539161</c:v>
                </c:pt>
                <c:pt idx="15">
                  <c:v>0</c:v>
                </c:pt>
                <c:pt idx="16">
                  <c:v>100.76445293836598</c:v>
                </c:pt>
                <c:pt idx="17">
                  <c:v>25.895843287147635</c:v>
                </c:pt>
                <c:pt idx="18">
                  <c:v>12.021127231396671</c:v>
                </c:pt>
                <c:pt idx="19">
                  <c:v>-15.325670498084291</c:v>
                </c:pt>
                <c:pt idx="20">
                  <c:v>25.895843287147635</c:v>
                </c:pt>
                <c:pt idx="21">
                  <c:v>18.225419664268586</c:v>
                </c:pt>
                <c:pt idx="22">
                  <c:v>0</c:v>
                </c:pt>
                <c:pt idx="23">
                  <c:v>12.858340318524727</c:v>
                </c:pt>
                <c:pt idx="24">
                  <c:v>209.12863070539422</c:v>
                </c:pt>
                <c:pt idx="25">
                  <c:v>12.021127231396671</c:v>
                </c:pt>
              </c:numCache>
            </c:numRef>
          </c:val>
          <c:extLst>
            <c:ext xmlns:c16="http://schemas.microsoft.com/office/drawing/2014/chart" uri="{C3380CC4-5D6E-409C-BE32-E72D297353CC}">
              <c16:uniqueId val="{00000004-94C1-49E6-96C5-3E270A7F0937}"/>
            </c:ext>
          </c:extLst>
        </c:ser>
        <c:ser>
          <c:idx val="4"/>
          <c:order val="4"/>
          <c:tx>
            <c:strRef>
              <c:f>'Task 5'!$F$3:$F$4</c:f>
              <c:strCache>
                <c:ptCount val="2"/>
                <c:pt idx="0">
                  <c:v>% Change</c:v>
                </c:pt>
              </c:strCache>
            </c:strRef>
          </c:tx>
          <c:spPr>
            <a:solidFill>
              <a:schemeClr val="accent5"/>
            </a:solidFill>
            <a:ln>
              <a:noFill/>
            </a:ln>
            <a:effectLst/>
          </c:spPr>
          <c:invertIfNegative val="0"/>
          <c:cat>
            <c:strRef>
              <c:f>'Task 5'!$A$5:$A$30</c:f>
              <c:strCache>
                <c:ptCount val="26"/>
                <c:pt idx="0">
                  <c:v>Sales</c:v>
                </c:pt>
                <c:pt idx="1">
                  <c:v>Cost of goods sold</c:v>
                </c:pt>
                <c:pt idx="2">
                  <c:v>Gross profit</c:v>
                </c:pt>
                <c:pt idx="3">
                  <c:v>Operating Expenses</c:v>
                </c:pt>
                <c:pt idx="4">
                  <c:v>Operating income</c:v>
                </c:pt>
                <c:pt idx="5">
                  <c:v>Interest Expense</c:v>
                </c:pt>
                <c:pt idx="6">
                  <c:v>Total Other income/ expenses net </c:v>
                </c:pt>
                <c:pt idx="7">
                  <c:v>Income before taxes</c:v>
                </c:pt>
                <c:pt idx="8">
                  <c:v>Net income</c:v>
                </c:pt>
                <c:pt idx="16">
                  <c:v>Current Asset</c:v>
                </c:pt>
                <c:pt idx="17">
                  <c:v>Non Current Asset</c:v>
                </c:pt>
                <c:pt idx="18">
                  <c:v>Total Asset</c:v>
                </c:pt>
                <c:pt idx="19">
                  <c:v>Current Liabilities</c:v>
                </c:pt>
                <c:pt idx="20">
                  <c:v>Non current Liabilities</c:v>
                </c:pt>
                <c:pt idx="21">
                  <c:v>Total Liabilities</c:v>
                </c:pt>
                <c:pt idx="22">
                  <c:v>Common Stock</c:v>
                </c:pt>
                <c:pt idx="23">
                  <c:v>Retained Earnings</c:v>
                </c:pt>
                <c:pt idx="24">
                  <c:v>Total Stockholders' Equity</c:v>
                </c:pt>
                <c:pt idx="25">
                  <c:v>Total Liabilities and Stockholder</c:v>
                </c:pt>
              </c:strCache>
            </c:strRef>
          </c:cat>
          <c:val>
            <c:numRef>
              <c:f>'Task 5'!$F$5:$F$30</c:f>
              <c:numCache>
                <c:formatCode>0%</c:formatCode>
                <c:ptCount val="26"/>
                <c:pt idx="0">
                  <c:v>-0.55000000000000004</c:v>
                </c:pt>
                <c:pt idx="1">
                  <c:v>-0.47</c:v>
                </c:pt>
                <c:pt idx="2">
                  <c:v>-0.76</c:v>
                </c:pt>
                <c:pt idx="3">
                  <c:v>-0.18</c:v>
                </c:pt>
                <c:pt idx="4">
                  <c:v>-1.08</c:v>
                </c:pt>
                <c:pt idx="5">
                  <c:v>0.04</c:v>
                </c:pt>
                <c:pt idx="6">
                  <c:v>-5.59</c:v>
                </c:pt>
                <c:pt idx="7">
                  <c:v>-1.74</c:v>
                </c:pt>
                <c:pt idx="8">
                  <c:v>-1.81</c:v>
                </c:pt>
                <c:pt idx="16">
                  <c:v>1.01</c:v>
                </c:pt>
                <c:pt idx="17">
                  <c:v>0.26</c:v>
                </c:pt>
                <c:pt idx="18">
                  <c:v>0.12</c:v>
                </c:pt>
                <c:pt idx="19">
                  <c:v>-0.15</c:v>
                </c:pt>
                <c:pt idx="20">
                  <c:v>0.26</c:v>
                </c:pt>
                <c:pt idx="21">
                  <c:v>0.18</c:v>
                </c:pt>
                <c:pt idx="22">
                  <c:v>0</c:v>
                </c:pt>
                <c:pt idx="23">
                  <c:v>0.13</c:v>
                </c:pt>
                <c:pt idx="24">
                  <c:v>2.09</c:v>
                </c:pt>
                <c:pt idx="25">
                  <c:v>0.12</c:v>
                </c:pt>
              </c:numCache>
            </c:numRef>
          </c:val>
          <c:extLst>
            <c:ext xmlns:c16="http://schemas.microsoft.com/office/drawing/2014/chart" uri="{C3380CC4-5D6E-409C-BE32-E72D297353CC}">
              <c16:uniqueId val="{00000005-94C1-49E6-96C5-3E270A7F0937}"/>
            </c:ext>
          </c:extLst>
        </c:ser>
        <c:dLbls>
          <c:showLegendKey val="0"/>
          <c:showVal val="0"/>
          <c:showCatName val="0"/>
          <c:showSerName val="0"/>
          <c:showPercent val="0"/>
          <c:showBubbleSize val="0"/>
        </c:dLbls>
        <c:gapWidth val="219"/>
        <c:overlap val="-27"/>
        <c:axId val="583871848"/>
        <c:axId val="583871192"/>
      </c:barChart>
      <c:catAx>
        <c:axId val="58387184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871192"/>
        <c:crosses val="autoZero"/>
        <c:auto val="1"/>
        <c:lblAlgn val="ctr"/>
        <c:lblOffset val="100"/>
        <c:noMultiLvlLbl val="0"/>
      </c:catAx>
      <c:valAx>
        <c:axId val="5838711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871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 dir="row">'Task 5'!$B$6:$F$6</cx:f>
        <cx:lvl ptCount="5" formatCode="#,##0">
          <cx:pt idx="0">3724000</cx:pt>
          <cx:pt idx="1">7017000</cx:pt>
          <cx:pt idx="2">-3293000</cx:pt>
          <cx:pt idx="3">-46.928886988741624</cx:pt>
          <cx:pt idx="4">-0.46999999999999997</cx:pt>
        </cx:lvl>
      </cx:numDim>
    </cx:data>
  </cx:chartData>
  <cx:chart>
    <cx:title pos="t" align="ctr" overlay="0">
      <cx:tx>
        <cx:txData>
          <cx:v>cost of goods sold</cx:v>
        </cx:txData>
      </cx:tx>
      <cx:txPr>
        <a:bodyPr spcFirstLastPara="1" vertOverflow="ellipsis" horzOverflow="overflow" wrap="square" lIns="0" tIns="0" rIns="0" bIns="0" anchor="ctr" anchorCtr="1"/>
        <a:lstStyle/>
        <a:p>
          <a:pPr algn="ctr" rtl="0">
            <a:defRPr/>
          </a:pPr>
          <a:r>
            <a:rPr lang="en-US" sz="1800" b="1" i="0" u="none" strike="noStrike" cap="all" spc="150" baseline="0">
              <a:solidFill>
                <a:sysClr val="windowText" lastClr="000000">
                  <a:lumMod val="50000"/>
                  <a:lumOff val="50000"/>
                </a:sysClr>
              </a:solidFill>
              <a:latin typeface="Calibri" panose="020F0502020204030204"/>
            </a:rPr>
            <a:t>cost of goods sold</a:t>
          </a:r>
        </a:p>
      </cx:txPr>
    </cx:title>
    <cx:plotArea>
      <cx:plotAreaRegion>
        <cx:series layoutId="waterfall" uniqueId="{2548D549-1A34-4D63-92CF-A0EB1F3344B2}">
          <cx:tx>
            <cx:txData>
              <cx:f>'Task 5'!$A$6</cx:f>
              <cx:v>Cost of goods sold</cx:v>
            </cx:txData>
          </cx:tx>
          <cx:dataLabels pos="outEnd">
            <cx:visibility seriesName="0" categoryName="0" value="1"/>
            <cx:separator>. </cx:separator>
          </cx:dataLabels>
          <cx:dataId val="0"/>
          <cx:layoutPr>
            <cx:subtotals/>
          </cx:layoutPr>
        </cx:series>
      </cx:plotAreaRegion>
      <cx:axis id="0">
        <cx:catScaling gapWidth="0.5"/>
        <cx:title/>
        <cx:tickLabels/>
      </cx:axis>
      <cx:axis id="1">
        <cx:valScaling/>
        <cx:majorGridlines/>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96">
  <cs:axisTitle>
    <cs:lnRef idx="0"/>
    <cs:fillRef idx="0"/>
    <cs:effectRef idx="0"/>
    <cs:fontRef idx="minor">
      <a:schemeClr val="tx1">
        <a:lumMod val="65000"/>
        <a:lumOff val="35000"/>
      </a:schemeClr>
    </cs:fontRef>
    <cs:defRPr sz="900" b="1"/>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75000"/>
        <a:lumOff val="2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solidFill>
        <a:schemeClr val="phClr"/>
      </a:solid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25000"/>
            <a:lumOff val="75000"/>
          </a:schemeClr>
        </a:solidFill>
      </a:ln>
    </cs:spPr>
    <cs:defRPr sz="9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25000"/>
            <a:lumOff val="75000"/>
          </a:schemeClr>
        </a:solidFill>
      </a:ln>
    </cs:spPr>
  </cs:gridlineMajor>
  <cs:gridlineMinor>
    <cs:lnRef idx="0"/>
    <cs:fillRef idx="0"/>
    <cs:effectRef idx="0"/>
    <cs:fontRef idx="minor">
      <a:schemeClr val="dk1"/>
    </cs:fontRef>
    <cs:spPr>
      <a:ln>
        <a:solidFill>
          <a:schemeClr val="tx1">
            <a:lumMod val="25000"/>
            <a:lumOff val="75000"/>
            <a:lumOff val="10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tx1">
        <a:lumMod val="50000"/>
        <a:lumOff val="50000"/>
      </a:schemeClr>
    </cs:fontRef>
    <cs:defRPr sz="1800" b="1" cap="all" spc="15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14F5A"/>
    <w:rsid w:val="00145AD8"/>
    <w:rsid w:val="0083132B"/>
    <w:rsid w:val="00A34C42"/>
    <w:rsid w:val="00BC1251"/>
    <w:rsid w:val="00C67429"/>
    <w:rsid w:val="00D8176A"/>
    <w:rsid w:val="00FF65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3.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2AF471B-F71E-4C41-BA39-8225A61C6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Pages>
  <Words>3129</Words>
  <Characters>17836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hotel hilton holdings</vt:lpstr>
    </vt:vector>
  </TitlesOfParts>
  <Company>University of Wales Trinity Saint David</Company>
  <LinksUpToDate>false</LinksUpToDate>
  <CharactersWithSpaces>20924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hilton holdings</dc:title>
  <dc:subject>Financial Analysis</dc:subject>
  <dc:creator>Marie Pitson</dc:creator>
  <cp:keywords/>
  <dc:description/>
  <cp:lastModifiedBy>Sandra Poupino (2018518)</cp:lastModifiedBy>
  <cp:revision>16</cp:revision>
  <dcterms:created xsi:type="dcterms:W3CDTF">2022-05-17T09:21:00Z</dcterms:created>
  <dcterms:modified xsi:type="dcterms:W3CDTF">2022-05-25T21:22:00Z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