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rPr>
          <w:rFonts w:ascii="Times New Roman" w:cs="Times New Roman" w:hAnsi="Times New Roman" w:eastAsia="Times New Roman"/>
          <w:outline w:val="0"/>
          <w:color w:val="000000"/>
          <w14:textFill>
            <w14:solidFill>
              <w14:srgbClr w14:val="000000"/>
            </w14:solidFill>
          </w14:textFill>
        </w:rPr>
      </w:pPr>
      <w:r>
        <w:rPr>
          <w:rFonts w:ascii="Times New Roman" w:hAnsi="Times New Roman"/>
          <w:outline w:val="0"/>
          <w:color w:val="000000"/>
          <w:rtl w:val="0"/>
          <w:lang w:val="de-DE"/>
          <w14:textFill>
            <w14:solidFill>
              <w14:srgbClr w14:val="000000"/>
            </w14:solidFill>
          </w14:textFill>
        </w:rPr>
        <w:t xml:space="preserve">PESTEL Analysis </w:t>
      </w:r>
      <w:r>
        <w:rPr>
          <w:rFonts w:ascii="Times New Roman" w:hAnsi="Times New Roman" w:hint="default"/>
          <w:outline w:val="0"/>
          <w:color w:val="000000"/>
          <w:rtl w:val="0"/>
          <w14:textFill>
            <w14:solidFill>
              <w14:srgbClr w14:val="000000"/>
            </w14:solidFill>
          </w14:textFill>
        </w:rPr>
        <w:t xml:space="preserve">– </w:t>
      </w:r>
      <w:r>
        <w:rPr>
          <w:rFonts w:ascii="Times New Roman" w:hAnsi="Times New Roman"/>
          <w:outline w:val="0"/>
          <w:color w:val="000000"/>
          <w:rtl w:val="0"/>
          <w:lang w:val="en-US"/>
          <w14:textFill>
            <w14:solidFill>
              <w14:srgbClr w14:val="000000"/>
            </w14:solidFill>
          </w14:textFill>
        </w:rPr>
        <w:t>Lucidity AI</w:t>
      </w:r>
    </w:p>
    <w:p>
      <w:pPr>
        <w:pStyle w:val="Body"/>
      </w:pPr>
    </w:p>
    <w:p>
      <w:pPr>
        <w:pStyle w:val="Body"/>
        <w:rPr>
          <w:rFonts w:ascii="Times New Roman" w:cs="Times New Roman" w:hAnsi="Times New Roman" w:eastAsia="Times New Roman"/>
          <w:sz w:val="28"/>
          <w:szCs w:val="28"/>
        </w:rPr>
      </w:pPr>
      <w:r>
        <w:rPr>
          <w:rFonts w:ascii="Times New Roman" w:hAnsi="Times New Roman"/>
          <w:sz w:val="28"/>
          <w:szCs w:val="28"/>
          <w:rtl w:val="0"/>
          <w:lang w:val="en-US"/>
        </w:rPr>
        <w:t xml:space="preserve">This PESTEL analysis explores the external macro-environmental factors that affect </w:t>
      </w:r>
      <w:r>
        <w:rPr>
          <w:rFonts w:ascii="Times New Roman" w:hAnsi="Times New Roman"/>
          <w:sz w:val="28"/>
          <w:szCs w:val="28"/>
          <w:rtl w:val="0"/>
          <w:lang w:val="en-US"/>
        </w:rPr>
        <w:t xml:space="preserve">Lucidity AI </w:t>
      </w:r>
      <w:r>
        <w:rPr>
          <w:rFonts w:ascii="Times New Roman" w:hAnsi="Times New Roman"/>
          <w:sz w:val="28"/>
          <w:szCs w:val="28"/>
          <w:rtl w:val="0"/>
          <w:lang w:val="en-US"/>
        </w:rPr>
        <w:t>Consulting, a UK-based startup focused on providing ethical, customised AI integration services to businesses of all sizes. The analysis will identify relevant opportunities and threats, assess their impact on the business, and incorporate findings into strategic recommendations.</w:t>
      </w:r>
    </w:p>
    <w:p>
      <w:pPr>
        <w:pStyle w:val="Heading 2"/>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it-IT"/>
          <w14:textFill>
            <w14:solidFill>
              <w14:srgbClr w14:val="000000"/>
            </w14:solidFill>
          </w14:textFill>
        </w:rPr>
        <w:t>Political</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da-DK"/>
          <w14:textFill>
            <w14:solidFill>
              <w14:srgbClr w14:val="000000"/>
            </w14:solidFill>
          </w14:textFill>
        </w:rPr>
        <w:t>Key Factors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The UK government supports digital innovation through the National AI Strategy.</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UK maintains its position as a global leader in AI research &amp; development</w:t>
      </w:r>
    </w:p>
    <w:p>
      <w:pPr>
        <w:pStyle w:val="Default"/>
        <w:bidi w:val="0"/>
        <w:spacing w:before="0" w:line="240" w:lineRule="auto"/>
        <w:ind w:left="0" w:right="0" w:firstLine="0"/>
        <w:jc w:val="left"/>
        <w:rPr>
          <w:rFonts w:ascii="Times Roman" w:cs="Times Roman" w:hAnsi="Times Roman" w:eastAsia="Times Roman"/>
          <w:rtl w:val="0"/>
        </w:rPr>
      </w:pP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Post-Brexit regulations push businesses to seek UK-based digital partners.</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Opportunities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 xml:space="preserve"> Access to government grants and innovation programmes.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Increased demand for local AI expertise within the UK.</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Threats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Potential regulatory restrictions around AI ethics and data usage.</w:t>
      </w:r>
    </w:p>
    <w:p>
      <w:pPr>
        <w:pStyle w:val="Heading 2"/>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it-IT"/>
          <w14:textFill>
            <w14:solidFill>
              <w14:srgbClr w14:val="000000"/>
            </w14:solidFill>
          </w14:textFill>
        </w:rPr>
        <w:t>Economic</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da-DK"/>
          <w14:textFill>
            <w14:solidFill>
              <w14:srgbClr w14:val="000000"/>
            </w14:solidFill>
          </w14:textFill>
        </w:rPr>
        <w:t>Key Factors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Economic pressure on SMEs due to inflation and rising costs.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Growing interest in automation to reduce operational expenses.</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Opportunities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Companies seek cost-efficient AI solutions to boost productivity.</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AI-based tools can offer ROI-focused innovations.</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Threats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Limited budgets for AI development among small businesses.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Competition from larger tech firms with in-house AI teams.</w:t>
      </w:r>
    </w:p>
    <w:p>
      <w:pPr>
        <w:pStyle w:val="Heading 2"/>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pt-PT"/>
          <w14:textFill>
            <w14:solidFill>
              <w14:srgbClr w14:val="000000"/>
            </w14:solidFill>
          </w14:textFill>
        </w:rPr>
        <w:t>Social</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da-DK"/>
          <w14:textFill>
            <w14:solidFill>
              <w14:srgbClr w14:val="000000"/>
            </w14:solidFill>
          </w14:textFill>
        </w:rPr>
        <w:t>Key Factors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Public concern over job displacement and data privacy due to AI.</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Rising interest in AI for convenience and efficiency in daily business tasks.</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Opportunities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Offer training to staff to build trust and comfort with AI tools.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Promote ethical and human-centered AI integration as a unique value proposition.</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Threats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General public distrust may delay adoption in traditional sectors.</w:t>
      </w:r>
    </w:p>
    <w:p>
      <w:pPr>
        <w:pStyle w:val="Heading 2"/>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Technological</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da-DK"/>
          <w14:textFill>
            <w14:solidFill>
              <w14:srgbClr w14:val="000000"/>
            </w14:solidFill>
          </w14:textFill>
        </w:rPr>
        <w:t>Key Factors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Rapid evolution of AI tools such as LLMs, AutoML, and AI assistants.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Short technology cycles require businesses to stay updated continuously.</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Opportunities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High availability of plug-and-play tools to create tailored solutions.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Create proprietary tools such as AI chatbots, workflow systems, etc.</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Threats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Technology shifts may outpace learning or product development.</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Unstable APIs or tools may affect reliability and trust.</w:t>
      </w:r>
    </w:p>
    <w:p>
      <w:pPr>
        <w:pStyle w:val="Heading 2"/>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Environmental</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da-DK"/>
          <w14:textFill>
            <w14:solidFill>
              <w14:srgbClr w14:val="000000"/>
            </w14:solidFill>
          </w14:textFill>
        </w:rPr>
        <w:t>Key Factors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Growing emphasis on sustainability and green business practices.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High energy usage associated with large-scale AI computation.</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Opportunities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Position the business as a mindful, sustainable AI provider.</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Support clients in integrating AI without harming ESG commitments.</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Threats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Potential future regulations to curb AI's carbon footprint.</w:t>
      </w:r>
    </w:p>
    <w:p>
      <w:pPr>
        <w:pStyle w:val="Heading 2"/>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it-IT"/>
          <w14:textFill>
            <w14:solidFill>
              <w14:srgbClr w14:val="000000"/>
            </w14:solidFill>
          </w14:textFill>
        </w:rPr>
        <w:t>Legal</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da-DK"/>
          <w14:textFill>
            <w14:solidFill>
              <w14:srgbClr w14:val="000000"/>
            </w14:solidFill>
          </w14:textFill>
        </w:rPr>
        <w:t>Key Factors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Strict data protection laws in the UK such as GDPR.</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Anticipated development of AI-specific regulations.</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Opportunities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Offer legally compliant and transparent AI practices as a service benefit.</w:t>
      </w:r>
    </w:p>
    <w:p>
      <w:pPr>
        <w:pStyle w:val="Heading 3"/>
        <w:rPr>
          <w:rFonts w:ascii="Times New Roman" w:cs="Times New Roman" w:hAnsi="Times New Roman" w:eastAsia="Times New Roman"/>
          <w:b w:val="0"/>
          <w:bCs w:val="0"/>
          <w:outline w:val="0"/>
          <w:color w:val="000000"/>
          <w:sz w:val="28"/>
          <w:szCs w:val="28"/>
          <w14:textFill>
            <w14:solidFill>
              <w14:srgbClr w14:val="000000"/>
            </w14:solidFill>
          </w14:textFill>
        </w:rPr>
      </w:pPr>
      <w:r>
        <w:rPr>
          <w:rFonts w:ascii="Times New Roman" w:hAnsi="Times New Roman"/>
          <w:b w:val="0"/>
          <w:bCs w:val="0"/>
          <w:outline w:val="0"/>
          <w:color w:val="000000"/>
          <w:sz w:val="28"/>
          <w:szCs w:val="28"/>
          <w:rtl w:val="0"/>
          <w:lang w:val="en-US"/>
          <w14:textFill>
            <w14:solidFill>
              <w14:srgbClr w14:val="000000"/>
            </w14:solidFill>
          </w14:textFill>
        </w:rPr>
        <w:t>Threats</w:t>
      </w:r>
    </w:p>
    <w:p>
      <w:pPr>
        <w:pStyle w:val="List Bullet"/>
        <w:numPr>
          <w:ilvl w:val="0"/>
          <w:numId w:val="2"/>
        </w:numPr>
        <w:rPr>
          <w:rFonts w:ascii="Times New Roman" w:hAnsi="Times New Roman"/>
          <w:sz w:val="28"/>
          <w:szCs w:val="28"/>
          <w:lang w:val="en-US"/>
        </w:rPr>
      </w:pPr>
      <w:r>
        <w:rPr>
          <w:rFonts w:ascii="Times New Roman" w:hAnsi="Times New Roman"/>
          <w:sz w:val="28"/>
          <w:szCs w:val="28"/>
          <w:rtl w:val="0"/>
          <w:lang w:val="en-US"/>
        </w:rPr>
        <w:t>Risk of liability if data or AI ethics are not handled properly.</w:t>
      </w:r>
    </w:p>
    <w:sectPr>
      <w:headerReference w:type="default" r:id="rId4"/>
      <w:footerReference w:type="default" r:id="rId5"/>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tabs>
          <w:tab w:val="clear" w:pos="36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clear" w:pos="360"/>
        </w:tabs>
        <w:ind w:left="458" w:hanging="458"/>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s"/>
  </w:abstractNum>
  <w:abstractNum w:abstractNumId="3">
    <w:multiLevelType w:val="hybridMultilevel"/>
    <w:styleLink w:val="Bullets"/>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0"/>
    </w:pPr>
    <w:rPr>
      <w:rFonts w:ascii="Calibri" w:cs="Arial Unicode MS" w:hAnsi="Calibri"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de-DE"/>
      <w14:textOutline>
        <w14:noFill/>
      </w14:textOutline>
      <w14:textFill>
        <w14:solidFill>
          <w14:srgbClr w14:val="365F91"/>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e-DE"/>
      <w14:textOutline>
        <w14:noFill/>
      </w14:textOut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1"/>
    </w:pPr>
    <w:rPr>
      <w:rFonts w:ascii="Calibri" w:cs="Arial Unicode MS" w:hAnsi="Calibri" w:eastAsia="Arial Unicode MS"/>
      <w:b w:val="1"/>
      <w:bCs w:val="1"/>
      <w:i w:val="0"/>
      <w:iCs w:val="0"/>
      <w:caps w:val="0"/>
      <w:smallCaps w:val="0"/>
      <w:strike w:val="0"/>
      <w:dstrike w:val="0"/>
      <w:outline w:val="0"/>
      <w:color w:val="4f81bd"/>
      <w:spacing w:val="0"/>
      <w:kern w:val="0"/>
      <w:position w:val="0"/>
      <w:sz w:val="26"/>
      <w:szCs w:val="26"/>
      <w:u w:val="none" w:color="4f81bd"/>
      <w:shd w:val="nil" w:color="auto" w:fill="auto"/>
      <w:vertAlign w:val="baseline"/>
      <w:lang w:val="it-IT"/>
      <w14:textOutline>
        <w14:noFill/>
      </w14:textOutline>
      <w14:textFill>
        <w14:solidFill>
          <w14:srgbClr w14:val="4F81BD"/>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2"/>
    </w:pPr>
    <w:rPr>
      <w:rFonts w:ascii="Calibri" w:cs="Arial Unicode MS" w:hAnsi="Calibri" w:eastAsia="Arial Unicode MS"/>
      <w:b w:val="1"/>
      <w:bCs w:val="1"/>
      <w:i w:val="0"/>
      <w:iCs w:val="0"/>
      <w:caps w:val="0"/>
      <w:smallCaps w:val="0"/>
      <w:strike w:val="0"/>
      <w:dstrike w:val="0"/>
      <w:outline w:val="0"/>
      <w:color w:val="4f81bd"/>
      <w:spacing w:val="0"/>
      <w:kern w:val="0"/>
      <w:position w:val="0"/>
      <w:sz w:val="22"/>
      <w:szCs w:val="22"/>
      <w:u w:val="none" w:color="4f81bd"/>
      <w:shd w:val="nil" w:color="auto" w:fill="auto"/>
      <w:vertAlign w:val="baseline"/>
      <w:lang w:val="da-DK"/>
      <w14:textOutline>
        <w14:noFill/>
      </w14:textOutline>
      <w14:textFill>
        <w14:solidFill>
          <w14:srgbClr w14:val="4F81BD"/>
        </w14:solidFill>
      </w14:textFill>
    </w:rPr>
  </w:style>
  <w:style w:type="paragraph" w:styleId="List Bullet">
    <w:name w:val="List Bullet"/>
    <w:next w:val="List Bullet"/>
    <w:pPr>
      <w:keepNext w:val="0"/>
      <w:keepLines w:val="0"/>
      <w:pageBreakBefore w:val="0"/>
      <w:widowControl w:val="1"/>
      <w:shd w:val="clear" w:color="auto" w:fill="auto"/>
      <w:tabs>
        <w:tab w:val="left" w:pos="360"/>
      </w:tabs>
      <w:suppressAutoHyphens w:val="0"/>
      <w:bidi w:val="0"/>
      <w:spacing w:before="0" w:after="200" w:line="276"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Bullets">
    <w:name w:val="Bullets"/>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