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638927" w14:textId="3734A21F" w:rsidR="00680FE2" w:rsidRDefault="00C2737C" w:rsidP="009B139A">
      <w:pPr>
        <w:jc w:val="center"/>
        <w:rPr>
          <w:lang w:val="en-CA"/>
        </w:rPr>
      </w:pPr>
      <w:r>
        <w:rPr>
          <w:lang w:val="en-CA"/>
        </w:rPr>
        <w:t xml:space="preserve">The </w:t>
      </w:r>
      <w:r w:rsidR="00EB1663">
        <w:rPr>
          <w:lang w:val="en-CA"/>
        </w:rPr>
        <w:t>Great Plague of 1348</w:t>
      </w:r>
      <w:r w:rsidR="004C0AD7">
        <w:rPr>
          <w:lang w:val="en-CA"/>
        </w:rPr>
        <w:t>-1351</w:t>
      </w:r>
    </w:p>
    <w:p w14:paraId="777D74A9" w14:textId="793C5D9F" w:rsidR="00BF1B1C" w:rsidRDefault="009B139A" w:rsidP="009B139A">
      <w:pPr>
        <w:jc w:val="center"/>
        <w:rPr>
          <w:lang w:val="en-CA"/>
        </w:rPr>
      </w:pPr>
      <w:r>
        <w:rPr>
          <w:lang w:val="en-CA"/>
        </w:rPr>
        <w:t xml:space="preserve">Bryce </w:t>
      </w:r>
      <w:proofErr w:type="spellStart"/>
      <w:r>
        <w:rPr>
          <w:lang w:val="en-CA"/>
        </w:rPr>
        <w:t>Aszody</w:t>
      </w:r>
      <w:proofErr w:type="spellEnd"/>
      <w:r>
        <w:rPr>
          <w:lang w:val="en-CA"/>
        </w:rPr>
        <w:t>-Robinson</w:t>
      </w:r>
    </w:p>
    <w:p w14:paraId="22F17CEB" w14:textId="77777777" w:rsidR="00BF1B1C" w:rsidRDefault="00BF1B1C" w:rsidP="009B139A">
      <w:pPr>
        <w:jc w:val="center"/>
        <w:rPr>
          <w:lang w:val="en-CA"/>
        </w:rPr>
      </w:pPr>
    </w:p>
    <w:p w14:paraId="4A9154B1" w14:textId="77777777" w:rsidR="00C2737C" w:rsidRDefault="00C2737C">
      <w:pPr>
        <w:rPr>
          <w:lang w:val="en-CA"/>
        </w:rPr>
      </w:pPr>
    </w:p>
    <w:p w14:paraId="446AD4A1" w14:textId="01D945CE" w:rsidR="009F48B5" w:rsidRDefault="00EB1663" w:rsidP="00E52E86">
      <w:pPr>
        <w:spacing w:line="480" w:lineRule="auto"/>
        <w:rPr>
          <w:lang w:val="en-CA"/>
        </w:rPr>
      </w:pPr>
      <w:r>
        <w:rPr>
          <w:lang w:val="en-CA"/>
        </w:rPr>
        <w:tab/>
        <w:t>The Plague of 1348</w:t>
      </w:r>
      <w:r w:rsidR="00E52E86">
        <w:rPr>
          <w:lang w:val="en-CA"/>
        </w:rPr>
        <w:t>, also known as The Black Death,</w:t>
      </w:r>
      <w:r w:rsidR="001F63D3">
        <w:rPr>
          <w:lang w:val="en-CA"/>
        </w:rPr>
        <w:t xml:space="preserve"> was a pandemic de</w:t>
      </w:r>
      <w:r w:rsidR="00C2737C">
        <w:rPr>
          <w:lang w:val="en-CA"/>
        </w:rPr>
        <w:t>vastating to t</w:t>
      </w:r>
      <w:r>
        <w:rPr>
          <w:lang w:val="en-CA"/>
        </w:rPr>
        <w:t>he people o</w:t>
      </w:r>
      <w:r w:rsidR="005A6CED">
        <w:rPr>
          <w:lang w:val="en-CA"/>
        </w:rPr>
        <w:t>f Europe</w:t>
      </w:r>
      <w:r w:rsidR="00C2737C">
        <w:rPr>
          <w:lang w:val="en-CA"/>
        </w:rPr>
        <w:t>.</w:t>
      </w:r>
      <w:r w:rsidR="005A6CED">
        <w:rPr>
          <w:rStyle w:val="FootnoteReference"/>
          <w:lang w:val="en-CA"/>
        </w:rPr>
        <w:footnoteReference w:id="1"/>
      </w:r>
      <w:r w:rsidR="007824EC">
        <w:rPr>
          <w:lang w:val="en-CA"/>
        </w:rPr>
        <w:t xml:space="preserve"> </w:t>
      </w:r>
      <w:r w:rsidR="001F63D3">
        <w:rPr>
          <w:lang w:val="en-CA"/>
        </w:rPr>
        <w:t>It</w:t>
      </w:r>
      <w:r w:rsidR="007824EC">
        <w:rPr>
          <w:lang w:val="en-CA"/>
        </w:rPr>
        <w:t xml:space="preserve"> killed </w:t>
      </w:r>
      <w:r w:rsidR="00D346A5">
        <w:rPr>
          <w:lang w:val="en-CA"/>
        </w:rPr>
        <w:t xml:space="preserve">an estimated 30 to 60 percent </w:t>
      </w:r>
      <w:r w:rsidR="001F63D3">
        <w:rPr>
          <w:lang w:val="en-CA"/>
        </w:rPr>
        <w:t>of the population depending on the region</w:t>
      </w:r>
      <w:r w:rsidR="00D346A5">
        <w:rPr>
          <w:lang w:val="en-CA"/>
        </w:rPr>
        <w:t>.</w:t>
      </w:r>
      <w:r w:rsidR="005A6CED">
        <w:rPr>
          <w:rStyle w:val="FootnoteReference"/>
          <w:lang w:val="en-CA"/>
        </w:rPr>
        <w:footnoteReference w:id="2"/>
      </w:r>
      <w:r w:rsidR="007824EC">
        <w:rPr>
          <w:lang w:val="en-CA"/>
        </w:rPr>
        <w:t xml:space="preserve"> </w:t>
      </w:r>
      <w:r w:rsidR="00C2737C">
        <w:rPr>
          <w:lang w:val="en-CA"/>
        </w:rPr>
        <w:t xml:space="preserve">While </w:t>
      </w:r>
      <w:r w:rsidR="00D346A5">
        <w:rPr>
          <w:lang w:val="en-CA"/>
        </w:rPr>
        <w:t>there is not</w:t>
      </w:r>
      <w:r w:rsidR="007A795F">
        <w:rPr>
          <w:lang w:val="en-CA"/>
        </w:rPr>
        <w:t xml:space="preserve"> a</w:t>
      </w:r>
      <w:r w:rsidR="00D346A5">
        <w:rPr>
          <w:lang w:val="en-CA"/>
        </w:rPr>
        <w:t xml:space="preserve"> consensus amongst scholars regarding </w:t>
      </w:r>
      <w:r w:rsidR="00C2737C">
        <w:rPr>
          <w:lang w:val="en-CA"/>
        </w:rPr>
        <w:t xml:space="preserve">the </w:t>
      </w:r>
      <w:r w:rsidR="00D346A5">
        <w:rPr>
          <w:lang w:val="en-CA"/>
        </w:rPr>
        <w:t>ca</w:t>
      </w:r>
      <w:r w:rsidR="00E52E86">
        <w:rPr>
          <w:lang w:val="en-CA"/>
        </w:rPr>
        <w:t>uses</w:t>
      </w:r>
      <w:r w:rsidR="00C2737C">
        <w:rPr>
          <w:lang w:val="en-CA"/>
        </w:rPr>
        <w:t xml:space="preserve">, the culprit is generally assumed to be </w:t>
      </w:r>
      <w:r w:rsidR="00C2737C" w:rsidRPr="00BF1B1C">
        <w:rPr>
          <w:i/>
          <w:lang w:val="en-CA"/>
        </w:rPr>
        <w:t xml:space="preserve">Yersinia </w:t>
      </w:r>
      <w:proofErr w:type="spellStart"/>
      <w:r w:rsidR="00C2737C" w:rsidRPr="00BF1B1C">
        <w:rPr>
          <w:i/>
          <w:lang w:val="en-CA"/>
        </w:rPr>
        <w:t>Pestis</w:t>
      </w:r>
      <w:proofErr w:type="spellEnd"/>
      <w:r w:rsidR="00DB1B1F">
        <w:rPr>
          <w:lang w:val="en-CA"/>
        </w:rPr>
        <w:t>, also known as Bubonic P</w:t>
      </w:r>
      <w:r w:rsidR="00FF49E3">
        <w:rPr>
          <w:lang w:val="en-CA"/>
        </w:rPr>
        <w:t>lague</w:t>
      </w:r>
      <w:r w:rsidR="00D346A5">
        <w:rPr>
          <w:lang w:val="en-CA"/>
        </w:rPr>
        <w:t>.</w:t>
      </w:r>
      <w:r w:rsidR="005A6CED">
        <w:rPr>
          <w:rStyle w:val="FootnoteReference"/>
          <w:lang w:val="en-CA"/>
        </w:rPr>
        <w:footnoteReference w:id="3"/>
      </w:r>
      <w:r w:rsidR="00D346A5">
        <w:rPr>
          <w:lang w:val="en-CA"/>
        </w:rPr>
        <w:t xml:space="preserve"> </w:t>
      </w:r>
      <w:r w:rsidR="00C2737C">
        <w:rPr>
          <w:lang w:val="en-CA"/>
        </w:rPr>
        <w:t xml:space="preserve"> Contemporary written accounts</w:t>
      </w:r>
      <w:r w:rsidR="00DB1B1F">
        <w:rPr>
          <w:lang w:val="en-CA"/>
        </w:rPr>
        <w:t xml:space="preserve">, </w:t>
      </w:r>
      <w:r w:rsidR="00D346A5">
        <w:rPr>
          <w:lang w:val="en-CA"/>
        </w:rPr>
        <w:t>provide insights into</w:t>
      </w:r>
      <w:r w:rsidR="00C2737C">
        <w:rPr>
          <w:lang w:val="en-CA"/>
        </w:rPr>
        <w:t xml:space="preserve"> people’</w:t>
      </w:r>
      <w:r w:rsidR="00DB1B1F">
        <w:rPr>
          <w:lang w:val="en-CA"/>
        </w:rPr>
        <w:t>s reactions, thoughts</w:t>
      </w:r>
      <w:r w:rsidR="00D346A5">
        <w:rPr>
          <w:lang w:val="en-CA"/>
        </w:rPr>
        <w:t>,</w:t>
      </w:r>
      <w:r w:rsidR="00C2737C">
        <w:rPr>
          <w:lang w:val="en-CA"/>
        </w:rPr>
        <w:t xml:space="preserve"> and resulting</w:t>
      </w:r>
      <w:r w:rsidR="000B622C">
        <w:rPr>
          <w:lang w:val="en-CA"/>
        </w:rPr>
        <w:t xml:space="preserve"> economic</w:t>
      </w:r>
      <w:r w:rsidR="00C2737C">
        <w:rPr>
          <w:lang w:val="en-CA"/>
        </w:rPr>
        <w:t xml:space="preserve"> </w:t>
      </w:r>
      <w:r w:rsidR="00E52E86">
        <w:rPr>
          <w:lang w:val="en-CA"/>
        </w:rPr>
        <w:t>changes</w:t>
      </w:r>
      <w:r w:rsidR="004538C0">
        <w:rPr>
          <w:lang w:val="en-CA"/>
        </w:rPr>
        <w:t>.</w:t>
      </w:r>
      <w:r w:rsidR="00FF49E3">
        <w:rPr>
          <w:rStyle w:val="FootnoteReference"/>
          <w:lang w:val="en-CA"/>
        </w:rPr>
        <w:footnoteReference w:id="4"/>
      </w:r>
      <w:r w:rsidR="00FF49E3">
        <w:rPr>
          <w:lang w:val="en-CA"/>
        </w:rPr>
        <w:t xml:space="preserve"> </w:t>
      </w:r>
      <w:r w:rsidR="004C0AD7">
        <w:rPr>
          <w:lang w:val="en-CA"/>
        </w:rPr>
        <w:t xml:space="preserve"> </w:t>
      </w:r>
      <w:r>
        <w:rPr>
          <w:lang w:val="en-CA"/>
        </w:rPr>
        <w:t xml:space="preserve"> </w:t>
      </w:r>
    </w:p>
    <w:p w14:paraId="516C0585" w14:textId="597B8163" w:rsidR="00B92182" w:rsidRDefault="00D346A5" w:rsidP="00E52E86">
      <w:pPr>
        <w:spacing w:line="480" w:lineRule="auto"/>
        <w:ind w:firstLine="720"/>
        <w:rPr>
          <w:lang w:val="en-CA"/>
        </w:rPr>
      </w:pPr>
      <w:r>
        <w:rPr>
          <w:lang w:val="en-CA"/>
        </w:rPr>
        <w:t>T</w:t>
      </w:r>
      <w:r w:rsidR="009F48B5">
        <w:rPr>
          <w:lang w:val="en-CA"/>
        </w:rPr>
        <w:t xml:space="preserve">he </w:t>
      </w:r>
      <w:r w:rsidR="009F48B5" w:rsidRPr="00BF1B1C">
        <w:rPr>
          <w:i/>
          <w:lang w:val="en-CA"/>
        </w:rPr>
        <w:t xml:space="preserve">Eulogium </w:t>
      </w:r>
      <w:proofErr w:type="spellStart"/>
      <w:r w:rsidR="009F48B5" w:rsidRPr="00BF1B1C">
        <w:rPr>
          <w:i/>
          <w:lang w:val="en-CA"/>
        </w:rPr>
        <w:t>Historiarum</w:t>
      </w:r>
      <w:proofErr w:type="spellEnd"/>
      <w:r w:rsidR="009F48B5" w:rsidRPr="00BF1B1C">
        <w:rPr>
          <w:i/>
          <w:lang w:val="en-CA"/>
        </w:rPr>
        <w:t xml:space="preserve"> </w:t>
      </w:r>
      <w:proofErr w:type="spellStart"/>
      <w:r w:rsidR="009F48B5" w:rsidRPr="00BF1B1C">
        <w:rPr>
          <w:i/>
          <w:lang w:val="en-CA"/>
        </w:rPr>
        <w:t>sive</w:t>
      </w:r>
      <w:proofErr w:type="spellEnd"/>
      <w:r w:rsidR="009F48B5" w:rsidRPr="00BF1B1C">
        <w:rPr>
          <w:i/>
          <w:lang w:val="en-CA"/>
        </w:rPr>
        <w:t xml:space="preserve"> </w:t>
      </w:r>
      <w:proofErr w:type="spellStart"/>
      <w:r w:rsidR="009F48B5" w:rsidRPr="00BF1B1C">
        <w:rPr>
          <w:i/>
          <w:lang w:val="en-CA"/>
        </w:rPr>
        <w:t>Tempori</w:t>
      </w:r>
      <w:r w:rsidRPr="00BF1B1C">
        <w:rPr>
          <w:i/>
          <w:lang w:val="en-CA"/>
        </w:rPr>
        <w:t>s</w:t>
      </w:r>
      <w:proofErr w:type="spellEnd"/>
      <w:r>
        <w:rPr>
          <w:lang w:val="en-CA"/>
        </w:rPr>
        <w:t>, describes</w:t>
      </w:r>
      <w:r w:rsidR="00323E30">
        <w:rPr>
          <w:lang w:val="en-CA"/>
        </w:rPr>
        <w:t xml:space="preserve"> the </w:t>
      </w:r>
      <w:r w:rsidR="00E52E86">
        <w:rPr>
          <w:lang w:val="en-CA"/>
        </w:rPr>
        <w:t>plague’s</w:t>
      </w:r>
      <w:r w:rsidR="009F48B5">
        <w:rPr>
          <w:lang w:val="en-CA"/>
        </w:rPr>
        <w:t xml:space="preserve"> i</w:t>
      </w:r>
      <w:r w:rsidR="00DB1B1F">
        <w:rPr>
          <w:lang w:val="en-CA"/>
        </w:rPr>
        <w:t>mpact upon England in 1348</w:t>
      </w:r>
      <w:r>
        <w:rPr>
          <w:lang w:val="en-CA"/>
        </w:rPr>
        <w:t>, detailing</w:t>
      </w:r>
      <w:r w:rsidR="00E52E86">
        <w:rPr>
          <w:lang w:val="en-CA"/>
        </w:rPr>
        <w:t xml:space="preserve"> </w:t>
      </w:r>
      <w:r w:rsidR="009F48B5">
        <w:rPr>
          <w:lang w:val="en-CA"/>
        </w:rPr>
        <w:t>the</w:t>
      </w:r>
      <w:r w:rsidR="00DB1B1F">
        <w:rPr>
          <w:lang w:val="en-CA"/>
        </w:rPr>
        <w:t xml:space="preserve"> pestilence,</w:t>
      </w:r>
      <w:r>
        <w:rPr>
          <w:lang w:val="en-CA"/>
        </w:rPr>
        <w:t xml:space="preserve"> </w:t>
      </w:r>
      <w:r w:rsidR="006C2C9E">
        <w:rPr>
          <w:lang w:val="en-CA"/>
        </w:rPr>
        <w:t>it</w:t>
      </w:r>
      <w:r w:rsidR="00DB1B1F">
        <w:rPr>
          <w:lang w:val="en-CA"/>
        </w:rPr>
        <w:t xml:space="preserve">s effects </w:t>
      </w:r>
      <w:r>
        <w:rPr>
          <w:lang w:val="en-CA"/>
        </w:rPr>
        <w:t xml:space="preserve">and </w:t>
      </w:r>
      <w:r w:rsidR="009F48B5">
        <w:rPr>
          <w:lang w:val="en-CA"/>
        </w:rPr>
        <w:t xml:space="preserve">economic impact. This excerpt </w:t>
      </w:r>
      <w:r w:rsidR="00E52E86">
        <w:rPr>
          <w:lang w:val="en-CA"/>
        </w:rPr>
        <w:t xml:space="preserve">notes </w:t>
      </w:r>
      <w:r w:rsidR="001F63D3">
        <w:rPr>
          <w:lang w:val="en-CA"/>
        </w:rPr>
        <w:t xml:space="preserve">the fast </w:t>
      </w:r>
      <w:r>
        <w:rPr>
          <w:lang w:val="en-CA"/>
        </w:rPr>
        <w:t xml:space="preserve">rate at which the plague </w:t>
      </w:r>
      <w:r w:rsidR="001F63D3">
        <w:rPr>
          <w:lang w:val="en-CA"/>
        </w:rPr>
        <w:t>spread</w:t>
      </w:r>
      <w:r w:rsidR="00E52E86">
        <w:rPr>
          <w:lang w:val="en-CA"/>
        </w:rPr>
        <w:t xml:space="preserve"> and </w:t>
      </w:r>
      <w:r w:rsidR="001F63D3">
        <w:rPr>
          <w:lang w:val="en-CA"/>
        </w:rPr>
        <w:t>the huge death toll</w:t>
      </w:r>
      <w:r w:rsidR="00F50CA4">
        <w:rPr>
          <w:lang w:val="en-CA"/>
        </w:rPr>
        <w:t>,</w:t>
      </w:r>
      <w:r w:rsidR="00DB1B1F">
        <w:rPr>
          <w:lang w:val="en-CA"/>
        </w:rPr>
        <w:t xml:space="preserve"> “it wretchedly killed innumerable people...” </w:t>
      </w:r>
      <w:r w:rsidR="00E52E86">
        <w:rPr>
          <w:lang w:val="en-CA"/>
        </w:rPr>
        <w:t>estimating</w:t>
      </w:r>
      <w:r w:rsidR="00F50CA4">
        <w:rPr>
          <w:lang w:val="en-CA"/>
        </w:rPr>
        <w:t xml:space="preserve"> </w:t>
      </w:r>
      <w:r w:rsidR="00DB1B1F">
        <w:rPr>
          <w:lang w:val="en-CA"/>
        </w:rPr>
        <w:t>that a fifth of the population</w:t>
      </w:r>
      <w:r w:rsidR="00E51810">
        <w:rPr>
          <w:lang w:val="en-CA"/>
        </w:rPr>
        <w:t xml:space="preserve"> died</w:t>
      </w:r>
      <w:r w:rsidR="00F50CA4">
        <w:rPr>
          <w:lang w:val="en-CA"/>
        </w:rPr>
        <w:t>.</w:t>
      </w:r>
      <w:r w:rsidR="00E51810">
        <w:rPr>
          <w:rStyle w:val="FootnoteReference"/>
          <w:lang w:val="en-CA"/>
        </w:rPr>
        <w:footnoteReference w:id="5"/>
      </w:r>
      <w:r w:rsidR="00452E64">
        <w:rPr>
          <w:lang w:val="en-CA"/>
        </w:rPr>
        <w:t xml:space="preserve"> </w:t>
      </w:r>
      <w:r w:rsidR="001F63D3">
        <w:rPr>
          <w:lang w:val="en-CA"/>
        </w:rPr>
        <w:t xml:space="preserve">Many scholars </w:t>
      </w:r>
      <w:r w:rsidR="00452E64">
        <w:rPr>
          <w:lang w:val="en-CA"/>
        </w:rPr>
        <w:t xml:space="preserve">suggest </w:t>
      </w:r>
      <w:r w:rsidR="00DB1B1F">
        <w:rPr>
          <w:lang w:val="en-CA"/>
        </w:rPr>
        <w:t xml:space="preserve">that the pestilence spread too quickly and killed too many for </w:t>
      </w:r>
      <w:r w:rsidR="00F50CA4">
        <w:rPr>
          <w:lang w:val="en-CA"/>
        </w:rPr>
        <w:t xml:space="preserve">it to have been </w:t>
      </w:r>
      <w:r w:rsidR="00F50CA4" w:rsidRPr="00BF1B1C">
        <w:rPr>
          <w:i/>
          <w:lang w:val="en-CA"/>
        </w:rPr>
        <w:t xml:space="preserve">Yersinia </w:t>
      </w:r>
      <w:proofErr w:type="spellStart"/>
      <w:r w:rsidR="00F50CA4" w:rsidRPr="00BF1B1C">
        <w:rPr>
          <w:i/>
          <w:lang w:val="en-CA"/>
        </w:rPr>
        <w:t>Pestis</w:t>
      </w:r>
      <w:proofErr w:type="spellEnd"/>
      <w:r w:rsidR="00F50CA4">
        <w:rPr>
          <w:lang w:val="en-CA"/>
        </w:rPr>
        <w:t>.</w:t>
      </w:r>
      <w:r w:rsidR="00E51810">
        <w:rPr>
          <w:rStyle w:val="FootnoteReference"/>
          <w:lang w:val="en-CA"/>
        </w:rPr>
        <w:footnoteReference w:id="6"/>
      </w:r>
      <w:r w:rsidR="00DB1B1F">
        <w:rPr>
          <w:lang w:val="en-CA"/>
        </w:rPr>
        <w:t xml:space="preserve"> This has lead scholars to name a wide variety of other illnesses as the culprit in replace of, or wor</w:t>
      </w:r>
      <w:r w:rsidR="00807904">
        <w:rPr>
          <w:lang w:val="en-CA"/>
        </w:rPr>
        <w:t xml:space="preserve">king alongside </w:t>
      </w:r>
      <w:r w:rsidR="00807904" w:rsidRPr="00BF1B1C">
        <w:rPr>
          <w:i/>
          <w:lang w:val="en-CA"/>
        </w:rPr>
        <w:t>Yersinia</w:t>
      </w:r>
      <w:r w:rsidR="00F50CA4" w:rsidRPr="00BF1B1C">
        <w:rPr>
          <w:i/>
          <w:lang w:val="en-CA"/>
        </w:rPr>
        <w:t xml:space="preserve"> </w:t>
      </w:r>
      <w:proofErr w:type="spellStart"/>
      <w:r w:rsidR="00F50CA4" w:rsidRPr="00BF1B1C">
        <w:rPr>
          <w:i/>
          <w:lang w:val="en-CA"/>
        </w:rPr>
        <w:t>Pestis</w:t>
      </w:r>
      <w:proofErr w:type="spellEnd"/>
      <w:r w:rsidR="00F50CA4">
        <w:rPr>
          <w:lang w:val="en-CA"/>
        </w:rPr>
        <w:t>. It is also notable that th</w:t>
      </w:r>
      <w:r w:rsidR="00E52E86">
        <w:rPr>
          <w:lang w:val="en-CA"/>
        </w:rPr>
        <w:t>is account</w:t>
      </w:r>
      <w:r w:rsidR="00F50CA4">
        <w:rPr>
          <w:lang w:val="en-CA"/>
        </w:rPr>
        <w:t xml:space="preserve"> states </w:t>
      </w:r>
      <w:r w:rsidR="00F15F1B">
        <w:rPr>
          <w:lang w:val="en-CA"/>
        </w:rPr>
        <w:t>the Black Death was “just as cruel among pagans as Christians.”</w:t>
      </w:r>
      <w:r w:rsidR="00E51810">
        <w:rPr>
          <w:rStyle w:val="FootnoteReference"/>
          <w:lang w:val="en-CA"/>
        </w:rPr>
        <w:footnoteReference w:id="7"/>
      </w:r>
      <w:r w:rsidR="007824EC">
        <w:rPr>
          <w:lang w:val="en-CA"/>
        </w:rPr>
        <w:t xml:space="preserve"> This </w:t>
      </w:r>
      <w:r w:rsidR="00F50CA4">
        <w:rPr>
          <w:lang w:val="en-CA"/>
        </w:rPr>
        <w:t xml:space="preserve">contrasts with </w:t>
      </w:r>
      <w:r w:rsidR="00F15F1B">
        <w:rPr>
          <w:lang w:val="en-CA"/>
        </w:rPr>
        <w:t xml:space="preserve">other </w:t>
      </w:r>
      <w:r w:rsidR="00F50CA4">
        <w:rPr>
          <w:lang w:val="en-CA"/>
        </w:rPr>
        <w:t xml:space="preserve">popular perceptions that </w:t>
      </w:r>
      <w:r w:rsidR="00F15F1B">
        <w:rPr>
          <w:lang w:val="en-CA"/>
        </w:rPr>
        <w:t xml:space="preserve">the plague </w:t>
      </w:r>
      <w:r w:rsidR="00F50CA4">
        <w:rPr>
          <w:lang w:val="en-CA"/>
        </w:rPr>
        <w:t xml:space="preserve">was </w:t>
      </w:r>
      <w:r w:rsidR="00F50CA4">
        <w:rPr>
          <w:lang w:val="en-CA"/>
        </w:rPr>
        <w:lastRenderedPageBreak/>
        <w:t xml:space="preserve">caused by </w:t>
      </w:r>
      <w:r w:rsidR="007824EC">
        <w:rPr>
          <w:lang w:val="en-CA"/>
        </w:rPr>
        <w:t>outsider groups such as the Jews.</w:t>
      </w:r>
      <w:r w:rsidR="00E51810">
        <w:rPr>
          <w:rStyle w:val="FootnoteReference"/>
          <w:lang w:val="en-CA"/>
        </w:rPr>
        <w:footnoteReference w:id="8"/>
      </w:r>
      <w:r w:rsidR="00E52E86">
        <w:rPr>
          <w:color w:val="FF0000"/>
          <w:lang w:val="en-CA"/>
        </w:rPr>
        <w:t xml:space="preserve"> </w:t>
      </w:r>
      <w:r w:rsidR="00F50CA4">
        <w:rPr>
          <w:lang w:val="en-CA"/>
        </w:rPr>
        <w:t>I</w:t>
      </w:r>
      <w:r w:rsidR="00807904">
        <w:rPr>
          <w:lang w:val="en-CA"/>
        </w:rPr>
        <w:t xml:space="preserve">t is </w:t>
      </w:r>
      <w:r w:rsidR="00F50CA4">
        <w:rPr>
          <w:lang w:val="en-CA"/>
        </w:rPr>
        <w:t xml:space="preserve">also </w:t>
      </w:r>
      <w:r w:rsidR="00807904">
        <w:rPr>
          <w:lang w:val="en-CA"/>
        </w:rPr>
        <w:t>interesting</w:t>
      </w:r>
      <w:r w:rsidR="007824EC">
        <w:rPr>
          <w:lang w:val="en-CA"/>
        </w:rPr>
        <w:t xml:space="preserve"> th</w:t>
      </w:r>
      <w:r w:rsidR="00807904">
        <w:rPr>
          <w:lang w:val="en-CA"/>
        </w:rPr>
        <w:t xml:space="preserve">at the author </w:t>
      </w:r>
      <w:r w:rsidR="00F50CA4">
        <w:rPr>
          <w:lang w:val="en-CA"/>
        </w:rPr>
        <w:t xml:space="preserve">indicates </w:t>
      </w:r>
      <w:r w:rsidR="00807904">
        <w:rPr>
          <w:lang w:val="en-CA"/>
        </w:rPr>
        <w:t>that the plague made women barren and that those afflicted bore stillborn children</w:t>
      </w:r>
      <w:r w:rsidR="00323E30">
        <w:rPr>
          <w:lang w:val="en-CA"/>
        </w:rPr>
        <w:t xml:space="preserve"> long after</w:t>
      </w:r>
      <w:r w:rsidR="00452E64">
        <w:rPr>
          <w:lang w:val="en-CA"/>
        </w:rPr>
        <w:t xml:space="preserve">. It is </w:t>
      </w:r>
      <w:r w:rsidR="00807904">
        <w:rPr>
          <w:lang w:val="en-CA"/>
        </w:rPr>
        <w:t>worth noting that medical knowledge was very limited</w:t>
      </w:r>
      <w:r w:rsidR="00323E30">
        <w:rPr>
          <w:lang w:val="en-CA"/>
        </w:rPr>
        <w:t xml:space="preserve"> in the Late Medieval period</w:t>
      </w:r>
      <w:r w:rsidR="00F50CA4">
        <w:rPr>
          <w:lang w:val="en-CA"/>
        </w:rPr>
        <w:t>,</w:t>
      </w:r>
      <w:r w:rsidR="00452E64">
        <w:rPr>
          <w:lang w:val="en-CA"/>
        </w:rPr>
        <w:t xml:space="preserve"> but nowhere is it documented that </w:t>
      </w:r>
      <w:r w:rsidR="00807904" w:rsidRPr="00BF1B1C">
        <w:rPr>
          <w:i/>
          <w:lang w:val="en-CA"/>
        </w:rPr>
        <w:t xml:space="preserve">Yersinia </w:t>
      </w:r>
      <w:proofErr w:type="spellStart"/>
      <w:r w:rsidR="00807904" w:rsidRPr="00BF1B1C">
        <w:rPr>
          <w:i/>
          <w:lang w:val="en-CA"/>
        </w:rPr>
        <w:t>Pestis</w:t>
      </w:r>
      <w:proofErr w:type="spellEnd"/>
      <w:r w:rsidR="00807904">
        <w:rPr>
          <w:lang w:val="en-CA"/>
        </w:rPr>
        <w:t xml:space="preserve"> produces infertility. The</w:t>
      </w:r>
      <w:r w:rsidR="00DB1B1F">
        <w:rPr>
          <w:lang w:val="en-CA"/>
        </w:rPr>
        <w:t xml:space="preserve"> fact that the author </w:t>
      </w:r>
      <w:r w:rsidR="00F50CA4">
        <w:rPr>
          <w:lang w:val="en-CA"/>
        </w:rPr>
        <w:t>suggest</w:t>
      </w:r>
      <w:r w:rsidR="00452E64">
        <w:rPr>
          <w:lang w:val="en-CA"/>
        </w:rPr>
        <w:t>s this</w:t>
      </w:r>
      <w:r w:rsidR="00F50CA4">
        <w:rPr>
          <w:lang w:val="en-CA"/>
        </w:rPr>
        <w:t xml:space="preserve"> outcome</w:t>
      </w:r>
      <w:r w:rsidR="00452E64">
        <w:rPr>
          <w:lang w:val="en-CA"/>
        </w:rPr>
        <w:t xml:space="preserve"> suggest</w:t>
      </w:r>
      <w:r w:rsidR="00807904">
        <w:rPr>
          <w:lang w:val="en-CA"/>
        </w:rPr>
        <w:t>s either a legitimate symptom, a heightened awareness of fatal births in conjunction to the high death toll, or a mere folk superstition</w:t>
      </w:r>
      <w:r w:rsidR="00323E30">
        <w:rPr>
          <w:lang w:val="en-CA"/>
        </w:rPr>
        <w:t>.</w:t>
      </w:r>
      <w:r w:rsidR="007824EC">
        <w:rPr>
          <w:lang w:val="en-CA"/>
        </w:rPr>
        <w:t xml:space="preserve"> </w:t>
      </w:r>
      <w:r w:rsidR="00B92182">
        <w:rPr>
          <w:lang w:val="en-CA"/>
        </w:rPr>
        <w:t>Lastly the author notes that the prices for goods and services</w:t>
      </w:r>
      <w:r w:rsidR="00323E30">
        <w:rPr>
          <w:lang w:val="en-CA"/>
        </w:rPr>
        <w:t xml:space="preserve"> were affected dramatically by t</w:t>
      </w:r>
      <w:r w:rsidR="00B92182">
        <w:rPr>
          <w:lang w:val="en-CA"/>
        </w:rPr>
        <w:t>he Black Death, wit</w:t>
      </w:r>
      <w:r w:rsidR="00FA793B">
        <w:rPr>
          <w:lang w:val="en-CA"/>
        </w:rPr>
        <w:t>h prices dropping considerably,</w:t>
      </w:r>
      <w:r w:rsidR="00452E64">
        <w:rPr>
          <w:lang w:val="en-CA"/>
        </w:rPr>
        <w:t xml:space="preserve"> </w:t>
      </w:r>
      <w:r w:rsidR="00B92182">
        <w:rPr>
          <w:lang w:val="en-CA"/>
        </w:rPr>
        <w:t>“a good horse, once va</w:t>
      </w:r>
      <w:r w:rsidR="00323E30">
        <w:rPr>
          <w:lang w:val="en-CA"/>
        </w:rPr>
        <w:t>lued at 40s, for 6s… and even at</w:t>
      </w:r>
      <w:r w:rsidR="00B92182">
        <w:rPr>
          <w:lang w:val="en-CA"/>
        </w:rPr>
        <w:t xml:space="preserve"> this price buyers w</w:t>
      </w:r>
      <w:r w:rsidR="00BA353F">
        <w:rPr>
          <w:lang w:val="en-CA"/>
        </w:rPr>
        <w:t>ere rarely found.”</w:t>
      </w:r>
      <w:r w:rsidR="00A30479">
        <w:rPr>
          <w:rStyle w:val="FootnoteReference"/>
          <w:lang w:val="en-CA"/>
        </w:rPr>
        <w:footnoteReference w:id="9"/>
      </w:r>
      <w:r w:rsidR="00B92182" w:rsidRPr="00BA353F">
        <w:rPr>
          <w:color w:val="FF0000"/>
          <w:lang w:val="en-CA"/>
        </w:rPr>
        <w:t xml:space="preserve"> </w:t>
      </w:r>
      <w:r w:rsidR="00B92182">
        <w:rPr>
          <w:lang w:val="en-CA"/>
        </w:rPr>
        <w:t>Th</w:t>
      </w:r>
      <w:r w:rsidR="00FA793B">
        <w:rPr>
          <w:lang w:val="en-CA"/>
        </w:rPr>
        <w:t xml:space="preserve">e long term economic impact is a well referenced consequence. For example, </w:t>
      </w:r>
      <w:r w:rsidR="00B92182">
        <w:rPr>
          <w:lang w:val="en-CA"/>
        </w:rPr>
        <w:t xml:space="preserve">in the years after the Black Death’s ebb the rich sought to return prices to previous rates while the poor majority </w:t>
      </w:r>
      <w:r w:rsidR="008F71AE">
        <w:rPr>
          <w:lang w:val="en-CA"/>
        </w:rPr>
        <w:t>resisted</w:t>
      </w:r>
      <w:r w:rsidR="00B92182">
        <w:rPr>
          <w:lang w:val="en-CA"/>
        </w:rPr>
        <w:t>, in some instances</w:t>
      </w:r>
      <w:r w:rsidR="00FA793B">
        <w:rPr>
          <w:lang w:val="en-CA"/>
        </w:rPr>
        <w:t xml:space="preserve"> leading to large scale revolts.</w:t>
      </w:r>
      <w:r w:rsidR="003361AD">
        <w:rPr>
          <w:rStyle w:val="FootnoteReference"/>
          <w:lang w:val="en-CA"/>
        </w:rPr>
        <w:footnoteReference w:id="10"/>
      </w:r>
    </w:p>
    <w:p w14:paraId="381CA1C6" w14:textId="4C6901B4" w:rsidR="00C2737C" w:rsidRDefault="00B92182" w:rsidP="00E52E86">
      <w:pPr>
        <w:spacing w:line="480" w:lineRule="auto"/>
        <w:ind w:firstLine="720"/>
        <w:rPr>
          <w:lang w:val="en-CA"/>
        </w:rPr>
      </w:pPr>
      <w:r w:rsidRPr="007B44D8">
        <w:rPr>
          <w:lang w:val="en-CA"/>
        </w:rPr>
        <w:t>The second excerpt</w:t>
      </w:r>
      <w:r w:rsidR="007B44D8">
        <w:rPr>
          <w:color w:val="FF0000"/>
          <w:lang w:val="en-CA"/>
        </w:rPr>
        <w:t xml:space="preserve"> </w:t>
      </w:r>
      <w:r w:rsidR="00FA793B">
        <w:rPr>
          <w:lang w:val="en-CA"/>
        </w:rPr>
        <w:t>focuses on</w:t>
      </w:r>
      <w:r w:rsidR="00323E30">
        <w:rPr>
          <w:lang w:val="en-CA"/>
        </w:rPr>
        <w:t xml:space="preserve"> the effect that t</w:t>
      </w:r>
      <w:r>
        <w:rPr>
          <w:lang w:val="en-CA"/>
        </w:rPr>
        <w:t xml:space="preserve">he Black Death had upon the survivors and further details the economic repercussions and the </w:t>
      </w:r>
      <w:r w:rsidR="00452E64">
        <w:rPr>
          <w:lang w:val="en-CA"/>
        </w:rPr>
        <w:t>reactions</w:t>
      </w:r>
      <w:r>
        <w:rPr>
          <w:lang w:val="en-CA"/>
        </w:rPr>
        <w:t xml:space="preserve"> of the elite to the newly emboldened peasantry of 1350. The</w:t>
      </w:r>
      <w:r w:rsidR="00323E30">
        <w:rPr>
          <w:lang w:val="en-CA"/>
        </w:rPr>
        <w:t xml:space="preserve"> anonymous</w:t>
      </w:r>
      <w:r>
        <w:rPr>
          <w:lang w:val="en-CA"/>
        </w:rPr>
        <w:t xml:space="preserve"> author</w:t>
      </w:r>
      <w:r w:rsidR="00323E30">
        <w:rPr>
          <w:lang w:val="en-CA"/>
        </w:rPr>
        <w:t xml:space="preserve"> </w:t>
      </w:r>
      <w:r w:rsidR="00BA353F">
        <w:rPr>
          <w:lang w:val="en-CA"/>
        </w:rPr>
        <w:t>reveal</w:t>
      </w:r>
      <w:r w:rsidR="00FA793B">
        <w:rPr>
          <w:lang w:val="en-CA"/>
        </w:rPr>
        <w:t>s a b</w:t>
      </w:r>
      <w:r w:rsidR="00BA353F">
        <w:rPr>
          <w:lang w:val="en-CA"/>
        </w:rPr>
        <w:t>ias against the poor, “</w:t>
      </w:r>
      <w:r w:rsidR="00870370">
        <w:rPr>
          <w:lang w:val="en-CA"/>
        </w:rPr>
        <w:t>No workman or labourer was prepared to take orders from anyone, whether equal inferior or superior, but all those who served did so with ill will and malicious spirit.</w:t>
      </w:r>
      <w:r>
        <w:rPr>
          <w:lang w:val="en-CA"/>
        </w:rPr>
        <w:t>”</w:t>
      </w:r>
      <w:r w:rsidR="00870370">
        <w:rPr>
          <w:lang w:val="en-CA"/>
        </w:rPr>
        <w:t xml:space="preserve"> The author posits that the culprits b</w:t>
      </w:r>
      <w:r w:rsidR="006C2C9E">
        <w:rPr>
          <w:lang w:val="en-CA"/>
        </w:rPr>
        <w:t>ehind such rebellious behavior we</w:t>
      </w:r>
      <w:r w:rsidR="00870370">
        <w:rPr>
          <w:lang w:val="en-CA"/>
        </w:rPr>
        <w:t>re</w:t>
      </w:r>
      <w:r w:rsidR="007B44D8">
        <w:rPr>
          <w:lang w:val="en-CA"/>
        </w:rPr>
        <w:t xml:space="preserve"> inspired by the heralds of the apocalypse </w:t>
      </w:r>
      <w:r w:rsidR="007B44D8">
        <w:rPr>
          <w:lang w:val="en-CA"/>
        </w:rPr>
        <w:lastRenderedPageBreak/>
        <w:t>and</w:t>
      </w:r>
      <w:r w:rsidR="00870370">
        <w:rPr>
          <w:lang w:val="en-CA"/>
        </w:rPr>
        <w:t xml:space="preserve"> the last British giants, Gog and </w:t>
      </w:r>
      <w:proofErr w:type="spellStart"/>
      <w:r w:rsidR="00870370">
        <w:rPr>
          <w:lang w:val="en-CA"/>
        </w:rPr>
        <w:t>Magog</w:t>
      </w:r>
      <w:proofErr w:type="spellEnd"/>
      <w:r w:rsidR="00870370">
        <w:rPr>
          <w:lang w:val="en-CA"/>
        </w:rPr>
        <w:t>.</w:t>
      </w:r>
      <w:r w:rsidR="003361AD">
        <w:rPr>
          <w:rStyle w:val="FootnoteReference"/>
          <w:lang w:val="en-CA"/>
        </w:rPr>
        <w:footnoteReference w:id="11"/>
      </w:r>
      <w:r w:rsidR="007824EC">
        <w:rPr>
          <w:lang w:val="en-CA"/>
        </w:rPr>
        <w:t xml:space="preserve"> </w:t>
      </w:r>
      <w:r w:rsidR="00870370">
        <w:rPr>
          <w:lang w:val="en-CA"/>
        </w:rPr>
        <w:t xml:space="preserve">However, there are more apt motives to be considered. </w:t>
      </w:r>
      <w:r w:rsidR="008F71AE">
        <w:rPr>
          <w:lang w:val="en-CA"/>
        </w:rPr>
        <w:t>It is noted that “although everyone in society was impacted, the common people, often undernourished and living in unhealthy environments were most susceptible.”</w:t>
      </w:r>
      <w:r w:rsidR="006C2C9E">
        <w:rPr>
          <w:rStyle w:val="FootnoteReference"/>
          <w:lang w:val="en-CA"/>
        </w:rPr>
        <w:footnoteReference w:id="12"/>
      </w:r>
      <w:r w:rsidR="008F71AE">
        <w:rPr>
          <w:lang w:val="en-CA"/>
        </w:rPr>
        <w:t xml:space="preserve"> </w:t>
      </w:r>
      <w:r w:rsidR="00452E64">
        <w:rPr>
          <w:lang w:val="en-CA"/>
        </w:rPr>
        <w:t>Most</w:t>
      </w:r>
      <w:r w:rsidR="008F71AE">
        <w:rPr>
          <w:lang w:val="en-CA"/>
        </w:rPr>
        <w:t xml:space="preserve"> of the population</w:t>
      </w:r>
      <w:r w:rsidR="0098763A">
        <w:rPr>
          <w:lang w:val="en-CA"/>
        </w:rPr>
        <w:t xml:space="preserve"> </w:t>
      </w:r>
      <w:r w:rsidR="00323E30">
        <w:rPr>
          <w:lang w:val="en-CA"/>
        </w:rPr>
        <w:t>were peasants</w:t>
      </w:r>
      <w:r w:rsidR="00452E64">
        <w:rPr>
          <w:lang w:val="en-CA"/>
        </w:rPr>
        <w:t xml:space="preserve">, produced </w:t>
      </w:r>
      <w:r w:rsidR="0098763A">
        <w:rPr>
          <w:lang w:val="en-CA"/>
        </w:rPr>
        <w:t>the taxe</w:t>
      </w:r>
      <w:r w:rsidR="003F2A0E">
        <w:rPr>
          <w:lang w:val="en-CA"/>
        </w:rPr>
        <w:t xml:space="preserve">s and grain, and when </w:t>
      </w:r>
      <w:r w:rsidR="00EB1663">
        <w:rPr>
          <w:lang w:val="en-CA"/>
        </w:rPr>
        <w:t>many</w:t>
      </w:r>
      <w:r w:rsidR="0098763A">
        <w:rPr>
          <w:lang w:val="en-CA"/>
        </w:rPr>
        <w:t xml:space="preserve"> died</w:t>
      </w:r>
      <w:r w:rsidR="00323E30">
        <w:rPr>
          <w:lang w:val="en-CA"/>
        </w:rPr>
        <w:t>,</w:t>
      </w:r>
      <w:r w:rsidR="0098763A">
        <w:rPr>
          <w:lang w:val="en-CA"/>
        </w:rPr>
        <w:t xml:space="preserve"> their labo</w:t>
      </w:r>
      <w:r w:rsidR="006C2C9E">
        <w:rPr>
          <w:lang w:val="en-CA"/>
        </w:rPr>
        <w:t>u</w:t>
      </w:r>
      <w:r w:rsidR="0098763A">
        <w:rPr>
          <w:lang w:val="en-CA"/>
        </w:rPr>
        <w:t xml:space="preserve">r, once cheap, became </w:t>
      </w:r>
      <w:r w:rsidR="003F2A0E">
        <w:rPr>
          <w:lang w:val="en-CA"/>
        </w:rPr>
        <w:t>scarce</w:t>
      </w:r>
      <w:r w:rsidR="0098763A">
        <w:rPr>
          <w:lang w:val="en-CA"/>
        </w:rPr>
        <w:t>.</w:t>
      </w:r>
      <w:r w:rsidR="00EB1663">
        <w:rPr>
          <w:lang w:val="en-CA"/>
        </w:rPr>
        <w:t xml:space="preserve"> </w:t>
      </w:r>
      <w:r w:rsidR="00BA353F">
        <w:rPr>
          <w:lang w:val="en-CA"/>
        </w:rPr>
        <w:t>F</w:t>
      </w:r>
      <w:r w:rsidR="005B5BD8">
        <w:rPr>
          <w:lang w:val="en-CA"/>
        </w:rPr>
        <w:t>or the peasantry who</w:t>
      </w:r>
      <w:r w:rsidR="00811417">
        <w:rPr>
          <w:lang w:val="en-CA"/>
        </w:rPr>
        <w:t xml:space="preserve"> did survive, </w:t>
      </w:r>
      <w:r w:rsidR="005B5BD8">
        <w:rPr>
          <w:lang w:val="en-CA"/>
        </w:rPr>
        <w:t xml:space="preserve">“cheaper land prices, a higher level of consumption and a significant increase </w:t>
      </w:r>
      <w:r w:rsidR="008A7EE6">
        <w:rPr>
          <w:lang w:val="en-CA"/>
        </w:rPr>
        <w:t>in average income can all be traced to the effects of the Black Death.</w:t>
      </w:r>
      <w:r w:rsidR="005E43AA">
        <w:rPr>
          <w:lang w:val="en-CA"/>
        </w:rPr>
        <w:t>”</w:t>
      </w:r>
      <w:r w:rsidR="00D30744">
        <w:rPr>
          <w:rStyle w:val="FootnoteReference"/>
          <w:lang w:val="en-CA"/>
        </w:rPr>
        <w:footnoteReference w:id="13"/>
      </w:r>
      <w:r w:rsidR="00811417">
        <w:rPr>
          <w:lang w:val="en-CA"/>
        </w:rPr>
        <w:t xml:space="preserve"> The survivors benefitted </w:t>
      </w:r>
      <w:r w:rsidR="00452E64">
        <w:rPr>
          <w:lang w:val="en-CA"/>
        </w:rPr>
        <w:t>economically,</w:t>
      </w:r>
      <w:r w:rsidR="00354FF3">
        <w:rPr>
          <w:lang w:val="en-CA"/>
        </w:rPr>
        <w:t xml:space="preserve"> </w:t>
      </w:r>
      <w:r w:rsidR="00452E64">
        <w:rPr>
          <w:lang w:val="en-CA"/>
        </w:rPr>
        <w:t xml:space="preserve">with </w:t>
      </w:r>
      <w:r w:rsidR="00D25FD8">
        <w:rPr>
          <w:lang w:val="en-CA"/>
        </w:rPr>
        <w:t>increase</w:t>
      </w:r>
      <w:r w:rsidR="00452E64">
        <w:rPr>
          <w:lang w:val="en-CA"/>
        </w:rPr>
        <w:t>s</w:t>
      </w:r>
      <w:r w:rsidR="00D25FD8">
        <w:rPr>
          <w:lang w:val="en-CA"/>
        </w:rPr>
        <w:t xml:space="preserve"> in wages not to be seen again for many centuries.</w:t>
      </w:r>
      <w:r w:rsidR="00D30744">
        <w:rPr>
          <w:rStyle w:val="FootnoteReference"/>
          <w:lang w:val="en-CA"/>
        </w:rPr>
        <w:footnoteReference w:id="14"/>
      </w:r>
      <w:r w:rsidR="00D30744">
        <w:rPr>
          <w:lang w:val="en-CA"/>
        </w:rPr>
        <w:t xml:space="preserve"> </w:t>
      </w:r>
    </w:p>
    <w:p w14:paraId="067991D0" w14:textId="238CEA70" w:rsidR="00181726" w:rsidRDefault="006C2C9E" w:rsidP="00E52E86">
      <w:pPr>
        <w:spacing w:line="480" w:lineRule="auto"/>
        <w:ind w:firstLine="720"/>
        <w:rPr>
          <w:lang w:val="en-CA"/>
        </w:rPr>
      </w:pPr>
      <w:r>
        <w:rPr>
          <w:lang w:val="en-CA"/>
        </w:rPr>
        <w:t>The a</w:t>
      </w:r>
      <w:r w:rsidR="00D25FD8">
        <w:rPr>
          <w:lang w:val="en-CA"/>
        </w:rPr>
        <w:t>ccount of the Franciscan friar</w:t>
      </w:r>
      <w:r w:rsidR="00811417">
        <w:rPr>
          <w:lang w:val="en-CA"/>
        </w:rPr>
        <w:t>,</w:t>
      </w:r>
      <w:r w:rsidR="00D25FD8">
        <w:rPr>
          <w:lang w:val="en-CA"/>
        </w:rPr>
        <w:t xml:space="preserve"> Herman </w:t>
      </w:r>
      <w:proofErr w:type="spellStart"/>
      <w:r w:rsidR="00D25FD8">
        <w:rPr>
          <w:lang w:val="en-CA"/>
        </w:rPr>
        <w:t>Gigas</w:t>
      </w:r>
      <w:proofErr w:type="spellEnd"/>
      <w:r w:rsidR="00811417">
        <w:rPr>
          <w:lang w:val="en-CA"/>
        </w:rPr>
        <w:t>,</w:t>
      </w:r>
      <w:r w:rsidR="00D25FD8">
        <w:rPr>
          <w:lang w:val="en-CA"/>
        </w:rPr>
        <w:t xml:space="preserve"> </w:t>
      </w:r>
      <w:r w:rsidR="00811417">
        <w:rPr>
          <w:lang w:val="en-CA"/>
        </w:rPr>
        <w:t>demonstrates</w:t>
      </w:r>
      <w:r w:rsidR="00D25FD8">
        <w:rPr>
          <w:lang w:val="en-CA"/>
        </w:rPr>
        <w:t xml:space="preserve"> </w:t>
      </w:r>
      <w:r w:rsidR="00BC122A">
        <w:rPr>
          <w:lang w:val="en-CA"/>
        </w:rPr>
        <w:t xml:space="preserve">the superstition, </w:t>
      </w:r>
      <w:r w:rsidR="00AF5B1B">
        <w:rPr>
          <w:lang w:val="en-CA"/>
        </w:rPr>
        <w:t>destructive paranoia</w:t>
      </w:r>
      <w:r w:rsidR="00A032BC">
        <w:rPr>
          <w:lang w:val="en-CA"/>
        </w:rPr>
        <w:t xml:space="preserve"> </w:t>
      </w:r>
      <w:r w:rsidR="00BC122A">
        <w:rPr>
          <w:lang w:val="en-CA"/>
        </w:rPr>
        <w:t xml:space="preserve">and prejudice </w:t>
      </w:r>
      <w:r w:rsidR="00452E64">
        <w:rPr>
          <w:lang w:val="en-CA"/>
        </w:rPr>
        <w:t>of the</w:t>
      </w:r>
      <w:r w:rsidR="00811417">
        <w:rPr>
          <w:lang w:val="en-CA"/>
        </w:rPr>
        <w:t xml:space="preserve"> time. </w:t>
      </w:r>
      <w:proofErr w:type="spellStart"/>
      <w:r w:rsidR="00A032BC">
        <w:rPr>
          <w:lang w:val="en-CA"/>
        </w:rPr>
        <w:t>Gigas</w:t>
      </w:r>
      <w:proofErr w:type="spellEnd"/>
      <w:r w:rsidR="00A032BC">
        <w:rPr>
          <w:lang w:val="en-CA"/>
        </w:rPr>
        <w:t xml:space="preserve"> </w:t>
      </w:r>
      <w:r w:rsidR="00452E64">
        <w:rPr>
          <w:lang w:val="en-CA"/>
        </w:rPr>
        <w:t>blames the plague on</w:t>
      </w:r>
      <w:r w:rsidR="00A032BC">
        <w:rPr>
          <w:lang w:val="en-CA"/>
        </w:rPr>
        <w:t xml:space="preserve"> a corruption of the air or a Jewish conspiracy </w:t>
      </w:r>
      <w:r w:rsidR="00811417">
        <w:rPr>
          <w:lang w:val="en-CA"/>
        </w:rPr>
        <w:t>aiming</w:t>
      </w:r>
      <w:r w:rsidR="00A032BC">
        <w:rPr>
          <w:lang w:val="en-CA"/>
        </w:rPr>
        <w:t xml:space="preserve"> “to wipe out all the Christians…” </w:t>
      </w:r>
      <w:r w:rsidR="00BC122A">
        <w:rPr>
          <w:lang w:val="en-CA"/>
        </w:rPr>
        <w:t xml:space="preserve">He claims that the Jews </w:t>
      </w:r>
      <w:r w:rsidR="00A032BC">
        <w:rPr>
          <w:lang w:val="en-CA"/>
        </w:rPr>
        <w:t>attemp</w:t>
      </w:r>
      <w:r w:rsidR="00811417">
        <w:rPr>
          <w:lang w:val="en-CA"/>
        </w:rPr>
        <w:t>ted to poison wells and springs</w:t>
      </w:r>
      <w:r w:rsidR="00A032BC">
        <w:rPr>
          <w:lang w:val="en-CA"/>
        </w:rPr>
        <w:t>, bred spiders and toads for the pur</w:t>
      </w:r>
      <w:r w:rsidR="00452E64">
        <w:rPr>
          <w:lang w:val="en-CA"/>
        </w:rPr>
        <w:t>pose, bought the poison in the E</w:t>
      </w:r>
      <w:r w:rsidR="00A032BC">
        <w:rPr>
          <w:lang w:val="en-CA"/>
        </w:rPr>
        <w:t>ast and that only the upper echelons of Jewish society knew of the plot.</w:t>
      </w:r>
      <w:r w:rsidR="001D1734">
        <w:rPr>
          <w:lang w:val="en-CA"/>
        </w:rPr>
        <w:t xml:space="preserve"> For evide</w:t>
      </w:r>
      <w:r w:rsidR="00BC122A">
        <w:rPr>
          <w:lang w:val="en-CA"/>
        </w:rPr>
        <w:t xml:space="preserve">nce </w:t>
      </w:r>
      <w:proofErr w:type="spellStart"/>
      <w:r w:rsidR="00BC122A">
        <w:rPr>
          <w:lang w:val="en-CA"/>
        </w:rPr>
        <w:t>Gigas</w:t>
      </w:r>
      <w:proofErr w:type="spellEnd"/>
      <w:r w:rsidR="00BC122A">
        <w:rPr>
          <w:lang w:val="en-CA"/>
        </w:rPr>
        <w:t xml:space="preserve"> </w:t>
      </w:r>
      <w:r w:rsidR="00452E64">
        <w:rPr>
          <w:lang w:val="en-CA"/>
        </w:rPr>
        <w:t xml:space="preserve">cites confessions </w:t>
      </w:r>
      <w:r w:rsidR="001D1734">
        <w:rPr>
          <w:lang w:val="en-CA"/>
        </w:rPr>
        <w:t xml:space="preserve">gained through </w:t>
      </w:r>
      <w:r w:rsidR="00452E64">
        <w:rPr>
          <w:lang w:val="en-CA"/>
        </w:rPr>
        <w:t>torture and “bags full of poison …</w:t>
      </w:r>
      <w:r w:rsidR="001D1734">
        <w:rPr>
          <w:lang w:val="en-CA"/>
        </w:rPr>
        <w:t xml:space="preserve"> found in many wells and springs…”</w:t>
      </w:r>
      <w:r w:rsidR="00D30744">
        <w:rPr>
          <w:rStyle w:val="FootnoteReference"/>
          <w:lang w:val="en-CA"/>
        </w:rPr>
        <w:footnoteReference w:id="15"/>
      </w:r>
      <w:r w:rsidR="001D1734">
        <w:rPr>
          <w:lang w:val="en-CA"/>
        </w:rPr>
        <w:t xml:space="preserve"> </w:t>
      </w:r>
      <w:r w:rsidR="00BC122A">
        <w:rPr>
          <w:lang w:val="en-CA"/>
        </w:rPr>
        <w:t>W</w:t>
      </w:r>
      <w:r w:rsidR="001D1734">
        <w:rPr>
          <w:lang w:val="en-CA"/>
        </w:rPr>
        <w:t xml:space="preserve">hile ridiculous to a modern reader, </w:t>
      </w:r>
      <w:r w:rsidR="00BC122A">
        <w:rPr>
          <w:lang w:val="en-CA"/>
        </w:rPr>
        <w:t>this account suggests</w:t>
      </w:r>
      <w:r w:rsidR="001D1734">
        <w:rPr>
          <w:lang w:val="en-CA"/>
        </w:rPr>
        <w:t xml:space="preserve"> the hysteria and paranoia of a society </w:t>
      </w:r>
      <w:r w:rsidR="00811417">
        <w:rPr>
          <w:lang w:val="en-CA"/>
        </w:rPr>
        <w:t xml:space="preserve">unable to </w:t>
      </w:r>
      <w:r w:rsidR="001D1734">
        <w:rPr>
          <w:lang w:val="en-CA"/>
        </w:rPr>
        <w:t>sufficiently explain such devastation</w:t>
      </w:r>
      <w:r w:rsidR="00BC122A">
        <w:rPr>
          <w:lang w:val="en-CA"/>
        </w:rPr>
        <w:t xml:space="preserve">, and </w:t>
      </w:r>
      <w:r w:rsidR="00085803">
        <w:rPr>
          <w:lang w:val="en-CA"/>
        </w:rPr>
        <w:t xml:space="preserve">the </w:t>
      </w:r>
      <w:r w:rsidR="00085803">
        <w:rPr>
          <w:lang w:val="en-CA"/>
        </w:rPr>
        <w:lastRenderedPageBreak/>
        <w:t xml:space="preserve">scapegoat targeting of </w:t>
      </w:r>
      <w:r w:rsidR="00D30744">
        <w:rPr>
          <w:lang w:val="en-CA"/>
        </w:rPr>
        <w:t>an unpopular minority group</w:t>
      </w:r>
      <w:r w:rsidR="00BC122A">
        <w:rPr>
          <w:lang w:val="en-CA"/>
        </w:rPr>
        <w:t>.</w:t>
      </w:r>
      <w:r w:rsidR="00D30744">
        <w:rPr>
          <w:rStyle w:val="FootnoteReference"/>
          <w:lang w:val="en-CA"/>
        </w:rPr>
        <w:footnoteReference w:id="16"/>
      </w:r>
      <w:r w:rsidR="00BC122A">
        <w:rPr>
          <w:lang w:val="en-CA"/>
        </w:rPr>
        <w:t xml:space="preserve"> </w:t>
      </w:r>
      <w:r w:rsidR="001D1734">
        <w:rPr>
          <w:lang w:val="en-CA"/>
        </w:rPr>
        <w:t xml:space="preserve"> </w:t>
      </w:r>
      <w:r w:rsidR="00552D55">
        <w:rPr>
          <w:lang w:val="en-CA"/>
        </w:rPr>
        <w:t>Revenge was sought against the perceived culprits. T</w:t>
      </w:r>
      <w:r w:rsidR="002E5B99">
        <w:rPr>
          <w:lang w:val="en-CA"/>
        </w:rPr>
        <w:t>he Jews of Spain</w:t>
      </w:r>
      <w:r w:rsidR="00667FD7">
        <w:rPr>
          <w:lang w:val="en-CA"/>
        </w:rPr>
        <w:t>, France</w:t>
      </w:r>
      <w:r w:rsidR="002E5B99">
        <w:rPr>
          <w:lang w:val="en-CA"/>
        </w:rPr>
        <w:t xml:space="preserve"> and Germany especially were subjected to large scale slaughter by crowds of angry and distraught Christians.</w:t>
      </w:r>
      <w:r w:rsidR="00D30744">
        <w:rPr>
          <w:rStyle w:val="FootnoteReference"/>
          <w:lang w:val="en-CA"/>
        </w:rPr>
        <w:footnoteReference w:id="17"/>
      </w:r>
      <w:r w:rsidR="00D30744">
        <w:rPr>
          <w:lang w:val="en-CA"/>
        </w:rPr>
        <w:t xml:space="preserve"> </w:t>
      </w:r>
      <w:r w:rsidR="002E5B99">
        <w:rPr>
          <w:lang w:val="en-CA"/>
        </w:rPr>
        <w:t xml:space="preserve"> </w:t>
      </w:r>
      <w:r w:rsidR="00667FD7">
        <w:rPr>
          <w:lang w:val="en-CA"/>
        </w:rPr>
        <w:t>While some in power, tried to stem the persecutions</w:t>
      </w:r>
      <w:r w:rsidR="00BC122A">
        <w:rPr>
          <w:lang w:val="en-CA"/>
        </w:rPr>
        <w:t>,</w:t>
      </w:r>
      <w:r w:rsidR="00667FD7">
        <w:rPr>
          <w:lang w:val="en-CA"/>
        </w:rPr>
        <w:t xml:space="preserve"> their effo</w:t>
      </w:r>
      <w:r w:rsidR="00085803">
        <w:rPr>
          <w:lang w:val="en-CA"/>
        </w:rPr>
        <w:t>rts proved unpopular and largely unsuccessful.</w:t>
      </w:r>
      <w:r w:rsidR="00667FD7">
        <w:rPr>
          <w:lang w:val="en-CA"/>
        </w:rPr>
        <w:t xml:space="preserve"> </w:t>
      </w:r>
      <w:r w:rsidR="00BA353F">
        <w:rPr>
          <w:lang w:val="en-CA"/>
        </w:rPr>
        <w:t xml:space="preserve">Others </w:t>
      </w:r>
      <w:r w:rsidR="00100E30">
        <w:rPr>
          <w:lang w:val="en-CA"/>
        </w:rPr>
        <w:t xml:space="preserve">encouraged </w:t>
      </w:r>
      <w:r w:rsidR="00085803">
        <w:rPr>
          <w:lang w:val="en-CA"/>
        </w:rPr>
        <w:t xml:space="preserve">or </w:t>
      </w:r>
      <w:r w:rsidR="00100E30">
        <w:rPr>
          <w:lang w:val="en-CA"/>
        </w:rPr>
        <w:t>capitalized on the persecutions</w:t>
      </w:r>
      <w:r w:rsidR="00BA353F">
        <w:rPr>
          <w:lang w:val="en-CA"/>
        </w:rPr>
        <w:t>, for example</w:t>
      </w:r>
      <w:r w:rsidR="00100E30">
        <w:rPr>
          <w:lang w:val="en-CA"/>
        </w:rPr>
        <w:t xml:space="preserve"> by taking the houses of rich Jews who had </w:t>
      </w:r>
      <w:r w:rsidR="00BA353F">
        <w:rPr>
          <w:lang w:val="en-CA"/>
        </w:rPr>
        <w:t>or would</w:t>
      </w:r>
      <w:r w:rsidR="007A795F">
        <w:rPr>
          <w:lang w:val="en-CA"/>
        </w:rPr>
        <w:t xml:space="preserve"> soon</w:t>
      </w:r>
      <w:r w:rsidR="00BA353F">
        <w:rPr>
          <w:lang w:val="en-CA"/>
        </w:rPr>
        <w:t xml:space="preserve"> </w:t>
      </w:r>
      <w:r w:rsidR="007A795F">
        <w:rPr>
          <w:lang w:val="en-CA"/>
        </w:rPr>
        <w:t>die</w:t>
      </w:r>
      <w:r w:rsidR="00100E30">
        <w:rPr>
          <w:lang w:val="en-CA"/>
        </w:rPr>
        <w:t xml:space="preserve"> </w:t>
      </w:r>
      <w:r w:rsidR="00BA353F">
        <w:rPr>
          <w:lang w:val="en-CA"/>
        </w:rPr>
        <w:t>during the persecutions</w:t>
      </w:r>
      <w:r w:rsidR="0097378A">
        <w:rPr>
          <w:lang w:val="en-CA"/>
        </w:rPr>
        <w:t>.</w:t>
      </w:r>
      <w:r w:rsidR="00D30744">
        <w:rPr>
          <w:rStyle w:val="FootnoteReference"/>
          <w:lang w:val="en-CA"/>
        </w:rPr>
        <w:footnoteReference w:id="18"/>
      </w:r>
    </w:p>
    <w:p w14:paraId="4A60D9CD" w14:textId="0C71BF41" w:rsidR="000E1146" w:rsidRDefault="0046282C" w:rsidP="00E52E86">
      <w:pPr>
        <w:spacing w:line="480" w:lineRule="auto"/>
        <w:ind w:firstLine="720"/>
        <w:rPr>
          <w:lang w:val="en-CA"/>
        </w:rPr>
      </w:pPr>
      <w:r>
        <w:rPr>
          <w:lang w:val="en-CA"/>
        </w:rPr>
        <w:t>Ot</w:t>
      </w:r>
      <w:r w:rsidR="0097378A">
        <w:rPr>
          <w:lang w:val="en-CA"/>
        </w:rPr>
        <w:t>her responses to</w:t>
      </w:r>
      <w:r w:rsidR="00085803">
        <w:rPr>
          <w:lang w:val="en-CA"/>
        </w:rPr>
        <w:t xml:space="preserve"> </w:t>
      </w:r>
      <w:r>
        <w:rPr>
          <w:lang w:val="en-CA"/>
        </w:rPr>
        <w:t xml:space="preserve">the plague are </w:t>
      </w:r>
      <w:r w:rsidR="00552D55">
        <w:rPr>
          <w:lang w:val="en-CA"/>
        </w:rPr>
        <w:t>documented in Herford’s account of</w:t>
      </w:r>
      <w:r w:rsidR="00F915A1">
        <w:rPr>
          <w:lang w:val="en-CA"/>
        </w:rPr>
        <w:t xml:space="preserve"> the F</w:t>
      </w:r>
      <w:r w:rsidR="0097378A">
        <w:rPr>
          <w:lang w:val="en-CA"/>
        </w:rPr>
        <w:t xml:space="preserve">lagellants. </w:t>
      </w:r>
      <w:r w:rsidR="004C0AD7">
        <w:rPr>
          <w:lang w:val="en-CA"/>
        </w:rPr>
        <w:t>Men such as Petrarch</w:t>
      </w:r>
      <w:r>
        <w:rPr>
          <w:lang w:val="en-CA"/>
        </w:rPr>
        <w:t xml:space="preserve"> questioned why his generation</w:t>
      </w:r>
      <w:r w:rsidR="004C0AD7">
        <w:rPr>
          <w:lang w:val="en-CA"/>
        </w:rPr>
        <w:t xml:space="preserve"> had been </w:t>
      </w:r>
      <w:r>
        <w:rPr>
          <w:lang w:val="en-CA"/>
        </w:rPr>
        <w:t xml:space="preserve">targeted. </w:t>
      </w:r>
      <w:r w:rsidR="004C0AD7">
        <w:rPr>
          <w:lang w:val="en-CA"/>
        </w:rPr>
        <w:t>“He could only think of three possible explanations: 1) they deserved it; 2)</w:t>
      </w:r>
      <w:r w:rsidR="00552D55">
        <w:rPr>
          <w:lang w:val="en-CA"/>
        </w:rPr>
        <w:t xml:space="preserve"> </w:t>
      </w:r>
      <w:r w:rsidR="004C0AD7">
        <w:rPr>
          <w:lang w:val="en-CA"/>
        </w:rPr>
        <w:t>God was using their pain to achieve some greater good; or 3) the whole mess was simply beyond human understanding. None of these theories offered much comfort.”</w:t>
      </w:r>
      <w:r w:rsidR="00D30744">
        <w:rPr>
          <w:rStyle w:val="FootnoteReference"/>
          <w:lang w:val="en-CA"/>
        </w:rPr>
        <w:footnoteReference w:id="19"/>
      </w:r>
      <w:r w:rsidR="004C0AD7">
        <w:rPr>
          <w:lang w:val="en-CA"/>
        </w:rPr>
        <w:t xml:space="preserve"> </w:t>
      </w:r>
      <w:r w:rsidR="00F915A1">
        <w:rPr>
          <w:lang w:val="en-CA"/>
        </w:rPr>
        <w:t>The F</w:t>
      </w:r>
      <w:r w:rsidR="00181726">
        <w:rPr>
          <w:lang w:val="en-CA"/>
        </w:rPr>
        <w:t xml:space="preserve">lagellants </w:t>
      </w:r>
      <w:r w:rsidR="00A44BD7">
        <w:rPr>
          <w:lang w:val="en-CA"/>
        </w:rPr>
        <w:t xml:space="preserve">arose primarily in </w:t>
      </w:r>
      <w:r>
        <w:rPr>
          <w:lang w:val="en-CA"/>
        </w:rPr>
        <w:t>Germany</w:t>
      </w:r>
      <w:r w:rsidR="004C0AD7">
        <w:rPr>
          <w:lang w:val="en-CA"/>
        </w:rPr>
        <w:t>. It is important to note that the German clergy were hit esp</w:t>
      </w:r>
      <w:r w:rsidR="00552D55">
        <w:rPr>
          <w:lang w:val="en-CA"/>
        </w:rPr>
        <w:t>ecially hard by the Black Death</w:t>
      </w:r>
      <w:r w:rsidRPr="00166CBE">
        <w:rPr>
          <w:lang w:val="en-CA"/>
        </w:rPr>
        <w:t xml:space="preserve">, with 35 percent dying. </w:t>
      </w:r>
      <w:r w:rsidR="004C0AD7" w:rsidRPr="00166CBE">
        <w:rPr>
          <w:lang w:val="en-CA"/>
        </w:rPr>
        <w:t>Th</w:t>
      </w:r>
      <w:r w:rsidR="0097378A" w:rsidRPr="00166CBE">
        <w:rPr>
          <w:lang w:val="en-CA"/>
        </w:rPr>
        <w:t xml:space="preserve">e remaining wealthier church was </w:t>
      </w:r>
      <w:r w:rsidR="004C0AD7" w:rsidRPr="00166CBE">
        <w:rPr>
          <w:lang w:val="en-CA"/>
        </w:rPr>
        <w:t xml:space="preserve">despised amongst the </w:t>
      </w:r>
      <w:r w:rsidRPr="00166CBE">
        <w:rPr>
          <w:lang w:val="en-CA"/>
        </w:rPr>
        <w:t>common folk</w:t>
      </w:r>
      <w:r w:rsidR="007A795F" w:rsidRPr="00166CBE">
        <w:rPr>
          <w:lang w:val="en-CA"/>
        </w:rPr>
        <w:t>.</w:t>
      </w:r>
      <w:r w:rsidR="00166CBE" w:rsidRPr="00166CBE">
        <w:rPr>
          <w:rStyle w:val="FootnoteReference"/>
          <w:lang w:val="en-CA"/>
        </w:rPr>
        <w:footnoteReference w:id="20"/>
      </w:r>
      <w:r w:rsidRPr="00166CBE">
        <w:rPr>
          <w:lang w:val="en-CA"/>
        </w:rPr>
        <w:t xml:space="preserve"> </w:t>
      </w:r>
      <w:r w:rsidR="004C0AD7" w:rsidRPr="00166CBE">
        <w:rPr>
          <w:lang w:val="en-CA"/>
        </w:rPr>
        <w:t xml:space="preserve"> </w:t>
      </w:r>
      <w:r w:rsidR="0097378A" w:rsidRPr="00166CBE">
        <w:rPr>
          <w:lang w:val="en-CA"/>
        </w:rPr>
        <w:t>A</w:t>
      </w:r>
      <w:r w:rsidR="004C0AD7">
        <w:rPr>
          <w:lang w:val="en-CA"/>
        </w:rPr>
        <w:t xml:space="preserve"> large spiritual void</w:t>
      </w:r>
      <w:r w:rsidR="007A795F">
        <w:rPr>
          <w:lang w:val="en-CA"/>
        </w:rPr>
        <w:t xml:space="preserve"> thus</w:t>
      </w:r>
      <w:r w:rsidR="004C0AD7">
        <w:rPr>
          <w:lang w:val="en-CA"/>
        </w:rPr>
        <w:t xml:space="preserve"> existed and </w:t>
      </w:r>
      <w:r>
        <w:rPr>
          <w:lang w:val="en-CA"/>
        </w:rPr>
        <w:t xml:space="preserve">opportunities for </w:t>
      </w:r>
      <w:r w:rsidR="0097378A">
        <w:rPr>
          <w:lang w:val="en-CA"/>
        </w:rPr>
        <w:t>others emerged. T</w:t>
      </w:r>
      <w:r w:rsidR="00F915A1">
        <w:rPr>
          <w:lang w:val="en-CA"/>
        </w:rPr>
        <w:t>he Fla</w:t>
      </w:r>
      <w:r w:rsidR="004C0AD7">
        <w:rPr>
          <w:lang w:val="en-CA"/>
        </w:rPr>
        <w:t>ge</w:t>
      </w:r>
      <w:r w:rsidR="00F915A1">
        <w:rPr>
          <w:lang w:val="en-CA"/>
        </w:rPr>
        <w:t>lla</w:t>
      </w:r>
      <w:r w:rsidR="004C0AD7">
        <w:rPr>
          <w:lang w:val="en-CA"/>
        </w:rPr>
        <w:t>nts believed that self flagellation would serve as a kind of pena</w:t>
      </w:r>
      <w:r w:rsidR="0097378A">
        <w:rPr>
          <w:lang w:val="en-CA"/>
        </w:rPr>
        <w:t xml:space="preserve">nce for themselves and </w:t>
      </w:r>
      <w:r w:rsidR="004C0AD7">
        <w:rPr>
          <w:lang w:val="en-CA"/>
        </w:rPr>
        <w:t>those arou</w:t>
      </w:r>
      <w:r w:rsidR="009B139A">
        <w:rPr>
          <w:lang w:val="en-CA"/>
        </w:rPr>
        <w:t>nd them</w:t>
      </w:r>
      <w:r>
        <w:rPr>
          <w:lang w:val="en-CA"/>
        </w:rPr>
        <w:t>.</w:t>
      </w:r>
      <w:r w:rsidR="00297D4E">
        <w:rPr>
          <w:rStyle w:val="FootnoteReference"/>
          <w:lang w:val="en-CA"/>
        </w:rPr>
        <w:footnoteReference w:id="21"/>
      </w:r>
      <w:r w:rsidR="00F915A1">
        <w:rPr>
          <w:lang w:val="en-CA"/>
        </w:rPr>
        <w:t xml:space="preserve"> </w:t>
      </w:r>
      <w:r w:rsidR="00E52E86">
        <w:rPr>
          <w:lang w:val="en-CA"/>
        </w:rPr>
        <w:t xml:space="preserve">Some of the Flagellants also contributed to the persecution of Jews. </w:t>
      </w:r>
      <w:r w:rsidR="00085803">
        <w:rPr>
          <w:lang w:val="en-CA"/>
        </w:rPr>
        <w:t>As misguided as it was</w:t>
      </w:r>
      <w:r w:rsidR="00E52E86">
        <w:rPr>
          <w:lang w:val="en-CA"/>
        </w:rPr>
        <w:t xml:space="preserve">, the </w:t>
      </w:r>
      <w:r w:rsidR="00E52E86">
        <w:rPr>
          <w:lang w:val="en-CA"/>
        </w:rPr>
        <w:lastRenderedPageBreak/>
        <w:t xml:space="preserve">Flagellants tried to proactively fight the Black Death in the only way they </w:t>
      </w:r>
      <w:r w:rsidR="0097378A">
        <w:rPr>
          <w:lang w:val="en-CA"/>
        </w:rPr>
        <w:t xml:space="preserve">knew, through acts of faith and </w:t>
      </w:r>
      <w:r w:rsidR="00E52E86">
        <w:rPr>
          <w:lang w:val="en-CA"/>
        </w:rPr>
        <w:t>penitence and their feats inspired hope and consolation in those that came</w:t>
      </w:r>
      <w:r w:rsidR="007A795F">
        <w:rPr>
          <w:lang w:val="en-CA"/>
        </w:rPr>
        <w:t xml:space="preserve"> to see them.</w:t>
      </w:r>
      <w:r w:rsidR="00297D4E">
        <w:rPr>
          <w:rStyle w:val="FootnoteReference"/>
          <w:lang w:val="en-CA"/>
        </w:rPr>
        <w:footnoteReference w:id="22"/>
      </w:r>
      <w:r w:rsidR="00085803">
        <w:rPr>
          <w:lang w:val="en-CA"/>
        </w:rPr>
        <w:t xml:space="preserve"> </w:t>
      </w:r>
      <w:r w:rsidR="00E52E86">
        <w:rPr>
          <w:lang w:val="en-CA"/>
        </w:rPr>
        <w:t xml:space="preserve">Ziegler writes, </w:t>
      </w:r>
      <w:r w:rsidR="004F2181">
        <w:rPr>
          <w:lang w:val="en-CA"/>
        </w:rPr>
        <w:t>“these were men who put themselves to great pain and inconvenience; in part, certainly for the sake of their own souls and their own glory, but in part also in the hope that their sacrifice might induce God to lift from his people the curse that was destroying them…”</w:t>
      </w:r>
      <w:r w:rsidR="00297D4E">
        <w:rPr>
          <w:rStyle w:val="FootnoteReference"/>
          <w:lang w:val="en-CA"/>
        </w:rPr>
        <w:footnoteReference w:id="23"/>
      </w:r>
      <w:r w:rsidR="00297D4E">
        <w:rPr>
          <w:lang w:val="en-CA"/>
        </w:rPr>
        <w:t xml:space="preserve"> </w:t>
      </w:r>
      <w:r w:rsidR="004F2181">
        <w:rPr>
          <w:lang w:val="en-CA"/>
        </w:rPr>
        <w:t xml:space="preserve"> </w:t>
      </w:r>
    </w:p>
    <w:p w14:paraId="177F68A0" w14:textId="544B1301" w:rsidR="00AF5B1B" w:rsidRDefault="000E1146" w:rsidP="00E52E86">
      <w:pPr>
        <w:spacing w:line="480" w:lineRule="auto"/>
        <w:ind w:firstLine="720"/>
        <w:rPr>
          <w:lang w:val="en-CA"/>
        </w:rPr>
      </w:pPr>
      <w:r>
        <w:rPr>
          <w:lang w:val="en-CA"/>
        </w:rPr>
        <w:t xml:space="preserve">The period of the </w:t>
      </w:r>
      <w:r w:rsidR="00297579">
        <w:rPr>
          <w:lang w:val="en-CA"/>
        </w:rPr>
        <w:t>Black Death was</w:t>
      </w:r>
      <w:r>
        <w:rPr>
          <w:lang w:val="en-CA"/>
        </w:rPr>
        <w:t xml:space="preserve"> </w:t>
      </w:r>
      <w:r w:rsidR="0097378A">
        <w:rPr>
          <w:lang w:val="en-CA"/>
        </w:rPr>
        <w:t>one</w:t>
      </w:r>
      <w:r>
        <w:rPr>
          <w:lang w:val="en-CA"/>
        </w:rPr>
        <w:t xml:space="preserve"> of </w:t>
      </w:r>
      <w:r w:rsidR="0097378A">
        <w:rPr>
          <w:lang w:val="en-CA"/>
        </w:rPr>
        <w:t>incomprehensible</w:t>
      </w:r>
      <w:r>
        <w:rPr>
          <w:lang w:val="en-CA"/>
        </w:rPr>
        <w:t xml:space="preserve"> hor</w:t>
      </w:r>
      <w:r w:rsidR="00297579">
        <w:rPr>
          <w:lang w:val="en-CA"/>
        </w:rPr>
        <w:t>ror.</w:t>
      </w:r>
      <w:r>
        <w:rPr>
          <w:lang w:val="en-CA"/>
        </w:rPr>
        <w:t xml:space="preserve"> No strata of society were exempt from the plague’s touch, with a death toll beyond counting. </w:t>
      </w:r>
      <w:r w:rsidR="0087780F">
        <w:rPr>
          <w:lang w:val="en-CA"/>
        </w:rPr>
        <w:t xml:space="preserve">The authorities of </w:t>
      </w:r>
      <w:r w:rsidR="00E52E86">
        <w:rPr>
          <w:lang w:val="en-CA"/>
        </w:rPr>
        <w:t>the time held no answers</w:t>
      </w:r>
      <w:r w:rsidR="0087780F">
        <w:rPr>
          <w:lang w:val="en-CA"/>
        </w:rPr>
        <w:t xml:space="preserve">. </w:t>
      </w:r>
      <w:r w:rsidR="00297579">
        <w:rPr>
          <w:lang w:val="en-CA"/>
        </w:rPr>
        <w:t>Beyond comprehension and i</w:t>
      </w:r>
      <w:r w:rsidR="0087780F">
        <w:rPr>
          <w:lang w:val="en-CA"/>
        </w:rPr>
        <w:t xml:space="preserve">n desperation people </w:t>
      </w:r>
      <w:r w:rsidR="00297579">
        <w:rPr>
          <w:lang w:val="en-CA"/>
        </w:rPr>
        <w:t xml:space="preserve">grappled to make sense, </w:t>
      </w:r>
      <w:r w:rsidR="001F63D3">
        <w:rPr>
          <w:lang w:val="en-CA"/>
        </w:rPr>
        <w:t xml:space="preserve">and </w:t>
      </w:r>
      <w:r w:rsidR="00297579">
        <w:rPr>
          <w:lang w:val="en-CA"/>
        </w:rPr>
        <w:t>attempted to do what they</w:t>
      </w:r>
      <w:r w:rsidR="001F63D3">
        <w:rPr>
          <w:lang w:val="en-CA"/>
        </w:rPr>
        <w:t xml:space="preserve"> hoped would stop the devastation. Their efforts ranged</w:t>
      </w:r>
      <w:r w:rsidR="0087780F">
        <w:rPr>
          <w:lang w:val="en-CA"/>
        </w:rPr>
        <w:t xml:space="preserve"> from torturing themselves, to persecuting </w:t>
      </w:r>
      <w:r w:rsidR="001F63D3">
        <w:rPr>
          <w:lang w:val="en-CA"/>
        </w:rPr>
        <w:t>those they could scapegoat</w:t>
      </w:r>
      <w:r w:rsidR="0087780F">
        <w:rPr>
          <w:lang w:val="en-CA"/>
        </w:rPr>
        <w:t>, all in the name of deliverance. However, in a way the survivors did receive a form of grim deliverance, for so many had died that jobs</w:t>
      </w:r>
      <w:r w:rsidR="00E52E86">
        <w:rPr>
          <w:lang w:val="en-CA"/>
        </w:rPr>
        <w:t>, wages,</w:t>
      </w:r>
      <w:r w:rsidR="0087780F">
        <w:rPr>
          <w:lang w:val="en-CA"/>
        </w:rPr>
        <w:t xml:space="preserve"> and goods reached a peak which</w:t>
      </w:r>
      <w:r w:rsidR="009D5AA8">
        <w:rPr>
          <w:lang w:val="en-CA"/>
        </w:rPr>
        <w:t>, while suppressed in the years afterwards,</w:t>
      </w:r>
      <w:r w:rsidR="0087780F">
        <w:rPr>
          <w:lang w:val="en-CA"/>
        </w:rPr>
        <w:t xml:space="preserve"> would not be seen</w:t>
      </w:r>
      <w:r w:rsidR="009D5AA8">
        <w:rPr>
          <w:lang w:val="en-CA"/>
        </w:rPr>
        <w:t xml:space="preserve"> again</w:t>
      </w:r>
      <w:r w:rsidR="0087780F">
        <w:rPr>
          <w:lang w:val="en-CA"/>
        </w:rPr>
        <w:t xml:space="preserve"> for centuries to come.</w:t>
      </w:r>
      <w:r w:rsidR="00297D4E">
        <w:rPr>
          <w:rStyle w:val="FootnoteReference"/>
          <w:lang w:val="en-CA"/>
        </w:rPr>
        <w:footnoteReference w:id="24"/>
      </w:r>
      <w:r w:rsidR="0087780F">
        <w:rPr>
          <w:lang w:val="en-CA"/>
        </w:rPr>
        <w:t xml:space="preserve"> </w:t>
      </w:r>
    </w:p>
    <w:p w14:paraId="3DD8B24F" w14:textId="77777777" w:rsidR="00354FF3" w:rsidRDefault="00354FF3" w:rsidP="00E52E86">
      <w:pPr>
        <w:spacing w:line="480" w:lineRule="auto"/>
        <w:ind w:firstLine="720"/>
        <w:rPr>
          <w:lang w:val="en-CA"/>
        </w:rPr>
      </w:pPr>
    </w:p>
    <w:p w14:paraId="454B3152" w14:textId="77777777" w:rsidR="005A6CED" w:rsidRDefault="005A6CED" w:rsidP="00E52E86">
      <w:pPr>
        <w:spacing w:line="480" w:lineRule="auto"/>
        <w:ind w:firstLine="720"/>
        <w:rPr>
          <w:lang w:val="en-CA"/>
        </w:rPr>
      </w:pPr>
    </w:p>
    <w:p w14:paraId="70AFE071" w14:textId="77777777" w:rsidR="005A6CED" w:rsidRDefault="005A6CED" w:rsidP="00E52E86">
      <w:pPr>
        <w:spacing w:line="480" w:lineRule="auto"/>
        <w:ind w:firstLine="720"/>
        <w:rPr>
          <w:lang w:val="en-CA"/>
        </w:rPr>
      </w:pPr>
    </w:p>
    <w:p w14:paraId="26423E19" w14:textId="77777777" w:rsidR="005A6CED" w:rsidRDefault="005A6CED" w:rsidP="00E52E86">
      <w:pPr>
        <w:spacing w:line="480" w:lineRule="auto"/>
        <w:ind w:firstLine="720"/>
        <w:rPr>
          <w:lang w:val="en-CA"/>
        </w:rPr>
      </w:pPr>
    </w:p>
    <w:p w14:paraId="5655000D" w14:textId="77777777" w:rsidR="005A6CED" w:rsidRDefault="005A6CED" w:rsidP="00E52E86">
      <w:pPr>
        <w:spacing w:line="480" w:lineRule="auto"/>
        <w:ind w:firstLine="720"/>
        <w:rPr>
          <w:lang w:val="en-CA"/>
        </w:rPr>
      </w:pPr>
    </w:p>
    <w:p w14:paraId="15EFCAB1" w14:textId="77777777" w:rsidR="005A6CED" w:rsidRDefault="005A6CED" w:rsidP="00E52E86">
      <w:pPr>
        <w:spacing w:line="480" w:lineRule="auto"/>
        <w:ind w:firstLine="720"/>
        <w:rPr>
          <w:lang w:val="en-CA"/>
        </w:rPr>
      </w:pPr>
    </w:p>
    <w:p w14:paraId="17D4E6B6" w14:textId="77777777" w:rsidR="00DB1B1F" w:rsidRDefault="00DB1B1F" w:rsidP="00F947D6">
      <w:pPr>
        <w:spacing w:line="480" w:lineRule="auto"/>
        <w:rPr>
          <w:lang w:val="en-CA"/>
        </w:rPr>
      </w:pPr>
    </w:p>
    <w:p w14:paraId="5DA380B3" w14:textId="014392BF" w:rsidR="00DB1B1F" w:rsidRDefault="00166CBE" w:rsidP="00515BD0">
      <w:pPr>
        <w:spacing w:line="480" w:lineRule="auto"/>
        <w:jc w:val="center"/>
        <w:rPr>
          <w:lang w:val="en-CA"/>
        </w:rPr>
      </w:pPr>
      <w:r>
        <w:rPr>
          <w:lang w:val="en-CA"/>
        </w:rPr>
        <w:t>Bibliography</w:t>
      </w:r>
    </w:p>
    <w:p w14:paraId="63DB9FE3" w14:textId="77777777" w:rsidR="00F947D6" w:rsidRDefault="00F947D6" w:rsidP="005A6CED">
      <w:pPr>
        <w:spacing w:line="480" w:lineRule="auto"/>
        <w:ind w:firstLine="720"/>
        <w:jc w:val="center"/>
        <w:rPr>
          <w:lang w:val="en-CA"/>
        </w:rPr>
      </w:pPr>
    </w:p>
    <w:p w14:paraId="1B346C6B" w14:textId="2AB9B92A" w:rsidR="00166CBE" w:rsidRDefault="00190C3E" w:rsidP="00190C3E">
      <w:pPr>
        <w:pStyle w:val="FootnoteText"/>
      </w:pPr>
      <w:r>
        <w:t xml:space="preserve">Ash, Russell, et al, </w:t>
      </w:r>
      <w:r w:rsidRPr="00D30744">
        <w:rPr>
          <w:i/>
        </w:rPr>
        <w:t>Folklore Myths and Legends of Britain</w:t>
      </w:r>
      <w:r>
        <w:t xml:space="preserve">, (London, The Readers Digest </w:t>
      </w:r>
      <w:r>
        <w:tab/>
      </w:r>
      <w:r>
        <w:t xml:space="preserve">Association Limited, 1973). </w:t>
      </w:r>
    </w:p>
    <w:p w14:paraId="50A8F9D6" w14:textId="77777777" w:rsidR="00190C3E" w:rsidRDefault="00190C3E" w:rsidP="00190C3E">
      <w:pPr>
        <w:pStyle w:val="FootnoteText"/>
        <w:ind w:firstLine="720"/>
      </w:pPr>
    </w:p>
    <w:p w14:paraId="11B46590" w14:textId="1F760549" w:rsidR="00190C3E" w:rsidRDefault="00190C3E" w:rsidP="00190C3E">
      <w:pPr>
        <w:pStyle w:val="FootnoteText"/>
        <w:rPr>
          <w:lang w:val="en-CA"/>
        </w:rPr>
      </w:pPr>
      <w:r>
        <w:rPr>
          <w:lang w:val="en-CA"/>
        </w:rPr>
        <w:t>Cohn, Samuel K. Jr., ‘</w:t>
      </w:r>
      <w:r w:rsidR="00EB3B65">
        <w:rPr>
          <w:lang w:val="en-CA"/>
        </w:rPr>
        <w:t xml:space="preserve">The Black Death: End of a Paradigm’ </w:t>
      </w:r>
      <w:r w:rsidR="00EB3B65">
        <w:rPr>
          <w:i/>
          <w:lang w:val="en-CA"/>
        </w:rPr>
        <w:t>The American Historical Review</w:t>
      </w:r>
      <w:r>
        <w:rPr>
          <w:lang w:val="en-CA"/>
        </w:rPr>
        <w:t>,</w:t>
      </w:r>
      <w:r w:rsidR="00B955B9">
        <w:rPr>
          <w:lang w:val="en-CA"/>
        </w:rPr>
        <w:t xml:space="preserve"> </w:t>
      </w:r>
      <w:proofErr w:type="spellStart"/>
      <w:r w:rsidR="00B955B9">
        <w:rPr>
          <w:lang w:val="en-CA"/>
        </w:rPr>
        <w:t>vol</w:t>
      </w:r>
      <w:proofErr w:type="spellEnd"/>
      <w:r>
        <w:rPr>
          <w:lang w:val="en-CA"/>
        </w:rPr>
        <w:t xml:space="preserve"> 107,3 (2002), 703-738.</w:t>
      </w:r>
    </w:p>
    <w:p w14:paraId="032AB70F" w14:textId="77777777" w:rsidR="00190C3E" w:rsidRDefault="00190C3E" w:rsidP="00190C3E">
      <w:pPr>
        <w:pStyle w:val="FootnoteText"/>
        <w:ind w:firstLine="720"/>
        <w:rPr>
          <w:lang w:val="en-CA"/>
        </w:rPr>
      </w:pPr>
    </w:p>
    <w:p w14:paraId="7B9DB000" w14:textId="320147BE" w:rsidR="00166CBE" w:rsidRDefault="00166CBE" w:rsidP="00190C3E">
      <w:pPr>
        <w:pStyle w:val="FootnoteText"/>
        <w:rPr>
          <w:lang w:val="en-CA"/>
        </w:rPr>
      </w:pPr>
      <w:proofErr w:type="spellStart"/>
      <w:r>
        <w:rPr>
          <w:lang w:val="en-CA"/>
        </w:rPr>
        <w:t>Frankforter</w:t>
      </w:r>
      <w:proofErr w:type="spellEnd"/>
      <w:r>
        <w:rPr>
          <w:lang w:val="en-CA"/>
        </w:rPr>
        <w:t>,</w:t>
      </w:r>
      <w:r w:rsidR="0041350F">
        <w:rPr>
          <w:lang w:val="en-CA"/>
        </w:rPr>
        <w:t xml:space="preserve"> </w:t>
      </w:r>
      <w:r w:rsidR="0041350F">
        <w:rPr>
          <w:lang w:val="en-CA"/>
        </w:rPr>
        <w:t>A. Daniel</w:t>
      </w:r>
      <w:r w:rsidR="0041350F">
        <w:rPr>
          <w:lang w:val="en-CA"/>
        </w:rPr>
        <w:t>.,</w:t>
      </w:r>
      <w:r>
        <w:rPr>
          <w:lang w:val="en-CA"/>
        </w:rPr>
        <w:t xml:space="preserve"> </w:t>
      </w:r>
      <w:r w:rsidRPr="005A6CED">
        <w:rPr>
          <w:i/>
          <w:lang w:val="en-CA"/>
        </w:rPr>
        <w:t>The Medieval Millennium</w:t>
      </w:r>
      <w:r>
        <w:rPr>
          <w:i/>
          <w:lang w:val="en-CA"/>
        </w:rPr>
        <w:t>: A</w:t>
      </w:r>
      <w:r w:rsidRPr="005A6CED">
        <w:rPr>
          <w:i/>
          <w:lang w:val="en-CA"/>
        </w:rPr>
        <w:t>n Introduction</w:t>
      </w:r>
      <w:r>
        <w:rPr>
          <w:i/>
          <w:lang w:val="en-CA"/>
        </w:rPr>
        <w:t xml:space="preserve"> </w:t>
      </w:r>
      <w:r w:rsidR="0041350F">
        <w:rPr>
          <w:lang w:val="en-CA"/>
        </w:rPr>
        <w:t>(</w:t>
      </w:r>
      <w:r>
        <w:rPr>
          <w:lang w:val="en-CA"/>
        </w:rPr>
        <w:t>New</w:t>
      </w:r>
      <w:r w:rsidR="0041350F">
        <w:rPr>
          <w:lang w:val="en-CA"/>
        </w:rPr>
        <w:t xml:space="preserve"> Jersey: Upper Saddle</w:t>
      </w:r>
      <w:r w:rsidR="00190C3E">
        <w:rPr>
          <w:lang w:val="en-CA"/>
        </w:rPr>
        <w:tab/>
      </w:r>
      <w:r w:rsidR="00190C3E">
        <w:rPr>
          <w:lang w:val="en-CA"/>
        </w:rPr>
        <w:tab/>
      </w:r>
      <w:r w:rsidR="0041350F">
        <w:rPr>
          <w:lang w:val="en-CA"/>
        </w:rPr>
        <w:t xml:space="preserve"> River, 2003)</w:t>
      </w:r>
      <w:r>
        <w:rPr>
          <w:lang w:val="en-CA"/>
        </w:rPr>
        <w:t>.</w:t>
      </w:r>
    </w:p>
    <w:p w14:paraId="0A9C4AD5" w14:textId="77777777" w:rsidR="00166CBE" w:rsidRDefault="00166CBE" w:rsidP="00166CBE">
      <w:pPr>
        <w:pStyle w:val="FootnoteText"/>
      </w:pPr>
    </w:p>
    <w:p w14:paraId="28055BC6" w14:textId="762A0270" w:rsidR="00166CBE" w:rsidRDefault="0041350F" w:rsidP="00190C3E">
      <w:pPr>
        <w:pStyle w:val="FootnoteText"/>
        <w:rPr>
          <w:lang w:val="en-CA"/>
        </w:rPr>
      </w:pPr>
      <w:r>
        <w:rPr>
          <w:lang w:val="en-CA"/>
        </w:rPr>
        <w:t xml:space="preserve">Hatcher, </w:t>
      </w:r>
      <w:r w:rsidR="00166CBE">
        <w:t>John</w:t>
      </w:r>
      <w:r>
        <w:t>.,</w:t>
      </w:r>
      <w:r w:rsidR="00166CBE">
        <w:t xml:space="preserve"> </w:t>
      </w:r>
      <w:r w:rsidR="00166CBE" w:rsidRPr="005A6CED">
        <w:rPr>
          <w:i/>
          <w:lang w:val="en-CA"/>
        </w:rPr>
        <w:t>Plague Population and the English Economy</w:t>
      </w:r>
      <w:r w:rsidR="00166CBE">
        <w:rPr>
          <w:lang w:val="en-CA"/>
        </w:rPr>
        <w:t xml:space="preserve"> </w:t>
      </w:r>
      <w:r w:rsidR="00166CBE" w:rsidRPr="005A6CED">
        <w:rPr>
          <w:i/>
          <w:lang w:val="en-CA"/>
        </w:rPr>
        <w:t>1348-1530</w:t>
      </w:r>
      <w:r w:rsidR="00166CBE">
        <w:rPr>
          <w:lang w:val="en-CA"/>
        </w:rPr>
        <w:t xml:space="preserve"> (</w:t>
      </w:r>
      <w:r>
        <w:rPr>
          <w:lang w:val="en-CA"/>
        </w:rPr>
        <w:t xml:space="preserve">, London and </w:t>
      </w:r>
      <w:r w:rsidR="00190C3E">
        <w:rPr>
          <w:lang w:val="en-CA"/>
        </w:rPr>
        <w:tab/>
      </w:r>
      <w:r>
        <w:rPr>
          <w:lang w:val="en-CA"/>
        </w:rPr>
        <w:t>Basingstoke</w:t>
      </w:r>
      <w:r>
        <w:rPr>
          <w:lang w:val="en-CA"/>
        </w:rPr>
        <w:t xml:space="preserve">: </w:t>
      </w:r>
      <w:r w:rsidR="00166CBE">
        <w:rPr>
          <w:lang w:val="en-CA"/>
        </w:rPr>
        <w:t>The Macmillan Press LTD</w:t>
      </w:r>
      <w:r>
        <w:rPr>
          <w:lang w:val="en-CA"/>
        </w:rPr>
        <w:t>, 1977)</w:t>
      </w:r>
      <w:r w:rsidR="00166CBE">
        <w:rPr>
          <w:lang w:val="en-CA"/>
        </w:rPr>
        <w:t xml:space="preserve">.  </w:t>
      </w:r>
    </w:p>
    <w:p w14:paraId="5693D954" w14:textId="77777777" w:rsidR="00B0578E" w:rsidRDefault="00B0578E" w:rsidP="00166CBE">
      <w:pPr>
        <w:pStyle w:val="FootnoteText"/>
        <w:rPr>
          <w:lang w:val="en-CA"/>
        </w:rPr>
      </w:pPr>
    </w:p>
    <w:p w14:paraId="28EF94F0" w14:textId="17FE714F" w:rsidR="00166CBE" w:rsidRDefault="00B0578E" w:rsidP="00190C3E">
      <w:pPr>
        <w:spacing w:line="480" w:lineRule="auto"/>
      </w:pPr>
      <w:proofErr w:type="spellStart"/>
      <w:r>
        <w:t>Horrox</w:t>
      </w:r>
      <w:proofErr w:type="spellEnd"/>
      <w:r>
        <w:t xml:space="preserve">, Rosemary., </w:t>
      </w:r>
      <w:r>
        <w:rPr>
          <w:i/>
          <w:iCs/>
        </w:rPr>
        <w:t>The Black Death</w:t>
      </w:r>
      <w:r>
        <w:t>, (Manchester: Manchester University Press, 1994).</w:t>
      </w:r>
    </w:p>
    <w:p w14:paraId="416F58A7" w14:textId="44AC684A" w:rsidR="00190C3E" w:rsidRDefault="00190C3E" w:rsidP="00190C3E">
      <w:pPr>
        <w:pStyle w:val="FootnoteText"/>
        <w:rPr>
          <w:lang w:val="en-CA"/>
        </w:rPr>
      </w:pPr>
      <w:proofErr w:type="spellStart"/>
      <w:r>
        <w:rPr>
          <w:lang w:val="en-CA"/>
        </w:rPr>
        <w:t>Pelz</w:t>
      </w:r>
      <w:proofErr w:type="spellEnd"/>
      <w:r>
        <w:rPr>
          <w:lang w:val="en-CA"/>
        </w:rPr>
        <w:t>,</w:t>
      </w:r>
      <w:r w:rsidRPr="00190C3E">
        <w:rPr>
          <w:lang w:val="en-CA"/>
        </w:rPr>
        <w:t xml:space="preserve"> </w:t>
      </w:r>
      <w:r>
        <w:rPr>
          <w:lang w:val="en-CA"/>
        </w:rPr>
        <w:t xml:space="preserve">William A.  ‘The King’s in His Castle… All’s Right with the World: The Collapse of the Middle </w:t>
      </w:r>
      <w:r>
        <w:rPr>
          <w:lang w:val="en-CA"/>
        </w:rPr>
        <w:tab/>
      </w:r>
      <w:r>
        <w:rPr>
          <w:lang w:val="en-CA"/>
        </w:rPr>
        <w:t xml:space="preserve">Ages’, </w:t>
      </w:r>
      <w:r w:rsidRPr="003361AD">
        <w:rPr>
          <w:i/>
          <w:lang w:val="en-CA"/>
        </w:rPr>
        <w:t>A People’s History of Modern Europe</w:t>
      </w:r>
      <w:r>
        <w:rPr>
          <w:lang w:val="en-CA"/>
        </w:rPr>
        <w:t xml:space="preserve">, (2016), 1-17.  </w:t>
      </w:r>
    </w:p>
    <w:p w14:paraId="3B8034B4" w14:textId="77777777" w:rsidR="00190C3E" w:rsidRPr="00190C3E" w:rsidRDefault="00190C3E" w:rsidP="00190C3E">
      <w:pPr>
        <w:pStyle w:val="FootnoteText"/>
        <w:ind w:firstLine="720"/>
        <w:rPr>
          <w:lang w:val="en-CA"/>
        </w:rPr>
      </w:pPr>
    </w:p>
    <w:p w14:paraId="75ACD990" w14:textId="3E8DDC21" w:rsidR="00190C3E" w:rsidRDefault="0041350F" w:rsidP="00190C3E">
      <w:pPr>
        <w:pStyle w:val="FootnoteText"/>
        <w:rPr>
          <w:lang w:val="en-CA"/>
        </w:rPr>
      </w:pPr>
      <w:proofErr w:type="spellStart"/>
      <w:r>
        <w:rPr>
          <w:lang w:val="en-CA"/>
        </w:rPr>
        <w:t>Theilmann</w:t>
      </w:r>
      <w:proofErr w:type="spellEnd"/>
      <w:r>
        <w:rPr>
          <w:lang w:val="en-CA"/>
        </w:rPr>
        <w:t xml:space="preserve">, </w:t>
      </w:r>
      <w:r w:rsidR="00166CBE">
        <w:rPr>
          <w:lang w:val="en-CA"/>
        </w:rPr>
        <w:t xml:space="preserve">John and </w:t>
      </w:r>
      <w:r>
        <w:rPr>
          <w:lang w:val="en-CA"/>
        </w:rPr>
        <w:t xml:space="preserve">Cate, </w:t>
      </w:r>
      <w:r w:rsidR="00166CBE">
        <w:rPr>
          <w:lang w:val="en-CA"/>
        </w:rPr>
        <w:t>Frances</w:t>
      </w:r>
      <w:r>
        <w:rPr>
          <w:lang w:val="en-CA"/>
        </w:rPr>
        <w:t>.,</w:t>
      </w:r>
      <w:r w:rsidR="00166CBE">
        <w:rPr>
          <w:lang w:val="en-CA"/>
        </w:rPr>
        <w:t xml:space="preserve"> ‘A Plague of Plagues: The Problem of Plague Diagnosis in</w:t>
      </w:r>
      <w:r w:rsidR="00190C3E">
        <w:rPr>
          <w:lang w:val="en-CA"/>
        </w:rPr>
        <w:tab/>
      </w:r>
      <w:r w:rsidR="00190C3E">
        <w:rPr>
          <w:lang w:val="en-CA"/>
        </w:rPr>
        <w:tab/>
      </w:r>
      <w:r w:rsidR="00166CBE">
        <w:rPr>
          <w:lang w:val="en-CA"/>
        </w:rPr>
        <w:t xml:space="preserve"> Medieval England’, </w:t>
      </w:r>
      <w:r w:rsidR="00166CBE" w:rsidRPr="00FF49E3">
        <w:rPr>
          <w:i/>
          <w:lang w:val="en-CA"/>
        </w:rPr>
        <w:t>The Journal of Interdisciplinary History</w:t>
      </w:r>
      <w:r w:rsidR="00B0578E">
        <w:rPr>
          <w:lang w:val="en-CA"/>
        </w:rPr>
        <w:t>,</w:t>
      </w:r>
      <w:r w:rsidR="00BF1B1C">
        <w:rPr>
          <w:lang w:val="en-CA"/>
        </w:rPr>
        <w:t xml:space="preserve"> </w:t>
      </w:r>
      <w:proofErr w:type="spellStart"/>
      <w:r w:rsidR="00BF1B1C">
        <w:rPr>
          <w:lang w:val="en-CA"/>
        </w:rPr>
        <w:t>vol</w:t>
      </w:r>
      <w:proofErr w:type="spellEnd"/>
      <w:r w:rsidR="00B0578E">
        <w:rPr>
          <w:lang w:val="en-CA"/>
        </w:rPr>
        <w:t xml:space="preserve"> 37, 3 (2007), 371-393</w:t>
      </w:r>
      <w:r w:rsidR="00166CBE">
        <w:rPr>
          <w:lang w:val="en-CA"/>
        </w:rPr>
        <w:t>.</w:t>
      </w:r>
    </w:p>
    <w:p w14:paraId="4E60CEB4" w14:textId="77777777" w:rsidR="00190C3E" w:rsidRDefault="00190C3E" w:rsidP="00190C3E">
      <w:pPr>
        <w:pStyle w:val="FootnoteText"/>
      </w:pPr>
    </w:p>
    <w:p w14:paraId="1D09586A" w14:textId="72E6B212" w:rsidR="00190C3E" w:rsidRDefault="00190C3E" w:rsidP="00190C3E">
      <w:pPr>
        <w:pStyle w:val="FootnoteText"/>
        <w:rPr>
          <w:lang w:val="en-CA"/>
        </w:rPr>
      </w:pPr>
      <w:r>
        <w:rPr>
          <w:lang w:val="en-CA"/>
        </w:rPr>
        <w:t xml:space="preserve">Ziegler, Philip </w:t>
      </w:r>
      <w:r w:rsidRPr="00E51810">
        <w:rPr>
          <w:i/>
          <w:lang w:val="en-CA"/>
        </w:rPr>
        <w:t>The Black Death</w:t>
      </w:r>
      <w:r>
        <w:rPr>
          <w:i/>
          <w:lang w:val="en-CA"/>
        </w:rPr>
        <w:t>, (</w:t>
      </w:r>
      <w:r w:rsidRPr="00E51810">
        <w:rPr>
          <w:lang w:val="en-CA"/>
        </w:rPr>
        <w:t>United Kingdom: Pub</w:t>
      </w:r>
      <w:r>
        <w:rPr>
          <w:lang w:val="en-CA"/>
        </w:rPr>
        <w:t>lished by Arrangement with Harper Collins</w:t>
      </w:r>
      <w:r>
        <w:rPr>
          <w:lang w:val="en-CA"/>
        </w:rPr>
        <w:tab/>
      </w:r>
      <w:r>
        <w:rPr>
          <w:lang w:val="en-CA"/>
        </w:rPr>
        <w:tab/>
      </w:r>
      <w:r>
        <w:rPr>
          <w:lang w:val="en-CA"/>
        </w:rPr>
        <w:t xml:space="preserve"> </w:t>
      </w:r>
      <w:r w:rsidRPr="00E51810">
        <w:rPr>
          <w:i/>
          <w:lang w:val="en-CA"/>
        </w:rPr>
        <w:t>Publishers</w:t>
      </w:r>
      <w:r>
        <w:rPr>
          <w:lang w:val="en-CA"/>
        </w:rPr>
        <w:t xml:space="preserve"> Ltd, 1997). </w:t>
      </w:r>
    </w:p>
    <w:p w14:paraId="263FFC3E" w14:textId="77777777" w:rsidR="00166CBE" w:rsidRPr="00C2737C" w:rsidRDefault="00166CBE" w:rsidP="00166CBE">
      <w:pPr>
        <w:spacing w:line="480" w:lineRule="auto"/>
        <w:ind w:firstLine="720"/>
        <w:rPr>
          <w:lang w:val="en-CA"/>
        </w:rPr>
      </w:pPr>
      <w:bookmarkStart w:id="0" w:name="_GoBack"/>
      <w:bookmarkEnd w:id="0"/>
    </w:p>
    <w:sectPr w:rsidR="00166CBE" w:rsidRPr="00C2737C"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EB3FD" w14:textId="77777777" w:rsidR="00093DA1" w:rsidRDefault="00093DA1" w:rsidP="005A6CED">
      <w:r>
        <w:separator/>
      </w:r>
    </w:p>
  </w:endnote>
  <w:endnote w:type="continuationSeparator" w:id="0">
    <w:p w14:paraId="0D92CAD0" w14:textId="77777777" w:rsidR="00093DA1" w:rsidRDefault="00093DA1" w:rsidP="005A6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de">
    <w:altName w:val="Calibri"/>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EBB6C" w14:textId="77777777" w:rsidR="00093DA1" w:rsidRDefault="00093DA1" w:rsidP="005A6CED">
      <w:r>
        <w:separator/>
      </w:r>
    </w:p>
  </w:footnote>
  <w:footnote w:type="continuationSeparator" w:id="0">
    <w:p w14:paraId="04C5507D" w14:textId="77777777" w:rsidR="00093DA1" w:rsidRDefault="00093DA1" w:rsidP="005A6CED">
      <w:r>
        <w:continuationSeparator/>
      </w:r>
    </w:p>
  </w:footnote>
  <w:footnote w:id="1">
    <w:p w14:paraId="22C1C5D7" w14:textId="6799CDBF" w:rsidR="005A6CED" w:rsidRPr="005A6CED" w:rsidRDefault="005A6CED">
      <w:pPr>
        <w:pStyle w:val="FootnoteText"/>
        <w:rPr>
          <w:lang w:val="en-CA"/>
        </w:rPr>
      </w:pPr>
      <w:r>
        <w:rPr>
          <w:rStyle w:val="FootnoteReference"/>
        </w:rPr>
        <w:footnoteRef/>
      </w:r>
      <w:r>
        <w:rPr>
          <w:lang w:val="en-CA"/>
        </w:rPr>
        <w:t xml:space="preserve"> A. Daniel </w:t>
      </w:r>
      <w:proofErr w:type="spellStart"/>
      <w:r>
        <w:rPr>
          <w:lang w:val="en-CA"/>
        </w:rPr>
        <w:t>Frankforter</w:t>
      </w:r>
      <w:proofErr w:type="spellEnd"/>
      <w:r>
        <w:rPr>
          <w:lang w:val="en-CA"/>
        </w:rPr>
        <w:t xml:space="preserve">, </w:t>
      </w:r>
      <w:r w:rsidRPr="005A6CED">
        <w:rPr>
          <w:i/>
          <w:lang w:val="en-CA"/>
        </w:rPr>
        <w:t>The Medieval Millennium</w:t>
      </w:r>
      <w:r>
        <w:rPr>
          <w:i/>
          <w:lang w:val="en-CA"/>
        </w:rPr>
        <w:t>: A</w:t>
      </w:r>
      <w:r w:rsidRPr="005A6CED">
        <w:rPr>
          <w:i/>
          <w:lang w:val="en-CA"/>
        </w:rPr>
        <w:t>n Introduction</w:t>
      </w:r>
      <w:r w:rsidR="00E51810">
        <w:rPr>
          <w:i/>
          <w:lang w:val="en-CA"/>
        </w:rPr>
        <w:t xml:space="preserve"> </w:t>
      </w:r>
      <w:r>
        <w:rPr>
          <w:lang w:val="en-CA"/>
        </w:rPr>
        <w:t>(</w:t>
      </w:r>
      <w:r w:rsidR="0041350F">
        <w:rPr>
          <w:lang w:val="en-CA"/>
        </w:rPr>
        <w:t>New</w:t>
      </w:r>
      <w:r w:rsidR="0041350F">
        <w:rPr>
          <w:lang w:val="en-CA"/>
        </w:rPr>
        <w:t xml:space="preserve"> Jersey: </w:t>
      </w:r>
      <w:r>
        <w:rPr>
          <w:lang w:val="en-CA"/>
        </w:rPr>
        <w:t>Upper Saddle River, 2003), p. 303.</w:t>
      </w:r>
    </w:p>
  </w:footnote>
  <w:footnote w:id="2">
    <w:p w14:paraId="6F8DF4AC" w14:textId="694AC2CA" w:rsidR="005A6CED" w:rsidRPr="005A6CED" w:rsidRDefault="005A6CED">
      <w:pPr>
        <w:pStyle w:val="FootnoteText"/>
        <w:rPr>
          <w:lang w:val="en-CA"/>
        </w:rPr>
      </w:pPr>
      <w:r>
        <w:rPr>
          <w:rStyle w:val="FootnoteReference"/>
        </w:rPr>
        <w:footnoteRef/>
      </w:r>
      <w:r>
        <w:t xml:space="preserve"> John </w:t>
      </w:r>
      <w:r>
        <w:rPr>
          <w:lang w:val="en-CA"/>
        </w:rPr>
        <w:t xml:space="preserve">Hatcher, </w:t>
      </w:r>
      <w:r w:rsidRPr="005A6CED">
        <w:rPr>
          <w:i/>
          <w:lang w:val="en-CA"/>
        </w:rPr>
        <w:t>Plague Population and the English Economy</w:t>
      </w:r>
      <w:r>
        <w:rPr>
          <w:lang w:val="en-CA"/>
        </w:rPr>
        <w:t xml:space="preserve"> </w:t>
      </w:r>
      <w:r w:rsidRPr="005A6CED">
        <w:rPr>
          <w:i/>
          <w:lang w:val="en-CA"/>
        </w:rPr>
        <w:t>1348-1530</w:t>
      </w:r>
      <w:r>
        <w:rPr>
          <w:lang w:val="en-CA"/>
        </w:rPr>
        <w:t xml:space="preserve"> (</w:t>
      </w:r>
      <w:r w:rsidR="0041350F">
        <w:rPr>
          <w:lang w:val="en-CA"/>
        </w:rPr>
        <w:t>London and Basingstoke</w:t>
      </w:r>
      <w:r w:rsidR="0041350F">
        <w:rPr>
          <w:lang w:val="en-CA"/>
        </w:rPr>
        <w:t xml:space="preserve">: </w:t>
      </w:r>
      <w:r>
        <w:rPr>
          <w:lang w:val="en-CA"/>
        </w:rPr>
        <w:t xml:space="preserve">The Macmillan Press LTD, ,1977) p. 22.  </w:t>
      </w:r>
    </w:p>
  </w:footnote>
  <w:footnote w:id="3">
    <w:p w14:paraId="54A321A8" w14:textId="1125D69B" w:rsidR="005A6CED" w:rsidRPr="00FF49E3" w:rsidRDefault="005A6CED">
      <w:pPr>
        <w:pStyle w:val="FootnoteText"/>
        <w:rPr>
          <w:lang w:val="en-CA"/>
        </w:rPr>
      </w:pPr>
      <w:r>
        <w:rPr>
          <w:rStyle w:val="FootnoteReference"/>
        </w:rPr>
        <w:footnoteRef/>
      </w:r>
      <w:r>
        <w:t xml:space="preserve"> </w:t>
      </w:r>
      <w:r>
        <w:rPr>
          <w:lang w:val="en-CA"/>
        </w:rPr>
        <w:t xml:space="preserve">John </w:t>
      </w:r>
      <w:proofErr w:type="spellStart"/>
      <w:r>
        <w:rPr>
          <w:lang w:val="en-CA"/>
        </w:rPr>
        <w:t>Theilmann</w:t>
      </w:r>
      <w:proofErr w:type="spellEnd"/>
      <w:r>
        <w:rPr>
          <w:lang w:val="en-CA"/>
        </w:rPr>
        <w:t xml:space="preserve"> and Frances Cate, ‘A Plague of Plagues: The Problem of Plague Diagnosis in Medieval England’,</w:t>
      </w:r>
      <w:r w:rsidR="00FF49E3">
        <w:rPr>
          <w:lang w:val="en-CA"/>
        </w:rPr>
        <w:t xml:space="preserve"> </w:t>
      </w:r>
      <w:r w:rsidR="00FF49E3" w:rsidRPr="00FF49E3">
        <w:rPr>
          <w:i/>
          <w:lang w:val="en-CA"/>
        </w:rPr>
        <w:t>The Journal of Interdisciplinary History</w:t>
      </w:r>
      <w:r w:rsidR="00FF49E3">
        <w:rPr>
          <w:lang w:val="en-CA"/>
        </w:rPr>
        <w:t xml:space="preserve">, </w:t>
      </w:r>
      <w:proofErr w:type="spellStart"/>
      <w:r w:rsidR="00BF1B1C">
        <w:rPr>
          <w:lang w:val="en-CA"/>
        </w:rPr>
        <w:t>vol</w:t>
      </w:r>
      <w:proofErr w:type="spellEnd"/>
      <w:r w:rsidR="00BF1B1C">
        <w:rPr>
          <w:lang w:val="en-CA"/>
        </w:rPr>
        <w:t xml:space="preserve"> </w:t>
      </w:r>
      <w:r w:rsidR="00FF49E3">
        <w:rPr>
          <w:lang w:val="en-CA"/>
        </w:rPr>
        <w:t>37, 3 (2007), 371-393 (p.372).</w:t>
      </w:r>
    </w:p>
  </w:footnote>
  <w:footnote w:id="4">
    <w:p w14:paraId="2DCE786E" w14:textId="01F0CEAA" w:rsidR="00FF49E3" w:rsidRPr="00FF49E3" w:rsidRDefault="00FF49E3">
      <w:pPr>
        <w:pStyle w:val="FootnoteText"/>
        <w:rPr>
          <w:lang w:val="en-CA"/>
        </w:rPr>
      </w:pPr>
      <w:r>
        <w:rPr>
          <w:rStyle w:val="FootnoteReference"/>
        </w:rPr>
        <w:footnoteRef/>
      </w:r>
      <w:r>
        <w:t xml:space="preserve"> </w:t>
      </w:r>
      <w:r>
        <w:rPr>
          <w:lang w:val="en-CA"/>
        </w:rPr>
        <w:t>Samuel K. Cohn, Jr.</w:t>
      </w:r>
      <w:r w:rsidR="00B955B9">
        <w:rPr>
          <w:lang w:val="en-CA"/>
        </w:rPr>
        <w:t xml:space="preserve"> ‘The Black Death: End of a Paradigm’, </w:t>
      </w:r>
      <w:r w:rsidR="00B955B9">
        <w:rPr>
          <w:i/>
          <w:lang w:val="en-CA"/>
        </w:rPr>
        <w:t>The American Historical Review</w:t>
      </w:r>
      <w:r>
        <w:rPr>
          <w:lang w:val="en-CA"/>
        </w:rPr>
        <w:t xml:space="preserve">, </w:t>
      </w:r>
      <w:proofErr w:type="spellStart"/>
      <w:r w:rsidR="00B955B9">
        <w:rPr>
          <w:lang w:val="en-CA"/>
        </w:rPr>
        <w:t>vol</w:t>
      </w:r>
      <w:proofErr w:type="spellEnd"/>
      <w:r w:rsidR="00B955B9">
        <w:rPr>
          <w:lang w:val="en-CA"/>
        </w:rPr>
        <w:t xml:space="preserve"> </w:t>
      </w:r>
      <w:r>
        <w:rPr>
          <w:lang w:val="en-CA"/>
        </w:rPr>
        <w:t>107,</w:t>
      </w:r>
      <w:r w:rsidR="00D30744">
        <w:rPr>
          <w:lang w:val="en-CA"/>
        </w:rPr>
        <w:t>3 (</w:t>
      </w:r>
      <w:r>
        <w:rPr>
          <w:lang w:val="en-CA"/>
        </w:rPr>
        <w:t>2002), 703-738 (706).</w:t>
      </w:r>
    </w:p>
  </w:footnote>
  <w:footnote w:id="5">
    <w:p w14:paraId="2D12A37D" w14:textId="40076874" w:rsidR="00E51810" w:rsidRPr="00E51810" w:rsidRDefault="00E51810" w:rsidP="00E51810">
      <w:pPr>
        <w:pStyle w:val="Default"/>
      </w:pPr>
      <w:r>
        <w:rPr>
          <w:rStyle w:val="FootnoteReference"/>
        </w:rPr>
        <w:footnoteRef/>
      </w:r>
      <w:r>
        <w:t xml:space="preserve"> </w:t>
      </w:r>
      <w:r w:rsidR="00B0578E">
        <w:t xml:space="preserve">Rosemary </w:t>
      </w:r>
      <w:proofErr w:type="spellStart"/>
      <w:r w:rsidR="00B0578E">
        <w:t>Horrox</w:t>
      </w:r>
      <w:proofErr w:type="spellEnd"/>
      <w:r w:rsidR="00B0578E">
        <w:t xml:space="preserve">, </w:t>
      </w:r>
      <w:r w:rsidR="00B0578E">
        <w:rPr>
          <w:i/>
          <w:iCs/>
        </w:rPr>
        <w:t>The Black Death</w:t>
      </w:r>
      <w:r w:rsidR="00B0578E">
        <w:t>, (Manchester: Manchester University Press, 1994)</w:t>
      </w:r>
    </w:p>
  </w:footnote>
  <w:footnote w:id="6">
    <w:p w14:paraId="5D2FD7C8" w14:textId="2E3BC21A" w:rsidR="00E51810" w:rsidRPr="00E51810" w:rsidRDefault="00E51810">
      <w:pPr>
        <w:pStyle w:val="FootnoteText"/>
        <w:rPr>
          <w:lang w:val="en-CA"/>
        </w:rPr>
      </w:pPr>
      <w:r>
        <w:rPr>
          <w:rStyle w:val="FootnoteReference"/>
        </w:rPr>
        <w:footnoteRef/>
      </w:r>
      <w:r>
        <w:t xml:space="preserve"> </w:t>
      </w:r>
      <w:r>
        <w:rPr>
          <w:lang w:val="en-CA"/>
        </w:rPr>
        <w:t xml:space="preserve">A. Daniel </w:t>
      </w:r>
      <w:proofErr w:type="spellStart"/>
      <w:r>
        <w:rPr>
          <w:lang w:val="en-CA"/>
        </w:rPr>
        <w:t>Frankforter</w:t>
      </w:r>
      <w:proofErr w:type="spellEnd"/>
      <w:r>
        <w:rPr>
          <w:lang w:val="en-CA"/>
        </w:rPr>
        <w:t xml:space="preserve">, </w:t>
      </w:r>
      <w:r w:rsidRPr="005A6CED">
        <w:rPr>
          <w:i/>
          <w:lang w:val="en-CA"/>
        </w:rPr>
        <w:t>The Medieval Millennium</w:t>
      </w:r>
      <w:r>
        <w:rPr>
          <w:i/>
          <w:lang w:val="en-CA"/>
        </w:rPr>
        <w:t>: A</w:t>
      </w:r>
      <w:r w:rsidRPr="005A6CED">
        <w:rPr>
          <w:i/>
          <w:lang w:val="en-CA"/>
        </w:rPr>
        <w:t>n Introduction</w:t>
      </w:r>
      <w:r>
        <w:rPr>
          <w:lang w:val="en-CA"/>
        </w:rPr>
        <w:t xml:space="preserve"> (</w:t>
      </w:r>
      <w:r w:rsidR="0041350F">
        <w:rPr>
          <w:lang w:val="en-CA"/>
        </w:rPr>
        <w:t xml:space="preserve">New Jersey: </w:t>
      </w:r>
      <w:r>
        <w:rPr>
          <w:lang w:val="en-CA"/>
        </w:rPr>
        <w:t>Upper Saddle River, 2003), p. 303.</w:t>
      </w:r>
    </w:p>
  </w:footnote>
  <w:footnote w:id="7">
    <w:p w14:paraId="703D35EA" w14:textId="47FE608E" w:rsidR="00E51810" w:rsidRPr="00E51810" w:rsidRDefault="00E51810">
      <w:pPr>
        <w:pStyle w:val="FootnoteText"/>
        <w:rPr>
          <w:lang w:val="en-CA"/>
        </w:rPr>
      </w:pPr>
      <w:r>
        <w:rPr>
          <w:rStyle w:val="FootnoteReference"/>
        </w:rPr>
        <w:footnoteRef/>
      </w:r>
      <w:r>
        <w:t xml:space="preserve"> </w:t>
      </w:r>
      <w:r w:rsidR="00B0578E">
        <w:t xml:space="preserve">Rosemary </w:t>
      </w:r>
      <w:proofErr w:type="spellStart"/>
      <w:r w:rsidR="00B0578E">
        <w:t>Horrox</w:t>
      </w:r>
      <w:proofErr w:type="spellEnd"/>
      <w:r w:rsidR="00B0578E">
        <w:t xml:space="preserve">, </w:t>
      </w:r>
      <w:r w:rsidR="00B0578E">
        <w:rPr>
          <w:i/>
          <w:iCs/>
        </w:rPr>
        <w:t>The Black Death</w:t>
      </w:r>
      <w:r w:rsidR="00B0578E">
        <w:t xml:space="preserve">, (Manchester: Manchester University Press, 1994) </w:t>
      </w:r>
      <w:r>
        <w:t>p.63-64.</w:t>
      </w:r>
    </w:p>
  </w:footnote>
  <w:footnote w:id="8">
    <w:p w14:paraId="221AF977" w14:textId="7861C5B8" w:rsidR="00E51810" w:rsidRPr="00E51810" w:rsidRDefault="00E51810">
      <w:pPr>
        <w:pStyle w:val="FootnoteText"/>
        <w:rPr>
          <w:lang w:val="en-CA"/>
        </w:rPr>
      </w:pPr>
      <w:r>
        <w:rPr>
          <w:rStyle w:val="FootnoteReference"/>
        </w:rPr>
        <w:footnoteRef/>
      </w:r>
      <w:r>
        <w:t xml:space="preserve"> </w:t>
      </w:r>
      <w:r>
        <w:rPr>
          <w:lang w:val="en-CA"/>
        </w:rPr>
        <w:t xml:space="preserve">Philip Ziegler, </w:t>
      </w:r>
      <w:r w:rsidRPr="00E51810">
        <w:rPr>
          <w:i/>
          <w:lang w:val="en-CA"/>
        </w:rPr>
        <w:t xml:space="preserve">The Black </w:t>
      </w:r>
      <w:r w:rsidR="00D30744" w:rsidRPr="00E51810">
        <w:rPr>
          <w:i/>
          <w:lang w:val="en-CA"/>
        </w:rPr>
        <w:t>Death</w:t>
      </w:r>
      <w:r w:rsidR="00D30744">
        <w:rPr>
          <w:i/>
          <w:lang w:val="en-CA"/>
        </w:rPr>
        <w:t>, (</w:t>
      </w:r>
      <w:r w:rsidRPr="00E51810">
        <w:rPr>
          <w:lang w:val="en-CA"/>
        </w:rPr>
        <w:t>United Kingdom: Pub</w:t>
      </w:r>
      <w:r>
        <w:rPr>
          <w:lang w:val="en-CA"/>
        </w:rPr>
        <w:t xml:space="preserve">lished by Arrangement with Harper Collins </w:t>
      </w:r>
      <w:r w:rsidRPr="00E51810">
        <w:rPr>
          <w:i/>
          <w:lang w:val="en-CA"/>
        </w:rPr>
        <w:t>Publishers</w:t>
      </w:r>
      <w:r>
        <w:rPr>
          <w:lang w:val="en-CA"/>
        </w:rPr>
        <w:t xml:space="preserve"> Ltd, 1997), p. 71-72</w:t>
      </w:r>
      <w:r w:rsidR="00D30744">
        <w:rPr>
          <w:lang w:val="en-CA"/>
        </w:rPr>
        <w:t>.</w:t>
      </w:r>
      <w:r>
        <w:rPr>
          <w:lang w:val="en-CA"/>
        </w:rPr>
        <w:t xml:space="preserve"> </w:t>
      </w:r>
    </w:p>
  </w:footnote>
  <w:footnote w:id="9">
    <w:p w14:paraId="2DBF25EB" w14:textId="3F92DFB5" w:rsidR="00A30479" w:rsidRPr="00A30479" w:rsidRDefault="00A30479">
      <w:pPr>
        <w:pStyle w:val="FootnoteText"/>
        <w:rPr>
          <w:lang w:val="en-CA"/>
        </w:rPr>
      </w:pPr>
      <w:r>
        <w:rPr>
          <w:rStyle w:val="FootnoteReference"/>
        </w:rPr>
        <w:footnoteRef/>
      </w:r>
      <w:r>
        <w:t xml:space="preserve"> </w:t>
      </w:r>
      <w:r w:rsidR="0041350F">
        <w:t xml:space="preserve">Rosemary </w:t>
      </w:r>
      <w:proofErr w:type="spellStart"/>
      <w:r>
        <w:t>Horrox</w:t>
      </w:r>
      <w:proofErr w:type="spellEnd"/>
      <w:r>
        <w:t xml:space="preserve">, </w:t>
      </w:r>
      <w:r>
        <w:rPr>
          <w:i/>
          <w:iCs/>
        </w:rPr>
        <w:t>The Black Death</w:t>
      </w:r>
      <w:r>
        <w:t>,</w:t>
      </w:r>
      <w:r w:rsidR="00B0578E">
        <w:t xml:space="preserve"> (Manchester: Manchester University Press, 1994) </w:t>
      </w:r>
      <w:r>
        <w:t>p.63-64.</w:t>
      </w:r>
    </w:p>
  </w:footnote>
  <w:footnote w:id="10">
    <w:p w14:paraId="0DDD2435" w14:textId="55968C75" w:rsidR="003361AD" w:rsidRPr="003361AD" w:rsidRDefault="003361AD">
      <w:pPr>
        <w:pStyle w:val="FootnoteText"/>
        <w:rPr>
          <w:lang w:val="en-CA"/>
        </w:rPr>
      </w:pPr>
      <w:r>
        <w:rPr>
          <w:rStyle w:val="FootnoteReference"/>
        </w:rPr>
        <w:footnoteRef/>
      </w:r>
      <w:r>
        <w:t xml:space="preserve"> </w:t>
      </w:r>
      <w:r>
        <w:rPr>
          <w:lang w:val="en-CA"/>
        </w:rPr>
        <w:t xml:space="preserve">William A. </w:t>
      </w:r>
      <w:proofErr w:type="spellStart"/>
      <w:r>
        <w:rPr>
          <w:lang w:val="en-CA"/>
        </w:rPr>
        <w:t>Pelz</w:t>
      </w:r>
      <w:proofErr w:type="spellEnd"/>
      <w:r>
        <w:rPr>
          <w:lang w:val="en-CA"/>
        </w:rPr>
        <w:t xml:space="preserve">, ‘The King’s in His Castle… All’s Right with the World: The Collapse of the Middle Ages’, </w:t>
      </w:r>
      <w:r w:rsidRPr="003361AD">
        <w:rPr>
          <w:i/>
          <w:lang w:val="en-CA"/>
        </w:rPr>
        <w:t xml:space="preserve">A People’s History of Modern </w:t>
      </w:r>
      <w:r w:rsidR="00D30744" w:rsidRPr="003361AD">
        <w:rPr>
          <w:i/>
          <w:lang w:val="en-CA"/>
        </w:rPr>
        <w:t>Europe</w:t>
      </w:r>
      <w:r w:rsidR="00D30744">
        <w:rPr>
          <w:lang w:val="en-CA"/>
        </w:rPr>
        <w:t>, (</w:t>
      </w:r>
      <w:r>
        <w:rPr>
          <w:lang w:val="en-CA"/>
        </w:rPr>
        <w:t xml:space="preserve">2016), 1-17 (p. 11).  </w:t>
      </w:r>
    </w:p>
  </w:footnote>
  <w:footnote w:id="11">
    <w:p w14:paraId="135F8F99" w14:textId="524FBC35" w:rsidR="003361AD" w:rsidRPr="003361AD" w:rsidRDefault="003361AD">
      <w:pPr>
        <w:pStyle w:val="FootnoteText"/>
        <w:rPr>
          <w:lang w:val="en-CA"/>
        </w:rPr>
      </w:pPr>
      <w:r>
        <w:rPr>
          <w:rStyle w:val="FootnoteReference"/>
        </w:rPr>
        <w:footnoteRef/>
      </w:r>
      <w:r>
        <w:t xml:space="preserve"> </w:t>
      </w:r>
      <w:r w:rsidR="00B0578E">
        <w:t>Russel</w:t>
      </w:r>
      <w:r w:rsidR="00190C3E">
        <w:t>l</w:t>
      </w:r>
      <w:r w:rsidR="00B0578E">
        <w:t xml:space="preserve"> Ash, e</w:t>
      </w:r>
      <w:r w:rsidR="00D30744">
        <w:t xml:space="preserve">t al, </w:t>
      </w:r>
      <w:r w:rsidR="00D30744" w:rsidRPr="00D30744">
        <w:rPr>
          <w:i/>
        </w:rPr>
        <w:t>Folklore Myths and Legends of Britain</w:t>
      </w:r>
      <w:r w:rsidR="0041350F">
        <w:t>, (London:</w:t>
      </w:r>
      <w:r w:rsidR="00D30744">
        <w:t xml:space="preserve"> The Readers Digest Association Limited, 1973), p. 216. </w:t>
      </w:r>
    </w:p>
  </w:footnote>
  <w:footnote w:id="12">
    <w:p w14:paraId="3CD86762" w14:textId="59E43651" w:rsidR="006C2C9E" w:rsidRPr="006C2C9E" w:rsidRDefault="006C2C9E">
      <w:pPr>
        <w:pStyle w:val="FootnoteText"/>
        <w:rPr>
          <w:lang w:val="en-CA"/>
        </w:rPr>
      </w:pPr>
      <w:r>
        <w:rPr>
          <w:rStyle w:val="FootnoteReference"/>
        </w:rPr>
        <w:footnoteRef/>
      </w:r>
      <w:r>
        <w:t xml:space="preserve"> </w:t>
      </w:r>
      <w:r>
        <w:rPr>
          <w:lang w:val="en-CA"/>
        </w:rPr>
        <w:t xml:space="preserve">William A. </w:t>
      </w:r>
      <w:proofErr w:type="spellStart"/>
      <w:r>
        <w:rPr>
          <w:lang w:val="en-CA"/>
        </w:rPr>
        <w:t>Pelz</w:t>
      </w:r>
      <w:proofErr w:type="spellEnd"/>
      <w:r>
        <w:rPr>
          <w:lang w:val="en-CA"/>
        </w:rPr>
        <w:t xml:space="preserve">, ‘The King’s in His Castle… All’s Right with the World: The Collapse of the Middle Ages’, </w:t>
      </w:r>
      <w:r w:rsidRPr="003361AD">
        <w:rPr>
          <w:i/>
          <w:lang w:val="en-CA"/>
        </w:rPr>
        <w:t>A People’s History of Modern Europe</w:t>
      </w:r>
      <w:r>
        <w:rPr>
          <w:lang w:val="en-CA"/>
        </w:rPr>
        <w:t xml:space="preserve">, (2016), 1-17 (p. 11).  </w:t>
      </w:r>
    </w:p>
  </w:footnote>
  <w:footnote w:id="13">
    <w:p w14:paraId="4573EFA8" w14:textId="230495B9" w:rsidR="00D30744" w:rsidRPr="00D30744" w:rsidRDefault="00D30744">
      <w:pPr>
        <w:pStyle w:val="FootnoteText"/>
        <w:rPr>
          <w:lang w:val="en-CA"/>
        </w:rPr>
      </w:pPr>
      <w:r>
        <w:rPr>
          <w:rStyle w:val="FootnoteReference"/>
        </w:rPr>
        <w:footnoteRef/>
      </w:r>
      <w:r>
        <w:t xml:space="preserve"> </w:t>
      </w:r>
      <w:r w:rsidR="006C2C9E">
        <w:t>Ibid.</w:t>
      </w:r>
    </w:p>
  </w:footnote>
  <w:footnote w:id="14">
    <w:p w14:paraId="169E542E" w14:textId="5A3AABBC" w:rsidR="00D30744" w:rsidRPr="00D30744" w:rsidRDefault="00D30744">
      <w:pPr>
        <w:pStyle w:val="FootnoteText"/>
        <w:rPr>
          <w:lang w:val="en-CA"/>
        </w:rPr>
      </w:pPr>
      <w:r>
        <w:rPr>
          <w:rStyle w:val="FootnoteReference"/>
        </w:rPr>
        <w:footnoteRef/>
      </w:r>
      <w:r>
        <w:t xml:space="preserve"> John </w:t>
      </w:r>
      <w:r>
        <w:rPr>
          <w:lang w:val="en-CA"/>
        </w:rPr>
        <w:t xml:space="preserve">Hatcher, </w:t>
      </w:r>
      <w:r w:rsidRPr="005A6CED">
        <w:rPr>
          <w:i/>
          <w:lang w:val="en-CA"/>
        </w:rPr>
        <w:t>Plague Population and the English Economy</w:t>
      </w:r>
      <w:r>
        <w:rPr>
          <w:lang w:val="en-CA"/>
        </w:rPr>
        <w:t xml:space="preserve"> </w:t>
      </w:r>
      <w:r w:rsidRPr="005A6CED">
        <w:rPr>
          <w:i/>
          <w:lang w:val="en-CA"/>
        </w:rPr>
        <w:t>1348-1530</w:t>
      </w:r>
      <w:r w:rsidR="0041350F">
        <w:rPr>
          <w:lang w:val="en-CA"/>
        </w:rPr>
        <w:t xml:space="preserve"> (</w:t>
      </w:r>
      <w:r w:rsidR="0041350F">
        <w:rPr>
          <w:lang w:val="en-CA"/>
        </w:rPr>
        <w:t>London and Basingstoke</w:t>
      </w:r>
      <w:r w:rsidR="0041350F">
        <w:rPr>
          <w:lang w:val="en-CA"/>
        </w:rPr>
        <w:t>: The Macmillan Press LTD</w:t>
      </w:r>
      <w:r>
        <w:rPr>
          <w:lang w:val="en-CA"/>
        </w:rPr>
        <w:t xml:space="preserve">,1977) p. 11.  </w:t>
      </w:r>
    </w:p>
  </w:footnote>
  <w:footnote w:id="15">
    <w:p w14:paraId="43995D69" w14:textId="117329B7" w:rsidR="00D30744" w:rsidRPr="00D30744" w:rsidRDefault="00D30744">
      <w:pPr>
        <w:pStyle w:val="FootnoteText"/>
        <w:rPr>
          <w:lang w:val="en-CA"/>
        </w:rPr>
      </w:pPr>
      <w:r>
        <w:rPr>
          <w:rStyle w:val="FootnoteReference"/>
        </w:rPr>
        <w:footnoteRef/>
      </w:r>
      <w:r>
        <w:t xml:space="preserve"> </w:t>
      </w:r>
      <w:r w:rsidR="00B0578E">
        <w:t xml:space="preserve">Rosemary </w:t>
      </w:r>
      <w:proofErr w:type="spellStart"/>
      <w:r w:rsidR="00B0578E">
        <w:t>Horrox</w:t>
      </w:r>
      <w:proofErr w:type="spellEnd"/>
      <w:r w:rsidR="00B0578E">
        <w:t xml:space="preserve">, </w:t>
      </w:r>
      <w:r w:rsidR="00B0578E">
        <w:rPr>
          <w:i/>
          <w:iCs/>
        </w:rPr>
        <w:t>The Black Death</w:t>
      </w:r>
      <w:r w:rsidR="00B0578E">
        <w:t>, (Manchester: Manchester University Press, 1994)</w:t>
      </w:r>
      <w:r w:rsidR="00B0578E">
        <w:t xml:space="preserve"> </w:t>
      </w:r>
      <w:r>
        <w:t>p.207.</w:t>
      </w:r>
    </w:p>
  </w:footnote>
  <w:footnote w:id="16">
    <w:p w14:paraId="22587538" w14:textId="4FDE1AE0" w:rsidR="00D30744" w:rsidRPr="00D30744" w:rsidRDefault="00D30744">
      <w:pPr>
        <w:pStyle w:val="FootnoteText"/>
        <w:rPr>
          <w:lang w:val="en-CA"/>
        </w:rPr>
      </w:pPr>
      <w:r>
        <w:rPr>
          <w:rStyle w:val="FootnoteReference"/>
        </w:rPr>
        <w:footnoteRef/>
      </w:r>
      <w:r>
        <w:t xml:space="preserve"> </w:t>
      </w:r>
      <w:r>
        <w:rPr>
          <w:lang w:val="en-CA"/>
        </w:rPr>
        <w:t xml:space="preserve">Philip Ziegler, </w:t>
      </w:r>
      <w:r w:rsidRPr="00E51810">
        <w:rPr>
          <w:i/>
          <w:lang w:val="en-CA"/>
        </w:rPr>
        <w:t>The Black Death</w:t>
      </w:r>
      <w:r>
        <w:rPr>
          <w:i/>
          <w:lang w:val="en-CA"/>
        </w:rPr>
        <w:t>, (</w:t>
      </w:r>
      <w:r w:rsidRPr="00E51810">
        <w:rPr>
          <w:lang w:val="en-CA"/>
        </w:rPr>
        <w:t>United Kingdom: Pub</w:t>
      </w:r>
      <w:r>
        <w:rPr>
          <w:lang w:val="en-CA"/>
        </w:rPr>
        <w:t xml:space="preserve">lished by Arrangement with Harper Collins </w:t>
      </w:r>
      <w:r w:rsidRPr="00E51810">
        <w:rPr>
          <w:i/>
          <w:lang w:val="en-CA"/>
        </w:rPr>
        <w:t>Publishers</w:t>
      </w:r>
      <w:r>
        <w:rPr>
          <w:lang w:val="en-CA"/>
        </w:rPr>
        <w:t xml:space="preserve"> Ltd, 1997), p. 71-72.</w:t>
      </w:r>
    </w:p>
  </w:footnote>
  <w:footnote w:id="17">
    <w:p w14:paraId="14D8A86D" w14:textId="6C2BE6A3" w:rsidR="00D30744" w:rsidRPr="00D30744" w:rsidRDefault="00D30744">
      <w:pPr>
        <w:pStyle w:val="FootnoteText"/>
        <w:rPr>
          <w:lang w:val="en-CA"/>
        </w:rPr>
      </w:pPr>
      <w:r>
        <w:rPr>
          <w:rStyle w:val="FootnoteReference"/>
        </w:rPr>
        <w:footnoteRef/>
      </w:r>
      <w:r>
        <w:t xml:space="preserve"> </w:t>
      </w:r>
      <w:r>
        <w:rPr>
          <w:lang w:val="en-CA"/>
        </w:rPr>
        <w:t xml:space="preserve">Ibid., p. 77. </w:t>
      </w:r>
    </w:p>
  </w:footnote>
  <w:footnote w:id="18">
    <w:p w14:paraId="73BF30EE" w14:textId="0BEA77D9" w:rsidR="00D30744" w:rsidRPr="00D30744" w:rsidRDefault="00D30744">
      <w:pPr>
        <w:pStyle w:val="FootnoteText"/>
        <w:rPr>
          <w:lang w:val="en-CA"/>
        </w:rPr>
      </w:pPr>
      <w:r>
        <w:rPr>
          <w:rStyle w:val="FootnoteReference"/>
        </w:rPr>
        <w:footnoteRef/>
      </w:r>
      <w:r>
        <w:t xml:space="preserve"> </w:t>
      </w:r>
      <w:r>
        <w:rPr>
          <w:lang w:val="en-CA"/>
        </w:rPr>
        <w:t>Ibid.</w:t>
      </w:r>
    </w:p>
  </w:footnote>
  <w:footnote w:id="19">
    <w:p w14:paraId="287053FE" w14:textId="20AA544D" w:rsidR="00D30744" w:rsidRPr="00D30744" w:rsidRDefault="00D30744">
      <w:pPr>
        <w:pStyle w:val="FootnoteText"/>
        <w:rPr>
          <w:lang w:val="en-CA"/>
        </w:rPr>
      </w:pPr>
      <w:r>
        <w:rPr>
          <w:rStyle w:val="FootnoteReference"/>
        </w:rPr>
        <w:footnoteRef/>
      </w:r>
      <w:r>
        <w:t xml:space="preserve"> </w:t>
      </w:r>
      <w:r>
        <w:rPr>
          <w:lang w:val="en-CA"/>
        </w:rPr>
        <w:t xml:space="preserve">A. Daniel </w:t>
      </w:r>
      <w:proofErr w:type="spellStart"/>
      <w:r>
        <w:rPr>
          <w:lang w:val="en-CA"/>
        </w:rPr>
        <w:t>Frankforter</w:t>
      </w:r>
      <w:proofErr w:type="spellEnd"/>
      <w:r>
        <w:rPr>
          <w:lang w:val="en-CA"/>
        </w:rPr>
        <w:t xml:space="preserve">, </w:t>
      </w:r>
      <w:r w:rsidRPr="005A6CED">
        <w:rPr>
          <w:i/>
          <w:lang w:val="en-CA"/>
        </w:rPr>
        <w:t>The Medieval Millennium</w:t>
      </w:r>
      <w:r>
        <w:rPr>
          <w:i/>
          <w:lang w:val="en-CA"/>
        </w:rPr>
        <w:t>: A</w:t>
      </w:r>
      <w:r w:rsidRPr="005A6CED">
        <w:rPr>
          <w:i/>
          <w:lang w:val="en-CA"/>
        </w:rPr>
        <w:t>n Introduction</w:t>
      </w:r>
      <w:r w:rsidR="0041350F">
        <w:rPr>
          <w:lang w:val="en-CA"/>
        </w:rPr>
        <w:t xml:space="preserve"> (New Jersey: Upper Saddle River, </w:t>
      </w:r>
      <w:r>
        <w:rPr>
          <w:lang w:val="en-CA"/>
        </w:rPr>
        <w:t>2003), p. 309.</w:t>
      </w:r>
    </w:p>
  </w:footnote>
  <w:footnote w:id="20">
    <w:p w14:paraId="53686B80" w14:textId="1F362100" w:rsidR="00166CBE" w:rsidRPr="00166CBE" w:rsidRDefault="00166CBE">
      <w:pPr>
        <w:pStyle w:val="FootnoteText"/>
        <w:rPr>
          <w:lang w:val="en-CA"/>
        </w:rPr>
      </w:pPr>
      <w:r>
        <w:rPr>
          <w:rStyle w:val="FootnoteReference"/>
        </w:rPr>
        <w:footnoteRef/>
      </w:r>
      <w:r>
        <w:t xml:space="preserve"> </w:t>
      </w:r>
      <w:r>
        <w:rPr>
          <w:lang w:val="en-CA"/>
        </w:rPr>
        <w:t xml:space="preserve">Philip Ziegler, </w:t>
      </w:r>
      <w:r w:rsidRPr="00E51810">
        <w:rPr>
          <w:i/>
          <w:lang w:val="en-CA"/>
        </w:rPr>
        <w:t>The Black Death</w:t>
      </w:r>
      <w:r>
        <w:rPr>
          <w:i/>
          <w:lang w:val="en-CA"/>
        </w:rPr>
        <w:t>, (</w:t>
      </w:r>
      <w:r w:rsidRPr="00E51810">
        <w:rPr>
          <w:lang w:val="en-CA"/>
        </w:rPr>
        <w:t>United Kingdom: Pub</w:t>
      </w:r>
      <w:r>
        <w:rPr>
          <w:lang w:val="en-CA"/>
        </w:rPr>
        <w:t xml:space="preserve">lished by Arrangement with Harper Collins </w:t>
      </w:r>
      <w:r w:rsidRPr="00E51810">
        <w:rPr>
          <w:i/>
          <w:lang w:val="en-CA"/>
        </w:rPr>
        <w:t>Publishers</w:t>
      </w:r>
      <w:r>
        <w:rPr>
          <w:lang w:val="en-CA"/>
        </w:rPr>
        <w:t xml:space="preserve"> Ltd, 1997), p. 63</w:t>
      </w:r>
      <w:r>
        <w:rPr>
          <w:lang w:val="en-CA"/>
        </w:rPr>
        <w:t>.</w:t>
      </w:r>
    </w:p>
  </w:footnote>
  <w:footnote w:id="21">
    <w:p w14:paraId="79DFC8FC" w14:textId="1CB6C611" w:rsidR="00297D4E" w:rsidRPr="00297D4E" w:rsidRDefault="00297D4E">
      <w:pPr>
        <w:pStyle w:val="FootnoteText"/>
        <w:rPr>
          <w:lang w:val="en-CA"/>
        </w:rPr>
      </w:pPr>
      <w:r>
        <w:rPr>
          <w:rStyle w:val="FootnoteReference"/>
        </w:rPr>
        <w:footnoteRef/>
      </w:r>
      <w:r>
        <w:t xml:space="preserve"> </w:t>
      </w:r>
      <w:r w:rsidR="00166CBE">
        <w:rPr>
          <w:lang w:val="en-CA"/>
        </w:rPr>
        <w:t xml:space="preserve">A. Daniel </w:t>
      </w:r>
      <w:proofErr w:type="spellStart"/>
      <w:r w:rsidR="00166CBE">
        <w:rPr>
          <w:lang w:val="en-CA"/>
        </w:rPr>
        <w:t>Frankforter</w:t>
      </w:r>
      <w:proofErr w:type="spellEnd"/>
      <w:r w:rsidR="00166CBE">
        <w:rPr>
          <w:lang w:val="en-CA"/>
        </w:rPr>
        <w:t xml:space="preserve">, </w:t>
      </w:r>
      <w:r w:rsidR="00166CBE" w:rsidRPr="005A6CED">
        <w:rPr>
          <w:i/>
          <w:lang w:val="en-CA"/>
        </w:rPr>
        <w:t>The Medieval Millennium</w:t>
      </w:r>
      <w:r w:rsidR="00166CBE">
        <w:rPr>
          <w:i/>
          <w:lang w:val="en-CA"/>
        </w:rPr>
        <w:t>: A</w:t>
      </w:r>
      <w:r w:rsidR="00166CBE" w:rsidRPr="005A6CED">
        <w:rPr>
          <w:i/>
          <w:lang w:val="en-CA"/>
        </w:rPr>
        <w:t>n Introduction</w:t>
      </w:r>
      <w:r w:rsidR="00166CBE">
        <w:rPr>
          <w:lang w:val="en-CA"/>
        </w:rPr>
        <w:t xml:space="preserve"> (</w:t>
      </w:r>
      <w:r w:rsidR="0041350F">
        <w:rPr>
          <w:lang w:val="en-CA"/>
        </w:rPr>
        <w:t xml:space="preserve">New Jersey: </w:t>
      </w:r>
      <w:r w:rsidR="00166CBE">
        <w:rPr>
          <w:lang w:val="en-CA"/>
        </w:rPr>
        <w:t>Upper Saddle River, 2003), p. 309.</w:t>
      </w:r>
      <w:r>
        <w:rPr>
          <w:lang w:val="en-CA"/>
        </w:rPr>
        <w:t xml:space="preserve"> </w:t>
      </w:r>
    </w:p>
  </w:footnote>
  <w:footnote w:id="22">
    <w:p w14:paraId="58866111" w14:textId="02CE054D" w:rsidR="00297D4E" w:rsidRPr="00297D4E" w:rsidRDefault="00297D4E">
      <w:pPr>
        <w:pStyle w:val="FootnoteText"/>
        <w:rPr>
          <w:lang w:val="en-CA"/>
        </w:rPr>
      </w:pPr>
      <w:r>
        <w:rPr>
          <w:rStyle w:val="FootnoteReference"/>
        </w:rPr>
        <w:footnoteRef/>
      </w:r>
      <w:r>
        <w:t xml:space="preserve"> </w:t>
      </w:r>
      <w:r>
        <w:rPr>
          <w:lang w:val="en-CA"/>
        </w:rPr>
        <w:t xml:space="preserve">Philip Ziegler, </w:t>
      </w:r>
      <w:r w:rsidRPr="00E51810">
        <w:rPr>
          <w:i/>
          <w:lang w:val="en-CA"/>
        </w:rPr>
        <w:t>The Black Death</w:t>
      </w:r>
      <w:r>
        <w:rPr>
          <w:i/>
          <w:lang w:val="en-CA"/>
        </w:rPr>
        <w:t>, (</w:t>
      </w:r>
      <w:r w:rsidRPr="00E51810">
        <w:rPr>
          <w:lang w:val="en-CA"/>
        </w:rPr>
        <w:t>United Kingdom: Pub</w:t>
      </w:r>
      <w:r>
        <w:rPr>
          <w:lang w:val="en-CA"/>
        </w:rPr>
        <w:t xml:space="preserve">lished by Arrangement with Harper Collins </w:t>
      </w:r>
      <w:r w:rsidRPr="00E51810">
        <w:rPr>
          <w:i/>
          <w:lang w:val="en-CA"/>
        </w:rPr>
        <w:t>Publishers</w:t>
      </w:r>
      <w:r>
        <w:rPr>
          <w:lang w:val="en-CA"/>
        </w:rPr>
        <w:t xml:space="preserve"> Ltd, 1997), p. 71.</w:t>
      </w:r>
    </w:p>
  </w:footnote>
  <w:footnote w:id="23">
    <w:p w14:paraId="6B35C043" w14:textId="1ACE3A87" w:rsidR="00297D4E" w:rsidRPr="00297D4E" w:rsidRDefault="00297D4E">
      <w:pPr>
        <w:pStyle w:val="FootnoteText"/>
        <w:rPr>
          <w:lang w:val="en-CA"/>
        </w:rPr>
      </w:pPr>
      <w:r>
        <w:rPr>
          <w:rStyle w:val="FootnoteReference"/>
        </w:rPr>
        <w:footnoteRef/>
      </w:r>
      <w:r>
        <w:t xml:space="preserve"> Ibid. </w:t>
      </w:r>
    </w:p>
  </w:footnote>
  <w:footnote w:id="24">
    <w:p w14:paraId="35831031" w14:textId="3DC48F16" w:rsidR="00297D4E" w:rsidRPr="00297D4E" w:rsidRDefault="00297D4E">
      <w:pPr>
        <w:pStyle w:val="FootnoteText"/>
        <w:rPr>
          <w:lang w:val="en-CA"/>
        </w:rPr>
      </w:pPr>
      <w:r>
        <w:rPr>
          <w:rStyle w:val="FootnoteReference"/>
        </w:rPr>
        <w:footnoteRef/>
      </w:r>
      <w:r>
        <w:t xml:space="preserve"> </w:t>
      </w:r>
      <w:r>
        <w:rPr>
          <w:lang w:val="en-CA"/>
        </w:rPr>
        <w:t xml:space="preserve">William A. </w:t>
      </w:r>
      <w:proofErr w:type="spellStart"/>
      <w:r>
        <w:rPr>
          <w:lang w:val="en-CA"/>
        </w:rPr>
        <w:t>Pelz</w:t>
      </w:r>
      <w:proofErr w:type="spellEnd"/>
      <w:r>
        <w:rPr>
          <w:lang w:val="en-CA"/>
        </w:rPr>
        <w:t xml:space="preserve">, ‘The King’s in His Castle… All’s Right with the World: The Collapse of the Middle Ages’, </w:t>
      </w:r>
      <w:r w:rsidRPr="003361AD">
        <w:rPr>
          <w:i/>
          <w:lang w:val="en-CA"/>
        </w:rPr>
        <w:t>A People’s History of Modern Europe</w:t>
      </w:r>
      <w:r>
        <w:rPr>
          <w:lang w:val="en-CA"/>
        </w:rPr>
        <w:t xml:space="preserve">, (2016), 1-17 (p. 11).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37C"/>
    <w:rsid w:val="0004472A"/>
    <w:rsid w:val="00085803"/>
    <w:rsid w:val="00087EDF"/>
    <w:rsid w:val="00093DA1"/>
    <w:rsid w:val="000B622C"/>
    <w:rsid w:val="000E1146"/>
    <w:rsid w:val="00100E30"/>
    <w:rsid w:val="00125B89"/>
    <w:rsid w:val="00166CBE"/>
    <w:rsid w:val="00181726"/>
    <w:rsid w:val="00190C3E"/>
    <w:rsid w:val="001D1734"/>
    <w:rsid w:val="001F63D3"/>
    <w:rsid w:val="00226988"/>
    <w:rsid w:val="0025342E"/>
    <w:rsid w:val="0027313A"/>
    <w:rsid w:val="00297579"/>
    <w:rsid w:val="00297D4E"/>
    <w:rsid w:val="002E5B99"/>
    <w:rsid w:val="00323E30"/>
    <w:rsid w:val="003361AD"/>
    <w:rsid w:val="003528F5"/>
    <w:rsid w:val="00354FF3"/>
    <w:rsid w:val="003F2A0E"/>
    <w:rsid w:val="0041350F"/>
    <w:rsid w:val="00452E64"/>
    <w:rsid w:val="004538C0"/>
    <w:rsid w:val="0046282C"/>
    <w:rsid w:val="004C0AD7"/>
    <w:rsid w:val="004F2181"/>
    <w:rsid w:val="00515BD0"/>
    <w:rsid w:val="00552D55"/>
    <w:rsid w:val="005A6CED"/>
    <w:rsid w:val="005B5BD8"/>
    <w:rsid w:val="005E43AA"/>
    <w:rsid w:val="006246F2"/>
    <w:rsid w:val="006418F9"/>
    <w:rsid w:val="00667FD7"/>
    <w:rsid w:val="006C2C9E"/>
    <w:rsid w:val="00714AB8"/>
    <w:rsid w:val="007824EC"/>
    <w:rsid w:val="007A795F"/>
    <w:rsid w:val="007B44D8"/>
    <w:rsid w:val="00807904"/>
    <w:rsid w:val="00811417"/>
    <w:rsid w:val="00870370"/>
    <w:rsid w:val="00874328"/>
    <w:rsid w:val="0087780F"/>
    <w:rsid w:val="008A7EE6"/>
    <w:rsid w:val="008F71AE"/>
    <w:rsid w:val="0095734C"/>
    <w:rsid w:val="0097378A"/>
    <w:rsid w:val="0098763A"/>
    <w:rsid w:val="009B139A"/>
    <w:rsid w:val="009D5AA8"/>
    <w:rsid w:val="009F48B5"/>
    <w:rsid w:val="00A032BC"/>
    <w:rsid w:val="00A30479"/>
    <w:rsid w:val="00A44BD7"/>
    <w:rsid w:val="00AC312A"/>
    <w:rsid w:val="00AF5B1B"/>
    <w:rsid w:val="00B0578E"/>
    <w:rsid w:val="00B82338"/>
    <w:rsid w:val="00B92182"/>
    <w:rsid w:val="00B955B9"/>
    <w:rsid w:val="00BA353F"/>
    <w:rsid w:val="00BC122A"/>
    <w:rsid w:val="00BF1B1C"/>
    <w:rsid w:val="00C2737C"/>
    <w:rsid w:val="00C7162E"/>
    <w:rsid w:val="00CF71CB"/>
    <w:rsid w:val="00D25FB3"/>
    <w:rsid w:val="00D25FD8"/>
    <w:rsid w:val="00D30744"/>
    <w:rsid w:val="00D346A5"/>
    <w:rsid w:val="00DB1B1F"/>
    <w:rsid w:val="00E51810"/>
    <w:rsid w:val="00E52E86"/>
    <w:rsid w:val="00E73B8F"/>
    <w:rsid w:val="00EB1663"/>
    <w:rsid w:val="00EB3B65"/>
    <w:rsid w:val="00F15F1B"/>
    <w:rsid w:val="00F50CA4"/>
    <w:rsid w:val="00F915A1"/>
    <w:rsid w:val="00F947D6"/>
    <w:rsid w:val="00FA793B"/>
    <w:rsid w:val="00FF49E3"/>
    <w:rsid w:val="00FF7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B80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A6CED"/>
  </w:style>
  <w:style w:type="character" w:customStyle="1" w:styleId="FootnoteTextChar">
    <w:name w:val="Footnote Text Char"/>
    <w:basedOn w:val="DefaultParagraphFont"/>
    <w:link w:val="FootnoteText"/>
    <w:uiPriority w:val="99"/>
    <w:rsid w:val="005A6CED"/>
  </w:style>
  <w:style w:type="character" w:styleId="FootnoteReference">
    <w:name w:val="footnote reference"/>
    <w:basedOn w:val="DefaultParagraphFont"/>
    <w:uiPriority w:val="99"/>
    <w:unhideWhenUsed/>
    <w:rsid w:val="005A6CED"/>
    <w:rPr>
      <w:vertAlign w:val="superscript"/>
    </w:rPr>
  </w:style>
  <w:style w:type="paragraph" w:customStyle="1" w:styleId="Default">
    <w:name w:val="Default"/>
    <w:rsid w:val="00E51810"/>
    <w:pPr>
      <w:widowControl w:val="0"/>
      <w:autoSpaceDE w:val="0"/>
      <w:autoSpaceDN w:val="0"/>
      <w:adjustRightInd w:val="0"/>
    </w:pPr>
    <w:rPr>
      <w:rFonts w:ascii="Code" w:hAnsi="Code" w:cs="Code"/>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EC4BBA7-38DC-614D-86F7-322AB3C83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1181</Words>
  <Characters>6734</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2</cp:revision>
  <dcterms:created xsi:type="dcterms:W3CDTF">2017-10-27T13:47:00Z</dcterms:created>
  <dcterms:modified xsi:type="dcterms:W3CDTF">2017-10-27T13:47:00Z</dcterms:modified>
</cp:coreProperties>
</file>