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94DFA6" w14:textId="13C794D7" w:rsidR="007A20B2" w:rsidRDefault="007A20B2">
      <w:pPr>
        <w:rPr>
          <w:sz w:val="28"/>
          <w:szCs w:val="28"/>
        </w:rPr>
      </w:pPr>
      <w:r>
        <w:rPr>
          <w:sz w:val="28"/>
          <w:szCs w:val="28"/>
        </w:rPr>
        <w:t>Problem 2</w:t>
      </w:r>
    </w:p>
    <w:p w14:paraId="00E5DA2C" w14:textId="65EFF4F2" w:rsidR="00387984" w:rsidRPr="007A20B2" w:rsidRDefault="002067A4">
      <w:pPr>
        <w:rPr>
          <w:sz w:val="28"/>
          <w:szCs w:val="28"/>
        </w:rPr>
      </w:pPr>
      <w:r w:rsidRPr="007A20B2">
        <w:rPr>
          <w:sz w:val="28"/>
          <w:szCs w:val="28"/>
        </w:rPr>
        <w:t>You have been consulted by B</w:t>
      </w:r>
      <w:r w:rsidR="00387984" w:rsidRPr="007A20B2">
        <w:rPr>
          <w:sz w:val="28"/>
          <w:szCs w:val="28"/>
        </w:rPr>
        <w:t>elinda</w:t>
      </w:r>
      <w:r w:rsidRPr="007A20B2">
        <w:rPr>
          <w:sz w:val="28"/>
          <w:szCs w:val="28"/>
        </w:rPr>
        <w:t>, who is the executrix and trustee of I</w:t>
      </w:r>
      <w:r w:rsidR="00387984" w:rsidRPr="007A20B2">
        <w:rPr>
          <w:sz w:val="28"/>
          <w:szCs w:val="28"/>
        </w:rPr>
        <w:t>vor</w:t>
      </w:r>
      <w:r w:rsidRPr="007A20B2">
        <w:rPr>
          <w:sz w:val="28"/>
          <w:szCs w:val="28"/>
        </w:rPr>
        <w:t>’s Will. B</w:t>
      </w:r>
      <w:r w:rsidR="00387984" w:rsidRPr="007A20B2">
        <w:rPr>
          <w:sz w:val="28"/>
          <w:szCs w:val="28"/>
        </w:rPr>
        <w:t>elinda</w:t>
      </w:r>
      <w:r w:rsidRPr="007A20B2">
        <w:rPr>
          <w:sz w:val="28"/>
          <w:szCs w:val="28"/>
        </w:rPr>
        <w:t xml:space="preserve"> asks your advice as to whether the following clauses in I</w:t>
      </w:r>
      <w:r w:rsidR="00387984" w:rsidRPr="007A20B2">
        <w:rPr>
          <w:sz w:val="28"/>
          <w:szCs w:val="28"/>
        </w:rPr>
        <w:t>vor</w:t>
      </w:r>
      <w:r w:rsidRPr="007A20B2">
        <w:rPr>
          <w:sz w:val="28"/>
          <w:szCs w:val="28"/>
        </w:rPr>
        <w:t xml:space="preserve">’s Will are effective: </w:t>
      </w:r>
    </w:p>
    <w:p w14:paraId="45636E1A" w14:textId="77777777" w:rsidR="00387984" w:rsidRPr="007A20B2" w:rsidRDefault="002067A4">
      <w:pPr>
        <w:rPr>
          <w:sz w:val="28"/>
          <w:szCs w:val="28"/>
        </w:rPr>
      </w:pPr>
      <w:r w:rsidRPr="007A20B2">
        <w:rPr>
          <w:sz w:val="28"/>
          <w:szCs w:val="28"/>
        </w:rPr>
        <w:t xml:space="preserve">(a) ‘I give my shares in </w:t>
      </w:r>
      <w:proofErr w:type="spellStart"/>
      <w:r w:rsidRPr="007A20B2">
        <w:rPr>
          <w:sz w:val="28"/>
          <w:szCs w:val="28"/>
        </w:rPr>
        <w:t>Kempstons</w:t>
      </w:r>
      <w:proofErr w:type="spellEnd"/>
      <w:r w:rsidRPr="007A20B2">
        <w:rPr>
          <w:sz w:val="28"/>
          <w:szCs w:val="28"/>
        </w:rPr>
        <w:t xml:space="preserve"> plc to my trustee on trust to hold the bulk of them for my sister, Na</w:t>
      </w:r>
      <w:r w:rsidR="00387984" w:rsidRPr="007A20B2">
        <w:rPr>
          <w:sz w:val="28"/>
          <w:szCs w:val="28"/>
        </w:rPr>
        <w:t>talie</w:t>
      </w:r>
      <w:r w:rsidRPr="007A20B2">
        <w:rPr>
          <w:sz w:val="28"/>
          <w:szCs w:val="28"/>
        </w:rPr>
        <w:t xml:space="preserve">; the remainder are to go to such of her children and in such shares as my trustee thinks fit’; </w:t>
      </w:r>
    </w:p>
    <w:p w14:paraId="4FCD8410" w14:textId="77777777" w:rsidR="00387984" w:rsidRPr="007A20B2" w:rsidRDefault="002067A4">
      <w:pPr>
        <w:rPr>
          <w:sz w:val="28"/>
          <w:szCs w:val="28"/>
        </w:rPr>
      </w:pPr>
      <w:r w:rsidRPr="007A20B2">
        <w:rPr>
          <w:sz w:val="28"/>
          <w:szCs w:val="28"/>
        </w:rPr>
        <w:t>(b) ‘I give my bronze statue of a dancer to my daughter, A</w:t>
      </w:r>
      <w:r w:rsidR="00387984" w:rsidRPr="007A20B2">
        <w:rPr>
          <w:sz w:val="28"/>
          <w:szCs w:val="28"/>
        </w:rPr>
        <w:t>my</w:t>
      </w:r>
      <w:r w:rsidRPr="007A20B2">
        <w:rPr>
          <w:sz w:val="28"/>
          <w:szCs w:val="28"/>
        </w:rPr>
        <w:t>, fully expecting that she will pass it on to my grand-daughter, U</w:t>
      </w:r>
      <w:r w:rsidR="00387984" w:rsidRPr="007A20B2">
        <w:rPr>
          <w:sz w:val="28"/>
          <w:szCs w:val="28"/>
        </w:rPr>
        <w:t>na</w:t>
      </w:r>
      <w:r w:rsidRPr="007A20B2">
        <w:rPr>
          <w:sz w:val="28"/>
          <w:szCs w:val="28"/>
        </w:rPr>
        <w:t xml:space="preserve">, when the time comes’; </w:t>
      </w:r>
    </w:p>
    <w:p w14:paraId="1438E40E" w14:textId="77777777" w:rsidR="00387984" w:rsidRPr="007A20B2" w:rsidRDefault="002067A4">
      <w:pPr>
        <w:rPr>
          <w:sz w:val="28"/>
          <w:szCs w:val="28"/>
        </w:rPr>
      </w:pPr>
      <w:r w:rsidRPr="007A20B2">
        <w:rPr>
          <w:sz w:val="28"/>
          <w:szCs w:val="28"/>
        </w:rPr>
        <w:t xml:space="preserve">(c) ‘I give my collection of vintage motorcycles to my trustee to allow any member of the Kempston Motorcycle Club living at my death to choose not more than one in remembrance of me; any remaining are to go to my said nephews and nieces’. </w:t>
      </w:r>
    </w:p>
    <w:p w14:paraId="679E4C57" w14:textId="77777777" w:rsidR="007A20B2" w:rsidRPr="007A20B2" w:rsidRDefault="002067A4">
      <w:pPr>
        <w:rPr>
          <w:sz w:val="28"/>
          <w:szCs w:val="28"/>
        </w:rPr>
      </w:pPr>
      <w:r w:rsidRPr="007A20B2">
        <w:rPr>
          <w:sz w:val="28"/>
          <w:szCs w:val="28"/>
        </w:rPr>
        <w:t>Na</w:t>
      </w:r>
      <w:r w:rsidR="00387984" w:rsidRPr="007A20B2">
        <w:rPr>
          <w:sz w:val="28"/>
          <w:szCs w:val="28"/>
        </w:rPr>
        <w:t xml:space="preserve">talie </w:t>
      </w:r>
      <w:r w:rsidRPr="007A20B2">
        <w:rPr>
          <w:sz w:val="28"/>
          <w:szCs w:val="28"/>
        </w:rPr>
        <w:t>has three children: M</w:t>
      </w:r>
      <w:r w:rsidR="007A20B2" w:rsidRPr="007A20B2">
        <w:rPr>
          <w:sz w:val="28"/>
          <w:szCs w:val="28"/>
        </w:rPr>
        <w:t>illie</w:t>
      </w:r>
      <w:r w:rsidRPr="007A20B2">
        <w:rPr>
          <w:sz w:val="28"/>
          <w:szCs w:val="28"/>
        </w:rPr>
        <w:t>, R</w:t>
      </w:r>
      <w:r w:rsidR="007A20B2" w:rsidRPr="007A20B2">
        <w:rPr>
          <w:sz w:val="28"/>
          <w:szCs w:val="28"/>
        </w:rPr>
        <w:t>obert</w:t>
      </w:r>
      <w:r w:rsidRPr="007A20B2">
        <w:rPr>
          <w:sz w:val="28"/>
          <w:szCs w:val="28"/>
        </w:rPr>
        <w:t xml:space="preserve"> and Sa</w:t>
      </w:r>
      <w:r w:rsidR="007A20B2" w:rsidRPr="007A20B2">
        <w:rPr>
          <w:sz w:val="28"/>
          <w:szCs w:val="28"/>
        </w:rPr>
        <w:t>rah</w:t>
      </w:r>
      <w:r w:rsidRPr="007A20B2">
        <w:rPr>
          <w:sz w:val="28"/>
          <w:szCs w:val="28"/>
        </w:rPr>
        <w:t>. A</w:t>
      </w:r>
      <w:r w:rsidR="007A20B2" w:rsidRPr="007A20B2">
        <w:rPr>
          <w:sz w:val="28"/>
          <w:szCs w:val="28"/>
        </w:rPr>
        <w:t>my</w:t>
      </w:r>
      <w:r w:rsidRPr="007A20B2">
        <w:rPr>
          <w:sz w:val="28"/>
          <w:szCs w:val="28"/>
        </w:rPr>
        <w:t xml:space="preserve"> and U</w:t>
      </w:r>
      <w:r w:rsidR="007A20B2" w:rsidRPr="007A20B2">
        <w:rPr>
          <w:sz w:val="28"/>
          <w:szCs w:val="28"/>
        </w:rPr>
        <w:t>na</w:t>
      </w:r>
      <w:r w:rsidRPr="007A20B2">
        <w:rPr>
          <w:sz w:val="28"/>
          <w:szCs w:val="28"/>
        </w:rPr>
        <w:t xml:space="preserve"> are both alive. Advise B</w:t>
      </w:r>
      <w:r w:rsidR="007A20B2" w:rsidRPr="007A20B2">
        <w:rPr>
          <w:sz w:val="28"/>
          <w:szCs w:val="28"/>
        </w:rPr>
        <w:t>elinda</w:t>
      </w:r>
      <w:r w:rsidRPr="007A20B2">
        <w:rPr>
          <w:sz w:val="28"/>
          <w:szCs w:val="28"/>
        </w:rPr>
        <w:t xml:space="preserve"> as to the validity and/or effect of each of these clauses. </w:t>
      </w:r>
    </w:p>
    <w:p w14:paraId="276972AF" w14:textId="5CF617FA" w:rsidR="009257EB" w:rsidRDefault="002067A4">
      <w:pPr>
        <w:rPr>
          <w:b/>
          <w:bCs/>
          <w:sz w:val="28"/>
          <w:szCs w:val="28"/>
        </w:rPr>
      </w:pPr>
      <w:r w:rsidRPr="007A20B2">
        <w:rPr>
          <w:b/>
          <w:bCs/>
          <w:sz w:val="28"/>
          <w:szCs w:val="28"/>
        </w:rPr>
        <w:t>[NOTE: Do not discuss legacy (c) as if it were a gift to the Club itself.]</w:t>
      </w:r>
    </w:p>
    <w:p w14:paraId="6802B70C" w14:textId="4B353069" w:rsidR="0055780D" w:rsidRDefault="0055780D">
      <w:pPr>
        <w:rPr>
          <w:b/>
          <w:bCs/>
          <w:sz w:val="28"/>
          <w:szCs w:val="28"/>
        </w:rPr>
      </w:pPr>
    </w:p>
    <w:p w14:paraId="64F0E600" w14:textId="77777777" w:rsidR="0055780D" w:rsidRPr="001E34CD" w:rsidRDefault="0055780D">
      <w:pPr>
        <w:rPr>
          <w:sz w:val="28"/>
          <w:szCs w:val="28"/>
        </w:rPr>
      </w:pPr>
      <w:r w:rsidRPr="001E34CD">
        <w:rPr>
          <w:sz w:val="28"/>
          <w:szCs w:val="28"/>
        </w:rPr>
        <w:t xml:space="preserve">Legacy </w:t>
      </w:r>
    </w:p>
    <w:p w14:paraId="54A06BCC" w14:textId="2954622E" w:rsidR="00E644A9" w:rsidRPr="001E34CD" w:rsidRDefault="0055780D" w:rsidP="00E644A9">
      <w:pPr>
        <w:pStyle w:val="ListParagraph"/>
        <w:numPr>
          <w:ilvl w:val="0"/>
          <w:numId w:val="1"/>
        </w:numPr>
        <w:rPr>
          <w:sz w:val="28"/>
          <w:szCs w:val="28"/>
        </w:rPr>
      </w:pPr>
      <w:r w:rsidRPr="001E34CD">
        <w:rPr>
          <w:sz w:val="28"/>
          <w:szCs w:val="28"/>
        </w:rPr>
        <w:t xml:space="preserve">This legacy is an attempt to create a trust of the </w:t>
      </w:r>
      <w:proofErr w:type="spellStart"/>
      <w:r w:rsidRPr="001E34CD">
        <w:rPr>
          <w:sz w:val="28"/>
          <w:szCs w:val="28"/>
        </w:rPr>
        <w:t>Kempstons</w:t>
      </w:r>
      <w:proofErr w:type="spellEnd"/>
      <w:r w:rsidRPr="001E34CD">
        <w:rPr>
          <w:sz w:val="28"/>
          <w:szCs w:val="28"/>
        </w:rPr>
        <w:t xml:space="preserve"> plc shares (in separate proportions) in favour of Na</w:t>
      </w:r>
      <w:r w:rsidRPr="001E34CD">
        <w:rPr>
          <w:sz w:val="28"/>
          <w:szCs w:val="28"/>
        </w:rPr>
        <w:t>talie</w:t>
      </w:r>
      <w:r w:rsidRPr="001E34CD">
        <w:rPr>
          <w:sz w:val="28"/>
          <w:szCs w:val="28"/>
        </w:rPr>
        <w:t xml:space="preserve"> on the one hand and her children on the other. The trust in favour of I</w:t>
      </w:r>
      <w:r w:rsidRPr="001E34CD">
        <w:rPr>
          <w:sz w:val="28"/>
          <w:szCs w:val="28"/>
        </w:rPr>
        <w:t>vor</w:t>
      </w:r>
      <w:r w:rsidRPr="001E34CD">
        <w:rPr>
          <w:sz w:val="28"/>
          <w:szCs w:val="28"/>
        </w:rPr>
        <w:t>’s nieces and nephews appears to be a discretionary trust. However, in order for any trust to be valid, there must be certainty of intention, certainty of subject matter and certainty of objects (Knight v Knight (1840)). In the present case, I</w:t>
      </w:r>
      <w:r w:rsidRPr="001E34CD">
        <w:rPr>
          <w:sz w:val="28"/>
          <w:szCs w:val="28"/>
        </w:rPr>
        <w:t>vor</w:t>
      </w:r>
      <w:r w:rsidRPr="001E34CD">
        <w:rPr>
          <w:sz w:val="28"/>
          <w:szCs w:val="28"/>
        </w:rPr>
        <w:t xml:space="preserve"> clearly intended to create a trust and the objects (</w:t>
      </w:r>
      <w:proofErr w:type="spellStart"/>
      <w:r w:rsidRPr="001E34CD">
        <w:rPr>
          <w:sz w:val="28"/>
          <w:szCs w:val="28"/>
        </w:rPr>
        <w:t>ie</w:t>
      </w:r>
      <w:proofErr w:type="spellEnd"/>
      <w:r w:rsidRPr="001E34CD">
        <w:rPr>
          <w:sz w:val="28"/>
          <w:szCs w:val="28"/>
        </w:rPr>
        <w:t xml:space="preserve"> the intended beneficiaries) are also certain. However, there is a problem with subject matter. For present purposes, even if we assume that the number of shares in </w:t>
      </w:r>
      <w:proofErr w:type="spellStart"/>
      <w:r w:rsidRPr="001E34CD">
        <w:rPr>
          <w:sz w:val="28"/>
          <w:szCs w:val="28"/>
        </w:rPr>
        <w:t>Kempstons</w:t>
      </w:r>
      <w:proofErr w:type="spellEnd"/>
      <w:r w:rsidRPr="001E34CD">
        <w:rPr>
          <w:sz w:val="28"/>
          <w:szCs w:val="28"/>
        </w:rPr>
        <w:t xml:space="preserve"> plc which were owned by I</w:t>
      </w:r>
      <w:r w:rsidRPr="001E34CD">
        <w:rPr>
          <w:sz w:val="28"/>
          <w:szCs w:val="28"/>
        </w:rPr>
        <w:t>vor</w:t>
      </w:r>
      <w:r w:rsidRPr="001E34CD">
        <w:rPr>
          <w:sz w:val="28"/>
          <w:szCs w:val="28"/>
        </w:rPr>
        <w:t xml:space="preserve"> at the date of his death is known or can be ascertained (about which there should really be little doubt), there is clear uncertainty as to the proportions into which those shares should be divided in order to reflect the separate interests of Na</w:t>
      </w:r>
      <w:r w:rsidRPr="001E34CD">
        <w:rPr>
          <w:sz w:val="28"/>
          <w:szCs w:val="28"/>
        </w:rPr>
        <w:t>talie</w:t>
      </w:r>
      <w:r w:rsidRPr="001E34CD">
        <w:rPr>
          <w:sz w:val="28"/>
          <w:szCs w:val="28"/>
        </w:rPr>
        <w:t xml:space="preserve"> on the one hand and her children on the other. The word ‘bulk’ is too uncertain (Palmer v Simmonds (1854)) for the trustee to know into what proportions the shares must be divided. This </w:t>
      </w:r>
      <w:r w:rsidRPr="001E34CD">
        <w:rPr>
          <w:sz w:val="28"/>
          <w:szCs w:val="28"/>
        </w:rPr>
        <w:lastRenderedPageBreak/>
        <w:t xml:space="preserve">uncertainty means that the discretionary element of the trust in favour of the nephews and nieces becomes irrelevant, because it is not possible to know the size of the trust fund. This legacy therefore fails for uncertainty. </w:t>
      </w:r>
    </w:p>
    <w:p w14:paraId="2EF8EC3A" w14:textId="77777777" w:rsidR="00E644A9" w:rsidRPr="001E34CD" w:rsidRDefault="00E644A9" w:rsidP="00E644A9">
      <w:pPr>
        <w:pStyle w:val="ListParagraph"/>
        <w:rPr>
          <w:sz w:val="28"/>
          <w:szCs w:val="28"/>
        </w:rPr>
      </w:pPr>
    </w:p>
    <w:p w14:paraId="5DB6BDA4" w14:textId="4696210F" w:rsidR="00E644A9" w:rsidRPr="001E34CD" w:rsidRDefault="0055780D" w:rsidP="00E644A9">
      <w:pPr>
        <w:pStyle w:val="ListParagraph"/>
        <w:rPr>
          <w:sz w:val="28"/>
          <w:szCs w:val="28"/>
        </w:rPr>
      </w:pPr>
      <w:r w:rsidRPr="001E34CD">
        <w:rPr>
          <w:sz w:val="28"/>
          <w:szCs w:val="28"/>
        </w:rPr>
        <w:t xml:space="preserve">Legacy (b) </w:t>
      </w:r>
    </w:p>
    <w:p w14:paraId="087F062F" w14:textId="77777777" w:rsidR="00E644A9" w:rsidRPr="001E34CD" w:rsidRDefault="00E644A9" w:rsidP="00E644A9">
      <w:pPr>
        <w:pStyle w:val="ListParagraph"/>
        <w:rPr>
          <w:sz w:val="28"/>
          <w:szCs w:val="28"/>
        </w:rPr>
      </w:pPr>
    </w:p>
    <w:p w14:paraId="506C0ED3" w14:textId="77777777" w:rsidR="00E644A9" w:rsidRPr="001E34CD" w:rsidRDefault="0055780D" w:rsidP="00E644A9">
      <w:pPr>
        <w:pStyle w:val="ListParagraph"/>
        <w:rPr>
          <w:sz w:val="28"/>
          <w:szCs w:val="28"/>
        </w:rPr>
      </w:pPr>
      <w:r w:rsidRPr="001E34CD">
        <w:rPr>
          <w:sz w:val="28"/>
          <w:szCs w:val="28"/>
        </w:rPr>
        <w:t xml:space="preserve">The legacy in relation to the bronze sculpture also raises an issue in relation to uncertainty, this time in relation to the intention to create a trust. If this were a trust, then the required certainties as to subject matter and object are clearly satisfied, but it not clear whether this is actually a trust at all. The words “fully expecting that she will pass it on to my grand-daughter when the time comes” are words of expectation rather than instruction, </w:t>
      </w:r>
      <w:proofErr w:type="spellStart"/>
      <w:r w:rsidRPr="001E34CD">
        <w:rPr>
          <w:sz w:val="28"/>
          <w:szCs w:val="28"/>
        </w:rPr>
        <w:t>ie</w:t>
      </w:r>
      <w:proofErr w:type="spellEnd"/>
      <w:r w:rsidRPr="001E34CD">
        <w:rPr>
          <w:sz w:val="28"/>
          <w:szCs w:val="28"/>
        </w:rPr>
        <w:t xml:space="preserve"> they are ‘precatory’ rather than ‘imperative’. At one time precatory words were treated benevolently by the courts as imposing a trust, but the modern approach is to consider the legacy as a whole in order to determine its true meaning and effect (Lamb v Eames (1871)). The question here is whether </w:t>
      </w:r>
      <w:r w:rsidR="00E644A9" w:rsidRPr="001E34CD">
        <w:rPr>
          <w:sz w:val="28"/>
          <w:szCs w:val="28"/>
        </w:rPr>
        <w:t>Amy</w:t>
      </w:r>
      <w:r w:rsidRPr="001E34CD">
        <w:rPr>
          <w:sz w:val="28"/>
          <w:szCs w:val="28"/>
        </w:rPr>
        <w:t xml:space="preserve"> is under a binding obligation to hold the sculpture for U</w:t>
      </w:r>
      <w:r w:rsidR="00E644A9" w:rsidRPr="001E34CD">
        <w:rPr>
          <w:sz w:val="28"/>
          <w:szCs w:val="28"/>
        </w:rPr>
        <w:t>na</w:t>
      </w:r>
      <w:r w:rsidRPr="001E34CD">
        <w:rPr>
          <w:sz w:val="28"/>
          <w:szCs w:val="28"/>
        </w:rPr>
        <w:t xml:space="preserve">, or whether it is an absolute gift to </w:t>
      </w:r>
      <w:r w:rsidR="00E644A9" w:rsidRPr="001E34CD">
        <w:rPr>
          <w:sz w:val="28"/>
          <w:szCs w:val="28"/>
        </w:rPr>
        <w:t>Amy</w:t>
      </w:r>
      <w:r w:rsidRPr="001E34CD">
        <w:rPr>
          <w:sz w:val="28"/>
          <w:szCs w:val="28"/>
        </w:rPr>
        <w:t xml:space="preserve"> with only (at most) a moral obligation to comply with I</w:t>
      </w:r>
      <w:r w:rsidR="00E644A9" w:rsidRPr="001E34CD">
        <w:rPr>
          <w:sz w:val="28"/>
          <w:szCs w:val="28"/>
        </w:rPr>
        <w:t>vor</w:t>
      </w:r>
      <w:r w:rsidRPr="001E34CD">
        <w:rPr>
          <w:sz w:val="28"/>
          <w:szCs w:val="28"/>
        </w:rPr>
        <w:t>’s apparent wish that the sculpture should be given to U</w:t>
      </w:r>
      <w:r w:rsidR="00E644A9" w:rsidRPr="001E34CD">
        <w:rPr>
          <w:sz w:val="28"/>
          <w:szCs w:val="28"/>
        </w:rPr>
        <w:t xml:space="preserve">na </w:t>
      </w:r>
      <w:r w:rsidRPr="001E34CD">
        <w:rPr>
          <w:sz w:val="28"/>
          <w:szCs w:val="28"/>
        </w:rPr>
        <w:t xml:space="preserve">at some point. Given that clear words of intention to create a trust were used in relation to legacy (a), it would be legitimate to conclude that the use of less imperative words in relation to legacy (b) was intended to impose a less stringent obligation on </w:t>
      </w:r>
      <w:r w:rsidR="00E644A9" w:rsidRPr="001E34CD">
        <w:rPr>
          <w:sz w:val="28"/>
          <w:szCs w:val="28"/>
        </w:rPr>
        <w:t>Amy</w:t>
      </w:r>
      <w:r w:rsidRPr="001E34CD">
        <w:rPr>
          <w:sz w:val="28"/>
          <w:szCs w:val="28"/>
        </w:rPr>
        <w:t>.</w:t>
      </w:r>
    </w:p>
    <w:p w14:paraId="7466455C" w14:textId="77777777" w:rsidR="00E644A9" w:rsidRPr="001E34CD" w:rsidRDefault="0055780D" w:rsidP="00E644A9">
      <w:pPr>
        <w:pStyle w:val="ListParagraph"/>
        <w:rPr>
          <w:sz w:val="28"/>
          <w:szCs w:val="28"/>
        </w:rPr>
      </w:pPr>
      <w:r w:rsidRPr="001E34CD">
        <w:rPr>
          <w:sz w:val="28"/>
          <w:szCs w:val="28"/>
        </w:rPr>
        <w:t xml:space="preserve"> </w:t>
      </w:r>
    </w:p>
    <w:p w14:paraId="4E0CDCA2" w14:textId="77777777" w:rsidR="00E644A9" w:rsidRPr="001E34CD" w:rsidRDefault="0055780D" w:rsidP="00E644A9">
      <w:pPr>
        <w:pStyle w:val="ListParagraph"/>
        <w:rPr>
          <w:sz w:val="28"/>
          <w:szCs w:val="28"/>
        </w:rPr>
      </w:pPr>
      <w:r w:rsidRPr="001E34CD">
        <w:rPr>
          <w:sz w:val="28"/>
          <w:szCs w:val="28"/>
        </w:rPr>
        <w:t xml:space="preserve">Legacy (c) </w:t>
      </w:r>
    </w:p>
    <w:p w14:paraId="528EF8F2" w14:textId="4C6A50E1" w:rsidR="0055780D" w:rsidRPr="001E34CD" w:rsidRDefault="0055780D" w:rsidP="00E644A9">
      <w:pPr>
        <w:pStyle w:val="ListParagraph"/>
        <w:rPr>
          <w:b/>
          <w:bCs/>
          <w:sz w:val="28"/>
          <w:szCs w:val="28"/>
        </w:rPr>
      </w:pPr>
      <w:r w:rsidRPr="001E34CD">
        <w:rPr>
          <w:sz w:val="28"/>
          <w:szCs w:val="28"/>
        </w:rPr>
        <w:t>Certainty of intention is not an issue in relation to this legacy. As to certainty of subject matter, I</w:t>
      </w:r>
      <w:r w:rsidR="00E644A9" w:rsidRPr="001E34CD">
        <w:rPr>
          <w:sz w:val="28"/>
          <w:szCs w:val="28"/>
        </w:rPr>
        <w:t>vor</w:t>
      </w:r>
      <w:r w:rsidRPr="001E34CD">
        <w:rPr>
          <w:sz w:val="28"/>
          <w:szCs w:val="28"/>
        </w:rPr>
        <w:t xml:space="preserve"> does not state the number of motorcycles in his collection, nor does he identify them by manufacturer or model, so it is not apparent from the face of the will which motorcycles are to be held on trust by B</w:t>
      </w:r>
      <w:r w:rsidR="00E644A9" w:rsidRPr="001E34CD">
        <w:rPr>
          <w:sz w:val="28"/>
          <w:szCs w:val="28"/>
        </w:rPr>
        <w:t>elinda</w:t>
      </w:r>
      <w:r w:rsidRPr="001E34CD">
        <w:rPr>
          <w:sz w:val="28"/>
          <w:szCs w:val="28"/>
        </w:rPr>
        <w:t>. However, provided that it is possible to establish by extrinsic evidence what I</w:t>
      </w:r>
      <w:r w:rsidR="00E644A9" w:rsidRPr="001E34CD">
        <w:rPr>
          <w:sz w:val="28"/>
          <w:szCs w:val="28"/>
        </w:rPr>
        <w:t xml:space="preserve">vor </w:t>
      </w:r>
      <w:r w:rsidRPr="001E34CD">
        <w:rPr>
          <w:sz w:val="28"/>
          <w:szCs w:val="28"/>
        </w:rPr>
        <w:t xml:space="preserve">regarded as ‘my collection’, then any motorcycles which he regarded as being part of it will be the subject matter of the trust. This is enough to establish certainty of subject matter at the outset. There is also sufficient certainty as regards which motorcycles (if any) will pass to “my said </w:t>
      </w:r>
      <w:r w:rsidRPr="001E34CD">
        <w:rPr>
          <w:sz w:val="28"/>
          <w:szCs w:val="28"/>
        </w:rPr>
        <w:lastRenderedPageBreak/>
        <w:t>nephews and nieces”. Subject to the discussion below in relation to how the trust is to be administered, the position is that a finite number of motorcycles will be in the collection, a finite number may be selected by individual club members, and so a finite number (unless all the motorcycles are selected) will pass to the nephews and nieces. It does not matter that at the moment it is not possible to say which, or how many, motorcycles will pass, because these are facts which can be established in the course of administering the trust. As regards certainty of objects, it would appear that this is a fixed trust, because: those members of the club living at I</w:t>
      </w:r>
      <w:r w:rsidR="00E644A9" w:rsidRPr="001E34CD">
        <w:rPr>
          <w:sz w:val="28"/>
          <w:szCs w:val="28"/>
        </w:rPr>
        <w:t>vor</w:t>
      </w:r>
      <w:r w:rsidRPr="001E34CD">
        <w:rPr>
          <w:sz w:val="28"/>
          <w:szCs w:val="28"/>
        </w:rPr>
        <w:t>’s death can be definitively ascertained at the moment at which the trust is constituted, as can his “nephews and nieces”. More particularly, the gift over is in favour of “my said nephews and nieces”, which would be a reference back to any nephews and nieces who had been previously mentioned in the will – and that would take us back to legacy (a). Even if this were a discretionary trust, the is/is not test propounded in McPhail v Doulton (1971) could readily be applied to any given postulant. Administration of the trust does, however, present a problem in relation to selection by the club members. The number of members is unlikely to be so large that the trust is administratively unworkable on that ground alone (</w:t>
      </w:r>
      <w:proofErr w:type="spellStart"/>
      <w:r w:rsidRPr="001E34CD">
        <w:rPr>
          <w:sz w:val="28"/>
          <w:szCs w:val="28"/>
        </w:rPr>
        <w:t>cf</w:t>
      </w:r>
      <w:proofErr w:type="spellEnd"/>
      <w:r w:rsidRPr="001E34CD">
        <w:rPr>
          <w:sz w:val="28"/>
          <w:szCs w:val="28"/>
        </w:rPr>
        <w:t xml:space="preserve"> R v District Auditor ex p West </w:t>
      </w:r>
      <w:proofErr w:type="spellStart"/>
      <w:r w:rsidRPr="001E34CD">
        <w:rPr>
          <w:sz w:val="28"/>
          <w:szCs w:val="28"/>
        </w:rPr>
        <w:t>Yorks</w:t>
      </w:r>
      <w:proofErr w:type="spellEnd"/>
      <w:r w:rsidRPr="001E34CD">
        <w:rPr>
          <w:sz w:val="28"/>
          <w:szCs w:val="28"/>
        </w:rPr>
        <w:t xml:space="preserve"> CC (1986)), but it is entirely possible that there are more club members than there are motorcycles. I</w:t>
      </w:r>
      <w:r w:rsidR="00E644A9" w:rsidRPr="001E34CD">
        <w:rPr>
          <w:sz w:val="28"/>
          <w:szCs w:val="28"/>
        </w:rPr>
        <w:t>vor</w:t>
      </w:r>
      <w:r w:rsidRPr="001E34CD">
        <w:rPr>
          <w:sz w:val="28"/>
          <w:szCs w:val="28"/>
        </w:rPr>
        <w:t>’s will does not deal with this scenario, nor does it state how long the selection process must remain open. It is submitted that the appropriate way for B</w:t>
      </w:r>
      <w:r w:rsidR="00E644A9" w:rsidRPr="001E34CD">
        <w:rPr>
          <w:sz w:val="28"/>
          <w:szCs w:val="28"/>
        </w:rPr>
        <w:t>elinda</w:t>
      </w:r>
      <w:r w:rsidRPr="001E34CD">
        <w:rPr>
          <w:sz w:val="28"/>
          <w:szCs w:val="28"/>
        </w:rPr>
        <w:t xml:space="preserve"> to resolve this would be to apply to the court for directions as to the administration of this trust. Likely directions would deal with: • publicising the legacy to club members (by notices and advertisements sent to the club and/or its officials or members (if known) and (if necessary) published in local newspapers) • fixing a deadline for club members to submit a request to choose a motorcycle (after which the list of possible recipients will close) • providing that those who satisfy the deadline will be dealt with on an appropriate basis if there are more applicants than motorcycles (perhaps by drawing lots, or on a ‘first come, first served’ basis).</w:t>
      </w:r>
    </w:p>
    <w:sectPr w:rsidR="0055780D" w:rsidRPr="001E34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126EF1"/>
    <w:multiLevelType w:val="hybridMultilevel"/>
    <w:tmpl w:val="BD4201A0"/>
    <w:lvl w:ilvl="0" w:tplc="14EC0E8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67A4"/>
    <w:rsid w:val="001E34CD"/>
    <w:rsid w:val="002067A4"/>
    <w:rsid w:val="00387984"/>
    <w:rsid w:val="0055780D"/>
    <w:rsid w:val="007A20B2"/>
    <w:rsid w:val="009257EB"/>
    <w:rsid w:val="00E644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E753D"/>
  <w15:chartTrackingRefBased/>
  <w15:docId w15:val="{FBFE4B54-39A7-41C0-A7A5-3E0468123C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44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1004</Words>
  <Characters>5728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Holmes</dc:creator>
  <cp:keywords/>
  <dc:description/>
  <cp:lastModifiedBy>Louise Holmes</cp:lastModifiedBy>
  <cp:revision>2</cp:revision>
  <dcterms:created xsi:type="dcterms:W3CDTF">2021-11-29T15:13:00Z</dcterms:created>
  <dcterms:modified xsi:type="dcterms:W3CDTF">2021-11-29T15:13:00Z</dcterms:modified>
</cp:coreProperties>
</file>