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2628950"/>
        <w:docPartObj>
          <w:docPartGallery w:val="Cover Pages"/>
          <w:docPartUnique/>
        </w:docPartObj>
      </w:sdtPr>
      <w:sdtContent>
        <w:p w14:paraId="4C09F7BD" w14:textId="13E5F47A" w:rsidR="00827624" w:rsidRDefault="00827624">
          <w:r>
            <w:rPr>
              <w:noProof/>
            </w:rPr>
            <mc:AlternateContent>
              <mc:Choice Requires="wpg">
                <w:drawing>
                  <wp:anchor distT="0" distB="0" distL="114300" distR="114300" simplePos="0" relativeHeight="251659264" behindDoc="1" locked="0" layoutInCell="1" allowOverlap="1" wp14:anchorId="3571E1BB" wp14:editId="6CED952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5CA0E60" w14:textId="1F74BAED" w:rsidR="00827624" w:rsidRDefault="00827624">
                                      <w:pPr>
                                        <w:pStyle w:val="NoSpacing"/>
                                        <w:spacing w:before="120"/>
                                        <w:jc w:val="center"/>
                                        <w:rPr>
                                          <w:color w:val="FFFFFF" w:themeColor="background1"/>
                                        </w:rPr>
                                      </w:pPr>
                                      <w:r>
                                        <w:rPr>
                                          <w:color w:val="FFFFFF" w:themeColor="background1"/>
                                        </w:rPr>
                                        <w:t>Kat</w:t>
                                      </w:r>
                                      <w:r w:rsidR="00987019">
                                        <w:rPr>
                                          <w:color w:val="FFFFFF" w:themeColor="background1"/>
                                        </w:rPr>
                                        <w:t>arzyna</w:t>
                                      </w:r>
                                      <w:r>
                                        <w:rPr>
                                          <w:color w:val="FFFFFF" w:themeColor="background1"/>
                                        </w:rPr>
                                        <w:t xml:space="preserve"> Kolowrocka (1805961)</w:t>
                                      </w:r>
                                    </w:p>
                                  </w:sdtContent>
                                </w:sdt>
                                <w:p w14:paraId="2396380B" w14:textId="51B6CDB9" w:rsidR="00827624" w:rsidRDefault="0082762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87019">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8701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000000"/>
                                      <w:sz w:val="44"/>
                                      <w:szCs w:val="44"/>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8A587C" w14:textId="063EA30A" w:rsidR="00827624" w:rsidRPr="00987019" w:rsidRDefault="00987019">
                                      <w:pPr>
                                        <w:pStyle w:val="NoSpacing"/>
                                        <w:jc w:val="center"/>
                                        <w:rPr>
                                          <w:rFonts w:asciiTheme="majorHAnsi" w:eastAsiaTheme="majorEastAsia" w:hAnsiTheme="majorHAnsi" w:cstheme="majorBidi"/>
                                          <w:caps/>
                                          <w:color w:val="4472C4" w:themeColor="accent1"/>
                                          <w:sz w:val="44"/>
                                          <w:szCs w:val="44"/>
                                        </w:rPr>
                                      </w:pPr>
                                      <w:r>
                                        <w:rPr>
                                          <w:rFonts w:ascii="Times New Roman" w:hAnsi="Times New Roman" w:cs="Times New Roman"/>
                                          <w:color w:val="000000"/>
                                          <w:sz w:val="44"/>
                                          <w:szCs w:val="44"/>
                                          <w14:ligatures w14:val="standardContextual"/>
                                        </w:rPr>
                                        <w:t>T</w:t>
                                      </w:r>
                                      <w:r w:rsidRPr="00987019">
                                        <w:rPr>
                                          <w:rFonts w:ascii="Times New Roman" w:hAnsi="Times New Roman" w:cs="Times New Roman"/>
                                          <w:color w:val="000000"/>
                                          <w:sz w:val="44"/>
                                          <w:szCs w:val="44"/>
                                          <w14:ligatures w14:val="standardContextual"/>
                                        </w:rPr>
                                        <w:t>he effectiveness of performance appraisals</w:t>
                                      </w:r>
                                      <w:r>
                                        <w:rPr>
                                          <w:rFonts w:ascii="Times New Roman" w:hAnsi="Times New Roman" w:cs="Times New Roman"/>
                                          <w:color w:val="000000"/>
                                          <w:sz w:val="44"/>
                                          <w:szCs w:val="44"/>
                                          <w14:ligatures w14:val="standardContextual"/>
                                        </w:rPr>
                                        <w:t xml:space="preserve"> at Gwent Police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71E1B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5CA0E60" w14:textId="1F74BAED" w:rsidR="00827624" w:rsidRDefault="00827624">
                                <w:pPr>
                                  <w:pStyle w:val="NoSpacing"/>
                                  <w:spacing w:before="120"/>
                                  <w:jc w:val="center"/>
                                  <w:rPr>
                                    <w:color w:val="FFFFFF" w:themeColor="background1"/>
                                  </w:rPr>
                                </w:pPr>
                                <w:r>
                                  <w:rPr>
                                    <w:color w:val="FFFFFF" w:themeColor="background1"/>
                                  </w:rPr>
                                  <w:t>Kat</w:t>
                                </w:r>
                                <w:r w:rsidR="00987019">
                                  <w:rPr>
                                    <w:color w:val="FFFFFF" w:themeColor="background1"/>
                                  </w:rPr>
                                  <w:t>arzyna</w:t>
                                </w:r>
                                <w:r>
                                  <w:rPr>
                                    <w:color w:val="FFFFFF" w:themeColor="background1"/>
                                  </w:rPr>
                                  <w:t xml:space="preserve"> Kolowrocka (1805961)</w:t>
                                </w:r>
                              </w:p>
                            </w:sdtContent>
                          </w:sdt>
                          <w:p w14:paraId="2396380B" w14:textId="51B6CDB9" w:rsidR="00827624" w:rsidRDefault="0082762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87019">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8701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color w:val="000000"/>
                                <w:sz w:val="44"/>
                                <w:szCs w:val="44"/>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8A587C" w14:textId="063EA30A" w:rsidR="00827624" w:rsidRPr="00987019" w:rsidRDefault="00987019">
                                <w:pPr>
                                  <w:pStyle w:val="NoSpacing"/>
                                  <w:jc w:val="center"/>
                                  <w:rPr>
                                    <w:rFonts w:asciiTheme="majorHAnsi" w:eastAsiaTheme="majorEastAsia" w:hAnsiTheme="majorHAnsi" w:cstheme="majorBidi"/>
                                    <w:caps/>
                                    <w:color w:val="4472C4" w:themeColor="accent1"/>
                                    <w:sz w:val="44"/>
                                    <w:szCs w:val="44"/>
                                  </w:rPr>
                                </w:pPr>
                                <w:r>
                                  <w:rPr>
                                    <w:rFonts w:ascii="Times New Roman" w:hAnsi="Times New Roman" w:cs="Times New Roman"/>
                                    <w:color w:val="000000"/>
                                    <w:sz w:val="44"/>
                                    <w:szCs w:val="44"/>
                                    <w14:ligatures w14:val="standardContextual"/>
                                  </w:rPr>
                                  <w:t>T</w:t>
                                </w:r>
                                <w:r w:rsidRPr="00987019">
                                  <w:rPr>
                                    <w:rFonts w:ascii="Times New Roman" w:hAnsi="Times New Roman" w:cs="Times New Roman"/>
                                    <w:color w:val="000000"/>
                                    <w:sz w:val="44"/>
                                    <w:szCs w:val="44"/>
                                    <w14:ligatures w14:val="standardContextual"/>
                                  </w:rPr>
                                  <w:t>he effectiveness of performance appraisals</w:t>
                                </w:r>
                                <w:r>
                                  <w:rPr>
                                    <w:rFonts w:ascii="Times New Roman" w:hAnsi="Times New Roman" w:cs="Times New Roman"/>
                                    <w:color w:val="000000"/>
                                    <w:sz w:val="44"/>
                                    <w:szCs w:val="44"/>
                                    <w14:ligatures w14:val="standardContextual"/>
                                  </w:rPr>
                                  <w:t xml:space="preserve"> at Gwent Police</w:t>
                                </w:r>
                              </w:p>
                            </w:sdtContent>
                          </w:sdt>
                        </w:txbxContent>
                      </v:textbox>
                    </v:shape>
                    <w10:wrap anchorx="page" anchory="page"/>
                  </v:group>
                </w:pict>
              </mc:Fallback>
            </mc:AlternateContent>
          </w:r>
        </w:p>
        <w:p w14:paraId="73B4A544" w14:textId="36F3022F" w:rsidR="00827624" w:rsidRDefault="00827624">
          <w:pPr>
            <w:spacing w:line="259" w:lineRule="auto"/>
          </w:pPr>
          <w:r>
            <w:br w:type="page"/>
          </w:r>
        </w:p>
      </w:sdtContent>
    </w:sdt>
    <w:p w14:paraId="230D5933" w14:textId="13A31DA3" w:rsidR="00B11157" w:rsidRDefault="00B11157" w:rsidP="00114C8B">
      <w:pPr>
        <w:pStyle w:val="Heading1"/>
        <w:rPr>
          <w:rStyle w:val="markedcontent"/>
          <w:rFonts w:cs="Arial"/>
        </w:rPr>
      </w:pPr>
      <w:bookmarkStart w:id="0" w:name="_Toc134549750"/>
      <w:r>
        <w:rPr>
          <w:rStyle w:val="markedcontent"/>
          <w:rFonts w:cs="Arial"/>
        </w:rPr>
        <w:lastRenderedPageBreak/>
        <w:t>E</w:t>
      </w:r>
      <w:r w:rsidR="00114C8B">
        <w:rPr>
          <w:rStyle w:val="markedcontent"/>
          <w:rFonts w:cs="Arial"/>
        </w:rPr>
        <w:t>XECUTIVE SUMMARY</w:t>
      </w:r>
      <w:bookmarkEnd w:id="0"/>
      <w:r w:rsidR="00114C8B">
        <w:rPr>
          <w:rStyle w:val="markedcontent"/>
          <w:rFonts w:cs="Arial"/>
        </w:rPr>
        <w:t xml:space="preserve"> </w:t>
      </w:r>
    </w:p>
    <w:p w14:paraId="25782B17" w14:textId="78A36A3A" w:rsidR="00425496" w:rsidRDefault="00B11157" w:rsidP="00B11157">
      <w:r w:rsidRPr="00DA4AC1">
        <w:t xml:space="preserve">This report </w:t>
      </w:r>
      <w:r w:rsidR="00FF6DAC">
        <w:t>critically evaluates</w:t>
      </w:r>
      <w:r w:rsidRPr="00DA4AC1">
        <w:t xml:space="preserve"> </w:t>
      </w:r>
      <w:r w:rsidR="00FF6DAC">
        <w:t xml:space="preserve">the effectiveness of the </w:t>
      </w:r>
      <w:r w:rsidRPr="00DA4AC1">
        <w:t xml:space="preserve">performance </w:t>
      </w:r>
      <w:r w:rsidR="00FF6DAC">
        <w:t>appraisal</w:t>
      </w:r>
      <w:r w:rsidRPr="00DA4AC1">
        <w:t xml:space="preserve"> </w:t>
      </w:r>
      <w:r w:rsidR="00FF6DAC">
        <w:t xml:space="preserve">process within </w:t>
      </w:r>
      <w:r w:rsidRPr="00DA4AC1">
        <w:t xml:space="preserve">Gwent Police. </w:t>
      </w:r>
      <w:r w:rsidR="00480300">
        <w:t>Despite criticisms</w:t>
      </w:r>
      <w:r w:rsidR="00AB1F18">
        <w:t>,</w:t>
      </w:r>
      <w:r w:rsidR="00AB1F18">
        <w:t xml:space="preserve"> performance appraisals have value in terms of identifying and rewarding high-performing employees, </w:t>
      </w:r>
      <w:r w:rsidR="00AB1F18">
        <w:t>identifying</w:t>
      </w:r>
      <w:r w:rsidR="00AB1F18">
        <w:t xml:space="preserve"> areas for improvement, and providing employees with feedback and guidance to enhance their skills and capabilities</w:t>
      </w:r>
      <w:r w:rsidR="00AB1F18">
        <w:t xml:space="preserve">. </w:t>
      </w:r>
      <w:r w:rsidR="00480300">
        <w:t xml:space="preserve">This results in a </w:t>
      </w:r>
      <w:r w:rsidR="00480300">
        <w:t>more engaged and motivated workforce</w:t>
      </w:r>
      <w:r w:rsidR="00480300">
        <w:t xml:space="preserve">, ultimately leading to the </w:t>
      </w:r>
      <w:r w:rsidR="00480300">
        <w:t>organisation’s</w:t>
      </w:r>
      <w:r w:rsidR="00480300">
        <w:t xml:space="preserve"> success. </w:t>
      </w:r>
      <w:r w:rsidR="00425496">
        <w:t xml:space="preserve">Changing management's </w:t>
      </w:r>
      <w:r w:rsidR="00425496">
        <w:t xml:space="preserve">and employees’ </w:t>
      </w:r>
      <w:r w:rsidR="00425496">
        <w:t>attitude towards the appraisal process</w:t>
      </w:r>
      <w:r w:rsidR="00425496">
        <w:t xml:space="preserve"> should be a first step </w:t>
      </w:r>
      <w:r w:rsidR="009922EA">
        <w:t>in</w:t>
      </w:r>
      <w:r w:rsidR="00425496">
        <w:t xml:space="preserve"> improving performa</w:t>
      </w:r>
      <w:r w:rsidR="009922EA">
        <w:t xml:space="preserve">nce management </w:t>
      </w:r>
      <w:r w:rsidR="00425496">
        <w:t>at Gwent Police.</w:t>
      </w:r>
      <w:r w:rsidR="009922EA">
        <w:t xml:space="preserve"> </w:t>
      </w:r>
      <w:r w:rsidR="00425496">
        <w:t>A</w:t>
      </w:r>
      <w:r w:rsidR="00425496">
        <w:t xml:space="preserve">ltering employees' </w:t>
      </w:r>
      <w:r w:rsidR="009922EA">
        <w:t>perceptions</w:t>
      </w:r>
      <w:r w:rsidR="00425496">
        <w:t xml:space="preserve"> of appraisals may involve promoting the benefits of the process, such as providing opportunities for personal and professional development to enhance performance.</w:t>
      </w:r>
    </w:p>
    <w:p w14:paraId="2D9B576A" w14:textId="0DAB5BEA" w:rsidR="00480300" w:rsidRDefault="00305404" w:rsidP="00B11157">
      <w:r>
        <w:t xml:space="preserve">The </w:t>
      </w:r>
      <w:r>
        <w:t xml:space="preserve">recommended </w:t>
      </w:r>
      <w:r>
        <w:t xml:space="preserve">"360-degree" appraisal process </w:t>
      </w:r>
      <w:r w:rsidR="00425496">
        <w:t>would help Gwent Police</w:t>
      </w:r>
      <w:r>
        <w:t xml:space="preserve"> to create a </w:t>
      </w:r>
      <w:r w:rsidR="00425496">
        <w:t xml:space="preserve">more </w:t>
      </w:r>
      <w:r>
        <w:t>comprehensive and objective evaluation of an employee's performance</w:t>
      </w:r>
      <w:r w:rsidR="00425496">
        <w:t>.</w:t>
      </w:r>
    </w:p>
    <w:p w14:paraId="120D5C8C" w14:textId="77777777" w:rsidR="00987019" w:rsidRDefault="00987019" w:rsidP="00B11157"/>
    <w:p w14:paraId="267305CF" w14:textId="77777777" w:rsidR="00987019" w:rsidRDefault="00987019" w:rsidP="00B11157"/>
    <w:p w14:paraId="50272330" w14:textId="77777777" w:rsidR="00987019" w:rsidRDefault="00987019" w:rsidP="00B11157"/>
    <w:p w14:paraId="5C5666AB" w14:textId="77777777" w:rsidR="00987019" w:rsidRDefault="00987019" w:rsidP="00B11157"/>
    <w:p w14:paraId="1533CCC7" w14:textId="77777777" w:rsidR="00987019" w:rsidRDefault="00987019" w:rsidP="00B11157"/>
    <w:p w14:paraId="1ADDB810" w14:textId="77777777" w:rsidR="00601910" w:rsidRDefault="00601910" w:rsidP="00B11157"/>
    <w:p w14:paraId="62E0BA5F" w14:textId="77777777" w:rsidR="00987019" w:rsidRDefault="00987019" w:rsidP="00B11157"/>
    <w:sdt>
      <w:sdtPr>
        <w:id w:val="-398985444"/>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028DC84A" w14:textId="4F00FDFA" w:rsidR="00987019" w:rsidRDefault="00987019">
          <w:pPr>
            <w:pStyle w:val="TOCHeading"/>
          </w:pPr>
          <w:r>
            <w:t>Contents</w:t>
          </w:r>
        </w:p>
        <w:p w14:paraId="4A9D2052" w14:textId="3624871E" w:rsidR="00987019" w:rsidRDefault="00987019">
          <w:pPr>
            <w:pStyle w:val="TOC1"/>
            <w:tabs>
              <w:tab w:val="right" w:leader="dot" w:pos="9016"/>
            </w:tabs>
            <w:rPr>
              <w:noProof/>
            </w:rPr>
          </w:pPr>
          <w:r>
            <w:fldChar w:fldCharType="begin"/>
          </w:r>
          <w:r>
            <w:instrText xml:space="preserve"> TOC \o "1-3" \h \z \u </w:instrText>
          </w:r>
          <w:r>
            <w:fldChar w:fldCharType="separate"/>
          </w:r>
          <w:hyperlink w:anchor="_Toc134549750" w:history="1">
            <w:r w:rsidRPr="009C71F5">
              <w:rPr>
                <w:rStyle w:val="Hyperlink"/>
                <w:rFonts w:cs="Arial"/>
                <w:noProof/>
              </w:rPr>
              <w:t>EXECUTIVE SUMMARY</w:t>
            </w:r>
            <w:r>
              <w:rPr>
                <w:noProof/>
                <w:webHidden/>
              </w:rPr>
              <w:tab/>
            </w:r>
            <w:r>
              <w:rPr>
                <w:noProof/>
                <w:webHidden/>
              </w:rPr>
              <w:fldChar w:fldCharType="begin"/>
            </w:r>
            <w:r>
              <w:rPr>
                <w:noProof/>
                <w:webHidden/>
              </w:rPr>
              <w:instrText xml:space="preserve"> PAGEREF _Toc134549750 \h </w:instrText>
            </w:r>
            <w:r>
              <w:rPr>
                <w:noProof/>
                <w:webHidden/>
              </w:rPr>
            </w:r>
            <w:r>
              <w:rPr>
                <w:noProof/>
                <w:webHidden/>
              </w:rPr>
              <w:fldChar w:fldCharType="separate"/>
            </w:r>
            <w:r w:rsidR="00DA4311">
              <w:rPr>
                <w:noProof/>
                <w:webHidden/>
              </w:rPr>
              <w:t>1</w:t>
            </w:r>
            <w:r>
              <w:rPr>
                <w:noProof/>
                <w:webHidden/>
              </w:rPr>
              <w:fldChar w:fldCharType="end"/>
            </w:r>
          </w:hyperlink>
        </w:p>
        <w:p w14:paraId="08EDCB20" w14:textId="333BC53C" w:rsidR="00987019" w:rsidRDefault="00987019">
          <w:pPr>
            <w:pStyle w:val="TOC1"/>
            <w:tabs>
              <w:tab w:val="right" w:leader="dot" w:pos="9016"/>
            </w:tabs>
            <w:rPr>
              <w:noProof/>
            </w:rPr>
          </w:pPr>
          <w:hyperlink w:anchor="_Toc134549751" w:history="1">
            <w:r w:rsidRPr="009C71F5">
              <w:rPr>
                <w:rStyle w:val="Hyperlink"/>
                <w:rFonts w:cs="Arial"/>
                <w:noProof/>
              </w:rPr>
              <w:t>1.0 INTRODUCTION</w:t>
            </w:r>
            <w:r>
              <w:rPr>
                <w:noProof/>
                <w:webHidden/>
              </w:rPr>
              <w:tab/>
            </w:r>
            <w:r>
              <w:rPr>
                <w:noProof/>
                <w:webHidden/>
              </w:rPr>
              <w:fldChar w:fldCharType="begin"/>
            </w:r>
            <w:r>
              <w:rPr>
                <w:noProof/>
                <w:webHidden/>
              </w:rPr>
              <w:instrText xml:space="preserve"> PAGEREF _Toc134549751 \h </w:instrText>
            </w:r>
            <w:r>
              <w:rPr>
                <w:noProof/>
                <w:webHidden/>
              </w:rPr>
            </w:r>
            <w:r>
              <w:rPr>
                <w:noProof/>
                <w:webHidden/>
              </w:rPr>
              <w:fldChar w:fldCharType="separate"/>
            </w:r>
            <w:r w:rsidR="00DA4311">
              <w:rPr>
                <w:noProof/>
                <w:webHidden/>
              </w:rPr>
              <w:t>3</w:t>
            </w:r>
            <w:r>
              <w:rPr>
                <w:noProof/>
                <w:webHidden/>
              </w:rPr>
              <w:fldChar w:fldCharType="end"/>
            </w:r>
          </w:hyperlink>
        </w:p>
        <w:p w14:paraId="25963C3B" w14:textId="042C5499" w:rsidR="00987019" w:rsidRDefault="00987019">
          <w:pPr>
            <w:pStyle w:val="TOC1"/>
            <w:tabs>
              <w:tab w:val="right" w:leader="dot" w:pos="9016"/>
            </w:tabs>
            <w:rPr>
              <w:noProof/>
            </w:rPr>
          </w:pPr>
          <w:hyperlink w:anchor="_Toc134549752" w:history="1">
            <w:r w:rsidRPr="009C71F5">
              <w:rPr>
                <w:rStyle w:val="Hyperlink"/>
                <w:noProof/>
              </w:rPr>
              <w:t>2.0 MAIN FINDINGS</w:t>
            </w:r>
            <w:r>
              <w:rPr>
                <w:noProof/>
                <w:webHidden/>
              </w:rPr>
              <w:tab/>
            </w:r>
            <w:r>
              <w:rPr>
                <w:noProof/>
                <w:webHidden/>
              </w:rPr>
              <w:fldChar w:fldCharType="begin"/>
            </w:r>
            <w:r>
              <w:rPr>
                <w:noProof/>
                <w:webHidden/>
              </w:rPr>
              <w:instrText xml:space="preserve"> PAGEREF _Toc134549752 \h </w:instrText>
            </w:r>
            <w:r>
              <w:rPr>
                <w:noProof/>
                <w:webHidden/>
              </w:rPr>
            </w:r>
            <w:r>
              <w:rPr>
                <w:noProof/>
                <w:webHidden/>
              </w:rPr>
              <w:fldChar w:fldCharType="separate"/>
            </w:r>
            <w:r w:rsidR="00DA4311">
              <w:rPr>
                <w:noProof/>
                <w:webHidden/>
              </w:rPr>
              <w:t>3</w:t>
            </w:r>
            <w:r>
              <w:rPr>
                <w:noProof/>
                <w:webHidden/>
              </w:rPr>
              <w:fldChar w:fldCharType="end"/>
            </w:r>
          </w:hyperlink>
        </w:p>
        <w:p w14:paraId="0F91605B" w14:textId="6FE0694A" w:rsidR="00987019" w:rsidRDefault="00987019">
          <w:pPr>
            <w:pStyle w:val="TOC1"/>
            <w:tabs>
              <w:tab w:val="right" w:leader="dot" w:pos="9016"/>
            </w:tabs>
            <w:rPr>
              <w:noProof/>
            </w:rPr>
          </w:pPr>
          <w:hyperlink w:anchor="_Toc134549753" w:history="1">
            <w:r w:rsidRPr="009C71F5">
              <w:rPr>
                <w:rStyle w:val="Hyperlink"/>
                <w:noProof/>
              </w:rPr>
              <w:t>2.1 Different performance management approaches and their impacts.</w:t>
            </w:r>
            <w:r>
              <w:rPr>
                <w:noProof/>
                <w:webHidden/>
              </w:rPr>
              <w:tab/>
            </w:r>
            <w:r>
              <w:rPr>
                <w:noProof/>
                <w:webHidden/>
              </w:rPr>
              <w:fldChar w:fldCharType="begin"/>
            </w:r>
            <w:r>
              <w:rPr>
                <w:noProof/>
                <w:webHidden/>
              </w:rPr>
              <w:instrText xml:space="preserve"> PAGEREF _Toc134549753 \h </w:instrText>
            </w:r>
            <w:r>
              <w:rPr>
                <w:noProof/>
                <w:webHidden/>
              </w:rPr>
            </w:r>
            <w:r>
              <w:rPr>
                <w:noProof/>
                <w:webHidden/>
              </w:rPr>
              <w:fldChar w:fldCharType="separate"/>
            </w:r>
            <w:r w:rsidR="00DA4311">
              <w:rPr>
                <w:noProof/>
                <w:webHidden/>
              </w:rPr>
              <w:t>3</w:t>
            </w:r>
            <w:r>
              <w:rPr>
                <w:noProof/>
                <w:webHidden/>
              </w:rPr>
              <w:fldChar w:fldCharType="end"/>
            </w:r>
          </w:hyperlink>
        </w:p>
        <w:p w14:paraId="572A2A05" w14:textId="5E48D3E6" w:rsidR="00987019" w:rsidRDefault="00987019">
          <w:pPr>
            <w:pStyle w:val="TOC1"/>
            <w:tabs>
              <w:tab w:val="right" w:leader="dot" w:pos="9016"/>
            </w:tabs>
            <w:rPr>
              <w:noProof/>
            </w:rPr>
          </w:pPr>
          <w:hyperlink w:anchor="_Toc134549754" w:history="1">
            <w:r w:rsidRPr="009C71F5">
              <w:rPr>
                <w:rStyle w:val="Hyperlink"/>
                <w:noProof/>
              </w:rPr>
              <w:t>2.2 Influence Model and Stakeholder Theory.</w:t>
            </w:r>
            <w:r>
              <w:rPr>
                <w:noProof/>
                <w:webHidden/>
              </w:rPr>
              <w:tab/>
            </w:r>
            <w:r>
              <w:rPr>
                <w:noProof/>
                <w:webHidden/>
              </w:rPr>
              <w:fldChar w:fldCharType="begin"/>
            </w:r>
            <w:r>
              <w:rPr>
                <w:noProof/>
                <w:webHidden/>
              </w:rPr>
              <w:instrText xml:space="preserve"> PAGEREF _Toc134549754 \h </w:instrText>
            </w:r>
            <w:r>
              <w:rPr>
                <w:noProof/>
                <w:webHidden/>
              </w:rPr>
            </w:r>
            <w:r>
              <w:rPr>
                <w:noProof/>
                <w:webHidden/>
              </w:rPr>
              <w:fldChar w:fldCharType="separate"/>
            </w:r>
            <w:r w:rsidR="00DA4311">
              <w:rPr>
                <w:noProof/>
                <w:webHidden/>
              </w:rPr>
              <w:t>6</w:t>
            </w:r>
            <w:r>
              <w:rPr>
                <w:noProof/>
                <w:webHidden/>
              </w:rPr>
              <w:fldChar w:fldCharType="end"/>
            </w:r>
          </w:hyperlink>
        </w:p>
        <w:p w14:paraId="079AED0B" w14:textId="3A5DDFD2" w:rsidR="00987019" w:rsidRDefault="00987019">
          <w:pPr>
            <w:pStyle w:val="TOC1"/>
            <w:tabs>
              <w:tab w:val="right" w:leader="dot" w:pos="9016"/>
            </w:tabs>
            <w:rPr>
              <w:noProof/>
            </w:rPr>
          </w:pPr>
          <w:hyperlink w:anchor="_Toc134549755" w:history="1">
            <w:r w:rsidRPr="009C71F5">
              <w:rPr>
                <w:rStyle w:val="Hyperlink"/>
                <w:noProof/>
              </w:rPr>
              <w:t>3.0 CONCLUSION</w:t>
            </w:r>
            <w:r>
              <w:rPr>
                <w:noProof/>
                <w:webHidden/>
              </w:rPr>
              <w:tab/>
            </w:r>
            <w:r>
              <w:rPr>
                <w:noProof/>
                <w:webHidden/>
              </w:rPr>
              <w:fldChar w:fldCharType="begin"/>
            </w:r>
            <w:r>
              <w:rPr>
                <w:noProof/>
                <w:webHidden/>
              </w:rPr>
              <w:instrText xml:space="preserve"> PAGEREF _Toc134549755 \h </w:instrText>
            </w:r>
            <w:r>
              <w:rPr>
                <w:noProof/>
                <w:webHidden/>
              </w:rPr>
            </w:r>
            <w:r>
              <w:rPr>
                <w:noProof/>
                <w:webHidden/>
              </w:rPr>
              <w:fldChar w:fldCharType="separate"/>
            </w:r>
            <w:r w:rsidR="00DA4311">
              <w:rPr>
                <w:noProof/>
                <w:webHidden/>
              </w:rPr>
              <w:t>8</w:t>
            </w:r>
            <w:r>
              <w:rPr>
                <w:noProof/>
                <w:webHidden/>
              </w:rPr>
              <w:fldChar w:fldCharType="end"/>
            </w:r>
          </w:hyperlink>
        </w:p>
        <w:p w14:paraId="5D846FB3" w14:textId="0E33613F" w:rsidR="00987019" w:rsidRDefault="00987019">
          <w:pPr>
            <w:pStyle w:val="TOC1"/>
            <w:tabs>
              <w:tab w:val="right" w:leader="dot" w:pos="9016"/>
            </w:tabs>
            <w:rPr>
              <w:noProof/>
            </w:rPr>
          </w:pPr>
          <w:hyperlink w:anchor="_Toc134549756" w:history="1">
            <w:r w:rsidRPr="009C71F5">
              <w:rPr>
                <w:rStyle w:val="Hyperlink"/>
                <w:noProof/>
              </w:rPr>
              <w:t>4.0 RECOMMENDATION:</w:t>
            </w:r>
            <w:r>
              <w:rPr>
                <w:noProof/>
                <w:webHidden/>
              </w:rPr>
              <w:tab/>
            </w:r>
            <w:r>
              <w:rPr>
                <w:noProof/>
                <w:webHidden/>
              </w:rPr>
              <w:fldChar w:fldCharType="begin"/>
            </w:r>
            <w:r>
              <w:rPr>
                <w:noProof/>
                <w:webHidden/>
              </w:rPr>
              <w:instrText xml:space="preserve"> PAGEREF _Toc134549756 \h </w:instrText>
            </w:r>
            <w:r>
              <w:rPr>
                <w:noProof/>
                <w:webHidden/>
              </w:rPr>
            </w:r>
            <w:r>
              <w:rPr>
                <w:noProof/>
                <w:webHidden/>
              </w:rPr>
              <w:fldChar w:fldCharType="separate"/>
            </w:r>
            <w:r w:rsidR="00DA4311">
              <w:rPr>
                <w:noProof/>
                <w:webHidden/>
              </w:rPr>
              <w:t>9</w:t>
            </w:r>
            <w:r>
              <w:rPr>
                <w:noProof/>
                <w:webHidden/>
              </w:rPr>
              <w:fldChar w:fldCharType="end"/>
            </w:r>
          </w:hyperlink>
        </w:p>
        <w:p w14:paraId="3CBE026A" w14:textId="2DE2706F" w:rsidR="00987019" w:rsidRDefault="00987019">
          <w:pPr>
            <w:pStyle w:val="TOC1"/>
            <w:tabs>
              <w:tab w:val="right" w:leader="dot" w:pos="9016"/>
            </w:tabs>
            <w:rPr>
              <w:noProof/>
            </w:rPr>
          </w:pPr>
          <w:hyperlink w:anchor="_Toc134549757" w:history="1">
            <w:r w:rsidRPr="009C71F5">
              <w:rPr>
                <w:rStyle w:val="Hyperlink"/>
                <w:noProof/>
              </w:rPr>
              <w:t>5.0 REFERENCES:</w:t>
            </w:r>
            <w:r>
              <w:rPr>
                <w:noProof/>
                <w:webHidden/>
              </w:rPr>
              <w:tab/>
            </w:r>
            <w:r>
              <w:rPr>
                <w:noProof/>
                <w:webHidden/>
              </w:rPr>
              <w:fldChar w:fldCharType="begin"/>
            </w:r>
            <w:r>
              <w:rPr>
                <w:noProof/>
                <w:webHidden/>
              </w:rPr>
              <w:instrText xml:space="preserve"> PAGEREF _Toc134549757 \h </w:instrText>
            </w:r>
            <w:r>
              <w:rPr>
                <w:noProof/>
                <w:webHidden/>
              </w:rPr>
            </w:r>
            <w:r>
              <w:rPr>
                <w:noProof/>
                <w:webHidden/>
              </w:rPr>
              <w:fldChar w:fldCharType="separate"/>
            </w:r>
            <w:r w:rsidR="00DA4311">
              <w:rPr>
                <w:noProof/>
                <w:webHidden/>
              </w:rPr>
              <w:t>10</w:t>
            </w:r>
            <w:r>
              <w:rPr>
                <w:noProof/>
                <w:webHidden/>
              </w:rPr>
              <w:fldChar w:fldCharType="end"/>
            </w:r>
          </w:hyperlink>
        </w:p>
        <w:p w14:paraId="144963AD" w14:textId="4E347F35" w:rsidR="00987019" w:rsidRDefault="00987019">
          <w:r>
            <w:rPr>
              <w:b/>
              <w:bCs/>
              <w:noProof/>
            </w:rPr>
            <w:fldChar w:fldCharType="end"/>
          </w:r>
        </w:p>
      </w:sdtContent>
    </w:sdt>
    <w:p w14:paraId="4DE4B4BE" w14:textId="77777777" w:rsidR="00987019" w:rsidRDefault="00987019" w:rsidP="00B11157"/>
    <w:p w14:paraId="69284A13" w14:textId="77777777" w:rsidR="00987019" w:rsidRDefault="00987019" w:rsidP="00B11157">
      <w:pPr>
        <w:rPr>
          <w:rStyle w:val="markedcontent"/>
        </w:rPr>
      </w:pPr>
    </w:p>
    <w:p w14:paraId="0C179278" w14:textId="77777777" w:rsidR="00987019" w:rsidRDefault="00987019" w:rsidP="00B11157">
      <w:pPr>
        <w:rPr>
          <w:rStyle w:val="markedcontent"/>
        </w:rPr>
      </w:pPr>
    </w:p>
    <w:p w14:paraId="5597A36D" w14:textId="77777777" w:rsidR="00987019" w:rsidRDefault="00987019" w:rsidP="00B11157">
      <w:pPr>
        <w:rPr>
          <w:rStyle w:val="markedcontent"/>
        </w:rPr>
      </w:pPr>
    </w:p>
    <w:p w14:paraId="6C3C2D43" w14:textId="77777777" w:rsidR="00987019" w:rsidRDefault="00987019" w:rsidP="00B11157">
      <w:pPr>
        <w:rPr>
          <w:rStyle w:val="markedcontent"/>
        </w:rPr>
      </w:pPr>
    </w:p>
    <w:p w14:paraId="27155FB9" w14:textId="77777777" w:rsidR="00987019" w:rsidRDefault="00987019" w:rsidP="00B11157">
      <w:pPr>
        <w:rPr>
          <w:rStyle w:val="markedcontent"/>
        </w:rPr>
      </w:pPr>
    </w:p>
    <w:p w14:paraId="3F7C12FA" w14:textId="77777777" w:rsidR="00987019" w:rsidRDefault="00987019" w:rsidP="00B11157">
      <w:pPr>
        <w:rPr>
          <w:rStyle w:val="markedcontent"/>
        </w:rPr>
      </w:pPr>
    </w:p>
    <w:p w14:paraId="76F1EEFB" w14:textId="77777777" w:rsidR="00987019" w:rsidRDefault="00987019" w:rsidP="00B11157">
      <w:pPr>
        <w:rPr>
          <w:rStyle w:val="markedcontent"/>
        </w:rPr>
      </w:pPr>
    </w:p>
    <w:p w14:paraId="19C8F1DB" w14:textId="77777777" w:rsidR="00987019" w:rsidRDefault="00987019" w:rsidP="00B11157">
      <w:pPr>
        <w:rPr>
          <w:rStyle w:val="markedcontent"/>
        </w:rPr>
      </w:pPr>
    </w:p>
    <w:p w14:paraId="3A683073" w14:textId="77777777" w:rsidR="00987019" w:rsidRPr="003F335F" w:rsidRDefault="00987019" w:rsidP="00B11157">
      <w:pPr>
        <w:rPr>
          <w:rStyle w:val="markedcontent"/>
        </w:rPr>
      </w:pPr>
    </w:p>
    <w:p w14:paraId="29BCBF15" w14:textId="2C1A046C" w:rsidR="00B11157" w:rsidRDefault="00430D45" w:rsidP="00114C8B">
      <w:pPr>
        <w:pStyle w:val="Heading1"/>
        <w:rPr>
          <w:rStyle w:val="markedcontent"/>
          <w:rFonts w:cs="Arial"/>
        </w:rPr>
      </w:pPr>
      <w:bookmarkStart w:id="1" w:name="_Toc134549751"/>
      <w:r>
        <w:rPr>
          <w:rStyle w:val="markedcontent"/>
          <w:rFonts w:cs="Arial"/>
        </w:rPr>
        <w:lastRenderedPageBreak/>
        <w:t xml:space="preserve">1.0 </w:t>
      </w:r>
      <w:r w:rsidR="00B11157">
        <w:rPr>
          <w:rStyle w:val="markedcontent"/>
          <w:rFonts w:cs="Arial"/>
        </w:rPr>
        <w:t>INTRODUCTION</w:t>
      </w:r>
      <w:bookmarkEnd w:id="1"/>
    </w:p>
    <w:p w14:paraId="006E39A0" w14:textId="5A4D66BB" w:rsidR="00C35B63" w:rsidRDefault="00C35B63" w:rsidP="00B11157">
      <w:pPr>
        <w:rPr>
          <w:rStyle w:val="markedcontent"/>
          <w:rFonts w:cs="Arial"/>
        </w:rPr>
      </w:pPr>
      <w:r w:rsidRPr="00550C1B">
        <w:t>Employees underestimate their skills or, worst, overestimate, which can negatively impact the team and organisation (Spector, 2011</w:t>
      </w:r>
      <w:r>
        <w:t>;</w:t>
      </w:r>
      <w:r w:rsidRPr="00550C1B">
        <w:t xml:space="preserve"> INPD</w:t>
      </w:r>
      <w:r>
        <w:t xml:space="preserve">, </w:t>
      </w:r>
      <w:r w:rsidRPr="00550C1B">
        <w:t xml:space="preserve">2021). </w:t>
      </w:r>
      <w:r>
        <w:t>I</w:t>
      </w:r>
      <w:r w:rsidRPr="00270B23">
        <w:t xml:space="preserve">f employees </w:t>
      </w:r>
      <w:r w:rsidR="009922EA">
        <w:t xml:space="preserve">do </w:t>
      </w:r>
      <w:r w:rsidRPr="00270B23">
        <w:t>not utilis</w:t>
      </w:r>
      <w:r w:rsidR="009922EA">
        <w:t>e</w:t>
      </w:r>
      <w:r w:rsidRPr="00270B23">
        <w:t xml:space="preserve"> their skills and expertise</w:t>
      </w:r>
      <w:r>
        <w:t xml:space="preserve">, </w:t>
      </w:r>
      <w:r w:rsidRPr="00270B23">
        <w:t>the team and organisation</w:t>
      </w:r>
      <w:r>
        <w:t xml:space="preserve"> </w:t>
      </w:r>
      <w:r w:rsidR="009922EA">
        <w:t xml:space="preserve">do </w:t>
      </w:r>
      <w:r w:rsidRPr="00270B23">
        <w:t xml:space="preserve">not benefit from their full potential as much as they </w:t>
      </w:r>
      <w:r>
        <w:t>could</w:t>
      </w:r>
      <w:r w:rsidRPr="00270B23">
        <w:t>. On the other hand, some employees may have an inflated sense of their abilities, leading them to take on tasks they are not fully qualified for</w:t>
      </w:r>
      <w:r>
        <w:t>,</w:t>
      </w:r>
      <w:r w:rsidRPr="00270B23">
        <w:t xml:space="preserve"> increasing the risk of errors and potentially causing damage to the organisation’s reputation</w:t>
      </w:r>
      <w:r w:rsidRPr="009922EA">
        <w:rPr>
          <w:color w:val="4472C4" w:themeColor="accent1"/>
        </w:rPr>
        <w:t>.</w:t>
      </w:r>
      <w:r w:rsidRPr="009922EA">
        <w:rPr>
          <w:color w:val="4472C4" w:themeColor="accent1"/>
        </w:rPr>
        <w:t xml:space="preserve"> </w:t>
      </w:r>
      <w:r>
        <w:t xml:space="preserve">Therefore, according to CIPD (2021), </w:t>
      </w:r>
      <w:r w:rsidR="009922EA">
        <w:t>manager’s</w:t>
      </w:r>
      <w:r w:rsidRPr="00550C1B">
        <w:t xml:space="preserve"> role is to develop a realistic view of employees’ abilities</w:t>
      </w:r>
      <w:r w:rsidR="005A0DAE">
        <w:t xml:space="preserve"> through effective performance management processes. </w:t>
      </w:r>
    </w:p>
    <w:p w14:paraId="2A4DB0E1" w14:textId="64142E61" w:rsidR="0043669F" w:rsidRDefault="00430D45" w:rsidP="00114C8B">
      <w:pPr>
        <w:pStyle w:val="Heading1"/>
      </w:pPr>
      <w:bookmarkStart w:id="2" w:name="_Toc134549752"/>
      <w:r>
        <w:t xml:space="preserve">2.0 </w:t>
      </w:r>
      <w:r w:rsidR="009A4225">
        <w:t>MAIN FINDINGS</w:t>
      </w:r>
      <w:bookmarkEnd w:id="2"/>
    </w:p>
    <w:p w14:paraId="16E5842F" w14:textId="666AF20B" w:rsidR="008C530F" w:rsidRPr="005A0DAE" w:rsidRDefault="008C530F" w:rsidP="005A0DAE">
      <w:pPr>
        <w:pStyle w:val="Heading1"/>
        <w:rPr>
          <w:sz w:val="24"/>
          <w:szCs w:val="24"/>
        </w:rPr>
      </w:pPr>
      <w:bookmarkStart w:id="3" w:name="_Toc134549753"/>
      <w:r>
        <w:t xml:space="preserve">2.1 </w:t>
      </w:r>
      <w:r>
        <w:t>Different performance management approaches and their impacts</w:t>
      </w:r>
      <w:r>
        <w:t>.</w:t>
      </w:r>
      <w:bookmarkEnd w:id="3"/>
    </w:p>
    <w:p w14:paraId="333FB391" w14:textId="3745825C" w:rsidR="00053177" w:rsidRDefault="009A4225" w:rsidP="004D29E5">
      <w:pPr>
        <w:rPr>
          <w:rFonts w:cs="Arial"/>
        </w:rPr>
      </w:pPr>
      <w:r w:rsidRPr="00550C1B">
        <w:t>Contemporary performance management (CIPD, 2022)</w:t>
      </w:r>
      <w:r w:rsidRPr="00550C1B">
        <w:rPr>
          <w:rStyle w:val="markedcontent"/>
          <w:rFonts w:cs="Arial"/>
        </w:rPr>
        <w:t xml:space="preserve"> </w:t>
      </w:r>
      <w:r w:rsidRPr="00550C1B">
        <w:t>is a continuous process of assessing employee performance and providing</w:t>
      </w:r>
      <w:r w:rsidR="009922EA">
        <w:t xml:space="preserve"> constructive</w:t>
      </w:r>
      <w:r w:rsidRPr="00550C1B">
        <w:t xml:space="preserve"> feedback to help them improve in line with an organisation’s objectives</w:t>
      </w:r>
      <w:r w:rsidR="00E30A9B" w:rsidRPr="00550C1B">
        <w:t>.</w:t>
      </w:r>
      <w:r w:rsidR="00053177">
        <w:t xml:space="preserve"> </w:t>
      </w:r>
      <w:r w:rsidR="005A0DAE" w:rsidRPr="008D2E7F">
        <w:t xml:space="preserve">According to Woolston (2019) organisations </w:t>
      </w:r>
      <w:r w:rsidR="005A0DAE">
        <w:t>rethink</w:t>
      </w:r>
      <w:r w:rsidR="005A0DAE" w:rsidRPr="008D2E7F">
        <w:t xml:space="preserve"> their performance management strategies to create more effective and meaningful ways of measuring and evaluating employee performance</w:t>
      </w:r>
      <w:r w:rsidR="005A0DAE">
        <w:t xml:space="preserve"> in today’s fast-paced world</w:t>
      </w:r>
      <w:r w:rsidR="005A0DAE" w:rsidRPr="008D2E7F">
        <w:t xml:space="preserve">. Instead of relying on </w:t>
      </w:r>
      <w:r w:rsidR="005A0DAE">
        <w:t xml:space="preserve">traditional </w:t>
      </w:r>
      <w:r w:rsidR="005A0DAE" w:rsidRPr="008D2E7F">
        <w:t xml:space="preserve">annual, formal performance review meetings, they </w:t>
      </w:r>
      <w:r w:rsidR="005A0DAE">
        <w:t>shift</w:t>
      </w:r>
      <w:r w:rsidR="005A0DAE" w:rsidRPr="008D2E7F">
        <w:t xml:space="preserve"> towards more informal and frequent </w:t>
      </w:r>
      <w:r w:rsidR="005A0DAE">
        <w:t>‘</w:t>
      </w:r>
      <w:r w:rsidR="005A0DAE" w:rsidRPr="008D2E7F">
        <w:t>development conversations'</w:t>
      </w:r>
      <w:r w:rsidR="005A0DAE" w:rsidRPr="008D2E7F">
        <w:rPr>
          <w:rFonts w:cs="Arial"/>
        </w:rPr>
        <w:t xml:space="preserve"> (Armstrong, 2019).</w:t>
      </w:r>
    </w:p>
    <w:p w14:paraId="6A884097" w14:textId="54302991" w:rsidR="004D29E5" w:rsidRPr="005A0DAE" w:rsidRDefault="00BE7563" w:rsidP="004D29E5">
      <w:pPr>
        <w:rPr>
          <w:rFonts w:cs="Arial"/>
        </w:rPr>
      </w:pPr>
      <w:r w:rsidRPr="00BE7563">
        <w:rPr>
          <w:rFonts w:cs="Arial"/>
        </w:rPr>
        <w:lastRenderedPageBreak/>
        <w:t>According to Cespedes (2022), performance appraisals are criticised for being</w:t>
      </w:r>
      <w:r w:rsidR="006967B8">
        <w:rPr>
          <w:rFonts w:cs="Arial"/>
        </w:rPr>
        <w:t xml:space="preserve"> time-consuming</w:t>
      </w:r>
      <w:r w:rsidRPr="00BE7563">
        <w:rPr>
          <w:rFonts w:cs="Arial"/>
        </w:rPr>
        <w:t xml:space="preserve"> and failing to provide </w:t>
      </w:r>
      <w:r w:rsidR="009922EA">
        <w:rPr>
          <w:rFonts w:cs="Arial"/>
        </w:rPr>
        <w:t xml:space="preserve">a </w:t>
      </w:r>
      <w:r w:rsidRPr="00BE7563">
        <w:rPr>
          <w:rFonts w:cs="Arial"/>
        </w:rPr>
        <w:t xml:space="preserve">clear </w:t>
      </w:r>
      <w:r w:rsidR="009922EA">
        <w:rPr>
          <w:rFonts w:cs="Arial"/>
        </w:rPr>
        <w:t>evaluation</w:t>
      </w:r>
      <w:r w:rsidRPr="00BE7563">
        <w:rPr>
          <w:rFonts w:cs="Arial"/>
        </w:rPr>
        <w:t xml:space="preserve">. </w:t>
      </w:r>
      <w:r w:rsidR="00601910">
        <w:rPr>
          <w:rFonts w:cs="Arial"/>
        </w:rPr>
        <w:t xml:space="preserve">However, </w:t>
      </w:r>
      <w:r w:rsidR="00A91BBB">
        <w:rPr>
          <w:rFonts w:cs="Arial"/>
        </w:rPr>
        <w:t xml:space="preserve">CIPD (2016) provides evidence of </w:t>
      </w:r>
      <w:r w:rsidR="00A52CE7">
        <w:rPr>
          <w:rFonts w:cs="Arial"/>
        </w:rPr>
        <w:t xml:space="preserve">the </w:t>
      </w:r>
      <w:r w:rsidR="00A91BBB">
        <w:rPr>
          <w:rFonts w:cs="Arial"/>
        </w:rPr>
        <w:t xml:space="preserve">effectiveness </w:t>
      </w:r>
      <w:r w:rsidR="00A52CE7">
        <w:rPr>
          <w:rFonts w:cs="Arial"/>
        </w:rPr>
        <w:t xml:space="preserve">of </w:t>
      </w:r>
      <w:r w:rsidR="00A91BBB">
        <w:t xml:space="preserve">performance appraisal </w:t>
      </w:r>
      <w:r w:rsidR="00A91BBB">
        <w:rPr>
          <w:rFonts w:cs="Arial"/>
        </w:rPr>
        <w:t>on workplace performance</w:t>
      </w:r>
      <w:r w:rsidR="00A91BBB">
        <w:rPr>
          <w:rFonts w:cs="Arial"/>
        </w:rPr>
        <w:t>.</w:t>
      </w:r>
      <w:r w:rsidR="00601910">
        <w:rPr>
          <w:rFonts w:cs="Arial"/>
        </w:rPr>
        <w:t xml:space="preserve"> </w:t>
      </w:r>
      <w:r w:rsidR="00A91BBB">
        <w:rPr>
          <w:rFonts w:cs="Arial"/>
        </w:rPr>
        <w:t>According to the report</w:t>
      </w:r>
      <w:r w:rsidR="00305404">
        <w:rPr>
          <w:rFonts w:cs="Arial"/>
        </w:rPr>
        <w:t>,</w:t>
      </w:r>
      <w:r w:rsidR="00A91BBB">
        <w:rPr>
          <w:rFonts w:cs="Arial"/>
        </w:rPr>
        <w:t xml:space="preserve"> </w:t>
      </w:r>
      <w:r w:rsidR="000C4A1C" w:rsidRPr="000C4A1C">
        <w:rPr>
          <w:rFonts w:cs="Arial"/>
        </w:rPr>
        <w:t xml:space="preserve">organisations </w:t>
      </w:r>
      <w:r w:rsidR="006D0078">
        <w:rPr>
          <w:rFonts w:cs="Arial"/>
        </w:rPr>
        <w:t>could not</w:t>
      </w:r>
      <w:r w:rsidR="000C4A1C" w:rsidRPr="000C4A1C">
        <w:rPr>
          <w:rFonts w:cs="Arial"/>
        </w:rPr>
        <w:t xml:space="preserve"> make </w:t>
      </w:r>
      <w:r w:rsidR="004D29E5">
        <w:rPr>
          <w:rFonts w:cs="Arial"/>
        </w:rPr>
        <w:t>strategic</w:t>
      </w:r>
      <w:r w:rsidR="000C4A1C" w:rsidRPr="000C4A1C">
        <w:rPr>
          <w:rFonts w:cs="Arial"/>
        </w:rPr>
        <w:t xml:space="preserve"> decisions regarding employee development without this </w:t>
      </w:r>
      <w:r w:rsidR="00067750">
        <w:rPr>
          <w:rFonts w:cs="Arial"/>
        </w:rPr>
        <w:t>process</w:t>
      </w:r>
      <w:r w:rsidR="000C4A1C" w:rsidRPr="000C4A1C">
        <w:rPr>
          <w:rFonts w:cs="Arial"/>
        </w:rPr>
        <w:t>. Furthermore, performance appraisals allow managers to determine which employees are performing w</w:t>
      </w:r>
      <w:r w:rsidR="004D29E5">
        <w:rPr>
          <w:rFonts w:cs="Arial"/>
        </w:rPr>
        <w:t xml:space="preserve">ell. </w:t>
      </w:r>
      <w:r w:rsidR="004D29E5">
        <w:t xml:space="preserve">According to </w:t>
      </w:r>
      <w:proofErr w:type="spellStart"/>
      <w:r w:rsidR="004D29E5">
        <w:t>Sriganthan</w:t>
      </w:r>
      <w:proofErr w:type="spellEnd"/>
      <w:r w:rsidR="004D29E5">
        <w:t xml:space="preserve"> (2023), </w:t>
      </w:r>
      <w:r w:rsidR="004D29E5">
        <w:t>i</w:t>
      </w:r>
      <w:r w:rsidR="004D29E5">
        <w:t>t is important that employees’ hard work is recognised</w:t>
      </w:r>
      <w:r w:rsidR="004D29E5">
        <w:t xml:space="preserve"> and rewarded. </w:t>
      </w:r>
      <w:r w:rsidR="004D29E5">
        <w:t xml:space="preserve">Otherwise, employees will lose motivation and job satisfaction. </w:t>
      </w:r>
    </w:p>
    <w:p w14:paraId="61908BAC" w14:textId="7DA6855E" w:rsidR="00316C46" w:rsidRPr="005A0DAE" w:rsidRDefault="00D100CB" w:rsidP="000C4A1C">
      <w:r>
        <w:t xml:space="preserve">The police force follows a </w:t>
      </w:r>
      <w:r w:rsidR="004D29E5">
        <w:t xml:space="preserve">punitive </w:t>
      </w:r>
      <w:r>
        <w:t>system</w:t>
      </w:r>
      <w:r w:rsidR="004D29E5">
        <w:t>,</w:t>
      </w:r>
      <w:r>
        <w:t xml:space="preserve"> where </w:t>
      </w:r>
      <w:r>
        <w:t>employees</w:t>
      </w:r>
      <w:r>
        <w:t xml:space="preserve"> are responsible for </w:t>
      </w:r>
      <w:r>
        <w:t>mistakes and failures</w:t>
      </w:r>
      <w:r>
        <w:t xml:space="preserve">. This approach aims to correct their </w:t>
      </w:r>
      <w:r w:rsidR="00C873A6">
        <w:t>behaviour</w:t>
      </w:r>
      <w:r>
        <w:t xml:space="preserve"> by giving them reprimands, disciplinary action, or even terminating their employment for severe </w:t>
      </w:r>
      <w:r w:rsidR="00A52CE7">
        <w:t>offences</w:t>
      </w:r>
      <w:r w:rsidR="004D29E5">
        <w:t xml:space="preserve">. </w:t>
      </w:r>
      <w:r w:rsidRPr="00A4468F">
        <w:t>Employees understand the consequences of their actions</w:t>
      </w:r>
      <w:r>
        <w:t xml:space="preserve">, which, in turn, prevent them from engaging in </w:t>
      </w:r>
      <w:r>
        <w:t>misbehaviour</w:t>
      </w:r>
      <w:r>
        <w:t xml:space="preserve"> in the future</w:t>
      </w:r>
      <w:r w:rsidR="004D29E5">
        <w:t xml:space="preserve"> (</w:t>
      </w:r>
      <w:r w:rsidR="004D29E5">
        <w:t>Armstrong, 2019)</w:t>
      </w:r>
      <w:r>
        <w:t xml:space="preserve">. </w:t>
      </w:r>
      <w:r w:rsidR="00C873A6" w:rsidRPr="00DA3D88">
        <w:t>A punitive approach</w:t>
      </w:r>
      <w:r w:rsidR="00C873A6">
        <w:t xml:space="preserve"> </w:t>
      </w:r>
      <w:r w:rsidR="00A52CE7">
        <w:t>have</w:t>
      </w:r>
      <w:r>
        <w:t xml:space="preserve"> been critici</w:t>
      </w:r>
      <w:r w:rsidR="00C873A6">
        <w:t>s</w:t>
      </w:r>
      <w:r>
        <w:t xml:space="preserve">ed by the CIPD </w:t>
      </w:r>
      <w:r w:rsidR="00C873A6">
        <w:t>(</w:t>
      </w:r>
      <w:r>
        <w:t>2022b) for being demotivating to employees.</w:t>
      </w:r>
      <w:r w:rsidR="00C873A6">
        <w:t xml:space="preserve"> </w:t>
      </w:r>
      <w:r w:rsidR="00664F43">
        <w:t>W</w:t>
      </w:r>
      <w:r>
        <w:t xml:space="preserve">hile </w:t>
      </w:r>
      <w:r w:rsidR="00A52CE7" w:rsidRPr="00A52CE7">
        <w:t>holding employees accountable for their actions</w:t>
      </w:r>
      <w:r>
        <w:t xml:space="preserve">, </w:t>
      </w:r>
      <w:r w:rsidR="00A52CE7" w:rsidRPr="00A52CE7">
        <w:t xml:space="preserve">adopting a supportive and </w:t>
      </w:r>
      <w:r w:rsidR="00664F43">
        <w:t>positive</w:t>
      </w:r>
      <w:r w:rsidR="00A52CE7" w:rsidRPr="00A52CE7">
        <w:t xml:space="preserve"> approach that focuses on learning and development is equally important</w:t>
      </w:r>
      <w:r w:rsidR="00A52CE7">
        <w:t>.</w:t>
      </w:r>
      <w:r>
        <w:t xml:space="preserve"> </w:t>
      </w:r>
      <w:r w:rsidR="00316C46">
        <w:t>C</w:t>
      </w:r>
      <w:r w:rsidR="000C4A1C" w:rsidRPr="00DA3D88">
        <w:t xml:space="preserve">ollaborative approaches </w:t>
      </w:r>
      <w:r w:rsidR="00664F43">
        <w:t>effectively improve</w:t>
      </w:r>
      <w:r w:rsidR="000C4A1C" w:rsidRPr="00DA3D88">
        <w:t xml:space="preserve"> employee performance and job satisfaction</w:t>
      </w:r>
      <w:r w:rsidR="00C35B63">
        <w:t xml:space="preserve"> </w:t>
      </w:r>
      <w:r w:rsidR="004F73F8">
        <w:t>by addressing</w:t>
      </w:r>
      <w:r w:rsidR="000C4A1C" w:rsidRPr="00DA3D88">
        <w:t xml:space="preserve"> the root causes of performance issues, such as skill gaps, rather than punishing employees for their mistakes. Additionally, collaborative approaches are more likely to foster trust and positive relationships between supervisors and employees, leading to better job performance and a more engaged workforce. </w:t>
      </w:r>
    </w:p>
    <w:p w14:paraId="1852D097" w14:textId="2C21DFE9" w:rsidR="005A0DAE" w:rsidRDefault="00341385" w:rsidP="00DA3F38">
      <w:r>
        <w:t xml:space="preserve">Gwent Police </w:t>
      </w:r>
      <w:r>
        <w:t>conducts</w:t>
      </w:r>
      <w:r>
        <w:t xml:space="preserve"> a monthly staff review</w:t>
      </w:r>
      <w:r>
        <w:t>,</w:t>
      </w:r>
      <w:r>
        <w:t xml:space="preserve"> focusing on </w:t>
      </w:r>
      <w:r>
        <w:t xml:space="preserve">employees’ </w:t>
      </w:r>
      <w:r>
        <w:t>workload, goals, and well-being. Along with the formal review process, police constables receive ongoing, personalised feedback from their managers. This</w:t>
      </w:r>
      <w:r w:rsidR="0020266C">
        <w:t xml:space="preserve"> performance </w:t>
      </w:r>
      <w:r w:rsidR="0020266C">
        <w:lastRenderedPageBreak/>
        <w:t>management</w:t>
      </w:r>
      <w:r>
        <w:t xml:space="preserve"> approach is well-received by employees, </w:t>
      </w:r>
      <w:r w:rsidR="003E224B">
        <w:t xml:space="preserve">because is </w:t>
      </w:r>
      <w:r>
        <w:t xml:space="preserve">allowing them </w:t>
      </w:r>
      <w:r w:rsidRPr="00B67135">
        <w:t>to improve their performance continuously</w:t>
      </w:r>
      <w:r>
        <w:t xml:space="preserve"> (CIPD, 2022b). </w:t>
      </w:r>
      <w:r w:rsidR="00664F43">
        <w:t>Addressing</w:t>
      </w:r>
      <w:r>
        <w:t xml:space="preserve"> minor issues through regular feedback prevents them from escalating into more significant problems, misconduct, and legal cases.</w:t>
      </w:r>
      <w:r w:rsidR="005A0DAE">
        <w:t xml:space="preserve"> </w:t>
      </w:r>
      <w:proofErr w:type="spellStart"/>
      <w:r w:rsidR="005A0DAE">
        <w:rPr>
          <w:rFonts w:cs="Arial"/>
        </w:rPr>
        <w:t>Budworth</w:t>
      </w:r>
      <w:proofErr w:type="spellEnd"/>
      <w:r w:rsidR="005A0DAE">
        <w:rPr>
          <w:rFonts w:cs="Arial"/>
        </w:rPr>
        <w:t xml:space="preserve"> </w:t>
      </w:r>
      <w:r w:rsidR="005A0DAE" w:rsidRPr="00C35B63">
        <w:rPr>
          <w:rFonts w:cs="Arial"/>
          <w:i/>
          <w:iCs/>
        </w:rPr>
        <w:t xml:space="preserve">et al </w:t>
      </w:r>
      <w:r w:rsidR="005A0DAE" w:rsidRPr="00C35B63">
        <w:rPr>
          <w:rFonts w:cs="Arial"/>
        </w:rPr>
        <w:t>(</w:t>
      </w:r>
      <w:r w:rsidR="005A0DAE">
        <w:rPr>
          <w:rFonts w:cs="Arial"/>
        </w:rPr>
        <w:t>2015) assert that employees who receive positive feedback</w:t>
      </w:r>
      <w:r w:rsidR="005A0DAE">
        <w:t xml:space="preserve"> </w:t>
      </w:r>
      <w:r w:rsidR="005A0DAE">
        <w:rPr>
          <w:rFonts w:cs="Arial"/>
        </w:rPr>
        <w:t>perform better.</w:t>
      </w:r>
      <w:r w:rsidR="005A0DAE">
        <w:t xml:space="preserve"> </w:t>
      </w:r>
      <w:r w:rsidR="005A0DAE">
        <w:rPr>
          <w:rFonts w:cs="Arial"/>
        </w:rPr>
        <w:t xml:space="preserve">Negative feedback </w:t>
      </w:r>
      <w:r w:rsidR="005A0DAE" w:rsidRPr="00BE7563">
        <w:rPr>
          <w:rFonts w:cs="Arial"/>
        </w:rPr>
        <w:t xml:space="preserve">can </w:t>
      </w:r>
      <w:r w:rsidR="005A0DAE">
        <w:rPr>
          <w:rFonts w:cs="Arial"/>
        </w:rPr>
        <w:t>damage</w:t>
      </w:r>
      <w:r w:rsidR="005A0DAE" w:rsidRPr="00BE7563">
        <w:rPr>
          <w:rFonts w:cs="Arial"/>
        </w:rPr>
        <w:t xml:space="preserve"> relationships between sergeants and police officers, particularly if employees feel they are being evaluated unfairly or if managers are overly critical or punitive</w:t>
      </w:r>
      <w:r w:rsidR="005A0DAE">
        <w:rPr>
          <w:rFonts w:cs="Arial"/>
        </w:rPr>
        <w:t xml:space="preserve">. </w:t>
      </w:r>
    </w:p>
    <w:p w14:paraId="5B607C29" w14:textId="7E03D8F8" w:rsidR="006B281E" w:rsidRPr="005A0DAE" w:rsidRDefault="0020266C" w:rsidP="006B281E">
      <w:r>
        <w:t xml:space="preserve">Police departments </w:t>
      </w:r>
      <w:r w:rsidR="005A0DAE">
        <w:t xml:space="preserve">also </w:t>
      </w:r>
      <w:r>
        <w:t>adopt the Key Performance Indicator (KPI) approach for managing employee performance. This method involves identifying metrics that are relevant to evaluate an employee's performance. KPIs are typically used to track progress towards specific goals or targets and provide a way to measure performance quantitatively.</w:t>
      </w:r>
      <w:r w:rsidR="003E224B">
        <w:t xml:space="preserve"> In policing environment</w:t>
      </w:r>
      <w:r>
        <w:t xml:space="preserve"> </w:t>
      </w:r>
      <w:r w:rsidRPr="00DA3D88">
        <w:rPr>
          <w:rStyle w:val="markedcontent"/>
          <w:rFonts w:cs="Arial"/>
        </w:rPr>
        <w:t>is difficult to measure the performance due to the complexity of the role. Some tasks are easier and straightforward, and some are more complicated and require a longer time to complete.</w:t>
      </w:r>
      <w:r w:rsidRPr="00DA3D88">
        <w:t xml:space="preserve"> </w:t>
      </w:r>
      <w:r>
        <w:t xml:space="preserve">One important KPI for police staff is their efficiency in handling workload and time to complete administrative tasks. Response time is also an important KPI that measures how quickly police constables respond to emergencies. </w:t>
      </w:r>
      <w:r w:rsidR="00827624">
        <w:t>CIPD (2022 a) notes that</w:t>
      </w:r>
      <w:r w:rsidRPr="00A52CE7">
        <w:rPr>
          <w:color w:val="000000" w:themeColor="text1"/>
        </w:rPr>
        <w:t xml:space="preserve"> </w:t>
      </w:r>
      <w:r w:rsidRPr="00BE7563">
        <w:t xml:space="preserve">performance management systems </w:t>
      </w:r>
      <w:r>
        <w:t xml:space="preserve">that </w:t>
      </w:r>
      <w:r w:rsidRPr="00BE7563">
        <w:t>rely on metrics and numerical targets can demotivate employees, who may feel they are being reduced to numbers.</w:t>
      </w:r>
    </w:p>
    <w:p w14:paraId="0B0FB47E" w14:textId="77777777" w:rsidR="0020266C" w:rsidRPr="004D29E5" w:rsidRDefault="0020266C" w:rsidP="0020266C">
      <w:r w:rsidRPr="00BE7563">
        <w:t>Gwent Police focuses on individual employee performance</w:t>
      </w:r>
      <w:r>
        <w:t xml:space="preserve"> evaluation</w:t>
      </w:r>
      <w:r w:rsidRPr="00BE7563">
        <w:t xml:space="preserve"> rather than </w:t>
      </w:r>
      <w:r>
        <w:t>team performance</w:t>
      </w:r>
      <w:r w:rsidRPr="00BE7563">
        <w:t>. This can lead to a competitive rather than collaborative culture.</w:t>
      </w:r>
      <w:r>
        <w:t xml:space="preserve"> O</w:t>
      </w:r>
      <w:r w:rsidRPr="00F040B6">
        <w:t>rganisations</w:t>
      </w:r>
      <w:r>
        <w:t>, which</w:t>
      </w:r>
      <w:r w:rsidRPr="00F040B6">
        <w:t xml:space="preserve"> </w:t>
      </w:r>
      <w:r>
        <w:t>emphasise</w:t>
      </w:r>
      <w:r w:rsidRPr="00F040B6">
        <w:t xml:space="preserve"> team-based performance evaluations</w:t>
      </w:r>
      <w:r>
        <w:t>,</w:t>
      </w:r>
      <w:r w:rsidRPr="00F040B6">
        <w:t xml:space="preserve"> build stronger teams and improve </w:t>
      </w:r>
      <w:r>
        <w:t xml:space="preserve">collaboration. By focusing on team-based goals, individuals are encouraged to work as a unit, with a shared sense of responsibility for </w:t>
      </w:r>
      <w:r>
        <w:lastRenderedPageBreak/>
        <w:t xml:space="preserve">the team’s success. </w:t>
      </w:r>
      <w:r w:rsidRPr="00714C96">
        <w:t xml:space="preserve">Procter </w:t>
      </w:r>
      <w:r>
        <w:t>and</w:t>
      </w:r>
      <w:r w:rsidRPr="00714C96">
        <w:t xml:space="preserve"> Gamble </w:t>
      </w:r>
      <w:r>
        <w:t>use</w:t>
      </w:r>
      <w:r w:rsidRPr="00714C96">
        <w:t xml:space="preserve"> a system called "The Five Behaviours of a Cohesive Team," which includes assessing how well teams are able to build trust, engage in healthy conflict, commit to a shared goal, hold each other accountable, and focus on achieving collective results.</w:t>
      </w:r>
      <w:r>
        <w:t xml:space="preserve"> </w:t>
      </w:r>
    </w:p>
    <w:p w14:paraId="2FDD83FF" w14:textId="74A7A6CA" w:rsidR="004D29E5" w:rsidRPr="004F73F8" w:rsidRDefault="0020266C" w:rsidP="00340E6E">
      <w:pPr>
        <w:rPr>
          <w:rStyle w:val="markedcontent"/>
        </w:rPr>
      </w:pPr>
      <w:r w:rsidRPr="00714C96">
        <w:t>Zappos, the online shoe retailer, and Spotify, the music streaming company</w:t>
      </w:r>
      <w:r>
        <w:t xml:space="preserve">, </w:t>
      </w:r>
      <w:r w:rsidRPr="00714C96">
        <w:t>use a peer-to-peer evaluation system where employees rate each other and then work together to identify areas for improvement and develop strategies for addressing them.</w:t>
      </w:r>
      <w:r>
        <w:t xml:space="preserve"> This method provides a more precise evaluation because managers may not always possess enough knowledge to fairly assess an employee’s performance</w:t>
      </w:r>
      <w:r>
        <w:rPr>
          <w:rStyle w:val="markedcontent"/>
          <w:rFonts w:cs="Arial"/>
        </w:rPr>
        <w:t xml:space="preserve"> </w:t>
      </w:r>
      <w:r w:rsidRPr="00714C96">
        <w:rPr>
          <w:rStyle w:val="markedcontent"/>
          <w:rFonts w:cs="Arial"/>
        </w:rPr>
        <w:t>(SHRM, 2010)</w:t>
      </w:r>
      <w:r>
        <w:rPr>
          <w:rStyle w:val="markedcontent"/>
          <w:rFonts w:cs="Arial"/>
        </w:rPr>
        <w:t xml:space="preserve">. </w:t>
      </w:r>
      <w:r>
        <w:t xml:space="preserve">However, when the performance is strictly based on peer review, it can lead to biases and favouritism, as </w:t>
      </w:r>
      <w:r w:rsidRPr="00B43423">
        <w:t>personal relationships may influence the reviewers</w:t>
      </w:r>
      <w:r>
        <w:t>. This can result in an inaccurate assessment of an employee's performance and lead to demotivation and lower morale. Therefore, it is necessary to incorporate other forms of evaluation, such as self-assessment and supervisor feedback, to provide a more comprehensive and unbiased evaluation of employee performance.</w:t>
      </w:r>
    </w:p>
    <w:p w14:paraId="6023CFB5" w14:textId="212D6AB6" w:rsidR="00A2536D" w:rsidRPr="00DA3D88" w:rsidRDefault="00C4498C" w:rsidP="001F25E0">
      <w:pPr>
        <w:pStyle w:val="Heading1"/>
      </w:pPr>
      <w:bookmarkStart w:id="4" w:name="_Toc134549754"/>
      <w:r w:rsidRPr="00DA3D88">
        <w:t xml:space="preserve">2.2 Influence </w:t>
      </w:r>
      <w:r w:rsidR="00827624">
        <w:t>Model and Stakeholder Theory.</w:t>
      </w:r>
      <w:bookmarkEnd w:id="4"/>
    </w:p>
    <w:p w14:paraId="756A5DE1" w14:textId="16772F1F" w:rsidR="00664F43" w:rsidRDefault="000E6E9C" w:rsidP="007F7BF4">
      <w:r w:rsidRPr="00DA3D88">
        <w:rPr>
          <w:rStyle w:val="markedcontent"/>
          <w:rFonts w:cs="Arial"/>
        </w:rPr>
        <w:t xml:space="preserve">When planning strategies to improve employees’ performance and to make performance appraisals successful, there is a need to identify key stakeholders. </w:t>
      </w:r>
      <w:r w:rsidRPr="00DA3D88">
        <w:rPr>
          <w:rFonts w:cs="Arial"/>
        </w:rPr>
        <w:t xml:space="preserve">Stakeholder theory focuses on the idea that organisations should consider the interests of all stakeholders, including managers, employees, and the wider community. By considering the needs and expectations of all stakeholders, organisations can create </w:t>
      </w:r>
      <w:r w:rsidRPr="00F05E1F">
        <w:rPr>
          <w:rFonts w:cs="Arial"/>
          <w:color w:val="000000" w:themeColor="text1"/>
        </w:rPr>
        <w:t xml:space="preserve">more sustainable and successful business </w:t>
      </w:r>
      <w:r w:rsidR="00B43423">
        <w:rPr>
          <w:rFonts w:cs="Arial"/>
          <w:color w:val="000000" w:themeColor="text1"/>
        </w:rPr>
        <w:t xml:space="preserve">strategies. </w:t>
      </w:r>
      <w:r w:rsidR="00DB1B69" w:rsidRPr="00133ACC">
        <w:t xml:space="preserve">The HR and business partners (CIPD, 2021) work closely with </w:t>
      </w:r>
      <w:r w:rsidR="00650473">
        <w:t xml:space="preserve">management </w:t>
      </w:r>
      <w:r w:rsidR="00DB1B69" w:rsidRPr="00133ACC">
        <w:t xml:space="preserve">teams to </w:t>
      </w:r>
      <w:r w:rsidR="00DB1B69" w:rsidRPr="00133ACC">
        <w:lastRenderedPageBreak/>
        <w:t>help build organisational and people capabilities.</w:t>
      </w:r>
      <w:r w:rsidR="00BB4658">
        <w:t xml:space="preserve"> </w:t>
      </w:r>
      <w:r w:rsidRPr="00DA3D88">
        <w:rPr>
          <w:rStyle w:val="markedcontent"/>
          <w:rFonts w:cs="Arial"/>
        </w:rPr>
        <w:t xml:space="preserve">Managers are the most important stakeholder in driving employees’ performance as attitude, behaviour, and involvement will affect </w:t>
      </w:r>
      <w:r>
        <w:rPr>
          <w:rStyle w:val="markedcontent"/>
          <w:rFonts w:cs="Arial"/>
        </w:rPr>
        <w:t xml:space="preserve">performance </w:t>
      </w:r>
      <w:r w:rsidR="00650473">
        <w:rPr>
          <w:rStyle w:val="markedcontent"/>
          <w:rFonts w:cs="Arial"/>
        </w:rPr>
        <w:t>appraisals</w:t>
      </w:r>
      <w:r w:rsidRPr="00DA3D88">
        <w:rPr>
          <w:rStyle w:val="markedcontent"/>
          <w:rFonts w:cs="Arial"/>
        </w:rPr>
        <w:t>.</w:t>
      </w:r>
      <w:r w:rsidR="00732967" w:rsidRPr="00133ACC">
        <w:t xml:space="preserve"> </w:t>
      </w:r>
      <w:r w:rsidR="00C0748D">
        <w:t xml:space="preserve">Armstrong </w:t>
      </w:r>
      <w:r w:rsidR="00650473">
        <w:t xml:space="preserve">(2019) </w:t>
      </w:r>
      <w:r w:rsidR="00C0748D">
        <w:t xml:space="preserve">highlights the crucial role that business partners can play in encouraging management to </w:t>
      </w:r>
      <w:r w:rsidR="00DB1B69">
        <w:t>conduct</w:t>
      </w:r>
      <w:r w:rsidR="00C0748D">
        <w:t xml:space="preserve"> performance appraisals effectively. The success of this approach depends on business partners first </w:t>
      </w:r>
      <w:r w:rsidR="00DB1B69">
        <w:t>understanding</w:t>
      </w:r>
      <w:r w:rsidR="00C0748D">
        <w:t xml:space="preserve"> the challenges that managers face and then demonstrating the positive outcomes of this process. One of the main challenges is that managers often view performance </w:t>
      </w:r>
      <w:r w:rsidR="00BB4658">
        <w:t>management</w:t>
      </w:r>
      <w:r w:rsidR="00C0748D">
        <w:t xml:space="preserve"> as a time-consuming task and a mere formality that they need to tick off their to-do list</w:t>
      </w:r>
      <w:r w:rsidR="00BB4658">
        <w:t xml:space="preserve"> </w:t>
      </w:r>
      <w:r w:rsidR="00BB4658">
        <w:t>(Charman, 2022)</w:t>
      </w:r>
      <w:r w:rsidR="00C0748D">
        <w:t xml:space="preserve">. </w:t>
      </w:r>
      <w:r w:rsidR="00053177">
        <w:rPr>
          <w:rStyle w:val="markedcontent"/>
          <w:rFonts w:cs="Arial"/>
        </w:rPr>
        <w:t>Lack of time was repeatedly mentioned as an issue in line managers’ ability to provide</w:t>
      </w:r>
      <w:r w:rsidR="00053177">
        <w:t xml:space="preserve"> </w:t>
      </w:r>
      <w:r w:rsidR="00053177">
        <w:rPr>
          <w:rStyle w:val="markedcontent"/>
          <w:rFonts w:cs="Arial"/>
        </w:rPr>
        <w:t>as much ongoing support to each individual as they would like</w:t>
      </w:r>
      <w:r w:rsidR="00053177">
        <w:rPr>
          <w:rStyle w:val="markedcontent"/>
          <w:rFonts w:cs="Arial"/>
        </w:rPr>
        <w:t xml:space="preserve"> </w:t>
      </w:r>
      <w:r w:rsidR="00053177">
        <w:t>(Betts, Farmer, 2019)</w:t>
      </w:r>
      <w:r w:rsidR="00053177">
        <w:rPr>
          <w:rStyle w:val="markedcontent"/>
          <w:rFonts w:cs="Arial"/>
        </w:rPr>
        <w:t>.</w:t>
      </w:r>
      <w:r w:rsidR="00053177">
        <w:rPr>
          <w:rStyle w:val="markedcontent"/>
          <w:rFonts w:cs="Arial"/>
        </w:rPr>
        <w:t xml:space="preserve"> </w:t>
      </w:r>
      <w:r w:rsidR="00C0748D">
        <w:t>This leads to a lack of engagement</w:t>
      </w:r>
      <w:r w:rsidR="00BB4658">
        <w:t xml:space="preserve">, </w:t>
      </w:r>
      <w:r w:rsidR="00DB1B69">
        <w:t>negatively impacting</w:t>
      </w:r>
      <w:r w:rsidR="00C0748D">
        <w:t xml:space="preserve"> the organisation's overall performance</w:t>
      </w:r>
      <w:r w:rsidR="00827624">
        <w:t>.</w:t>
      </w:r>
      <w:r w:rsidR="00C0748D">
        <w:t xml:space="preserve"> </w:t>
      </w:r>
      <w:r w:rsidR="00BB4658">
        <w:t xml:space="preserve">Bauer’s </w:t>
      </w:r>
      <w:r w:rsidR="00BB4658" w:rsidRPr="00BB4658">
        <w:rPr>
          <w:i/>
          <w:iCs/>
        </w:rPr>
        <w:t>et al</w:t>
      </w:r>
      <w:r w:rsidR="00BB4658">
        <w:t xml:space="preserve"> (2009)</w:t>
      </w:r>
      <w:r w:rsidR="00BB4658">
        <w:t xml:space="preserve"> highlight</w:t>
      </w:r>
      <w:r w:rsidR="00053177">
        <w:t xml:space="preserve"> that when</w:t>
      </w:r>
      <w:r w:rsidR="00C0748D">
        <w:t xml:space="preserve"> performance appraisals are conducted effectively</w:t>
      </w:r>
      <w:r w:rsidR="00053177">
        <w:t xml:space="preserve">, they </w:t>
      </w:r>
      <w:r w:rsidR="00C0748D">
        <w:t xml:space="preserve">develop employees' abilities, promote independent thinking and problem-solving, and ultimately benefit the organisation as a whole. </w:t>
      </w:r>
      <w:r w:rsidR="00BB4658">
        <w:t>Additionally,</w:t>
      </w:r>
      <w:r w:rsidR="00BB4658">
        <w:t xml:space="preserve"> </w:t>
      </w:r>
      <w:r w:rsidR="00BB4658" w:rsidRPr="00DB1B69">
        <w:t xml:space="preserve">competent and self-sufficient employees can </w:t>
      </w:r>
      <w:r w:rsidR="00BB4658">
        <w:t>free up management resources for other important responsibilities.</w:t>
      </w:r>
    </w:p>
    <w:p w14:paraId="7F578FCE" w14:textId="1729448B" w:rsidR="00AC0007" w:rsidRDefault="00C33E95" w:rsidP="007F7BF4">
      <w:r>
        <w:t>E</w:t>
      </w:r>
      <w:r>
        <w:t xml:space="preserve">mployees are a crucial </w:t>
      </w:r>
      <w:r>
        <w:t>stakeholder group</w:t>
      </w:r>
      <w:r>
        <w:t xml:space="preserve"> directly impacted by performance management. Betts and Farmer (2019) suggest that organisations should make an effort to demonstrate the value of performance processes to employees, as this would increase their engagement with the process. In order to achieve this, employees need to have confidence in the performance review or appraisal system. One of the ways to demonstrate the value of performance management is to ensure that employees receive adequate training and development opportunities based on the feedback they receive from performance appraisals.</w:t>
      </w:r>
      <w:r>
        <w:t xml:space="preserve"> </w:t>
      </w:r>
      <w:r w:rsidR="00AC0007">
        <w:t>Feedback</w:t>
      </w:r>
      <w:r>
        <w:t xml:space="preserve"> from police </w:t>
      </w:r>
      <w:r w:rsidR="00AC0007">
        <w:lastRenderedPageBreak/>
        <w:t>officers</w:t>
      </w:r>
      <w:r>
        <w:t xml:space="preserve">, </w:t>
      </w:r>
      <w:r w:rsidR="00AC0007">
        <w:t>wh</w:t>
      </w:r>
      <w:r w:rsidR="00AC0007">
        <w:t>o</w:t>
      </w:r>
      <w:r w:rsidR="00AC0007">
        <w:t xml:space="preserve"> had requested specialist training for four years with no success, highlights the frustration when employees feel their efforts to improve their skills and capabilities are not supported by th</w:t>
      </w:r>
      <w:r w:rsidR="00827624">
        <w:t xml:space="preserve">e </w:t>
      </w:r>
      <w:r w:rsidR="00AC0007">
        <w:t>organisation.</w:t>
      </w:r>
    </w:p>
    <w:p w14:paraId="082F0DD7" w14:textId="48B64133" w:rsidR="00AC0007" w:rsidRPr="00C33E95" w:rsidRDefault="00AC0007" w:rsidP="00AE0C36">
      <w:r>
        <w:t xml:space="preserve">Therefore, it is essential to ensure that performance management is not just a one-off process but a continuous cycle of feedback, development, and improvement. </w:t>
      </w:r>
      <w:hyperlink r:id="rId8" w:history="1">
        <w:r w:rsidR="00AE0C36" w:rsidRPr="00AE0C36">
          <w:rPr>
            <w:rStyle w:val="Hyperlink"/>
            <w:rFonts w:cs="Arial"/>
            <w:color w:val="282828"/>
            <w:spacing w:val="-2"/>
            <w:szCs w:val="24"/>
            <w:u w:val="none"/>
            <w:shd w:val="clear" w:color="auto" w:fill="FFFFFF"/>
          </w:rPr>
          <w:t>Cespedes</w:t>
        </w:r>
      </w:hyperlink>
      <w:r w:rsidR="00AE0C36" w:rsidRPr="00AE0C36">
        <w:rPr>
          <w:rFonts w:cs="Arial"/>
          <w:szCs w:val="24"/>
        </w:rPr>
        <w:t xml:space="preserve"> </w:t>
      </w:r>
      <w:r w:rsidR="00AE0C36">
        <w:t xml:space="preserve">(2022) recommends that </w:t>
      </w:r>
      <w:r w:rsidR="00987019">
        <w:t>m</w:t>
      </w:r>
      <w:r>
        <w:t xml:space="preserve">anagers should follow up on the results of appraisals and take action to address any </w:t>
      </w:r>
      <w:r>
        <w:t>employee concerns or issues</w:t>
      </w:r>
      <w:r>
        <w:t xml:space="preserve">. This approach will help </w:t>
      </w:r>
      <w:r>
        <w:t>create a continuous improvement culture</w:t>
      </w:r>
      <w:r>
        <w:t xml:space="preserve"> and motivate employees to engage in the performance management process.</w:t>
      </w:r>
    </w:p>
    <w:p w14:paraId="5FA87613" w14:textId="25373B00" w:rsidR="00987019" w:rsidRPr="00987019" w:rsidRDefault="00AE0C36" w:rsidP="007F7BF4">
      <w:r>
        <w:t>Effective performance appraisals can identify areas where additional training or development may be necessary to improve the performance of police officers, ultimately benefiting external stakeholders such as the public and other emergency services.</w:t>
      </w:r>
      <w:r>
        <w:rPr>
          <w:rFonts w:eastAsia="Times New Roman" w:cs="Arial"/>
          <w:szCs w:val="24"/>
          <w:lang w:eastAsia="en-GB"/>
        </w:rPr>
        <w:t xml:space="preserve"> </w:t>
      </w:r>
      <w:r w:rsidR="005527BD">
        <w:t xml:space="preserve">For instance, if police officers fail to respond to emergency calls promptly, it can create pressure on ambulance or fire services, </w:t>
      </w:r>
      <w:r w:rsidR="006E0EE0">
        <w:t>resulting</w:t>
      </w:r>
      <w:r w:rsidR="005527BD">
        <w:t xml:space="preserve"> in negative consequences for the public. </w:t>
      </w:r>
    </w:p>
    <w:p w14:paraId="54D6A217" w14:textId="34845BCB" w:rsidR="00B64B42" w:rsidRDefault="00430D45" w:rsidP="007F7910">
      <w:pPr>
        <w:pStyle w:val="Heading1"/>
      </w:pPr>
      <w:bookmarkStart w:id="5" w:name="_Hlk133892807"/>
      <w:bookmarkStart w:id="6" w:name="_Toc134549755"/>
      <w:r>
        <w:t xml:space="preserve">3.0 </w:t>
      </w:r>
      <w:r w:rsidR="00B64B42">
        <w:t>CONCLUSION</w:t>
      </w:r>
      <w:bookmarkEnd w:id="6"/>
    </w:p>
    <w:p w14:paraId="66CBDF38" w14:textId="7F7EA915" w:rsidR="00BE7563" w:rsidRPr="00F05E1F" w:rsidRDefault="00F05E1F" w:rsidP="00F05E1F">
      <w:pPr>
        <w:pStyle w:val="NormalWeb"/>
        <w:spacing w:line="480" w:lineRule="auto"/>
        <w:rPr>
          <w:rFonts w:ascii="Arial" w:hAnsi="Arial" w:cs="Arial"/>
        </w:rPr>
      </w:pPr>
      <w:r w:rsidRPr="005527BD">
        <w:rPr>
          <w:rFonts w:ascii="Arial" w:hAnsi="Arial" w:cs="Arial"/>
        </w:rPr>
        <w:t xml:space="preserve">Overall, rethinking performance management involves moving from traditional approaches focusing solely on evaluating employee performance to more dynamic and empowering strategies supporting ongoing development and growth. They </w:t>
      </w:r>
      <w:r w:rsidRPr="007F7910">
        <w:rPr>
          <w:rFonts w:ascii="Arial" w:hAnsi="Arial" w:cs="Arial"/>
        </w:rPr>
        <w:t>are designed to help organisations support employees in achieving their full potential while driving overall business success.</w:t>
      </w:r>
      <w:r w:rsidR="000D3F3D">
        <w:rPr>
          <w:rFonts w:ascii="Arial" w:hAnsi="Arial" w:cs="Arial"/>
        </w:rPr>
        <w:t xml:space="preserve"> </w:t>
      </w:r>
    </w:p>
    <w:p w14:paraId="595A5B9C" w14:textId="0F6561DE" w:rsidR="00F05E1F" w:rsidRDefault="00F05E1F" w:rsidP="00F05E1F">
      <w:r>
        <w:t xml:space="preserve">Performance appraisals should be viewed as an opportunity for growth and development rather than just a routine exercise. </w:t>
      </w:r>
      <w:r w:rsidR="000D3F3D" w:rsidRPr="00BE7563">
        <w:rPr>
          <w:rFonts w:cs="Arial"/>
        </w:rPr>
        <w:t xml:space="preserve">While performance appraisals can </w:t>
      </w:r>
      <w:r w:rsidR="000D3F3D" w:rsidRPr="00BE7563">
        <w:rPr>
          <w:rFonts w:cs="Arial"/>
        </w:rPr>
        <w:lastRenderedPageBreak/>
        <w:t>be useful, they must be carefully implemented to avoid demotivating employees, harming relationships, and promoting a culture of competition or unethical behaviour.</w:t>
      </w:r>
      <w:r w:rsidR="000D3F3D" w:rsidRPr="000D3F3D">
        <w:t xml:space="preserve"> </w:t>
      </w:r>
      <w:r w:rsidR="000D3F3D">
        <w:t>By adopting a more effective and supportive approach to performance appraisals, police departments can improve employee engagement, performance, and overall job satisfaction.</w:t>
      </w:r>
    </w:p>
    <w:p w14:paraId="00AE27D6" w14:textId="77777777" w:rsidR="00987019" w:rsidRPr="00987019" w:rsidRDefault="00987019" w:rsidP="00F05E1F">
      <w:pPr>
        <w:rPr>
          <w:rFonts w:cs="Arial"/>
          <w:u w:val="single"/>
        </w:rPr>
      </w:pPr>
    </w:p>
    <w:p w14:paraId="0326FF78" w14:textId="58B9195B" w:rsidR="00724CDC" w:rsidRPr="00AE0C36" w:rsidRDefault="00430D45" w:rsidP="00AE0C36">
      <w:pPr>
        <w:pStyle w:val="Heading1"/>
      </w:pPr>
      <w:bookmarkStart w:id="7" w:name="_Toc134549756"/>
      <w:bookmarkEnd w:id="5"/>
      <w:r>
        <w:t xml:space="preserve">4.0 </w:t>
      </w:r>
      <w:r w:rsidR="00D169F5">
        <w:t>RECOMMENDATION</w:t>
      </w:r>
      <w:r w:rsidR="00114C8B">
        <w:t>:</w:t>
      </w:r>
      <w:bookmarkEnd w:id="7"/>
    </w:p>
    <w:p w14:paraId="58E642E6" w14:textId="4F5BFDED" w:rsidR="00AE0C36" w:rsidRDefault="00835F46" w:rsidP="00835F46">
      <w:r>
        <w:t xml:space="preserve">The </w:t>
      </w:r>
      <w:r w:rsidR="00AE0C36">
        <w:t xml:space="preserve">NHS’s “360-degree” appraisal process </w:t>
      </w:r>
      <w:r w:rsidR="004B418C">
        <w:t>(Maddock, 2021)</w:t>
      </w:r>
      <w:r>
        <w:t xml:space="preserve"> </w:t>
      </w:r>
      <w:r w:rsidR="00AE0C36">
        <w:t>effectively comprehensively evaluates</w:t>
      </w:r>
      <w:r>
        <w:t xml:space="preserve"> an employee's performance. By gathering feedback from multiple sources, including supervisors, colleagues, and patients, the appraisal process provides a well-rounded perspective on an employee's strengths and weaknesses. This approach enables employees to receive constructive feedback on their performance and areas for improvement, which can help them develop their skills and enhance their performance</w:t>
      </w:r>
      <w:r w:rsidR="00097321">
        <w:t xml:space="preserve"> (</w:t>
      </w:r>
      <w:r w:rsidR="00097321">
        <w:t>Koh, N</w:t>
      </w:r>
      <w:r w:rsidR="00097321">
        <w:t xml:space="preserve">g, </w:t>
      </w:r>
      <w:r w:rsidR="00097321">
        <w:t>202</w:t>
      </w:r>
      <w:r w:rsidR="00097321">
        <w:t>0)</w:t>
      </w:r>
      <w:r>
        <w:t>.</w:t>
      </w:r>
      <w:r>
        <w:rPr>
          <w:rFonts w:ascii="Times New Roman" w:hAnsi="Times New Roman"/>
        </w:rPr>
        <w:t xml:space="preserve"> </w:t>
      </w:r>
      <w:r>
        <w:t>By gathering feedback from multiple sources, the appraisal process can provide a more accurate</w:t>
      </w:r>
      <w:r w:rsidR="00305404">
        <w:t>, comprehensive,</w:t>
      </w:r>
      <w:r>
        <w:t xml:space="preserve"> </w:t>
      </w:r>
      <w:r w:rsidR="00305404">
        <w:t>and objective evaluation</w:t>
      </w:r>
      <w:r>
        <w:t xml:space="preserve"> of an employee's performance. </w:t>
      </w:r>
    </w:p>
    <w:p w14:paraId="6DDED7DE" w14:textId="77777777" w:rsidR="00987019" w:rsidRDefault="00987019" w:rsidP="00835F46"/>
    <w:p w14:paraId="3FFAC7B3" w14:textId="77777777" w:rsidR="00987019" w:rsidRDefault="00987019" w:rsidP="00835F46"/>
    <w:p w14:paraId="205861AB" w14:textId="77777777" w:rsidR="00987019" w:rsidRDefault="00987019" w:rsidP="00835F46"/>
    <w:p w14:paraId="1D5425C7" w14:textId="77777777" w:rsidR="003241F2" w:rsidRDefault="003241F2" w:rsidP="00835F46"/>
    <w:p w14:paraId="0F20A2AD" w14:textId="77777777" w:rsidR="003241F2" w:rsidRPr="00987019" w:rsidRDefault="003241F2" w:rsidP="00835F46"/>
    <w:p w14:paraId="723EBE41" w14:textId="52CF1C4C" w:rsidR="005C0398" w:rsidRPr="00C35B63" w:rsidRDefault="00023EF3" w:rsidP="00C35B63">
      <w:pPr>
        <w:pStyle w:val="Heading1"/>
        <w:rPr>
          <w:rStyle w:val="markedcontent"/>
        </w:rPr>
      </w:pPr>
      <w:bookmarkStart w:id="8" w:name="_Toc134549757"/>
      <w:r w:rsidRPr="00C35B63">
        <w:rPr>
          <w:rStyle w:val="markedcontent"/>
        </w:rPr>
        <w:lastRenderedPageBreak/>
        <w:t xml:space="preserve">5.0 </w:t>
      </w:r>
      <w:r w:rsidR="005C0398" w:rsidRPr="00C35B63">
        <w:rPr>
          <w:rStyle w:val="markedcontent"/>
        </w:rPr>
        <w:t>R</w:t>
      </w:r>
      <w:r w:rsidRPr="00C35B63">
        <w:rPr>
          <w:rStyle w:val="markedcontent"/>
        </w:rPr>
        <w:t>EFERENCES</w:t>
      </w:r>
      <w:r w:rsidR="005C0398" w:rsidRPr="00C35B63">
        <w:rPr>
          <w:rStyle w:val="markedcontent"/>
        </w:rPr>
        <w:t>:</w:t>
      </w:r>
      <w:bookmarkEnd w:id="8"/>
    </w:p>
    <w:p w14:paraId="754DCB6F" w14:textId="7143B010" w:rsidR="004B418C" w:rsidRPr="004B418C" w:rsidRDefault="005C0398" w:rsidP="00935507">
      <w:pPr>
        <w:spacing w:line="276" w:lineRule="auto"/>
        <w:rPr>
          <w:rStyle w:val="clearfix"/>
          <w:rFonts w:cs="Arial"/>
          <w:sz w:val="22"/>
          <w:u w:val="single"/>
        </w:rPr>
      </w:pPr>
      <w:r w:rsidRPr="007F7BF4">
        <w:rPr>
          <w:rFonts w:cs="Arial"/>
          <w:sz w:val="22"/>
        </w:rPr>
        <w:t xml:space="preserve">Armstrong M. (2019) </w:t>
      </w:r>
      <w:r w:rsidRPr="007F7BF4">
        <w:rPr>
          <w:rFonts w:cs="Arial"/>
          <w:i/>
          <w:iCs/>
          <w:sz w:val="22"/>
        </w:rPr>
        <w:t xml:space="preserve">Armstrong's Handbook of Reward Management Practice. </w:t>
      </w:r>
      <w:r w:rsidRPr="007F7BF4">
        <w:rPr>
          <w:rFonts w:cs="Arial"/>
          <w:sz w:val="22"/>
        </w:rPr>
        <w:t>6</w:t>
      </w:r>
      <w:r w:rsidRPr="007F7BF4">
        <w:rPr>
          <w:rFonts w:cs="Arial"/>
          <w:sz w:val="22"/>
          <w:vertAlign w:val="superscript"/>
        </w:rPr>
        <w:t>th</w:t>
      </w:r>
      <w:r w:rsidRPr="007F7BF4">
        <w:rPr>
          <w:rFonts w:cs="Arial"/>
          <w:sz w:val="22"/>
        </w:rPr>
        <w:t xml:space="preserve"> Edition. London: Kogan Page.</w:t>
      </w:r>
    </w:p>
    <w:p w14:paraId="45D90F92" w14:textId="61BEF1C4" w:rsidR="005C0398" w:rsidRPr="007F7BF4" w:rsidRDefault="005C0398" w:rsidP="00935507">
      <w:pPr>
        <w:spacing w:line="276" w:lineRule="auto"/>
        <w:rPr>
          <w:rStyle w:val="markedcontent"/>
          <w:rFonts w:cs="Arial"/>
          <w:sz w:val="22"/>
        </w:rPr>
      </w:pPr>
      <w:r w:rsidRPr="007F7BF4">
        <w:rPr>
          <w:rStyle w:val="clearfix"/>
          <w:rFonts w:cs="Arial"/>
          <w:sz w:val="22"/>
        </w:rPr>
        <w:t>Bergeron P. (2022) ‘</w:t>
      </w:r>
      <w:r w:rsidRPr="007F7BF4">
        <w:rPr>
          <w:rFonts w:cs="Arial"/>
          <w:sz w:val="22"/>
        </w:rPr>
        <w:t>Stay Interviews Can Be an Antidote to Exit Interviews’. SHRM. Available at: https://www.shrm.org/resourcesandtools/hr-topics/employee-relations/pages/stay-interviews-can-be-an-antidote-to-exit-interviews.aspx (accessed 11.04.2023).</w:t>
      </w:r>
    </w:p>
    <w:p w14:paraId="7C44226B" w14:textId="086840EE" w:rsidR="006B09ED" w:rsidRDefault="006B09ED" w:rsidP="005C0398">
      <w:pPr>
        <w:spacing w:line="276" w:lineRule="auto"/>
        <w:rPr>
          <w:rStyle w:val="markedcontent"/>
          <w:rFonts w:cs="Arial"/>
          <w:sz w:val="22"/>
        </w:rPr>
      </w:pPr>
      <w:r w:rsidRPr="006B09ED">
        <w:rPr>
          <w:rFonts w:cs="Arial"/>
          <w:sz w:val="22"/>
        </w:rPr>
        <w:t xml:space="preserve">Betts P., Farmer C., (2019) Home Office Police Front Line Review: Workshops with police officers and police staff. Office for National Statistics. </w:t>
      </w:r>
    </w:p>
    <w:p w14:paraId="20801D23" w14:textId="5945444C" w:rsidR="00023EF3" w:rsidRDefault="00023EF3" w:rsidP="005C0398">
      <w:pPr>
        <w:spacing w:line="276" w:lineRule="auto"/>
        <w:rPr>
          <w:rStyle w:val="markedcontent"/>
          <w:rFonts w:cs="Arial"/>
          <w:sz w:val="22"/>
        </w:rPr>
      </w:pPr>
      <w:proofErr w:type="spellStart"/>
      <w:r w:rsidRPr="00023EF3">
        <w:rPr>
          <w:rFonts w:cs="Arial"/>
          <w:sz w:val="22"/>
        </w:rPr>
        <w:t>Budworth</w:t>
      </w:r>
      <w:proofErr w:type="spellEnd"/>
      <w:r w:rsidRPr="00023EF3">
        <w:rPr>
          <w:rFonts w:cs="Arial"/>
          <w:sz w:val="22"/>
        </w:rPr>
        <w:t xml:space="preserve"> M.H., Latham G.P., </w:t>
      </w:r>
      <w:proofErr w:type="spellStart"/>
      <w:r w:rsidRPr="00023EF3">
        <w:rPr>
          <w:rFonts w:cs="Arial"/>
          <w:sz w:val="22"/>
        </w:rPr>
        <w:t>Manroop</w:t>
      </w:r>
      <w:proofErr w:type="spellEnd"/>
      <w:r w:rsidRPr="00023EF3">
        <w:rPr>
          <w:rFonts w:cs="Arial"/>
          <w:sz w:val="22"/>
        </w:rPr>
        <w:t xml:space="preserve"> L. (2015) Looking forward to performance</w:t>
      </w:r>
      <w:r w:rsidRPr="00023EF3">
        <w:rPr>
          <w:sz w:val="22"/>
        </w:rPr>
        <w:br/>
      </w:r>
      <w:r w:rsidRPr="00023EF3">
        <w:rPr>
          <w:rFonts w:cs="Arial"/>
          <w:sz w:val="22"/>
        </w:rPr>
        <w:t>improvement: a field test of</w:t>
      </w:r>
      <w:r w:rsidRPr="00023EF3">
        <w:rPr>
          <w:sz w:val="22"/>
        </w:rPr>
        <w:t xml:space="preserve"> </w:t>
      </w:r>
      <w:r w:rsidRPr="00023EF3">
        <w:rPr>
          <w:rFonts w:cs="Arial"/>
          <w:sz w:val="22"/>
        </w:rPr>
        <w:t>the feedforward interview for</w:t>
      </w:r>
      <w:r w:rsidRPr="00023EF3">
        <w:rPr>
          <w:sz w:val="22"/>
        </w:rPr>
        <w:t xml:space="preserve"> </w:t>
      </w:r>
      <w:r w:rsidRPr="00023EF3">
        <w:rPr>
          <w:rFonts w:cs="Arial"/>
          <w:sz w:val="22"/>
        </w:rPr>
        <w:t>performance management. Human</w:t>
      </w:r>
      <w:r w:rsidRPr="00023EF3">
        <w:rPr>
          <w:sz w:val="22"/>
        </w:rPr>
        <w:t xml:space="preserve"> </w:t>
      </w:r>
      <w:r w:rsidRPr="00023EF3">
        <w:rPr>
          <w:rFonts w:cs="Arial"/>
          <w:sz w:val="22"/>
        </w:rPr>
        <w:t>Resource Management. 54(1). Pp 45–54.</w:t>
      </w:r>
    </w:p>
    <w:p w14:paraId="33372EB4" w14:textId="71929C39" w:rsidR="005C0398" w:rsidRPr="007F7BF4" w:rsidRDefault="005C0398" w:rsidP="005C0398">
      <w:pPr>
        <w:spacing w:line="276" w:lineRule="auto"/>
        <w:rPr>
          <w:rStyle w:val="markedcontent"/>
          <w:rFonts w:cs="Arial"/>
          <w:sz w:val="22"/>
        </w:rPr>
      </w:pPr>
      <w:r w:rsidRPr="007F7BF4">
        <w:rPr>
          <w:rStyle w:val="markedcontent"/>
          <w:rFonts w:cs="Arial"/>
          <w:sz w:val="22"/>
        </w:rPr>
        <w:t>Cespedes, F.V. (2022) ‘How to Conduct a Great Performance Review’, Harvard Business Review.</w:t>
      </w:r>
      <w:r w:rsidRPr="007F7BF4">
        <w:rPr>
          <w:rFonts w:cs="Arial"/>
          <w:sz w:val="22"/>
        </w:rPr>
        <w:t xml:space="preserve"> </w:t>
      </w:r>
      <w:r w:rsidRPr="007F7BF4">
        <w:rPr>
          <w:rStyle w:val="markedcontent"/>
          <w:rFonts w:cs="Arial"/>
          <w:sz w:val="22"/>
        </w:rPr>
        <w:t>Available at: https://hbr.org/2022/07/how-to-conduct-a-great-performance-review (Accessed: 19.03.2023).</w:t>
      </w:r>
    </w:p>
    <w:p w14:paraId="2C4AC7F0" w14:textId="50125716" w:rsidR="004A3AE7" w:rsidRPr="007F7BF4" w:rsidRDefault="004A3AE7" w:rsidP="005C0398">
      <w:pPr>
        <w:spacing w:line="276" w:lineRule="auto"/>
        <w:rPr>
          <w:rStyle w:val="markedcontent"/>
          <w:rFonts w:cs="Arial"/>
          <w:sz w:val="22"/>
        </w:rPr>
      </w:pPr>
      <w:r w:rsidRPr="007F7BF4">
        <w:rPr>
          <w:rFonts w:cs="Arial"/>
          <w:sz w:val="22"/>
        </w:rPr>
        <w:t>Charman S. (2022) Police officer resignations have risen by 72% in the last year – we asked former officers why. The University of Portsmouth. [1 November 2022]. Available at: https://www.port.ac.uk/news-events-and-blogs/blogs/democratic-citizenship/police-officer-resignations-have-risen-by-72-in-the-last-year-we-asked-former-officers-why (accessed 22.03.2023).</w:t>
      </w:r>
    </w:p>
    <w:p w14:paraId="670780FC" w14:textId="77777777" w:rsidR="005C0398" w:rsidRPr="007F7BF4" w:rsidRDefault="005C0398" w:rsidP="00935507">
      <w:pPr>
        <w:spacing w:line="276" w:lineRule="auto"/>
        <w:rPr>
          <w:rFonts w:cs="Arial"/>
          <w:sz w:val="22"/>
        </w:rPr>
      </w:pPr>
      <w:r w:rsidRPr="007F7BF4">
        <w:rPr>
          <w:rFonts w:cs="Arial"/>
          <w:sz w:val="22"/>
        </w:rPr>
        <w:t>CIPD (2022) Performance management: an introduction. Available at: https://www.cipd.co.uk/knowledge/fundamentals/people/performance/factsheet (accessed 02.03.2023).</w:t>
      </w:r>
    </w:p>
    <w:p w14:paraId="0B4D63D5" w14:textId="13F01756" w:rsidR="000B3100" w:rsidRPr="007F7BF4" w:rsidRDefault="000B3100" w:rsidP="00935507">
      <w:pPr>
        <w:spacing w:line="276" w:lineRule="auto"/>
        <w:rPr>
          <w:rFonts w:cs="Arial"/>
          <w:sz w:val="22"/>
        </w:rPr>
      </w:pPr>
      <w:r w:rsidRPr="007F7BF4">
        <w:rPr>
          <w:rFonts w:cs="Arial"/>
          <w:sz w:val="22"/>
        </w:rPr>
        <w:t xml:space="preserve">CIPD (2022a) Performance review. </w:t>
      </w:r>
      <w:r w:rsidRPr="007F7BF4">
        <w:rPr>
          <w:rFonts w:cs="Arial"/>
          <w:sz w:val="22"/>
        </w:rPr>
        <w:t>https://www.cipd.org/uk/knowledge/factsheets/appraisals-factsheet/</w:t>
      </w:r>
      <w:r w:rsidRPr="007F7BF4">
        <w:rPr>
          <w:rFonts w:cs="Arial"/>
          <w:sz w:val="22"/>
        </w:rPr>
        <w:t xml:space="preserve"> (accessed 30.04.2023).</w:t>
      </w:r>
    </w:p>
    <w:p w14:paraId="51997947" w14:textId="15194DA6" w:rsidR="004A3AE7" w:rsidRDefault="004A3AE7" w:rsidP="00935507">
      <w:pPr>
        <w:spacing w:line="276" w:lineRule="auto"/>
        <w:rPr>
          <w:rFonts w:cs="Arial"/>
          <w:sz w:val="22"/>
        </w:rPr>
      </w:pPr>
      <w:r w:rsidRPr="007F7BF4">
        <w:rPr>
          <w:rFonts w:cs="Arial"/>
          <w:sz w:val="22"/>
        </w:rPr>
        <w:t>CIPD (2022b) Performance feedback: An evidence review. Available at: https://www.cipd.org/uk/knowledge/evidence-reviews/performance-feedback/ (accessed 30.04.2023).</w:t>
      </w:r>
    </w:p>
    <w:p w14:paraId="6F8E2CD2" w14:textId="739D324A" w:rsidR="004B418C" w:rsidRPr="00023EF3" w:rsidRDefault="004B418C" w:rsidP="00935507">
      <w:pPr>
        <w:spacing w:line="276" w:lineRule="auto"/>
        <w:rPr>
          <w:rFonts w:cs="Arial"/>
          <w:sz w:val="22"/>
        </w:rPr>
      </w:pPr>
      <w:r w:rsidRPr="00023EF3">
        <w:rPr>
          <w:sz w:val="22"/>
        </w:rPr>
        <w:t>Koh, C.</w:t>
      </w:r>
      <w:r w:rsidRPr="00023EF3">
        <w:rPr>
          <w:sz w:val="22"/>
        </w:rPr>
        <w:t>, Ng K.Y.</w:t>
      </w:r>
      <w:r w:rsidRPr="00023EF3">
        <w:rPr>
          <w:sz w:val="22"/>
        </w:rPr>
        <w:t xml:space="preserve"> (2020). Does 360-degree feedback promote employee development? A meta-analytic investigation. Journal of Management, 46(2),</w:t>
      </w:r>
      <w:r w:rsidR="00097321" w:rsidRPr="00023EF3">
        <w:rPr>
          <w:sz w:val="22"/>
        </w:rPr>
        <w:t xml:space="preserve"> pp</w:t>
      </w:r>
      <w:r w:rsidRPr="00023EF3">
        <w:rPr>
          <w:sz w:val="22"/>
        </w:rPr>
        <w:t xml:space="preserve"> 236-262</w:t>
      </w:r>
      <w:r w:rsidR="00097321" w:rsidRPr="00023EF3">
        <w:rPr>
          <w:sz w:val="22"/>
        </w:rPr>
        <w:t>.</w:t>
      </w:r>
    </w:p>
    <w:p w14:paraId="39B454C3" w14:textId="5624819F" w:rsidR="00935507" w:rsidRDefault="00935507" w:rsidP="00935507">
      <w:pPr>
        <w:spacing w:line="276" w:lineRule="auto"/>
        <w:rPr>
          <w:rFonts w:cs="Arial"/>
          <w:sz w:val="22"/>
        </w:rPr>
      </w:pPr>
      <w:r w:rsidRPr="007F7BF4">
        <w:rPr>
          <w:rFonts w:cs="Arial"/>
          <w:sz w:val="22"/>
        </w:rPr>
        <w:t>CIPD (2021) Business Partnering. Available at : https://www.cipd.org/uk/knowledge/factsheets/business-partnering-factsheet/ (accessed 29.04.2023).</w:t>
      </w:r>
    </w:p>
    <w:p w14:paraId="627FB42B" w14:textId="3C95838F" w:rsidR="00305404" w:rsidRDefault="00305404" w:rsidP="00935507">
      <w:pPr>
        <w:spacing w:line="276" w:lineRule="auto"/>
        <w:rPr>
          <w:rFonts w:cs="Arial"/>
          <w:sz w:val="22"/>
        </w:rPr>
      </w:pPr>
      <w:r w:rsidRPr="00305404">
        <w:rPr>
          <w:rFonts w:cs="Arial"/>
          <w:sz w:val="22"/>
        </w:rPr>
        <w:t>CIPD (2016) Rapid evidence assessment of the</w:t>
      </w:r>
      <w:r w:rsidRPr="00305404">
        <w:rPr>
          <w:sz w:val="22"/>
        </w:rPr>
        <w:t xml:space="preserve"> </w:t>
      </w:r>
      <w:r w:rsidRPr="00305404">
        <w:rPr>
          <w:rFonts w:cs="Arial"/>
          <w:sz w:val="22"/>
        </w:rPr>
        <w:t>research literature on the effect of</w:t>
      </w:r>
      <w:r w:rsidRPr="00305404">
        <w:rPr>
          <w:sz w:val="22"/>
        </w:rPr>
        <w:br/>
        <w:t xml:space="preserve">performance appraisal </w:t>
      </w:r>
      <w:r w:rsidRPr="00305404">
        <w:rPr>
          <w:rFonts w:cs="Arial"/>
          <w:sz w:val="22"/>
        </w:rPr>
        <w:t>on workplace performance. Available at: ttps://www.cipd.org/globalassets/media/knowledge/knowledge-hub/reports/rapid-evidence-assessment-of-the-research-literature-on-the-effect-of-performance-appraisal-on-workplace-performance_tcm18-16902.pdf (accessed 09.05.2023).</w:t>
      </w:r>
    </w:p>
    <w:p w14:paraId="611DDCA9" w14:textId="13B65681" w:rsidR="004B418C" w:rsidRPr="004B418C" w:rsidRDefault="004B418C" w:rsidP="00935507">
      <w:pPr>
        <w:spacing w:line="276" w:lineRule="auto"/>
        <w:rPr>
          <w:rFonts w:ascii="Times New Roman" w:hAnsi="Times New Roman"/>
          <w:sz w:val="22"/>
        </w:rPr>
      </w:pPr>
      <w:r w:rsidRPr="004B418C">
        <w:rPr>
          <w:sz w:val="22"/>
        </w:rPr>
        <w:lastRenderedPageBreak/>
        <w:t>Maddocks J., (2021) The role of 360° leadership feedback in NHS patient care. Hospital Times. Available at: https://www.hospitaltimes.co.uk/the-role-of-360-leadership-feedback-in-nhs-patient-care/ (accessed 09.05.2023).</w:t>
      </w:r>
    </w:p>
    <w:p w14:paraId="62BDB3F6" w14:textId="01ED6052" w:rsidR="007020EE" w:rsidRPr="007F7BF4" w:rsidRDefault="007020EE" w:rsidP="007020EE">
      <w:pPr>
        <w:pStyle w:val="NormalWeb"/>
        <w:rPr>
          <w:rFonts w:ascii="Arial" w:hAnsi="Arial" w:cs="Arial"/>
          <w:sz w:val="22"/>
          <w:szCs w:val="22"/>
        </w:rPr>
      </w:pPr>
      <w:r w:rsidRPr="007F7BF4">
        <w:rPr>
          <w:rFonts w:ascii="Arial" w:hAnsi="Arial" w:cs="Arial"/>
          <w:sz w:val="22"/>
          <w:szCs w:val="22"/>
        </w:rPr>
        <w:t xml:space="preserve">Society for Human Resource Management (SHRM) (2010). </w:t>
      </w:r>
      <w:r w:rsidRPr="007F7BF4">
        <w:rPr>
          <w:rStyle w:val="markedcontent"/>
          <w:rFonts w:ascii="Arial" w:hAnsi="Arial" w:cs="Arial"/>
          <w:sz w:val="22"/>
          <w:szCs w:val="22"/>
        </w:rPr>
        <w:t>Chapter 8: Performance Management and Appraisal. Available at: https://www.sagepub.com/sites/default/files/upm-binaries/45674_8.pdf (accessed 28.04.2023).</w:t>
      </w:r>
    </w:p>
    <w:p w14:paraId="4B26E4E5" w14:textId="5D2B30C1" w:rsidR="00F20978" w:rsidRDefault="00F20978" w:rsidP="00F20978">
      <w:pPr>
        <w:pStyle w:val="first"/>
        <w:rPr>
          <w:rFonts w:ascii="Arial" w:hAnsi="Arial" w:cs="Arial"/>
          <w:sz w:val="22"/>
          <w:szCs w:val="22"/>
        </w:rPr>
      </w:pPr>
      <w:r w:rsidRPr="007F7BF4">
        <w:rPr>
          <w:rFonts w:ascii="Arial" w:hAnsi="Arial" w:cs="Arial"/>
          <w:sz w:val="22"/>
          <w:szCs w:val="22"/>
        </w:rPr>
        <w:t>Spector, P. E. (2011). Industrial and organisational psychology: Research and practice. John Wiley &amp; Sons.</w:t>
      </w:r>
    </w:p>
    <w:p w14:paraId="3EFED785" w14:textId="59A52E5F" w:rsidR="00510FA3" w:rsidRPr="00510FA3" w:rsidRDefault="00510FA3" w:rsidP="00510FA3">
      <w:pPr>
        <w:spacing w:line="276" w:lineRule="auto"/>
        <w:rPr>
          <w:rFonts w:ascii="Times New Roman" w:hAnsi="Times New Roman"/>
          <w:sz w:val="22"/>
        </w:rPr>
      </w:pPr>
      <w:proofErr w:type="spellStart"/>
      <w:r w:rsidRPr="00510FA3">
        <w:rPr>
          <w:rStyle w:val="authorname"/>
          <w:sz w:val="22"/>
        </w:rPr>
        <w:t>Sriganthan</w:t>
      </w:r>
      <w:proofErr w:type="spellEnd"/>
      <w:r w:rsidRPr="00510FA3">
        <w:rPr>
          <w:rStyle w:val="authorname"/>
          <w:sz w:val="22"/>
        </w:rPr>
        <w:t xml:space="preserve"> A. (2023) </w:t>
      </w:r>
      <w:r w:rsidRPr="00510FA3">
        <w:rPr>
          <w:sz w:val="22"/>
        </w:rPr>
        <w:t>Half of employees with poor managers say work negatively impacts their mental health, research finds. CIPD. Available at: https://www.peoplemanagement.co.uk/article/1821838/half-employees-poor-managers-say-work-negatively-impacts-mental-health-research-finds?bulletin=pm-daily&amp;utm_source=mc&amp;utm_medium=email&amp;utm_content=PM_Daily_04052023.https%3a%2f%2fwww.peoplemanagement.co.uk%2farticle%2f1821838%2fhalf-employees-poor-managers-say-work-negatively-impacts-mental-health-research-finds%3fbulletin%3dpm-daily&amp;utm_campaign=7295441&amp;utm_term=8443530 (accessed 04.05.2023).</w:t>
      </w:r>
    </w:p>
    <w:p w14:paraId="25EC3C55" w14:textId="253A5DA2" w:rsidR="005C0398" w:rsidRPr="007F7BF4" w:rsidRDefault="005C0398" w:rsidP="004A3AE7">
      <w:pPr>
        <w:spacing w:line="276" w:lineRule="auto"/>
        <w:rPr>
          <w:rFonts w:cs="Arial"/>
          <w:sz w:val="22"/>
        </w:rPr>
      </w:pPr>
      <w:r w:rsidRPr="007F7BF4">
        <w:rPr>
          <w:rFonts w:cs="Arial"/>
          <w:sz w:val="22"/>
        </w:rPr>
        <w:t xml:space="preserve">Woolston C. (2019) Why appraisals are pointless for most people. BBC NEWS. Available: </w:t>
      </w:r>
      <w:r w:rsidRPr="007F7BF4">
        <w:rPr>
          <w:rFonts w:cs="Arial"/>
          <w:sz w:val="22"/>
        </w:rPr>
        <w:t>https://www.bbc.com/worklife/article/20190501-why-appraisals-are-pointless-for-most-people</w:t>
      </w:r>
      <w:r w:rsidRPr="007F7BF4">
        <w:rPr>
          <w:rFonts w:cs="Arial"/>
          <w:sz w:val="22"/>
        </w:rPr>
        <w:t xml:space="preserve"> (Accessed 20.03.2023).</w:t>
      </w:r>
    </w:p>
    <w:p w14:paraId="34BA82F5" w14:textId="77777777" w:rsidR="005C0398" w:rsidRPr="005C0398" w:rsidRDefault="005C0398" w:rsidP="005C0398">
      <w:pPr>
        <w:pStyle w:val="NormalWeb"/>
        <w:spacing w:line="480" w:lineRule="auto"/>
        <w:ind w:left="360"/>
        <w:rPr>
          <w:rFonts w:ascii="Arial" w:hAnsi="Arial" w:cs="Arial"/>
        </w:rPr>
      </w:pPr>
    </w:p>
    <w:p w14:paraId="749A89F2" w14:textId="77777777" w:rsidR="00114C8B" w:rsidRDefault="00114C8B"/>
    <w:sectPr w:rsidR="00114C8B" w:rsidSect="0082762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BCC4D" w14:textId="77777777" w:rsidR="009A0CB8" w:rsidRDefault="009A0CB8" w:rsidP="004D29E5">
      <w:pPr>
        <w:spacing w:after="0" w:line="240" w:lineRule="auto"/>
      </w:pPr>
      <w:r>
        <w:separator/>
      </w:r>
    </w:p>
  </w:endnote>
  <w:endnote w:type="continuationSeparator" w:id="0">
    <w:p w14:paraId="109F478D" w14:textId="77777777" w:rsidR="009A0CB8" w:rsidRDefault="009A0CB8" w:rsidP="004D2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055746"/>
      <w:docPartObj>
        <w:docPartGallery w:val="Page Numbers (Bottom of Page)"/>
        <w:docPartUnique/>
      </w:docPartObj>
    </w:sdtPr>
    <w:sdtEndPr>
      <w:rPr>
        <w:noProof/>
      </w:rPr>
    </w:sdtEndPr>
    <w:sdtContent>
      <w:p w14:paraId="7414F469" w14:textId="26CFA500" w:rsidR="00987019" w:rsidRDefault="009870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E1315" w14:textId="77777777" w:rsidR="00987019" w:rsidRDefault="00987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301ED" w14:textId="77777777" w:rsidR="009A0CB8" w:rsidRDefault="009A0CB8" w:rsidP="004D29E5">
      <w:pPr>
        <w:spacing w:after="0" w:line="240" w:lineRule="auto"/>
      </w:pPr>
      <w:r>
        <w:separator/>
      </w:r>
    </w:p>
  </w:footnote>
  <w:footnote w:type="continuationSeparator" w:id="0">
    <w:p w14:paraId="01C37BEA" w14:textId="77777777" w:rsidR="009A0CB8" w:rsidRDefault="009A0CB8" w:rsidP="004D2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288C7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7A6941"/>
    <w:multiLevelType w:val="hybridMultilevel"/>
    <w:tmpl w:val="523C4E8C"/>
    <w:lvl w:ilvl="0" w:tplc="A99C52BE">
      <w:start w:val="1"/>
      <w:numFmt w:val="bullet"/>
      <w:lvlText w:val="•"/>
      <w:lvlJc w:val="left"/>
      <w:pPr>
        <w:tabs>
          <w:tab w:val="num" w:pos="720"/>
        </w:tabs>
        <w:ind w:left="720" w:hanging="360"/>
      </w:pPr>
      <w:rPr>
        <w:rFonts w:ascii="Arial" w:hAnsi="Arial" w:hint="default"/>
      </w:rPr>
    </w:lvl>
    <w:lvl w:ilvl="1" w:tplc="D86AEBD8" w:tentative="1">
      <w:start w:val="1"/>
      <w:numFmt w:val="bullet"/>
      <w:lvlText w:val="•"/>
      <w:lvlJc w:val="left"/>
      <w:pPr>
        <w:tabs>
          <w:tab w:val="num" w:pos="1440"/>
        </w:tabs>
        <w:ind w:left="1440" w:hanging="360"/>
      </w:pPr>
      <w:rPr>
        <w:rFonts w:ascii="Arial" w:hAnsi="Arial" w:hint="default"/>
      </w:rPr>
    </w:lvl>
    <w:lvl w:ilvl="2" w:tplc="77903CB2" w:tentative="1">
      <w:start w:val="1"/>
      <w:numFmt w:val="bullet"/>
      <w:lvlText w:val="•"/>
      <w:lvlJc w:val="left"/>
      <w:pPr>
        <w:tabs>
          <w:tab w:val="num" w:pos="2160"/>
        </w:tabs>
        <w:ind w:left="2160" w:hanging="360"/>
      </w:pPr>
      <w:rPr>
        <w:rFonts w:ascii="Arial" w:hAnsi="Arial" w:hint="default"/>
      </w:rPr>
    </w:lvl>
    <w:lvl w:ilvl="3" w:tplc="CFA6949A" w:tentative="1">
      <w:start w:val="1"/>
      <w:numFmt w:val="bullet"/>
      <w:lvlText w:val="•"/>
      <w:lvlJc w:val="left"/>
      <w:pPr>
        <w:tabs>
          <w:tab w:val="num" w:pos="2880"/>
        </w:tabs>
        <w:ind w:left="2880" w:hanging="360"/>
      </w:pPr>
      <w:rPr>
        <w:rFonts w:ascii="Arial" w:hAnsi="Arial" w:hint="default"/>
      </w:rPr>
    </w:lvl>
    <w:lvl w:ilvl="4" w:tplc="610C8F4C" w:tentative="1">
      <w:start w:val="1"/>
      <w:numFmt w:val="bullet"/>
      <w:lvlText w:val="•"/>
      <w:lvlJc w:val="left"/>
      <w:pPr>
        <w:tabs>
          <w:tab w:val="num" w:pos="3600"/>
        </w:tabs>
        <w:ind w:left="3600" w:hanging="360"/>
      </w:pPr>
      <w:rPr>
        <w:rFonts w:ascii="Arial" w:hAnsi="Arial" w:hint="default"/>
      </w:rPr>
    </w:lvl>
    <w:lvl w:ilvl="5" w:tplc="FD4AC686" w:tentative="1">
      <w:start w:val="1"/>
      <w:numFmt w:val="bullet"/>
      <w:lvlText w:val="•"/>
      <w:lvlJc w:val="left"/>
      <w:pPr>
        <w:tabs>
          <w:tab w:val="num" w:pos="4320"/>
        </w:tabs>
        <w:ind w:left="4320" w:hanging="360"/>
      </w:pPr>
      <w:rPr>
        <w:rFonts w:ascii="Arial" w:hAnsi="Arial" w:hint="default"/>
      </w:rPr>
    </w:lvl>
    <w:lvl w:ilvl="6" w:tplc="90860DDA" w:tentative="1">
      <w:start w:val="1"/>
      <w:numFmt w:val="bullet"/>
      <w:lvlText w:val="•"/>
      <w:lvlJc w:val="left"/>
      <w:pPr>
        <w:tabs>
          <w:tab w:val="num" w:pos="5040"/>
        </w:tabs>
        <w:ind w:left="5040" w:hanging="360"/>
      </w:pPr>
      <w:rPr>
        <w:rFonts w:ascii="Arial" w:hAnsi="Arial" w:hint="default"/>
      </w:rPr>
    </w:lvl>
    <w:lvl w:ilvl="7" w:tplc="B6BE3984" w:tentative="1">
      <w:start w:val="1"/>
      <w:numFmt w:val="bullet"/>
      <w:lvlText w:val="•"/>
      <w:lvlJc w:val="left"/>
      <w:pPr>
        <w:tabs>
          <w:tab w:val="num" w:pos="5760"/>
        </w:tabs>
        <w:ind w:left="5760" w:hanging="360"/>
      </w:pPr>
      <w:rPr>
        <w:rFonts w:ascii="Arial" w:hAnsi="Arial" w:hint="default"/>
      </w:rPr>
    </w:lvl>
    <w:lvl w:ilvl="8" w:tplc="DF3479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5A46E1"/>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5969DE"/>
    <w:multiLevelType w:val="multilevel"/>
    <w:tmpl w:val="79B81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145B62"/>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F55564"/>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53517A"/>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A3394E"/>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F04A6"/>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CF0C60"/>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D17AD4"/>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1F79C7"/>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EC4EE3"/>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1D6C96"/>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DA793E"/>
    <w:multiLevelType w:val="multilevel"/>
    <w:tmpl w:val="1CB84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4A09F3"/>
    <w:multiLevelType w:val="hybridMultilevel"/>
    <w:tmpl w:val="ADD2C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1557217">
    <w:abstractNumId w:val="13"/>
  </w:num>
  <w:num w:numId="2" w16cid:durableId="1352224993">
    <w:abstractNumId w:val="12"/>
  </w:num>
  <w:num w:numId="3" w16cid:durableId="58554469">
    <w:abstractNumId w:val="5"/>
  </w:num>
  <w:num w:numId="4" w16cid:durableId="670642269">
    <w:abstractNumId w:val="15"/>
  </w:num>
  <w:num w:numId="5" w16cid:durableId="606739574">
    <w:abstractNumId w:val="2"/>
  </w:num>
  <w:num w:numId="6" w16cid:durableId="584338409">
    <w:abstractNumId w:val="9"/>
  </w:num>
  <w:num w:numId="7" w16cid:durableId="1625506201">
    <w:abstractNumId w:val="3"/>
  </w:num>
  <w:num w:numId="8" w16cid:durableId="305205694">
    <w:abstractNumId w:val="11"/>
  </w:num>
  <w:num w:numId="9" w16cid:durableId="1430807595">
    <w:abstractNumId w:val="6"/>
  </w:num>
  <w:num w:numId="10" w16cid:durableId="671105610">
    <w:abstractNumId w:val="10"/>
  </w:num>
  <w:num w:numId="11" w16cid:durableId="409472602">
    <w:abstractNumId w:val="14"/>
  </w:num>
  <w:num w:numId="12" w16cid:durableId="104429717">
    <w:abstractNumId w:val="8"/>
  </w:num>
  <w:num w:numId="13" w16cid:durableId="1370838728">
    <w:abstractNumId w:val="7"/>
  </w:num>
  <w:num w:numId="14" w16cid:durableId="1800416503">
    <w:abstractNumId w:val="4"/>
  </w:num>
  <w:num w:numId="15" w16cid:durableId="1541211065">
    <w:abstractNumId w:val="1"/>
  </w:num>
  <w:num w:numId="16" w16cid:durableId="330989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38B"/>
    <w:rsid w:val="00003697"/>
    <w:rsid w:val="00007142"/>
    <w:rsid w:val="00020AEC"/>
    <w:rsid w:val="00023C19"/>
    <w:rsid w:val="00023EF3"/>
    <w:rsid w:val="00025416"/>
    <w:rsid w:val="00040716"/>
    <w:rsid w:val="00043AF8"/>
    <w:rsid w:val="000525CE"/>
    <w:rsid w:val="0005283A"/>
    <w:rsid w:val="00053177"/>
    <w:rsid w:val="0006194C"/>
    <w:rsid w:val="00064335"/>
    <w:rsid w:val="00066D79"/>
    <w:rsid w:val="00067750"/>
    <w:rsid w:val="00081A0B"/>
    <w:rsid w:val="0008350E"/>
    <w:rsid w:val="0008372C"/>
    <w:rsid w:val="00084E8D"/>
    <w:rsid w:val="00091E03"/>
    <w:rsid w:val="000948DA"/>
    <w:rsid w:val="00094ED1"/>
    <w:rsid w:val="00097321"/>
    <w:rsid w:val="000A137F"/>
    <w:rsid w:val="000A2712"/>
    <w:rsid w:val="000B3100"/>
    <w:rsid w:val="000B4C3D"/>
    <w:rsid w:val="000C083F"/>
    <w:rsid w:val="000C3F27"/>
    <w:rsid w:val="000C4A1C"/>
    <w:rsid w:val="000D3F3D"/>
    <w:rsid w:val="000D5F36"/>
    <w:rsid w:val="000E6E9C"/>
    <w:rsid w:val="000F1364"/>
    <w:rsid w:val="000F34FC"/>
    <w:rsid w:val="00105E2D"/>
    <w:rsid w:val="00114C8B"/>
    <w:rsid w:val="001305B0"/>
    <w:rsid w:val="00133ACC"/>
    <w:rsid w:val="001376B8"/>
    <w:rsid w:val="001416EF"/>
    <w:rsid w:val="00144119"/>
    <w:rsid w:val="00145F18"/>
    <w:rsid w:val="0016299E"/>
    <w:rsid w:val="001653FE"/>
    <w:rsid w:val="00172EAC"/>
    <w:rsid w:val="0018049E"/>
    <w:rsid w:val="00182C54"/>
    <w:rsid w:val="00186F20"/>
    <w:rsid w:val="001A667A"/>
    <w:rsid w:val="001B02EF"/>
    <w:rsid w:val="001B531E"/>
    <w:rsid w:val="001C3580"/>
    <w:rsid w:val="001F25E0"/>
    <w:rsid w:val="001F6843"/>
    <w:rsid w:val="0020266C"/>
    <w:rsid w:val="002114A4"/>
    <w:rsid w:val="00212CEB"/>
    <w:rsid w:val="00224B24"/>
    <w:rsid w:val="00230995"/>
    <w:rsid w:val="00235B1B"/>
    <w:rsid w:val="002464F7"/>
    <w:rsid w:val="00270B23"/>
    <w:rsid w:val="00296783"/>
    <w:rsid w:val="002A23D8"/>
    <w:rsid w:val="002A3D99"/>
    <w:rsid w:val="002A4862"/>
    <w:rsid w:val="002B00BD"/>
    <w:rsid w:val="002B1ED2"/>
    <w:rsid w:val="002B3015"/>
    <w:rsid w:val="002B4AC4"/>
    <w:rsid w:val="002C4D01"/>
    <w:rsid w:val="002D1FC4"/>
    <w:rsid w:val="002D3280"/>
    <w:rsid w:val="002D408A"/>
    <w:rsid w:val="002E2AE8"/>
    <w:rsid w:val="002E785C"/>
    <w:rsid w:val="002F1D6D"/>
    <w:rsid w:val="002F794D"/>
    <w:rsid w:val="003037C0"/>
    <w:rsid w:val="00305404"/>
    <w:rsid w:val="00316C46"/>
    <w:rsid w:val="003241F2"/>
    <w:rsid w:val="0033117C"/>
    <w:rsid w:val="00340E6E"/>
    <w:rsid w:val="00341385"/>
    <w:rsid w:val="003426ED"/>
    <w:rsid w:val="00345094"/>
    <w:rsid w:val="00345681"/>
    <w:rsid w:val="00352721"/>
    <w:rsid w:val="00364011"/>
    <w:rsid w:val="00381D42"/>
    <w:rsid w:val="0038782A"/>
    <w:rsid w:val="00392329"/>
    <w:rsid w:val="00392CCE"/>
    <w:rsid w:val="00393C94"/>
    <w:rsid w:val="003A6BAC"/>
    <w:rsid w:val="003B220E"/>
    <w:rsid w:val="003C65A9"/>
    <w:rsid w:val="003D7990"/>
    <w:rsid w:val="003E224B"/>
    <w:rsid w:val="003E28F3"/>
    <w:rsid w:val="003F01D9"/>
    <w:rsid w:val="003F208A"/>
    <w:rsid w:val="003F335F"/>
    <w:rsid w:val="003F76E3"/>
    <w:rsid w:val="00422C67"/>
    <w:rsid w:val="00425496"/>
    <w:rsid w:val="00430D45"/>
    <w:rsid w:val="0043669F"/>
    <w:rsid w:val="0044633F"/>
    <w:rsid w:val="00446671"/>
    <w:rsid w:val="0047140D"/>
    <w:rsid w:val="00477B63"/>
    <w:rsid w:val="00477CF8"/>
    <w:rsid w:val="00480300"/>
    <w:rsid w:val="00483B6B"/>
    <w:rsid w:val="004918EE"/>
    <w:rsid w:val="00497C1E"/>
    <w:rsid w:val="004A3AE7"/>
    <w:rsid w:val="004A3BAA"/>
    <w:rsid w:val="004B418C"/>
    <w:rsid w:val="004B6061"/>
    <w:rsid w:val="004B63EE"/>
    <w:rsid w:val="004B7BC2"/>
    <w:rsid w:val="004D29E5"/>
    <w:rsid w:val="004F44A1"/>
    <w:rsid w:val="004F73F8"/>
    <w:rsid w:val="00500C0B"/>
    <w:rsid w:val="005047A4"/>
    <w:rsid w:val="005047D9"/>
    <w:rsid w:val="00510FA3"/>
    <w:rsid w:val="00521660"/>
    <w:rsid w:val="0052377D"/>
    <w:rsid w:val="00527A56"/>
    <w:rsid w:val="00542F02"/>
    <w:rsid w:val="00546315"/>
    <w:rsid w:val="0054706B"/>
    <w:rsid w:val="00550C1B"/>
    <w:rsid w:val="005527BD"/>
    <w:rsid w:val="00594821"/>
    <w:rsid w:val="005A0DAE"/>
    <w:rsid w:val="005A2C28"/>
    <w:rsid w:val="005B4311"/>
    <w:rsid w:val="005C0398"/>
    <w:rsid w:val="005D7231"/>
    <w:rsid w:val="005F32B7"/>
    <w:rsid w:val="005F3783"/>
    <w:rsid w:val="005F53E7"/>
    <w:rsid w:val="005F7405"/>
    <w:rsid w:val="00601910"/>
    <w:rsid w:val="00607EB9"/>
    <w:rsid w:val="00607FB4"/>
    <w:rsid w:val="00611763"/>
    <w:rsid w:val="00614534"/>
    <w:rsid w:val="00632241"/>
    <w:rsid w:val="006405C1"/>
    <w:rsid w:val="00650473"/>
    <w:rsid w:val="00653349"/>
    <w:rsid w:val="00654575"/>
    <w:rsid w:val="006605D6"/>
    <w:rsid w:val="00664EA3"/>
    <w:rsid w:val="00664F43"/>
    <w:rsid w:val="00671846"/>
    <w:rsid w:val="0067642B"/>
    <w:rsid w:val="00677441"/>
    <w:rsid w:val="006967B8"/>
    <w:rsid w:val="006A453F"/>
    <w:rsid w:val="006B09ED"/>
    <w:rsid w:val="006B281E"/>
    <w:rsid w:val="006C4305"/>
    <w:rsid w:val="006C548D"/>
    <w:rsid w:val="006D0078"/>
    <w:rsid w:val="006D268B"/>
    <w:rsid w:val="006E0EE0"/>
    <w:rsid w:val="006E7338"/>
    <w:rsid w:val="006F19F2"/>
    <w:rsid w:val="006F35FD"/>
    <w:rsid w:val="007020EE"/>
    <w:rsid w:val="00702FF4"/>
    <w:rsid w:val="00705D3F"/>
    <w:rsid w:val="007072EA"/>
    <w:rsid w:val="007143D2"/>
    <w:rsid w:val="00714C96"/>
    <w:rsid w:val="00724615"/>
    <w:rsid w:val="00724CDC"/>
    <w:rsid w:val="007252F1"/>
    <w:rsid w:val="00732967"/>
    <w:rsid w:val="007336F6"/>
    <w:rsid w:val="00747640"/>
    <w:rsid w:val="00747665"/>
    <w:rsid w:val="00753421"/>
    <w:rsid w:val="0075573C"/>
    <w:rsid w:val="0076530C"/>
    <w:rsid w:val="00784A3D"/>
    <w:rsid w:val="00785388"/>
    <w:rsid w:val="007A34C7"/>
    <w:rsid w:val="007B7D8F"/>
    <w:rsid w:val="007D0379"/>
    <w:rsid w:val="007D16F2"/>
    <w:rsid w:val="007E7E32"/>
    <w:rsid w:val="007F361F"/>
    <w:rsid w:val="007F38AC"/>
    <w:rsid w:val="007F49E4"/>
    <w:rsid w:val="007F7910"/>
    <w:rsid w:val="007F7BF4"/>
    <w:rsid w:val="00800B3B"/>
    <w:rsid w:val="00813B22"/>
    <w:rsid w:val="00827624"/>
    <w:rsid w:val="00831757"/>
    <w:rsid w:val="008319A2"/>
    <w:rsid w:val="008338EE"/>
    <w:rsid w:val="00835F46"/>
    <w:rsid w:val="008374DA"/>
    <w:rsid w:val="0084494D"/>
    <w:rsid w:val="008621D4"/>
    <w:rsid w:val="00863E69"/>
    <w:rsid w:val="00865033"/>
    <w:rsid w:val="00866132"/>
    <w:rsid w:val="0087438B"/>
    <w:rsid w:val="008863D7"/>
    <w:rsid w:val="008C2FBC"/>
    <w:rsid w:val="008C530F"/>
    <w:rsid w:val="008D2E7F"/>
    <w:rsid w:val="008D3FFD"/>
    <w:rsid w:val="008D432F"/>
    <w:rsid w:val="008E5494"/>
    <w:rsid w:val="008F423D"/>
    <w:rsid w:val="009019EC"/>
    <w:rsid w:val="009074ED"/>
    <w:rsid w:val="00910AA2"/>
    <w:rsid w:val="009171B8"/>
    <w:rsid w:val="00921048"/>
    <w:rsid w:val="00922A7C"/>
    <w:rsid w:val="0093357F"/>
    <w:rsid w:val="0093503A"/>
    <w:rsid w:val="00935507"/>
    <w:rsid w:val="0095397C"/>
    <w:rsid w:val="00956608"/>
    <w:rsid w:val="00961200"/>
    <w:rsid w:val="009648F6"/>
    <w:rsid w:val="00971F4D"/>
    <w:rsid w:val="00976E6F"/>
    <w:rsid w:val="00977E94"/>
    <w:rsid w:val="009865B5"/>
    <w:rsid w:val="00987019"/>
    <w:rsid w:val="009922EA"/>
    <w:rsid w:val="009A0CB8"/>
    <w:rsid w:val="009A2266"/>
    <w:rsid w:val="009A4225"/>
    <w:rsid w:val="009A77C9"/>
    <w:rsid w:val="009B1D3B"/>
    <w:rsid w:val="009C5D51"/>
    <w:rsid w:val="009D0847"/>
    <w:rsid w:val="009D20F8"/>
    <w:rsid w:val="009D5053"/>
    <w:rsid w:val="009D6751"/>
    <w:rsid w:val="009E0D45"/>
    <w:rsid w:val="009E7E2C"/>
    <w:rsid w:val="009F2A3D"/>
    <w:rsid w:val="00A04932"/>
    <w:rsid w:val="00A14B6C"/>
    <w:rsid w:val="00A2536D"/>
    <w:rsid w:val="00A304AF"/>
    <w:rsid w:val="00A37FDE"/>
    <w:rsid w:val="00A43E7A"/>
    <w:rsid w:val="00A4468F"/>
    <w:rsid w:val="00A452F5"/>
    <w:rsid w:val="00A45E1E"/>
    <w:rsid w:val="00A52CE7"/>
    <w:rsid w:val="00A5583A"/>
    <w:rsid w:val="00A642C9"/>
    <w:rsid w:val="00A72C36"/>
    <w:rsid w:val="00A9136D"/>
    <w:rsid w:val="00A91BBB"/>
    <w:rsid w:val="00A9270E"/>
    <w:rsid w:val="00A939E2"/>
    <w:rsid w:val="00AB1F18"/>
    <w:rsid w:val="00AC0007"/>
    <w:rsid w:val="00AC4D64"/>
    <w:rsid w:val="00AC5983"/>
    <w:rsid w:val="00AE0C36"/>
    <w:rsid w:val="00AE2072"/>
    <w:rsid w:val="00AE3A8E"/>
    <w:rsid w:val="00B05D97"/>
    <w:rsid w:val="00B11157"/>
    <w:rsid w:val="00B203E8"/>
    <w:rsid w:val="00B249D7"/>
    <w:rsid w:val="00B41B5A"/>
    <w:rsid w:val="00B43423"/>
    <w:rsid w:val="00B5168A"/>
    <w:rsid w:val="00B64B42"/>
    <w:rsid w:val="00B67135"/>
    <w:rsid w:val="00B97877"/>
    <w:rsid w:val="00BA1FB7"/>
    <w:rsid w:val="00BA7017"/>
    <w:rsid w:val="00BB1D67"/>
    <w:rsid w:val="00BB4658"/>
    <w:rsid w:val="00BB5EB4"/>
    <w:rsid w:val="00BB6A10"/>
    <w:rsid w:val="00BE1D42"/>
    <w:rsid w:val="00BE7563"/>
    <w:rsid w:val="00C00661"/>
    <w:rsid w:val="00C0657A"/>
    <w:rsid w:val="00C0748D"/>
    <w:rsid w:val="00C120FA"/>
    <w:rsid w:val="00C20E98"/>
    <w:rsid w:val="00C3324C"/>
    <w:rsid w:val="00C33E95"/>
    <w:rsid w:val="00C35B63"/>
    <w:rsid w:val="00C4498C"/>
    <w:rsid w:val="00C50F8C"/>
    <w:rsid w:val="00C5453B"/>
    <w:rsid w:val="00C62509"/>
    <w:rsid w:val="00C7655C"/>
    <w:rsid w:val="00C873A6"/>
    <w:rsid w:val="00C94ACD"/>
    <w:rsid w:val="00C9777D"/>
    <w:rsid w:val="00CA368A"/>
    <w:rsid w:val="00CA4D27"/>
    <w:rsid w:val="00CB63A8"/>
    <w:rsid w:val="00CB7850"/>
    <w:rsid w:val="00CD7106"/>
    <w:rsid w:val="00CE4140"/>
    <w:rsid w:val="00CF2194"/>
    <w:rsid w:val="00CF37D7"/>
    <w:rsid w:val="00D100CB"/>
    <w:rsid w:val="00D1184B"/>
    <w:rsid w:val="00D138FD"/>
    <w:rsid w:val="00D169F5"/>
    <w:rsid w:val="00D16BD1"/>
    <w:rsid w:val="00D214BE"/>
    <w:rsid w:val="00D30DBB"/>
    <w:rsid w:val="00D321FA"/>
    <w:rsid w:val="00D36CBA"/>
    <w:rsid w:val="00D378A6"/>
    <w:rsid w:val="00D738AA"/>
    <w:rsid w:val="00D87BA3"/>
    <w:rsid w:val="00DA3D88"/>
    <w:rsid w:val="00DA3F38"/>
    <w:rsid w:val="00DA4311"/>
    <w:rsid w:val="00DA4323"/>
    <w:rsid w:val="00DA4AC1"/>
    <w:rsid w:val="00DA79B2"/>
    <w:rsid w:val="00DB1B69"/>
    <w:rsid w:val="00DB74F7"/>
    <w:rsid w:val="00DC6CEC"/>
    <w:rsid w:val="00DD787B"/>
    <w:rsid w:val="00DE408E"/>
    <w:rsid w:val="00DE6387"/>
    <w:rsid w:val="00E17ECC"/>
    <w:rsid w:val="00E30A9B"/>
    <w:rsid w:val="00E43AD2"/>
    <w:rsid w:val="00EA51EE"/>
    <w:rsid w:val="00EB10A2"/>
    <w:rsid w:val="00EB7ABD"/>
    <w:rsid w:val="00EC0E3D"/>
    <w:rsid w:val="00ED68EB"/>
    <w:rsid w:val="00EE365A"/>
    <w:rsid w:val="00F040B6"/>
    <w:rsid w:val="00F04389"/>
    <w:rsid w:val="00F05E1F"/>
    <w:rsid w:val="00F079A1"/>
    <w:rsid w:val="00F17990"/>
    <w:rsid w:val="00F206D5"/>
    <w:rsid w:val="00F20978"/>
    <w:rsid w:val="00F21D0C"/>
    <w:rsid w:val="00F4783A"/>
    <w:rsid w:val="00F61066"/>
    <w:rsid w:val="00F7042D"/>
    <w:rsid w:val="00F77E4F"/>
    <w:rsid w:val="00F80130"/>
    <w:rsid w:val="00F80642"/>
    <w:rsid w:val="00F83730"/>
    <w:rsid w:val="00FA7E39"/>
    <w:rsid w:val="00FB4B32"/>
    <w:rsid w:val="00FC281B"/>
    <w:rsid w:val="00FD5742"/>
    <w:rsid w:val="00FD7641"/>
    <w:rsid w:val="00FE012D"/>
    <w:rsid w:val="00FE0551"/>
    <w:rsid w:val="00FF23E6"/>
    <w:rsid w:val="00FF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C55B"/>
  <w15:chartTrackingRefBased/>
  <w15:docId w15:val="{4B6CBB25-FA0E-49A3-BF85-52952E05D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157"/>
    <w:pPr>
      <w:spacing w:line="480" w:lineRule="auto"/>
    </w:pPr>
    <w:rPr>
      <w:rFonts w:ascii="Arial" w:hAnsi="Arial"/>
      <w:kern w:val="0"/>
      <w:sz w:val="24"/>
      <w14:ligatures w14:val="none"/>
    </w:rPr>
  </w:style>
  <w:style w:type="paragraph" w:styleId="Heading1">
    <w:name w:val="heading 1"/>
    <w:basedOn w:val="Normal"/>
    <w:next w:val="Normal"/>
    <w:link w:val="Heading1Char"/>
    <w:uiPriority w:val="9"/>
    <w:qFormat/>
    <w:rsid w:val="00114C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281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B11157"/>
  </w:style>
  <w:style w:type="paragraph" w:styleId="NormalWeb">
    <w:name w:val="Normal (Web)"/>
    <w:basedOn w:val="Normal"/>
    <w:uiPriority w:val="99"/>
    <w:unhideWhenUsed/>
    <w:rsid w:val="0052377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114C8B"/>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A452F5"/>
    <w:pPr>
      <w:ind w:left="720"/>
      <w:contextualSpacing/>
    </w:pPr>
  </w:style>
  <w:style w:type="character" w:styleId="Hyperlink">
    <w:name w:val="Hyperlink"/>
    <w:basedOn w:val="DefaultParagraphFont"/>
    <w:uiPriority w:val="99"/>
    <w:unhideWhenUsed/>
    <w:rsid w:val="00A452F5"/>
    <w:rPr>
      <w:color w:val="0563C1" w:themeColor="hyperlink"/>
      <w:u w:val="single"/>
    </w:rPr>
  </w:style>
  <w:style w:type="character" w:customStyle="1" w:styleId="clearfix">
    <w:name w:val="clearfix"/>
    <w:basedOn w:val="DefaultParagraphFont"/>
    <w:rsid w:val="00813B22"/>
  </w:style>
  <w:style w:type="character" w:styleId="Strong">
    <w:name w:val="Strong"/>
    <w:basedOn w:val="DefaultParagraphFont"/>
    <w:uiPriority w:val="22"/>
    <w:qFormat/>
    <w:rsid w:val="002B4AC4"/>
    <w:rPr>
      <w:b/>
      <w:bCs/>
    </w:rPr>
  </w:style>
  <w:style w:type="character" w:styleId="UnresolvedMention">
    <w:name w:val="Unresolved Mention"/>
    <w:basedOn w:val="DefaultParagraphFont"/>
    <w:uiPriority w:val="99"/>
    <w:semiHidden/>
    <w:unhideWhenUsed/>
    <w:rsid w:val="00935507"/>
    <w:rPr>
      <w:color w:val="605E5C"/>
      <w:shd w:val="clear" w:color="auto" w:fill="E1DFDD"/>
    </w:rPr>
  </w:style>
  <w:style w:type="character" w:customStyle="1" w:styleId="govuk-caption-xl">
    <w:name w:val="govuk-caption-xl"/>
    <w:basedOn w:val="DefaultParagraphFont"/>
    <w:rsid w:val="004A3AE7"/>
  </w:style>
  <w:style w:type="paragraph" w:customStyle="1" w:styleId="first">
    <w:name w:val="first"/>
    <w:basedOn w:val="Normal"/>
    <w:rsid w:val="00F2097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uthorname">
    <w:name w:val="authorname"/>
    <w:basedOn w:val="DefaultParagraphFont"/>
    <w:rsid w:val="00510FA3"/>
  </w:style>
  <w:style w:type="paragraph" w:styleId="Header">
    <w:name w:val="header"/>
    <w:basedOn w:val="Normal"/>
    <w:link w:val="HeaderChar"/>
    <w:uiPriority w:val="99"/>
    <w:unhideWhenUsed/>
    <w:rsid w:val="004D2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9E5"/>
    <w:rPr>
      <w:rFonts w:ascii="Arial" w:hAnsi="Arial"/>
      <w:kern w:val="0"/>
      <w:sz w:val="24"/>
      <w14:ligatures w14:val="none"/>
    </w:rPr>
  </w:style>
  <w:style w:type="paragraph" w:styleId="Footer">
    <w:name w:val="footer"/>
    <w:basedOn w:val="Normal"/>
    <w:link w:val="FooterChar"/>
    <w:uiPriority w:val="99"/>
    <w:unhideWhenUsed/>
    <w:rsid w:val="004D2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9E5"/>
    <w:rPr>
      <w:rFonts w:ascii="Arial" w:hAnsi="Arial"/>
      <w:kern w:val="0"/>
      <w:sz w:val="24"/>
      <w14:ligatures w14:val="none"/>
    </w:rPr>
  </w:style>
  <w:style w:type="paragraph" w:customStyle="1" w:styleId="Default">
    <w:name w:val="Default"/>
    <w:rsid w:val="008C530F"/>
    <w:pPr>
      <w:autoSpaceDE w:val="0"/>
      <w:autoSpaceDN w:val="0"/>
      <w:adjustRightInd w:val="0"/>
      <w:spacing w:after="0" w:line="240" w:lineRule="auto"/>
    </w:pPr>
    <w:rPr>
      <w:rFonts w:ascii="Arial" w:hAnsi="Arial" w:cs="Arial"/>
      <w:color w:val="000000"/>
      <w:kern w:val="0"/>
      <w:sz w:val="24"/>
      <w:szCs w:val="24"/>
    </w:rPr>
  </w:style>
  <w:style w:type="character" w:customStyle="1" w:styleId="Heading3Char">
    <w:name w:val="Heading 3 Char"/>
    <w:basedOn w:val="DefaultParagraphFont"/>
    <w:link w:val="Heading3"/>
    <w:uiPriority w:val="9"/>
    <w:semiHidden/>
    <w:rsid w:val="006B281E"/>
    <w:rPr>
      <w:rFonts w:asciiTheme="majorHAnsi" w:eastAsiaTheme="majorEastAsia" w:hAnsiTheme="majorHAnsi" w:cstheme="majorBidi"/>
      <w:color w:val="1F3763" w:themeColor="accent1" w:themeShade="7F"/>
      <w:kern w:val="0"/>
      <w:sz w:val="24"/>
      <w:szCs w:val="24"/>
      <w14:ligatures w14:val="none"/>
    </w:rPr>
  </w:style>
  <w:style w:type="character" w:customStyle="1" w:styleId="hscoswrapper">
    <w:name w:val="hs_cos_wrapper"/>
    <w:basedOn w:val="DefaultParagraphFont"/>
    <w:rsid w:val="006B281E"/>
  </w:style>
  <w:style w:type="paragraph" w:styleId="NoSpacing">
    <w:name w:val="No Spacing"/>
    <w:link w:val="NoSpacingChar"/>
    <w:uiPriority w:val="1"/>
    <w:qFormat/>
    <w:rsid w:val="008276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7624"/>
    <w:rPr>
      <w:rFonts w:eastAsiaTheme="minorEastAsia"/>
      <w:kern w:val="0"/>
      <w:lang w:val="en-US"/>
      <w14:ligatures w14:val="none"/>
    </w:rPr>
  </w:style>
  <w:style w:type="paragraph" w:styleId="TOCHeading">
    <w:name w:val="TOC Heading"/>
    <w:basedOn w:val="Heading1"/>
    <w:next w:val="Normal"/>
    <w:uiPriority w:val="39"/>
    <w:unhideWhenUsed/>
    <w:qFormat/>
    <w:rsid w:val="00987019"/>
    <w:pPr>
      <w:spacing w:line="259" w:lineRule="auto"/>
      <w:outlineLvl w:val="9"/>
    </w:pPr>
    <w:rPr>
      <w:lang w:val="en-US"/>
    </w:rPr>
  </w:style>
  <w:style w:type="paragraph" w:styleId="TOC1">
    <w:name w:val="toc 1"/>
    <w:basedOn w:val="Normal"/>
    <w:next w:val="Normal"/>
    <w:autoRedefine/>
    <w:uiPriority w:val="39"/>
    <w:unhideWhenUsed/>
    <w:rsid w:val="009870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8753">
      <w:bodyDiv w:val="1"/>
      <w:marLeft w:val="0"/>
      <w:marRight w:val="0"/>
      <w:marTop w:val="0"/>
      <w:marBottom w:val="0"/>
      <w:divBdr>
        <w:top w:val="none" w:sz="0" w:space="0" w:color="auto"/>
        <w:left w:val="none" w:sz="0" w:space="0" w:color="auto"/>
        <w:bottom w:val="none" w:sz="0" w:space="0" w:color="auto"/>
        <w:right w:val="none" w:sz="0" w:space="0" w:color="auto"/>
      </w:divBdr>
    </w:div>
    <w:div w:id="316109954">
      <w:bodyDiv w:val="1"/>
      <w:marLeft w:val="0"/>
      <w:marRight w:val="0"/>
      <w:marTop w:val="0"/>
      <w:marBottom w:val="0"/>
      <w:divBdr>
        <w:top w:val="none" w:sz="0" w:space="0" w:color="auto"/>
        <w:left w:val="none" w:sz="0" w:space="0" w:color="auto"/>
        <w:bottom w:val="none" w:sz="0" w:space="0" w:color="auto"/>
        <w:right w:val="none" w:sz="0" w:space="0" w:color="auto"/>
      </w:divBdr>
      <w:divsChild>
        <w:div w:id="524371069">
          <w:marLeft w:val="360"/>
          <w:marRight w:val="0"/>
          <w:marTop w:val="200"/>
          <w:marBottom w:val="0"/>
          <w:divBdr>
            <w:top w:val="none" w:sz="0" w:space="0" w:color="auto"/>
            <w:left w:val="none" w:sz="0" w:space="0" w:color="auto"/>
            <w:bottom w:val="none" w:sz="0" w:space="0" w:color="auto"/>
            <w:right w:val="none" w:sz="0" w:space="0" w:color="auto"/>
          </w:divBdr>
        </w:div>
      </w:divsChild>
    </w:div>
    <w:div w:id="554895636">
      <w:bodyDiv w:val="1"/>
      <w:marLeft w:val="0"/>
      <w:marRight w:val="0"/>
      <w:marTop w:val="0"/>
      <w:marBottom w:val="0"/>
      <w:divBdr>
        <w:top w:val="none" w:sz="0" w:space="0" w:color="auto"/>
        <w:left w:val="none" w:sz="0" w:space="0" w:color="auto"/>
        <w:bottom w:val="none" w:sz="0" w:space="0" w:color="auto"/>
        <w:right w:val="none" w:sz="0" w:space="0" w:color="auto"/>
      </w:divBdr>
      <w:divsChild>
        <w:div w:id="99419861">
          <w:marLeft w:val="0"/>
          <w:marRight w:val="0"/>
          <w:marTop w:val="0"/>
          <w:marBottom w:val="0"/>
          <w:divBdr>
            <w:top w:val="none" w:sz="0" w:space="0" w:color="auto"/>
            <w:left w:val="none" w:sz="0" w:space="0" w:color="auto"/>
            <w:bottom w:val="none" w:sz="0" w:space="0" w:color="auto"/>
            <w:right w:val="none" w:sz="0" w:space="0" w:color="auto"/>
          </w:divBdr>
          <w:divsChild>
            <w:div w:id="1299845058">
              <w:marLeft w:val="0"/>
              <w:marRight w:val="0"/>
              <w:marTop w:val="0"/>
              <w:marBottom w:val="0"/>
              <w:divBdr>
                <w:top w:val="none" w:sz="0" w:space="0" w:color="auto"/>
                <w:left w:val="none" w:sz="0" w:space="0" w:color="auto"/>
                <w:bottom w:val="none" w:sz="0" w:space="0" w:color="auto"/>
                <w:right w:val="none" w:sz="0" w:space="0" w:color="auto"/>
              </w:divBdr>
              <w:divsChild>
                <w:div w:id="4707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94256">
      <w:bodyDiv w:val="1"/>
      <w:marLeft w:val="0"/>
      <w:marRight w:val="0"/>
      <w:marTop w:val="0"/>
      <w:marBottom w:val="0"/>
      <w:divBdr>
        <w:top w:val="none" w:sz="0" w:space="0" w:color="auto"/>
        <w:left w:val="none" w:sz="0" w:space="0" w:color="auto"/>
        <w:bottom w:val="none" w:sz="0" w:space="0" w:color="auto"/>
        <w:right w:val="none" w:sz="0" w:space="0" w:color="auto"/>
      </w:divBdr>
    </w:div>
    <w:div w:id="627055322">
      <w:bodyDiv w:val="1"/>
      <w:marLeft w:val="0"/>
      <w:marRight w:val="0"/>
      <w:marTop w:val="0"/>
      <w:marBottom w:val="0"/>
      <w:divBdr>
        <w:top w:val="none" w:sz="0" w:space="0" w:color="auto"/>
        <w:left w:val="none" w:sz="0" w:space="0" w:color="auto"/>
        <w:bottom w:val="none" w:sz="0" w:space="0" w:color="auto"/>
        <w:right w:val="none" w:sz="0" w:space="0" w:color="auto"/>
      </w:divBdr>
    </w:div>
    <w:div w:id="652830179">
      <w:bodyDiv w:val="1"/>
      <w:marLeft w:val="0"/>
      <w:marRight w:val="0"/>
      <w:marTop w:val="0"/>
      <w:marBottom w:val="0"/>
      <w:divBdr>
        <w:top w:val="none" w:sz="0" w:space="0" w:color="auto"/>
        <w:left w:val="none" w:sz="0" w:space="0" w:color="auto"/>
        <w:bottom w:val="none" w:sz="0" w:space="0" w:color="auto"/>
        <w:right w:val="none" w:sz="0" w:space="0" w:color="auto"/>
      </w:divBdr>
      <w:divsChild>
        <w:div w:id="1315456172">
          <w:marLeft w:val="0"/>
          <w:marRight w:val="0"/>
          <w:marTop w:val="0"/>
          <w:marBottom w:val="0"/>
          <w:divBdr>
            <w:top w:val="none" w:sz="0" w:space="0" w:color="auto"/>
            <w:left w:val="none" w:sz="0" w:space="0" w:color="auto"/>
            <w:bottom w:val="none" w:sz="0" w:space="0" w:color="auto"/>
            <w:right w:val="none" w:sz="0" w:space="0" w:color="auto"/>
          </w:divBdr>
          <w:divsChild>
            <w:div w:id="1102654132">
              <w:marLeft w:val="0"/>
              <w:marRight w:val="0"/>
              <w:marTop w:val="0"/>
              <w:marBottom w:val="0"/>
              <w:divBdr>
                <w:top w:val="none" w:sz="0" w:space="0" w:color="auto"/>
                <w:left w:val="none" w:sz="0" w:space="0" w:color="auto"/>
                <w:bottom w:val="none" w:sz="0" w:space="0" w:color="auto"/>
                <w:right w:val="none" w:sz="0" w:space="0" w:color="auto"/>
              </w:divBdr>
              <w:divsChild>
                <w:div w:id="184400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71705">
      <w:bodyDiv w:val="1"/>
      <w:marLeft w:val="0"/>
      <w:marRight w:val="0"/>
      <w:marTop w:val="0"/>
      <w:marBottom w:val="0"/>
      <w:divBdr>
        <w:top w:val="none" w:sz="0" w:space="0" w:color="auto"/>
        <w:left w:val="none" w:sz="0" w:space="0" w:color="auto"/>
        <w:bottom w:val="none" w:sz="0" w:space="0" w:color="auto"/>
        <w:right w:val="none" w:sz="0" w:space="0" w:color="auto"/>
      </w:divBdr>
      <w:divsChild>
        <w:div w:id="915744355">
          <w:marLeft w:val="0"/>
          <w:marRight w:val="0"/>
          <w:marTop w:val="0"/>
          <w:marBottom w:val="0"/>
          <w:divBdr>
            <w:top w:val="none" w:sz="0" w:space="0" w:color="auto"/>
            <w:left w:val="none" w:sz="0" w:space="0" w:color="auto"/>
            <w:bottom w:val="none" w:sz="0" w:space="0" w:color="auto"/>
            <w:right w:val="none" w:sz="0" w:space="0" w:color="auto"/>
          </w:divBdr>
          <w:divsChild>
            <w:div w:id="1489513703">
              <w:marLeft w:val="0"/>
              <w:marRight w:val="0"/>
              <w:marTop w:val="0"/>
              <w:marBottom w:val="0"/>
              <w:divBdr>
                <w:top w:val="none" w:sz="0" w:space="0" w:color="auto"/>
                <w:left w:val="none" w:sz="0" w:space="0" w:color="auto"/>
                <w:bottom w:val="none" w:sz="0" w:space="0" w:color="auto"/>
                <w:right w:val="none" w:sz="0" w:space="0" w:color="auto"/>
              </w:divBdr>
              <w:divsChild>
                <w:div w:id="202115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630833">
      <w:bodyDiv w:val="1"/>
      <w:marLeft w:val="0"/>
      <w:marRight w:val="0"/>
      <w:marTop w:val="0"/>
      <w:marBottom w:val="0"/>
      <w:divBdr>
        <w:top w:val="none" w:sz="0" w:space="0" w:color="auto"/>
        <w:left w:val="none" w:sz="0" w:space="0" w:color="auto"/>
        <w:bottom w:val="none" w:sz="0" w:space="0" w:color="auto"/>
        <w:right w:val="none" w:sz="0" w:space="0" w:color="auto"/>
      </w:divBdr>
    </w:div>
    <w:div w:id="907036132">
      <w:bodyDiv w:val="1"/>
      <w:marLeft w:val="0"/>
      <w:marRight w:val="0"/>
      <w:marTop w:val="0"/>
      <w:marBottom w:val="0"/>
      <w:divBdr>
        <w:top w:val="none" w:sz="0" w:space="0" w:color="auto"/>
        <w:left w:val="none" w:sz="0" w:space="0" w:color="auto"/>
        <w:bottom w:val="none" w:sz="0" w:space="0" w:color="auto"/>
        <w:right w:val="none" w:sz="0" w:space="0" w:color="auto"/>
      </w:divBdr>
      <w:divsChild>
        <w:div w:id="172064455">
          <w:marLeft w:val="0"/>
          <w:marRight w:val="0"/>
          <w:marTop w:val="0"/>
          <w:marBottom w:val="0"/>
          <w:divBdr>
            <w:top w:val="none" w:sz="0" w:space="0" w:color="auto"/>
            <w:left w:val="none" w:sz="0" w:space="0" w:color="auto"/>
            <w:bottom w:val="none" w:sz="0" w:space="0" w:color="auto"/>
            <w:right w:val="none" w:sz="0" w:space="0" w:color="auto"/>
          </w:divBdr>
          <w:divsChild>
            <w:div w:id="446463462">
              <w:marLeft w:val="0"/>
              <w:marRight w:val="0"/>
              <w:marTop w:val="0"/>
              <w:marBottom w:val="0"/>
              <w:divBdr>
                <w:top w:val="none" w:sz="0" w:space="0" w:color="auto"/>
                <w:left w:val="none" w:sz="0" w:space="0" w:color="auto"/>
                <w:bottom w:val="none" w:sz="0" w:space="0" w:color="auto"/>
                <w:right w:val="none" w:sz="0" w:space="0" w:color="auto"/>
              </w:divBdr>
              <w:divsChild>
                <w:div w:id="44330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91418">
      <w:bodyDiv w:val="1"/>
      <w:marLeft w:val="0"/>
      <w:marRight w:val="0"/>
      <w:marTop w:val="0"/>
      <w:marBottom w:val="0"/>
      <w:divBdr>
        <w:top w:val="none" w:sz="0" w:space="0" w:color="auto"/>
        <w:left w:val="none" w:sz="0" w:space="0" w:color="auto"/>
        <w:bottom w:val="none" w:sz="0" w:space="0" w:color="auto"/>
        <w:right w:val="none" w:sz="0" w:space="0" w:color="auto"/>
      </w:divBdr>
    </w:div>
    <w:div w:id="969550907">
      <w:bodyDiv w:val="1"/>
      <w:marLeft w:val="0"/>
      <w:marRight w:val="0"/>
      <w:marTop w:val="0"/>
      <w:marBottom w:val="0"/>
      <w:divBdr>
        <w:top w:val="none" w:sz="0" w:space="0" w:color="auto"/>
        <w:left w:val="none" w:sz="0" w:space="0" w:color="auto"/>
        <w:bottom w:val="none" w:sz="0" w:space="0" w:color="auto"/>
        <w:right w:val="none" w:sz="0" w:space="0" w:color="auto"/>
      </w:divBdr>
      <w:divsChild>
        <w:div w:id="1749577113">
          <w:marLeft w:val="0"/>
          <w:marRight w:val="0"/>
          <w:marTop w:val="0"/>
          <w:marBottom w:val="0"/>
          <w:divBdr>
            <w:top w:val="none" w:sz="0" w:space="0" w:color="auto"/>
            <w:left w:val="none" w:sz="0" w:space="0" w:color="auto"/>
            <w:bottom w:val="none" w:sz="0" w:space="0" w:color="auto"/>
            <w:right w:val="none" w:sz="0" w:space="0" w:color="auto"/>
          </w:divBdr>
          <w:divsChild>
            <w:div w:id="407114272">
              <w:marLeft w:val="0"/>
              <w:marRight w:val="0"/>
              <w:marTop w:val="0"/>
              <w:marBottom w:val="0"/>
              <w:divBdr>
                <w:top w:val="none" w:sz="0" w:space="0" w:color="auto"/>
                <w:left w:val="none" w:sz="0" w:space="0" w:color="auto"/>
                <w:bottom w:val="none" w:sz="0" w:space="0" w:color="auto"/>
                <w:right w:val="none" w:sz="0" w:space="0" w:color="auto"/>
              </w:divBdr>
              <w:divsChild>
                <w:div w:id="212974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122953">
      <w:bodyDiv w:val="1"/>
      <w:marLeft w:val="0"/>
      <w:marRight w:val="0"/>
      <w:marTop w:val="0"/>
      <w:marBottom w:val="0"/>
      <w:divBdr>
        <w:top w:val="none" w:sz="0" w:space="0" w:color="auto"/>
        <w:left w:val="none" w:sz="0" w:space="0" w:color="auto"/>
        <w:bottom w:val="none" w:sz="0" w:space="0" w:color="auto"/>
        <w:right w:val="none" w:sz="0" w:space="0" w:color="auto"/>
      </w:divBdr>
    </w:div>
    <w:div w:id="1071346790">
      <w:bodyDiv w:val="1"/>
      <w:marLeft w:val="0"/>
      <w:marRight w:val="0"/>
      <w:marTop w:val="0"/>
      <w:marBottom w:val="0"/>
      <w:divBdr>
        <w:top w:val="none" w:sz="0" w:space="0" w:color="auto"/>
        <w:left w:val="none" w:sz="0" w:space="0" w:color="auto"/>
        <w:bottom w:val="none" w:sz="0" w:space="0" w:color="auto"/>
        <w:right w:val="none" w:sz="0" w:space="0" w:color="auto"/>
      </w:divBdr>
    </w:div>
    <w:div w:id="1099250795">
      <w:bodyDiv w:val="1"/>
      <w:marLeft w:val="0"/>
      <w:marRight w:val="0"/>
      <w:marTop w:val="0"/>
      <w:marBottom w:val="0"/>
      <w:divBdr>
        <w:top w:val="none" w:sz="0" w:space="0" w:color="auto"/>
        <w:left w:val="none" w:sz="0" w:space="0" w:color="auto"/>
        <w:bottom w:val="none" w:sz="0" w:space="0" w:color="auto"/>
        <w:right w:val="none" w:sz="0" w:space="0" w:color="auto"/>
      </w:divBdr>
    </w:div>
    <w:div w:id="1164971343">
      <w:bodyDiv w:val="1"/>
      <w:marLeft w:val="0"/>
      <w:marRight w:val="0"/>
      <w:marTop w:val="0"/>
      <w:marBottom w:val="0"/>
      <w:divBdr>
        <w:top w:val="none" w:sz="0" w:space="0" w:color="auto"/>
        <w:left w:val="none" w:sz="0" w:space="0" w:color="auto"/>
        <w:bottom w:val="none" w:sz="0" w:space="0" w:color="auto"/>
        <w:right w:val="none" w:sz="0" w:space="0" w:color="auto"/>
      </w:divBdr>
    </w:div>
    <w:div w:id="1369918363">
      <w:bodyDiv w:val="1"/>
      <w:marLeft w:val="0"/>
      <w:marRight w:val="0"/>
      <w:marTop w:val="0"/>
      <w:marBottom w:val="0"/>
      <w:divBdr>
        <w:top w:val="none" w:sz="0" w:space="0" w:color="auto"/>
        <w:left w:val="none" w:sz="0" w:space="0" w:color="auto"/>
        <w:bottom w:val="none" w:sz="0" w:space="0" w:color="auto"/>
        <w:right w:val="none" w:sz="0" w:space="0" w:color="auto"/>
      </w:divBdr>
    </w:div>
    <w:div w:id="1528835931">
      <w:bodyDiv w:val="1"/>
      <w:marLeft w:val="0"/>
      <w:marRight w:val="0"/>
      <w:marTop w:val="0"/>
      <w:marBottom w:val="0"/>
      <w:divBdr>
        <w:top w:val="none" w:sz="0" w:space="0" w:color="auto"/>
        <w:left w:val="none" w:sz="0" w:space="0" w:color="auto"/>
        <w:bottom w:val="none" w:sz="0" w:space="0" w:color="auto"/>
        <w:right w:val="none" w:sz="0" w:space="0" w:color="auto"/>
      </w:divBdr>
      <w:divsChild>
        <w:div w:id="1098450059">
          <w:marLeft w:val="0"/>
          <w:marRight w:val="0"/>
          <w:marTop w:val="0"/>
          <w:marBottom w:val="0"/>
          <w:divBdr>
            <w:top w:val="none" w:sz="0" w:space="0" w:color="auto"/>
            <w:left w:val="none" w:sz="0" w:space="0" w:color="auto"/>
            <w:bottom w:val="none" w:sz="0" w:space="0" w:color="auto"/>
            <w:right w:val="none" w:sz="0" w:space="0" w:color="auto"/>
          </w:divBdr>
          <w:divsChild>
            <w:div w:id="1629622148">
              <w:marLeft w:val="0"/>
              <w:marRight w:val="0"/>
              <w:marTop w:val="0"/>
              <w:marBottom w:val="0"/>
              <w:divBdr>
                <w:top w:val="none" w:sz="0" w:space="0" w:color="auto"/>
                <w:left w:val="none" w:sz="0" w:space="0" w:color="auto"/>
                <w:bottom w:val="none" w:sz="0" w:space="0" w:color="auto"/>
                <w:right w:val="none" w:sz="0" w:space="0" w:color="auto"/>
              </w:divBdr>
              <w:divsChild>
                <w:div w:id="117888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33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search?term=frank%20v.%20cesped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B5BCC-6D62-4136-8AC9-ABC2FC5BD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2679</Words>
  <Characters>14549</Characters>
  <Application>Microsoft Office Word</Application>
  <DocSecurity>0</DocSecurity>
  <Lines>264</Lines>
  <Paragraphs>87</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effectiveness of performance appraisals at Gwent Police</dc:title>
  <dc:subject/>
  <dc:creator>Katarzyna Kolowrocka (1805961)</dc:creator>
  <cp:keywords/>
  <dc:description/>
  <cp:lastModifiedBy>Kate Kolowrocka (1805961)</cp:lastModifiedBy>
  <cp:revision>363</cp:revision>
  <dcterms:created xsi:type="dcterms:W3CDTF">2023-04-24T13:36:00Z</dcterms:created>
  <dcterms:modified xsi:type="dcterms:W3CDTF">2023-05-09T22:44:00Z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8d89c2539d39a23edbc12d409610ab573edf93fe64b074cd17f34f524e8de11a</vt:lpwstr>
  </property>
</Properties>
</file>