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EE67C" w14:textId="77777777" w:rsidR="00D34FED" w:rsidRPr="00CC3F85" w:rsidRDefault="00ED219C">
      <w:pPr>
        <w:rPr>
          <w:color w:val="000000" w:themeColor="text1"/>
        </w:rPr>
      </w:pPr>
      <w:r w:rsidRPr="00CC3F85">
        <w:rPr>
          <w:color w:val="000000" w:themeColor="text1"/>
        </w:rPr>
        <w:t xml:space="preserve">                                                      </w:t>
      </w:r>
    </w:p>
    <w:p w14:paraId="06B7B1A3" w14:textId="77777777" w:rsidR="00BC6FAF" w:rsidRPr="002F386D" w:rsidRDefault="00BC6FAF" w:rsidP="00BC6FAF">
      <w:pPr>
        <w:pStyle w:val="Title"/>
        <w:rPr>
          <w:b/>
          <w:bCs/>
          <w:color w:val="000000" w:themeColor="text1"/>
          <w:sz w:val="24"/>
          <w:szCs w:val="24"/>
          <w:highlight w:val="yellow"/>
        </w:rPr>
      </w:pPr>
      <w:r w:rsidRPr="002F386D">
        <w:rPr>
          <w:b/>
          <w:bCs/>
          <w:noProof/>
          <w:color w:val="000000" w:themeColor="text1"/>
          <w:sz w:val="24"/>
          <w:szCs w:val="24"/>
          <w:highlight w:val="yellow"/>
        </w:rPr>
        <w:drawing>
          <wp:inline distT="0" distB="0" distL="0" distR="0" wp14:anchorId="697D13D7" wp14:editId="7E6F0275">
            <wp:extent cx="2366863" cy="1059815"/>
            <wp:effectExtent l="0" t="0" r="0" b="0"/>
            <wp:docPr id="5" name="Picture 4" descr="A close-up of a sign&#10;&#10;AI-generated content may be incorrect.">
              <a:extLst xmlns:a="http://schemas.openxmlformats.org/drawingml/2006/main">
                <a:ext uri="{FF2B5EF4-FFF2-40B4-BE49-F238E27FC236}">
                  <a16:creationId xmlns:a16="http://schemas.microsoft.com/office/drawing/2014/main" id="{9D2D4917-FEEE-7849-1128-6AF6C9561C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AI-generated content may be incorrect.">
                      <a:extLst>
                        <a:ext uri="{FF2B5EF4-FFF2-40B4-BE49-F238E27FC236}">
                          <a16:creationId xmlns:a16="http://schemas.microsoft.com/office/drawing/2014/main" id="{9D2D4917-FEEE-7849-1128-6AF6C9561CCE}"/>
                        </a:ext>
                      </a:extLst>
                    </pic:cNvPr>
                    <pic:cNvPicPr>
                      <a:picLocks noChangeAspect="1"/>
                    </pic:cNvPicPr>
                  </pic:nvPicPr>
                  <pic:blipFill>
                    <a:blip r:embed="rId8">
                      <a:extLst>
                        <a:ext uri="{28A0092B-C50C-407E-A947-70E740481C1C}">
                          <a14:useLocalDpi xmlns:a14="http://schemas.microsoft.com/office/drawing/2010/main" val="0"/>
                        </a:ext>
                      </a:extLst>
                    </a:blip>
                    <a:srcRect r="595" b="-1"/>
                    <a:stretch>
                      <a:fillRect/>
                    </a:stretch>
                  </pic:blipFill>
                  <pic:spPr bwMode="auto">
                    <a:xfrm>
                      <a:off x="0" y="0"/>
                      <a:ext cx="2600593" cy="1164473"/>
                    </a:xfrm>
                    <a:prstGeom prst="rect">
                      <a:avLst/>
                    </a:prstGeom>
                    <a:noFill/>
                  </pic:spPr>
                </pic:pic>
              </a:graphicData>
            </a:graphic>
          </wp:inline>
        </w:drawing>
      </w:r>
    </w:p>
    <w:p w14:paraId="50267CE6" w14:textId="77777777" w:rsidR="00BC6FAF" w:rsidRPr="002F386D" w:rsidRDefault="00BC6FAF" w:rsidP="00BC6FAF">
      <w:pPr>
        <w:pStyle w:val="Title"/>
        <w:rPr>
          <w:b/>
          <w:bCs/>
          <w:color w:val="000000" w:themeColor="text1"/>
          <w:sz w:val="24"/>
          <w:szCs w:val="24"/>
          <w:highlight w:val="yellow"/>
        </w:rPr>
      </w:pPr>
    </w:p>
    <w:p w14:paraId="6F9276B8" w14:textId="77777777" w:rsidR="00BC6FAF" w:rsidRPr="002F386D" w:rsidRDefault="00BC6FAF" w:rsidP="00BC6FAF">
      <w:pPr>
        <w:pStyle w:val="Title"/>
        <w:jc w:val="center"/>
        <w:rPr>
          <w:b/>
          <w:bCs/>
          <w:color w:val="000000" w:themeColor="text1"/>
          <w:sz w:val="32"/>
          <w:szCs w:val="32"/>
          <w:highlight w:val="yellow"/>
        </w:rPr>
      </w:pPr>
    </w:p>
    <w:p w14:paraId="6625258A" w14:textId="77777777" w:rsidR="00BC6FAF" w:rsidRPr="00BC6FAF" w:rsidRDefault="00BC6FAF" w:rsidP="00BC6FAF">
      <w:pPr>
        <w:pStyle w:val="p1"/>
        <w:jc w:val="center"/>
        <w:rPr>
          <w:sz w:val="44"/>
          <w:szCs w:val="44"/>
        </w:rPr>
      </w:pPr>
      <w:r w:rsidRPr="00BC6FAF">
        <w:rPr>
          <w:b/>
          <w:bCs/>
          <w:sz w:val="44"/>
          <w:szCs w:val="44"/>
        </w:rPr>
        <w:t>Psychology in Health and Social Care</w:t>
      </w:r>
    </w:p>
    <w:p w14:paraId="3A1E0FAD" w14:textId="39B41960" w:rsidR="00BC6FAF" w:rsidRPr="00BC6FAF" w:rsidRDefault="00BC6FAF" w:rsidP="00BC6FAF">
      <w:pPr>
        <w:pStyle w:val="p1"/>
        <w:jc w:val="center"/>
        <w:rPr>
          <w:sz w:val="44"/>
          <w:szCs w:val="44"/>
        </w:rPr>
      </w:pPr>
      <w:r w:rsidRPr="00BC6FAF">
        <w:rPr>
          <w:b/>
          <w:bCs/>
          <w:sz w:val="44"/>
          <w:szCs w:val="44"/>
        </w:rPr>
        <w:t>LCHS4010</w:t>
      </w:r>
    </w:p>
    <w:p w14:paraId="31E28BE0" w14:textId="77777777" w:rsidR="00BC6FAF" w:rsidRPr="002F386D" w:rsidRDefault="00BC6FAF" w:rsidP="00BC6FAF">
      <w:pPr>
        <w:spacing w:line="360" w:lineRule="auto"/>
        <w:rPr>
          <w:highlight w:val="yellow"/>
        </w:rPr>
      </w:pPr>
    </w:p>
    <w:p w14:paraId="5B1CEDF6" w14:textId="77777777" w:rsidR="00BC6FAF" w:rsidRPr="00905AEB" w:rsidRDefault="00BC6FAF" w:rsidP="00BC6FAF">
      <w:pPr>
        <w:spacing w:line="360" w:lineRule="auto"/>
        <w:jc w:val="center"/>
        <w:rPr>
          <w:rFonts w:ascii="Arial" w:hAnsi="Arial" w:cs="Arial"/>
          <w:b/>
          <w:bCs/>
          <w:sz w:val="32"/>
          <w:szCs w:val="32"/>
        </w:rPr>
      </w:pPr>
      <w:r w:rsidRPr="00905AEB">
        <w:rPr>
          <w:rFonts w:ascii="Arial" w:hAnsi="Arial" w:cs="Arial"/>
          <w:b/>
          <w:bCs/>
          <w:sz w:val="32"/>
          <w:szCs w:val="32"/>
        </w:rPr>
        <w:t>Assignment 2</w:t>
      </w:r>
    </w:p>
    <w:p w14:paraId="470A93F8" w14:textId="77777777" w:rsidR="00A04E3A" w:rsidRPr="00905AEB" w:rsidRDefault="00A04E3A" w:rsidP="00A04E3A">
      <w:pPr>
        <w:jc w:val="center"/>
        <w:rPr>
          <w:rFonts w:ascii="Arial" w:hAnsi="Arial" w:cs="Arial"/>
          <w:b/>
          <w:bCs/>
          <w:color w:val="000000"/>
          <w:sz w:val="32"/>
          <w:szCs w:val="32"/>
        </w:rPr>
      </w:pPr>
    </w:p>
    <w:p w14:paraId="76EDCD49" w14:textId="7009E7B2" w:rsidR="00A04E3A" w:rsidRPr="00905AEB" w:rsidRDefault="00A04E3A" w:rsidP="00A04E3A">
      <w:pPr>
        <w:jc w:val="center"/>
        <w:rPr>
          <w:rFonts w:ascii="Arial" w:hAnsi="Arial" w:cs="Arial"/>
          <w:b/>
          <w:bCs/>
          <w:color w:val="000000"/>
          <w:sz w:val="32"/>
          <w:szCs w:val="32"/>
        </w:rPr>
      </w:pPr>
      <w:r w:rsidRPr="00905AEB">
        <w:rPr>
          <w:rFonts w:ascii="Arial" w:hAnsi="Arial" w:cs="Arial"/>
          <w:b/>
          <w:bCs/>
          <w:color w:val="000000"/>
          <w:sz w:val="32"/>
          <w:szCs w:val="32"/>
        </w:rPr>
        <w:t>Applying Psychological Theories to Dementia Care within Residential Care Homes</w:t>
      </w:r>
    </w:p>
    <w:p w14:paraId="78F570E2" w14:textId="77777777" w:rsidR="00BC6FAF" w:rsidRPr="002F386D" w:rsidRDefault="00BC6FAF" w:rsidP="00BC6FAF">
      <w:pPr>
        <w:spacing w:line="360" w:lineRule="auto"/>
        <w:rPr>
          <w:b/>
          <w:bCs/>
          <w:highlight w:val="yellow"/>
          <w:u w:val="single"/>
        </w:rPr>
      </w:pPr>
    </w:p>
    <w:p w14:paraId="7AF896EB" w14:textId="77777777" w:rsidR="00BC6FAF" w:rsidRPr="002F386D" w:rsidRDefault="00BC6FAF" w:rsidP="00BC6FAF">
      <w:pPr>
        <w:rPr>
          <w:b/>
          <w:bCs/>
          <w:color w:val="000000" w:themeColor="text1"/>
          <w:highlight w:val="yellow"/>
          <w:u w:val="single"/>
        </w:rPr>
      </w:pPr>
    </w:p>
    <w:p w14:paraId="2DC2A923" w14:textId="77777777" w:rsidR="00BC6FAF" w:rsidRPr="002F386D" w:rsidRDefault="00BC6FAF" w:rsidP="00BC6FAF">
      <w:pPr>
        <w:rPr>
          <w:b/>
          <w:bCs/>
          <w:color w:val="000000" w:themeColor="text1"/>
          <w:highlight w:val="yellow"/>
          <w:u w:val="single"/>
        </w:rPr>
      </w:pPr>
    </w:p>
    <w:p w14:paraId="1FDF6F9F" w14:textId="77777777" w:rsidR="00BC6FAF" w:rsidRPr="002F386D" w:rsidRDefault="00BC6FAF" w:rsidP="00BC6FAF">
      <w:pPr>
        <w:rPr>
          <w:b/>
          <w:bCs/>
          <w:color w:val="000000" w:themeColor="text1"/>
          <w:highlight w:val="yellow"/>
          <w:u w:val="single"/>
        </w:rPr>
      </w:pPr>
    </w:p>
    <w:p w14:paraId="59C9DA50" w14:textId="77777777" w:rsidR="00BC6FAF" w:rsidRPr="002F386D" w:rsidRDefault="00BC6FAF" w:rsidP="00BC6FAF">
      <w:pPr>
        <w:rPr>
          <w:b/>
          <w:bCs/>
          <w:color w:val="000000" w:themeColor="text1"/>
          <w:highlight w:val="yellow"/>
          <w:u w:val="single"/>
        </w:rPr>
      </w:pPr>
    </w:p>
    <w:p w14:paraId="2FC907B4" w14:textId="77777777" w:rsidR="00BC6FAF" w:rsidRPr="002F386D" w:rsidRDefault="00BC6FAF" w:rsidP="00BC6FAF">
      <w:pPr>
        <w:rPr>
          <w:b/>
          <w:bCs/>
          <w:color w:val="000000" w:themeColor="text1"/>
          <w:highlight w:val="yellow"/>
          <w:u w:val="single"/>
        </w:rPr>
      </w:pPr>
    </w:p>
    <w:p w14:paraId="4E3959A9" w14:textId="77777777" w:rsidR="00BC6FAF" w:rsidRPr="002F386D" w:rsidRDefault="00BC6FAF" w:rsidP="00BC6FAF">
      <w:pPr>
        <w:rPr>
          <w:b/>
          <w:bCs/>
          <w:color w:val="000000" w:themeColor="text1"/>
          <w:highlight w:val="yellow"/>
          <w:u w:val="single"/>
        </w:rPr>
      </w:pPr>
    </w:p>
    <w:p w14:paraId="093176FF" w14:textId="77777777" w:rsidR="00BC6FAF" w:rsidRPr="002F386D" w:rsidRDefault="00BC6FAF" w:rsidP="00BC6FAF">
      <w:pPr>
        <w:rPr>
          <w:b/>
          <w:bCs/>
          <w:color w:val="000000" w:themeColor="text1"/>
          <w:highlight w:val="yellow"/>
          <w:u w:val="single"/>
        </w:rPr>
      </w:pPr>
    </w:p>
    <w:p w14:paraId="49AEDCDE" w14:textId="77777777" w:rsidR="00BC6FAF" w:rsidRDefault="00BC6FAF" w:rsidP="00BC6FAF">
      <w:pPr>
        <w:rPr>
          <w:b/>
          <w:bCs/>
          <w:color w:val="000000" w:themeColor="text1"/>
        </w:rPr>
      </w:pPr>
    </w:p>
    <w:p w14:paraId="545C0E62" w14:textId="77777777" w:rsidR="00BC6FAF" w:rsidRDefault="00BC6FAF" w:rsidP="00BC6FAF">
      <w:pPr>
        <w:rPr>
          <w:b/>
          <w:bCs/>
          <w:color w:val="000000" w:themeColor="text1"/>
        </w:rPr>
      </w:pPr>
    </w:p>
    <w:p w14:paraId="6AA0A85B" w14:textId="77777777" w:rsidR="00BC6FAF" w:rsidRDefault="00BC6FAF" w:rsidP="00BC6FAF">
      <w:pPr>
        <w:rPr>
          <w:b/>
          <w:bCs/>
          <w:color w:val="000000" w:themeColor="text1"/>
        </w:rPr>
      </w:pPr>
    </w:p>
    <w:p w14:paraId="30679456" w14:textId="77777777" w:rsidR="00BC6FAF" w:rsidRDefault="00BC6FAF" w:rsidP="00BC6FAF">
      <w:pPr>
        <w:rPr>
          <w:b/>
          <w:bCs/>
          <w:color w:val="000000" w:themeColor="text1"/>
        </w:rPr>
      </w:pPr>
    </w:p>
    <w:p w14:paraId="10B26297" w14:textId="77777777" w:rsidR="00BC6FAF" w:rsidRDefault="00BC6FAF" w:rsidP="00BC6FAF">
      <w:pPr>
        <w:rPr>
          <w:b/>
          <w:bCs/>
          <w:color w:val="000000" w:themeColor="text1"/>
        </w:rPr>
      </w:pPr>
    </w:p>
    <w:p w14:paraId="267CE8F0" w14:textId="77777777" w:rsidR="00BC6FAF" w:rsidRDefault="00BC6FAF" w:rsidP="00BC6FAF">
      <w:pPr>
        <w:rPr>
          <w:b/>
          <w:bCs/>
          <w:color w:val="000000" w:themeColor="text1"/>
        </w:rPr>
      </w:pPr>
    </w:p>
    <w:p w14:paraId="066CF6AF" w14:textId="77777777" w:rsidR="004D4F2E" w:rsidRDefault="004D4F2E" w:rsidP="00BC6FAF">
      <w:pPr>
        <w:spacing w:line="360" w:lineRule="auto"/>
        <w:rPr>
          <w:b/>
          <w:bCs/>
          <w:color w:val="000000" w:themeColor="text1"/>
        </w:rPr>
      </w:pPr>
    </w:p>
    <w:p w14:paraId="41767FB6" w14:textId="77777777" w:rsidR="004D4F2E" w:rsidRDefault="004D4F2E" w:rsidP="00BC6FAF">
      <w:pPr>
        <w:spacing w:line="360" w:lineRule="auto"/>
        <w:rPr>
          <w:b/>
          <w:bCs/>
          <w:color w:val="000000" w:themeColor="text1"/>
        </w:rPr>
      </w:pPr>
    </w:p>
    <w:p w14:paraId="21010DDD" w14:textId="0D830BD7" w:rsidR="00BC6FAF" w:rsidRPr="00905AEB" w:rsidRDefault="00BC6FAF" w:rsidP="00BC6FAF">
      <w:pPr>
        <w:spacing w:line="360" w:lineRule="auto"/>
        <w:rPr>
          <w:rFonts w:ascii="Arial" w:hAnsi="Arial" w:cs="Arial"/>
          <w:b/>
          <w:bCs/>
          <w:color w:val="000000" w:themeColor="text1"/>
          <w:sz w:val="22"/>
          <w:szCs w:val="22"/>
        </w:rPr>
      </w:pPr>
      <w:r w:rsidRPr="00905AEB">
        <w:rPr>
          <w:rFonts w:ascii="Arial" w:hAnsi="Arial" w:cs="Arial"/>
          <w:b/>
          <w:bCs/>
          <w:color w:val="000000" w:themeColor="text1"/>
          <w:sz w:val="22"/>
          <w:szCs w:val="22"/>
        </w:rPr>
        <w:t xml:space="preserve">Name of Student: </w:t>
      </w:r>
      <w:r w:rsidRPr="00905AEB">
        <w:rPr>
          <w:rFonts w:ascii="Arial" w:hAnsi="Arial" w:cs="Arial"/>
          <w:color w:val="000000" w:themeColor="text1"/>
          <w:sz w:val="22"/>
          <w:szCs w:val="22"/>
        </w:rPr>
        <w:t>Yuliia Silman</w:t>
      </w:r>
    </w:p>
    <w:p w14:paraId="407DA67C" w14:textId="77777777" w:rsidR="00BC6FAF" w:rsidRPr="00905AEB" w:rsidRDefault="00BC6FAF" w:rsidP="00BC6FAF">
      <w:pPr>
        <w:spacing w:line="360" w:lineRule="auto"/>
        <w:rPr>
          <w:rFonts w:ascii="Arial" w:hAnsi="Arial" w:cs="Arial"/>
          <w:b/>
          <w:bCs/>
          <w:color w:val="000000" w:themeColor="text1"/>
          <w:sz w:val="22"/>
          <w:szCs w:val="22"/>
          <w:lang w:val="en-US"/>
        </w:rPr>
      </w:pPr>
      <w:r w:rsidRPr="00905AEB">
        <w:rPr>
          <w:rFonts w:ascii="Arial" w:hAnsi="Arial" w:cs="Arial"/>
          <w:b/>
          <w:bCs/>
          <w:color w:val="000000" w:themeColor="text1"/>
          <w:sz w:val="22"/>
          <w:szCs w:val="22"/>
        </w:rPr>
        <w:t xml:space="preserve">I.D. Number: </w:t>
      </w:r>
      <w:r w:rsidRPr="00905AEB">
        <w:rPr>
          <w:rFonts w:ascii="Arial" w:hAnsi="Arial" w:cs="Arial"/>
          <w:color w:val="000000" w:themeColor="text1"/>
          <w:sz w:val="22"/>
          <w:szCs w:val="22"/>
          <w:lang w:val="en-US"/>
        </w:rPr>
        <w:t>2431446</w:t>
      </w:r>
    </w:p>
    <w:p w14:paraId="2F68BCAA" w14:textId="71ECCDCA" w:rsidR="00BC6FAF" w:rsidRPr="00905AEB" w:rsidRDefault="00BC6FAF" w:rsidP="00BC6FAF">
      <w:pPr>
        <w:spacing w:line="360" w:lineRule="auto"/>
        <w:rPr>
          <w:rFonts w:ascii="Arial" w:hAnsi="Arial" w:cs="Arial"/>
          <w:b/>
          <w:bCs/>
          <w:color w:val="000000" w:themeColor="text1"/>
          <w:sz w:val="22"/>
          <w:szCs w:val="22"/>
        </w:rPr>
      </w:pPr>
      <w:r w:rsidRPr="00905AEB">
        <w:rPr>
          <w:rFonts w:ascii="Arial" w:hAnsi="Arial" w:cs="Arial"/>
          <w:b/>
          <w:bCs/>
          <w:color w:val="000000" w:themeColor="text1"/>
          <w:sz w:val="22"/>
          <w:szCs w:val="22"/>
          <w:lang w:val="en-US"/>
        </w:rPr>
        <w:t xml:space="preserve">Lecturer’s Name: </w:t>
      </w:r>
      <w:r w:rsidRPr="00905AEB">
        <w:rPr>
          <w:rFonts w:ascii="Arial" w:hAnsi="Arial" w:cs="Arial"/>
          <w:color w:val="000000" w:themeColor="text1"/>
          <w:sz w:val="22"/>
          <w:szCs w:val="22"/>
          <w:lang w:val="en-US"/>
        </w:rPr>
        <w:t>Farah Wiita</w:t>
      </w:r>
    </w:p>
    <w:p w14:paraId="601A8286" w14:textId="77777777" w:rsidR="00BC6FAF" w:rsidRPr="00905AEB" w:rsidRDefault="00BC6FAF" w:rsidP="00BC6FAF">
      <w:pPr>
        <w:rPr>
          <w:rFonts w:ascii="Arial" w:hAnsi="Arial" w:cs="Arial"/>
          <w:b/>
          <w:bCs/>
          <w:color w:val="000000" w:themeColor="text1"/>
          <w:sz w:val="22"/>
          <w:szCs w:val="22"/>
          <w:highlight w:val="yellow"/>
          <w:u w:val="single"/>
        </w:rPr>
      </w:pPr>
    </w:p>
    <w:p w14:paraId="740E346E" w14:textId="77777777" w:rsidR="00BC6FAF" w:rsidRPr="00905AEB" w:rsidRDefault="00BC6FAF" w:rsidP="00BC6FAF">
      <w:pPr>
        <w:rPr>
          <w:rFonts w:ascii="Arial" w:hAnsi="Arial" w:cs="Arial"/>
          <w:b/>
          <w:bCs/>
          <w:color w:val="000000" w:themeColor="text1"/>
          <w:sz w:val="22"/>
          <w:szCs w:val="22"/>
          <w:highlight w:val="yellow"/>
          <w:u w:val="single"/>
        </w:rPr>
      </w:pPr>
    </w:p>
    <w:p w14:paraId="5FFE536C" w14:textId="77777777" w:rsidR="00BC6FAF" w:rsidRPr="00905AEB" w:rsidRDefault="00BC6FAF" w:rsidP="00BC6FAF">
      <w:pPr>
        <w:rPr>
          <w:rFonts w:ascii="Arial" w:hAnsi="Arial" w:cs="Arial"/>
          <w:color w:val="000000" w:themeColor="text1"/>
          <w:sz w:val="22"/>
          <w:szCs w:val="22"/>
          <w:highlight w:val="yellow"/>
        </w:rPr>
      </w:pPr>
    </w:p>
    <w:p w14:paraId="3AD352FE" w14:textId="77777777" w:rsidR="00BC6FAF" w:rsidRPr="00905AEB" w:rsidRDefault="00BC6FAF" w:rsidP="00BC6FAF">
      <w:pPr>
        <w:rPr>
          <w:rFonts w:ascii="Arial" w:hAnsi="Arial" w:cs="Arial"/>
          <w:b/>
          <w:bCs/>
          <w:color w:val="000000"/>
          <w:sz w:val="22"/>
          <w:szCs w:val="22"/>
        </w:rPr>
      </w:pPr>
      <w:r w:rsidRPr="00905AEB">
        <w:rPr>
          <w:rFonts w:ascii="Arial" w:hAnsi="Arial" w:cs="Arial"/>
          <w:b/>
          <w:bCs/>
          <w:color w:val="000000"/>
          <w:sz w:val="22"/>
          <w:szCs w:val="22"/>
        </w:rPr>
        <w:t>Acknowledgement of AI Use:</w:t>
      </w:r>
    </w:p>
    <w:p w14:paraId="58239E4F" w14:textId="77777777" w:rsidR="00BC6FAF" w:rsidRPr="00905AEB" w:rsidRDefault="00BC6FAF" w:rsidP="00BC6FAF">
      <w:pPr>
        <w:rPr>
          <w:rFonts w:ascii="Arial" w:hAnsi="Arial" w:cs="Arial"/>
          <w:color w:val="000000"/>
          <w:sz w:val="22"/>
          <w:szCs w:val="22"/>
        </w:rPr>
      </w:pPr>
      <w:r w:rsidRPr="00905AEB">
        <w:rPr>
          <w:rFonts w:ascii="Arial" w:hAnsi="Arial" w:cs="Arial"/>
          <w:color w:val="000000"/>
          <w:sz w:val="22"/>
          <w:szCs w:val="22"/>
        </w:rPr>
        <w:t>I confirm that I have used Grammarly (</w:t>
      </w:r>
      <w:hyperlink r:id="rId9" w:history="1">
        <w:r w:rsidRPr="00905AEB">
          <w:rPr>
            <w:rStyle w:val="Hyperlink"/>
            <w:rFonts w:ascii="Arial" w:hAnsi="Arial" w:cs="Arial"/>
            <w:sz w:val="22"/>
            <w:szCs w:val="22"/>
          </w:rPr>
          <w:t>https://www.grammarly.com/</w:t>
        </w:r>
      </w:hyperlink>
      <w:r w:rsidRPr="00905AEB">
        <w:rPr>
          <w:rFonts w:ascii="Arial" w:hAnsi="Arial" w:cs="Arial"/>
          <w:color w:val="000000"/>
          <w:sz w:val="22"/>
          <w:szCs w:val="22"/>
        </w:rPr>
        <w:t>) to support and proofread my work.</w:t>
      </w:r>
    </w:p>
    <w:sdt>
      <w:sdtPr>
        <w:rPr>
          <w:rFonts w:ascii="Arial" w:eastAsia="Times New Roman" w:hAnsi="Arial" w:cs="Arial"/>
          <w:b w:val="0"/>
          <w:bCs w:val="0"/>
          <w:color w:val="auto"/>
          <w:sz w:val="24"/>
          <w:szCs w:val="24"/>
          <w:lang w:val="en-GB" w:eastAsia="en-GB"/>
        </w:rPr>
        <w:id w:val="384144808"/>
        <w:docPartObj>
          <w:docPartGallery w:val="Table of Contents"/>
          <w:docPartUnique/>
        </w:docPartObj>
      </w:sdtPr>
      <w:sdtEndPr>
        <w:rPr>
          <w:rFonts w:ascii="Times New Roman" w:hAnsi="Times New Roman" w:cs="Times New Roman"/>
          <w:b/>
          <w:bCs/>
          <w:noProof/>
        </w:rPr>
      </w:sdtEndPr>
      <w:sdtContent>
        <w:p w14:paraId="2DE10272" w14:textId="16769E0A" w:rsidR="00905AEB" w:rsidRPr="00905AEB" w:rsidRDefault="00905AEB">
          <w:pPr>
            <w:pStyle w:val="TOCHeading"/>
            <w:rPr>
              <w:rFonts w:ascii="Arial" w:hAnsi="Arial" w:cs="Arial"/>
              <w:b w:val="0"/>
              <w:bCs w:val="0"/>
            </w:rPr>
          </w:pPr>
          <w:r w:rsidRPr="00905AEB">
            <w:rPr>
              <w:rFonts w:ascii="Arial" w:hAnsi="Arial" w:cs="Arial"/>
              <w:b w:val="0"/>
              <w:bCs w:val="0"/>
            </w:rPr>
            <w:t>Table of Contents</w:t>
          </w:r>
        </w:p>
        <w:p w14:paraId="35C70F2A" w14:textId="0941CF9E"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r w:rsidRPr="00905AEB">
            <w:rPr>
              <w:rFonts w:ascii="Arial" w:hAnsi="Arial" w:cs="Arial"/>
              <w:b w:val="0"/>
              <w:bCs w:val="0"/>
              <w:i w:val="0"/>
              <w:iCs w:val="0"/>
            </w:rPr>
            <w:fldChar w:fldCharType="begin"/>
          </w:r>
          <w:r w:rsidRPr="00905AEB">
            <w:rPr>
              <w:rFonts w:ascii="Arial" w:hAnsi="Arial" w:cs="Arial"/>
              <w:b w:val="0"/>
              <w:bCs w:val="0"/>
              <w:i w:val="0"/>
              <w:iCs w:val="0"/>
            </w:rPr>
            <w:instrText xml:space="preserve"> TOC \o "1-3" \h \z \u </w:instrText>
          </w:r>
          <w:r w:rsidRPr="00905AEB">
            <w:rPr>
              <w:rFonts w:ascii="Arial" w:hAnsi="Arial" w:cs="Arial"/>
              <w:b w:val="0"/>
              <w:bCs w:val="0"/>
              <w:i w:val="0"/>
              <w:iCs w:val="0"/>
            </w:rPr>
            <w:fldChar w:fldCharType="separate"/>
          </w:r>
          <w:hyperlink w:anchor="_Toc216990426" w:history="1">
            <w:r w:rsidRPr="00905AEB">
              <w:rPr>
                <w:rStyle w:val="Hyperlink"/>
                <w:rFonts w:ascii="Arial" w:hAnsi="Arial" w:cs="Arial"/>
                <w:b w:val="0"/>
                <w:bCs w:val="0"/>
                <w:i w:val="0"/>
                <w:iCs w:val="0"/>
                <w:noProof/>
              </w:rPr>
              <w:t>Introduction</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_Toc216990426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3</w:t>
            </w:r>
            <w:r w:rsidRPr="00905AEB">
              <w:rPr>
                <w:rFonts w:ascii="Arial" w:hAnsi="Arial" w:cs="Arial"/>
                <w:b w:val="0"/>
                <w:bCs w:val="0"/>
                <w:i w:val="0"/>
                <w:iCs w:val="0"/>
                <w:noProof/>
                <w:webHidden/>
              </w:rPr>
              <w:fldChar w:fldCharType="end"/>
            </w:r>
          </w:hyperlink>
        </w:p>
        <w:p w14:paraId="309D976C" w14:textId="4AD4FD36"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7" w:history="1">
            <w:r w:rsidRPr="00905AEB">
              <w:rPr>
                <w:rStyle w:val="Hyperlink"/>
                <w:rFonts w:ascii="Arial" w:hAnsi="Arial" w:cs="Arial"/>
                <w:b w:val="0"/>
                <w:bCs w:val="0"/>
                <w:i w:val="0"/>
                <w:iCs w:val="0"/>
                <w:noProof/>
              </w:rPr>
              <w:t>Theory 1: Self-Efficacy Theory (Bandura)</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_Toc216990427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3</w:t>
            </w:r>
            <w:r w:rsidRPr="00905AEB">
              <w:rPr>
                <w:rFonts w:ascii="Arial" w:hAnsi="Arial" w:cs="Arial"/>
                <w:b w:val="0"/>
                <w:bCs w:val="0"/>
                <w:i w:val="0"/>
                <w:iCs w:val="0"/>
                <w:noProof/>
                <w:webHidden/>
              </w:rPr>
              <w:fldChar w:fldCharType="end"/>
            </w:r>
          </w:hyperlink>
        </w:p>
        <w:p w14:paraId="28C6E9EB" w14:textId="284D91F6"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8" w:history="1">
            <w:r w:rsidRPr="00905AEB">
              <w:rPr>
                <w:rStyle w:val="Hyperlink"/>
                <w:rFonts w:ascii="Arial" w:hAnsi="Arial" w:cs="Arial"/>
                <w:b w:val="0"/>
                <w:bCs w:val="0"/>
                <w:i w:val="0"/>
                <w:iCs w:val="0"/>
                <w:noProof/>
              </w:rPr>
              <w:t>Theory 2: Behaviourism (Behaviourist Approach)</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_Toc216990428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5</w:t>
            </w:r>
            <w:r w:rsidRPr="00905AEB">
              <w:rPr>
                <w:rFonts w:ascii="Arial" w:hAnsi="Arial" w:cs="Arial"/>
                <w:b w:val="0"/>
                <w:bCs w:val="0"/>
                <w:i w:val="0"/>
                <w:iCs w:val="0"/>
                <w:noProof/>
                <w:webHidden/>
              </w:rPr>
              <w:fldChar w:fldCharType="end"/>
            </w:r>
          </w:hyperlink>
        </w:p>
        <w:p w14:paraId="7208B47C" w14:textId="13490D89"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9" w:history="1">
            <w:r w:rsidRPr="00905AEB">
              <w:rPr>
                <w:rStyle w:val="Hyperlink"/>
                <w:rFonts w:ascii="Arial" w:hAnsi="Arial" w:cs="Arial"/>
                <w:b w:val="0"/>
                <w:bCs w:val="0"/>
                <w:i w:val="0"/>
                <w:iCs w:val="0"/>
                <w:noProof/>
              </w:rPr>
              <w:t>Conclusion</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_Toc216990429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6</w:t>
            </w:r>
            <w:r w:rsidRPr="00905AEB">
              <w:rPr>
                <w:rFonts w:ascii="Arial" w:hAnsi="Arial" w:cs="Arial"/>
                <w:b w:val="0"/>
                <w:bCs w:val="0"/>
                <w:i w:val="0"/>
                <w:iCs w:val="0"/>
                <w:noProof/>
                <w:webHidden/>
              </w:rPr>
              <w:fldChar w:fldCharType="end"/>
            </w:r>
          </w:hyperlink>
        </w:p>
        <w:p w14:paraId="5300EA43" w14:textId="5B8EFA88"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30" w:history="1">
            <w:r w:rsidRPr="00905AEB">
              <w:rPr>
                <w:rStyle w:val="Hyperlink"/>
                <w:rFonts w:ascii="Arial" w:hAnsi="Arial" w:cs="Arial"/>
                <w:b w:val="0"/>
                <w:bCs w:val="0"/>
                <w:i w:val="0"/>
                <w:iCs w:val="0"/>
                <w:noProof/>
              </w:rPr>
              <w:t>Reference list</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_Toc216990430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8</w:t>
            </w:r>
            <w:r w:rsidRPr="00905AEB">
              <w:rPr>
                <w:rFonts w:ascii="Arial" w:hAnsi="Arial" w:cs="Arial"/>
                <w:b w:val="0"/>
                <w:bCs w:val="0"/>
                <w:i w:val="0"/>
                <w:iCs w:val="0"/>
                <w:noProof/>
                <w:webHidden/>
              </w:rPr>
              <w:fldChar w:fldCharType="end"/>
            </w:r>
          </w:hyperlink>
        </w:p>
        <w:p w14:paraId="2C278A02" w14:textId="6527F7DC" w:rsidR="00905AEB" w:rsidRDefault="00905AEB">
          <w:r w:rsidRPr="00905AEB">
            <w:rPr>
              <w:rFonts w:ascii="Arial" w:hAnsi="Arial" w:cs="Arial"/>
              <w:noProof/>
            </w:rPr>
            <w:fldChar w:fldCharType="end"/>
          </w:r>
        </w:p>
      </w:sdtContent>
    </w:sdt>
    <w:p w14:paraId="76F2C18B" w14:textId="77777777" w:rsidR="00D34FED" w:rsidRPr="00CC3F85" w:rsidRDefault="00D34FED">
      <w:pPr>
        <w:rPr>
          <w:b/>
          <w:bCs/>
          <w:color w:val="000000" w:themeColor="text1"/>
          <w:u w:val="single"/>
        </w:rPr>
      </w:pPr>
    </w:p>
    <w:p w14:paraId="59F7EE8D" w14:textId="77777777" w:rsidR="00D34FED" w:rsidRPr="00CC3F85" w:rsidRDefault="00D34FED">
      <w:pPr>
        <w:rPr>
          <w:b/>
          <w:bCs/>
          <w:color w:val="000000" w:themeColor="text1"/>
          <w:u w:val="single"/>
        </w:rPr>
      </w:pPr>
    </w:p>
    <w:p w14:paraId="17877735" w14:textId="77777777" w:rsidR="00D34FED" w:rsidRPr="00CC3F85" w:rsidRDefault="00D34FED">
      <w:pPr>
        <w:rPr>
          <w:b/>
          <w:bCs/>
          <w:color w:val="000000" w:themeColor="text1"/>
          <w:u w:val="single"/>
        </w:rPr>
      </w:pPr>
    </w:p>
    <w:p w14:paraId="1BD56AA6" w14:textId="77777777" w:rsidR="00D34FED" w:rsidRPr="00CC3F85" w:rsidRDefault="00D34FED">
      <w:pPr>
        <w:pStyle w:val="Title"/>
        <w:rPr>
          <w:rFonts w:eastAsia="Verdana"/>
          <w:color w:val="000000" w:themeColor="text1"/>
          <w:sz w:val="24"/>
          <w:szCs w:val="24"/>
        </w:rPr>
      </w:pPr>
    </w:p>
    <w:p w14:paraId="656927C3" w14:textId="07205E10" w:rsidR="00D34FED" w:rsidRPr="00CC3F85" w:rsidRDefault="00D34FED">
      <w:pPr>
        <w:pStyle w:val="Title"/>
        <w:rPr>
          <w:rFonts w:eastAsia="Verdana"/>
          <w:color w:val="000000" w:themeColor="text1"/>
          <w:sz w:val="24"/>
          <w:szCs w:val="24"/>
        </w:rPr>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17906093" w14:textId="77777777" w:rsidR="006B67F9" w:rsidRDefault="006B67F9" w:rsidP="006B67F9">
      <w:pPr>
        <w:rPr>
          <w:b/>
          <w:bCs/>
        </w:rPr>
      </w:pPr>
    </w:p>
    <w:p w14:paraId="595810BB" w14:textId="77777777" w:rsidR="006B67F9" w:rsidRDefault="006B67F9" w:rsidP="006B67F9">
      <w:pPr>
        <w:rPr>
          <w:b/>
          <w:bCs/>
        </w:rPr>
      </w:pPr>
    </w:p>
    <w:p w14:paraId="272B6CE9" w14:textId="77777777" w:rsidR="006B67F9" w:rsidRDefault="006B67F9" w:rsidP="006B67F9">
      <w:pPr>
        <w:rPr>
          <w:b/>
          <w:bCs/>
        </w:rPr>
      </w:pPr>
    </w:p>
    <w:p w14:paraId="7299D26E" w14:textId="77777777" w:rsidR="006B67F9" w:rsidRDefault="006B67F9" w:rsidP="006B67F9">
      <w:pPr>
        <w:rPr>
          <w:b/>
          <w:bCs/>
        </w:rPr>
      </w:pPr>
    </w:p>
    <w:p w14:paraId="09F63991" w14:textId="77777777" w:rsidR="006B67F9" w:rsidRDefault="006B67F9" w:rsidP="006B67F9">
      <w:pPr>
        <w:rPr>
          <w:b/>
          <w:bCs/>
        </w:rPr>
      </w:pPr>
    </w:p>
    <w:p w14:paraId="33678B51" w14:textId="77777777" w:rsidR="006B67F9" w:rsidRDefault="006B67F9" w:rsidP="006B67F9">
      <w:pPr>
        <w:rPr>
          <w:b/>
          <w:bCs/>
        </w:rPr>
      </w:pPr>
    </w:p>
    <w:p w14:paraId="59AB7234" w14:textId="33F09318" w:rsidR="0031004B" w:rsidRPr="00905AEB" w:rsidRDefault="006B67F9" w:rsidP="00905AEB">
      <w:pPr>
        <w:pStyle w:val="Heading1"/>
        <w:rPr>
          <w:sz w:val="32"/>
          <w:szCs w:val="32"/>
        </w:rPr>
      </w:pPr>
      <w:bookmarkStart w:id="0" w:name="_Toc216990426"/>
      <w:r w:rsidRPr="00905AEB">
        <w:rPr>
          <w:sz w:val="32"/>
          <w:szCs w:val="32"/>
        </w:rPr>
        <w:lastRenderedPageBreak/>
        <w:t>Introduction</w:t>
      </w:r>
      <w:bookmarkEnd w:id="0"/>
    </w:p>
    <w:p w14:paraId="24CA5CC4" w14:textId="7FD05C81" w:rsidR="0031004B" w:rsidRPr="00905AEB" w:rsidRDefault="0031004B"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Dementia is a progressive condition associated with cognitive decline, as well as highly prevalent behavioural and psychological symptoms. </w:t>
      </w:r>
      <w:r w:rsidR="00530694">
        <w:rPr>
          <w:rFonts w:ascii="Arial" w:hAnsi="Arial" w:cs="Arial"/>
          <w:color w:val="000000"/>
          <w:sz w:val="22"/>
          <w:szCs w:val="22"/>
        </w:rPr>
        <w:t>People living with dementia commonly experience agitation, which</w:t>
      </w:r>
      <w:r w:rsidRPr="00905AEB">
        <w:rPr>
          <w:rFonts w:ascii="Arial" w:hAnsi="Arial" w:cs="Arial"/>
          <w:color w:val="000000"/>
          <w:sz w:val="22"/>
          <w:szCs w:val="22"/>
        </w:rPr>
        <w:t xml:space="preserve"> is often persistent and distressing, significantly affecting wellbeing and quality of life. </w:t>
      </w:r>
      <w:r w:rsidR="004D4F2E" w:rsidRPr="00905AEB">
        <w:rPr>
          <w:rFonts w:ascii="Arial" w:hAnsi="Arial" w:cs="Arial"/>
          <w:color w:val="000000"/>
          <w:sz w:val="22"/>
          <w:szCs w:val="22"/>
        </w:rPr>
        <w:t>As life expectancy rises, dementia prevalence increases globally</w:t>
      </w:r>
      <w:r w:rsidRPr="00905AEB">
        <w:rPr>
          <w:rFonts w:ascii="Arial" w:hAnsi="Arial" w:cs="Arial"/>
          <w:color w:val="000000"/>
          <w:sz w:val="22"/>
          <w:szCs w:val="22"/>
        </w:rPr>
        <w:t xml:space="preserve">, </w:t>
      </w:r>
      <w:r w:rsidR="00530694">
        <w:rPr>
          <w:rFonts w:ascii="Arial" w:hAnsi="Arial" w:cs="Arial"/>
          <w:color w:val="000000"/>
          <w:sz w:val="22"/>
          <w:szCs w:val="22"/>
        </w:rPr>
        <w:t>resulting in</w:t>
      </w:r>
      <w:r w:rsidRPr="00905AEB">
        <w:rPr>
          <w:rFonts w:ascii="Arial" w:hAnsi="Arial" w:cs="Arial"/>
          <w:color w:val="000000"/>
          <w:sz w:val="22"/>
          <w:szCs w:val="22"/>
        </w:rPr>
        <w:t xml:space="preserve"> a</w:t>
      </w:r>
      <w:r w:rsidR="00530694">
        <w:rPr>
          <w:rFonts w:ascii="Arial" w:hAnsi="Arial" w:cs="Arial"/>
          <w:color w:val="000000"/>
          <w:sz w:val="22"/>
          <w:szCs w:val="22"/>
        </w:rPr>
        <w:t>n</w:t>
      </w:r>
      <w:r w:rsidRPr="00905AEB">
        <w:rPr>
          <w:rFonts w:ascii="Arial" w:hAnsi="Arial" w:cs="Arial"/>
          <w:color w:val="000000"/>
          <w:sz w:val="22"/>
          <w:szCs w:val="22"/>
        </w:rPr>
        <w:t xml:space="preserve"> </w:t>
      </w:r>
      <w:r w:rsidR="00530694" w:rsidRPr="00905AEB">
        <w:rPr>
          <w:rFonts w:ascii="Arial" w:hAnsi="Arial" w:cs="Arial"/>
          <w:color w:val="000000"/>
          <w:sz w:val="22"/>
          <w:szCs w:val="22"/>
        </w:rPr>
        <w:t>i</w:t>
      </w:r>
      <w:r w:rsidR="00530694">
        <w:rPr>
          <w:rFonts w:ascii="Arial" w:hAnsi="Arial" w:cs="Arial"/>
          <w:color w:val="000000"/>
          <w:sz w:val="22"/>
          <w:szCs w:val="22"/>
        </w:rPr>
        <w:t>ncreasing</w:t>
      </w:r>
      <w:r w:rsidRPr="00905AEB">
        <w:rPr>
          <w:rFonts w:ascii="Arial" w:hAnsi="Arial" w:cs="Arial"/>
          <w:color w:val="000000"/>
          <w:sz w:val="22"/>
          <w:szCs w:val="22"/>
        </w:rPr>
        <w:t xml:space="preserve"> number of older adults </w:t>
      </w:r>
      <w:r w:rsidR="00530694">
        <w:rPr>
          <w:rFonts w:ascii="Arial" w:hAnsi="Arial" w:cs="Arial"/>
          <w:color w:val="000000"/>
          <w:sz w:val="22"/>
          <w:szCs w:val="22"/>
        </w:rPr>
        <w:t xml:space="preserve">who </w:t>
      </w:r>
      <w:r w:rsidRPr="00905AEB">
        <w:rPr>
          <w:rFonts w:ascii="Arial" w:hAnsi="Arial" w:cs="Arial"/>
          <w:color w:val="000000"/>
          <w:sz w:val="22"/>
          <w:szCs w:val="22"/>
        </w:rPr>
        <w:t>requir</w:t>
      </w:r>
      <w:r w:rsidR="00530694">
        <w:rPr>
          <w:rFonts w:ascii="Arial" w:hAnsi="Arial" w:cs="Arial"/>
          <w:color w:val="000000"/>
          <w:sz w:val="22"/>
          <w:szCs w:val="22"/>
        </w:rPr>
        <w:t>e</w:t>
      </w:r>
      <w:r w:rsidRPr="00905AEB">
        <w:rPr>
          <w:rFonts w:ascii="Arial" w:hAnsi="Arial" w:cs="Arial"/>
          <w:color w:val="000000"/>
          <w:sz w:val="22"/>
          <w:szCs w:val="22"/>
        </w:rPr>
        <w:t xml:space="preserve"> long-term care and support within residential care homes. These settings play a crucial role in supporting individuals with complex needs. However, dementia care presents complex challenges for health and social care professionals, particularly in managing behavioural and psychological symptoms, maintaining person-centred care. Effective dementia care, therefore, relies heavily on non-pharmacological and psychosocial approaches, emphasising the importance of informed and theory-guided practice within care home environments (Livingston et al., 20</w:t>
      </w:r>
      <w:r w:rsidR="006A0B89" w:rsidRPr="00905AEB">
        <w:rPr>
          <w:rFonts w:ascii="Arial" w:hAnsi="Arial" w:cs="Arial"/>
          <w:color w:val="000000"/>
          <w:sz w:val="22"/>
          <w:szCs w:val="22"/>
        </w:rPr>
        <w:t>14</w:t>
      </w:r>
      <w:r w:rsidRPr="00905AEB">
        <w:rPr>
          <w:rFonts w:ascii="Arial" w:hAnsi="Arial" w:cs="Arial"/>
          <w:color w:val="000000"/>
          <w:sz w:val="22"/>
          <w:szCs w:val="22"/>
        </w:rPr>
        <w:t>).</w:t>
      </w:r>
    </w:p>
    <w:p w14:paraId="5A6FA61C" w14:textId="34E008E5" w:rsidR="00A34563" w:rsidRPr="00905AEB" w:rsidRDefault="00A34563" w:rsidP="00905AEB">
      <w:pPr>
        <w:spacing w:line="360" w:lineRule="auto"/>
        <w:jc w:val="both"/>
        <w:rPr>
          <w:rFonts w:ascii="Arial" w:hAnsi="Arial" w:cs="Arial"/>
          <w:color w:val="000000"/>
          <w:sz w:val="22"/>
          <w:szCs w:val="22"/>
        </w:rPr>
      </w:pPr>
      <w:r w:rsidRPr="00905AEB">
        <w:rPr>
          <w:rFonts w:ascii="Arial" w:hAnsi="Arial" w:cs="Arial"/>
          <w:color w:val="000000"/>
          <w:sz w:val="22"/>
          <w:szCs w:val="22"/>
        </w:rPr>
        <w:t>This report focuses on a residential care home that provides long-term support for adults aged 65 and older living with dementia. Within this setting, care assistants and nursing staff deliver daily support, assisting residents with daily routines, personal care, and social engagement. Professionals in this setting must balance organisational requirements with person-centred approaches. To develop effective and sustainable dementia care practices, it is important to understand how care environments and staff responses shape residents’ experiences.</w:t>
      </w:r>
    </w:p>
    <w:p w14:paraId="1095BD83" w14:textId="57A439DE" w:rsidR="004C65B8" w:rsidRPr="00905AEB" w:rsidRDefault="004C65B8"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This report explores how psychological theories can enhance dementia care practices within residential homes for adults aged 65 and over. Two theoretical approaches are examined: Self-Efficacy Theory and </w:t>
      </w:r>
      <w:r w:rsidR="00876B00" w:rsidRPr="00905AEB">
        <w:rPr>
          <w:rFonts w:ascii="Arial" w:hAnsi="Arial" w:cs="Arial"/>
          <w:color w:val="000000"/>
          <w:sz w:val="22"/>
          <w:szCs w:val="22"/>
        </w:rPr>
        <w:t xml:space="preserve">behaviourist-based approaches grounded in </w:t>
      </w:r>
      <w:r w:rsidR="005E1BD3" w:rsidRPr="00905AEB">
        <w:rPr>
          <w:rFonts w:ascii="Arial" w:hAnsi="Arial" w:cs="Arial"/>
          <w:color w:val="000000"/>
          <w:sz w:val="22"/>
          <w:szCs w:val="22"/>
        </w:rPr>
        <w:t>B</w:t>
      </w:r>
      <w:r w:rsidR="00876B00" w:rsidRPr="00905AEB">
        <w:rPr>
          <w:rFonts w:ascii="Arial" w:hAnsi="Arial" w:cs="Arial"/>
          <w:color w:val="000000"/>
          <w:sz w:val="22"/>
          <w:szCs w:val="22"/>
        </w:rPr>
        <w:t>ehaviourism</w:t>
      </w:r>
      <w:r w:rsidRPr="00905AEB">
        <w:rPr>
          <w:rFonts w:ascii="Arial" w:hAnsi="Arial" w:cs="Arial"/>
          <w:color w:val="000000"/>
          <w:sz w:val="22"/>
          <w:szCs w:val="22"/>
        </w:rPr>
        <w:t xml:space="preserve">. The report discusses the influence of these theories on staff actions, care routines, and the care environment, </w:t>
      </w:r>
      <w:r w:rsidR="00DB464A" w:rsidRPr="00905AEB">
        <w:rPr>
          <w:rFonts w:ascii="Arial" w:hAnsi="Arial" w:cs="Arial"/>
          <w:color w:val="000000"/>
          <w:sz w:val="22"/>
          <w:szCs w:val="22"/>
        </w:rPr>
        <w:t>and</w:t>
      </w:r>
      <w:r w:rsidRPr="00905AEB">
        <w:rPr>
          <w:rFonts w:ascii="Arial" w:hAnsi="Arial" w:cs="Arial"/>
          <w:color w:val="000000"/>
          <w:sz w:val="22"/>
          <w:szCs w:val="22"/>
        </w:rPr>
        <w:t xml:space="preserve"> their impact on the behaviour</w:t>
      </w:r>
      <w:r w:rsidR="00DB464A" w:rsidRPr="00905AEB">
        <w:rPr>
          <w:rFonts w:ascii="Arial" w:hAnsi="Arial" w:cs="Arial"/>
          <w:color w:val="000000"/>
          <w:sz w:val="22"/>
          <w:szCs w:val="22"/>
        </w:rPr>
        <w:t xml:space="preserve"> and </w:t>
      </w:r>
      <w:r w:rsidRPr="00905AEB">
        <w:rPr>
          <w:rFonts w:ascii="Arial" w:hAnsi="Arial" w:cs="Arial"/>
          <w:color w:val="000000"/>
          <w:sz w:val="22"/>
          <w:szCs w:val="22"/>
        </w:rPr>
        <w:t>engagement of individuals living with dementia. It presents the principal concepts of each theory, evaluates their strengths and limitations in the context of dementia care, and demonstrates their application within care home settings. Furthermore, the report examines the interaction between biological changes associated with dementia and environmental factors, highlighting the importance of theory-based, person-centred care.</w:t>
      </w:r>
    </w:p>
    <w:p w14:paraId="1FFE8A1C" w14:textId="14DB1FAF" w:rsidR="00F611B5" w:rsidRPr="00905AEB" w:rsidRDefault="00F611B5" w:rsidP="00905AEB">
      <w:pPr>
        <w:pStyle w:val="Heading1"/>
        <w:rPr>
          <w:sz w:val="32"/>
          <w:szCs w:val="32"/>
        </w:rPr>
      </w:pPr>
      <w:bookmarkStart w:id="1" w:name="_Toc216990427"/>
      <w:r w:rsidRPr="00905AEB">
        <w:rPr>
          <w:sz w:val="32"/>
          <w:szCs w:val="32"/>
        </w:rPr>
        <w:t>Theory 1: Self-Efficacy Theory (Bandura)</w:t>
      </w:r>
      <w:bookmarkEnd w:id="1"/>
    </w:p>
    <w:p w14:paraId="33A6BB36" w14:textId="630732AA" w:rsidR="0039287D" w:rsidRPr="00905AEB" w:rsidRDefault="0039287D" w:rsidP="00905AEB">
      <w:pPr>
        <w:spacing w:line="360" w:lineRule="auto"/>
        <w:jc w:val="both"/>
        <w:rPr>
          <w:rFonts w:ascii="Arial" w:hAnsi="Arial" w:cs="Arial"/>
          <w:color w:val="000000"/>
          <w:sz w:val="22"/>
          <w:szCs w:val="22"/>
        </w:rPr>
      </w:pPr>
      <w:r w:rsidRPr="00905AEB">
        <w:rPr>
          <w:rFonts w:ascii="Arial" w:hAnsi="Arial" w:cs="Arial"/>
          <w:color w:val="000000"/>
          <w:sz w:val="22"/>
          <w:szCs w:val="22"/>
        </w:rPr>
        <w:t>Self-Efficacy Theory explains how individuals’ beliefs regarding their ability to perform specific tasks influence their motivation, persistence, emotional responses, and behaviours in challenging situations (Bandura, 19</w:t>
      </w:r>
      <w:r w:rsidR="002A748D" w:rsidRPr="00905AEB">
        <w:rPr>
          <w:rFonts w:ascii="Arial" w:hAnsi="Arial" w:cs="Arial"/>
          <w:color w:val="000000"/>
          <w:sz w:val="22"/>
          <w:szCs w:val="22"/>
        </w:rPr>
        <w:t xml:space="preserve">86, </w:t>
      </w:r>
      <w:r w:rsidR="00E11455" w:rsidRPr="00905AEB">
        <w:rPr>
          <w:rFonts w:ascii="Arial" w:hAnsi="Arial" w:cs="Arial"/>
          <w:color w:val="000000"/>
          <w:sz w:val="22"/>
          <w:szCs w:val="22"/>
        </w:rPr>
        <w:t>quoted</w:t>
      </w:r>
      <w:r w:rsidR="002A748D" w:rsidRPr="00905AEB">
        <w:rPr>
          <w:rFonts w:ascii="Arial" w:hAnsi="Arial" w:cs="Arial"/>
          <w:color w:val="000000"/>
          <w:sz w:val="22"/>
          <w:szCs w:val="22"/>
        </w:rPr>
        <w:t xml:space="preserve"> in </w:t>
      </w:r>
      <w:r w:rsidR="00D86336" w:rsidRPr="00905AEB">
        <w:rPr>
          <w:rFonts w:ascii="Arial" w:hAnsi="Arial" w:cs="Arial"/>
          <w:color w:val="000000"/>
          <w:sz w:val="22"/>
          <w:szCs w:val="22"/>
        </w:rPr>
        <w:t>Butler</w:t>
      </w:r>
      <w:r w:rsidR="002A748D" w:rsidRPr="00905AEB">
        <w:rPr>
          <w:rFonts w:ascii="Arial" w:hAnsi="Arial" w:cs="Arial"/>
          <w:color w:val="000000"/>
          <w:sz w:val="22"/>
          <w:szCs w:val="22"/>
        </w:rPr>
        <w:t>, 19</w:t>
      </w:r>
      <w:r w:rsidR="00D86336" w:rsidRPr="00905AEB">
        <w:rPr>
          <w:rFonts w:ascii="Arial" w:hAnsi="Arial" w:cs="Arial"/>
          <w:color w:val="000000"/>
          <w:sz w:val="22"/>
          <w:szCs w:val="22"/>
        </w:rPr>
        <w:t>98</w:t>
      </w:r>
      <w:r w:rsidRPr="00905AEB">
        <w:rPr>
          <w:rFonts w:ascii="Arial" w:hAnsi="Arial" w:cs="Arial"/>
          <w:color w:val="000000"/>
          <w:sz w:val="22"/>
          <w:szCs w:val="22"/>
        </w:rPr>
        <w:t xml:space="preserve">). Self-efficacy is task-specific and develops through personal achievements, vicarious experiences, social encouragement, and the regulation of emotional and physiological states. This theoretical framework is particularly relevant in dementia care within residential settings, where both residents and staff </w:t>
      </w:r>
      <w:r w:rsidRPr="00905AEB">
        <w:rPr>
          <w:rFonts w:ascii="Arial" w:hAnsi="Arial" w:cs="Arial"/>
          <w:color w:val="000000"/>
          <w:sz w:val="22"/>
          <w:szCs w:val="22"/>
        </w:rPr>
        <w:lastRenderedPageBreak/>
        <w:t xml:space="preserve">face persistent challenges and emotionally tense situations. In contrast to general confidence, self-efficacy is shaped by direct experiences, observation of others, feedback, and emotional or physical conditions </w:t>
      </w:r>
      <w:r w:rsidR="00D86336" w:rsidRPr="00905AEB">
        <w:rPr>
          <w:rFonts w:ascii="Arial" w:hAnsi="Arial" w:cs="Arial"/>
          <w:color w:val="000000"/>
          <w:sz w:val="22"/>
          <w:szCs w:val="22"/>
        </w:rPr>
        <w:t xml:space="preserve">(Bandura, 1986, </w:t>
      </w:r>
      <w:r w:rsidR="00E11455" w:rsidRPr="00905AEB">
        <w:rPr>
          <w:rFonts w:ascii="Arial" w:hAnsi="Arial" w:cs="Arial"/>
          <w:color w:val="000000"/>
          <w:sz w:val="22"/>
          <w:szCs w:val="22"/>
        </w:rPr>
        <w:t>quoted</w:t>
      </w:r>
      <w:r w:rsidR="00D86336" w:rsidRPr="00905AEB">
        <w:rPr>
          <w:rFonts w:ascii="Arial" w:hAnsi="Arial" w:cs="Arial"/>
          <w:color w:val="000000"/>
          <w:sz w:val="22"/>
          <w:szCs w:val="22"/>
        </w:rPr>
        <w:t xml:space="preserve"> in Butler, 1998).</w:t>
      </w:r>
    </w:p>
    <w:p w14:paraId="35CADE6D" w14:textId="373CD803" w:rsidR="005C4BE8" w:rsidRPr="00905AEB" w:rsidRDefault="005C4BE8" w:rsidP="00905AEB">
      <w:pPr>
        <w:spacing w:line="360" w:lineRule="auto"/>
        <w:jc w:val="both"/>
        <w:rPr>
          <w:rFonts w:ascii="Arial" w:hAnsi="Arial" w:cs="Arial"/>
          <w:color w:val="000000"/>
          <w:sz w:val="22"/>
          <w:szCs w:val="22"/>
        </w:rPr>
      </w:pPr>
      <w:r w:rsidRPr="005C4BE8">
        <w:rPr>
          <w:rFonts w:ascii="Arial" w:hAnsi="Arial" w:cs="Arial"/>
          <w:color w:val="000000"/>
          <w:sz w:val="22"/>
          <w:szCs w:val="22"/>
        </w:rPr>
        <w:t xml:space="preserve">Staff self-efficacy is a critical factor in care home settings. When staff possess confidence in managing distress, agitation, or resistance, they are more likely to engage proactively with residents, consistently implement non-pharmacological interventions, and persist in challenging situations. </w:t>
      </w:r>
      <w:r w:rsidR="001C5119" w:rsidRPr="00905AEB">
        <w:rPr>
          <w:rFonts w:ascii="Arial" w:hAnsi="Arial" w:cs="Arial"/>
          <w:color w:val="000000"/>
          <w:sz w:val="22"/>
          <w:szCs w:val="22"/>
        </w:rPr>
        <w:t>In contrast,</w:t>
      </w:r>
      <w:r w:rsidRPr="005C4BE8">
        <w:rPr>
          <w:rFonts w:ascii="Arial" w:hAnsi="Arial" w:cs="Arial"/>
          <w:color w:val="000000"/>
          <w:sz w:val="22"/>
          <w:szCs w:val="22"/>
        </w:rPr>
        <w:t xml:space="preserve"> low self-efficacy may result in avoidance, rigid adherence to routines, or reliance on restrictive practices. Research indicates that care staff competence significantly influences approaches to dementia care and responses to challenging behaviours (Coates and Fossey, 2019). </w:t>
      </w:r>
    </w:p>
    <w:p w14:paraId="308818EB" w14:textId="4739E2D6" w:rsidR="00E33FCF" w:rsidRPr="00905AEB" w:rsidRDefault="00E33FCF"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Self-efficacy is also essential for individuals with dementia, especially in the early to moderate stages. While cognitive decline can reduce independence, supportive care helps residents succeed in daily activities. For example, Olsen et al. (2015) </w:t>
      </w:r>
      <w:r w:rsidR="00D94A35">
        <w:rPr>
          <w:rFonts w:ascii="Arial" w:hAnsi="Arial" w:cs="Arial"/>
          <w:color w:val="000000"/>
          <w:sz w:val="22"/>
          <w:szCs w:val="22"/>
        </w:rPr>
        <w:t>identified</w:t>
      </w:r>
      <w:r w:rsidRPr="00905AEB">
        <w:rPr>
          <w:rFonts w:ascii="Arial" w:hAnsi="Arial" w:cs="Arial"/>
          <w:color w:val="000000"/>
          <w:sz w:val="22"/>
          <w:szCs w:val="22"/>
        </w:rPr>
        <w:t xml:space="preserve"> that nursing home residents with dementia reported greater confidence and engagement after participating in structured physical activity. These results suggest that enabling successful experiences can strengthen residents’ perceived abilities. Although these findings should be interpreted with caution, they indicate that focusing on residents’ strengths may increase participation and well-being.</w:t>
      </w:r>
    </w:p>
    <w:p w14:paraId="405B094F" w14:textId="48F0C7E5" w:rsidR="00E33FCF" w:rsidRPr="00905AEB" w:rsidRDefault="00E33FCF" w:rsidP="00905AEB">
      <w:pPr>
        <w:spacing w:line="360" w:lineRule="auto"/>
        <w:jc w:val="both"/>
        <w:rPr>
          <w:rFonts w:ascii="Arial" w:hAnsi="Arial" w:cs="Arial"/>
          <w:color w:val="000000"/>
          <w:sz w:val="22"/>
          <w:szCs w:val="22"/>
        </w:rPr>
      </w:pPr>
      <w:r w:rsidRPr="00E33FCF">
        <w:rPr>
          <w:rFonts w:ascii="Arial" w:hAnsi="Arial" w:cs="Arial"/>
          <w:color w:val="000000"/>
          <w:sz w:val="22"/>
          <w:szCs w:val="22"/>
        </w:rPr>
        <w:t xml:space="preserve">Recent studies continue to demonstrate the significance of self-efficacy in dementia care. Schou-Juul et al. (2024) found that healthcare professionals increased their ethical self-efficacy following participation in a structured dementia-focused program, suggesting that staff confidence in managing complex care situations can be enhanced. Additional research involving caregivers indicates that self-efficacy is associated with more effective coping strategies and sustained engagement in dementia care, highlighting its influence on care-related </w:t>
      </w:r>
      <w:r w:rsidRPr="00905AEB">
        <w:rPr>
          <w:rFonts w:ascii="Arial" w:hAnsi="Arial" w:cs="Arial"/>
          <w:color w:val="000000"/>
          <w:sz w:val="22"/>
          <w:szCs w:val="22"/>
        </w:rPr>
        <w:t>behaviours</w:t>
      </w:r>
      <w:r w:rsidRPr="00E33FCF">
        <w:rPr>
          <w:rFonts w:ascii="Arial" w:hAnsi="Arial" w:cs="Arial"/>
          <w:color w:val="000000"/>
          <w:sz w:val="22"/>
          <w:szCs w:val="22"/>
        </w:rPr>
        <w:t xml:space="preserve"> (Dal Pizzol et al., 2025). While some studies focus on family caregivers, these core concepts are also relevant to professional care environments.</w:t>
      </w:r>
    </w:p>
    <w:p w14:paraId="1481CA35" w14:textId="6F4DB891" w:rsidR="00297D54" w:rsidRPr="00905AEB" w:rsidRDefault="0068758D" w:rsidP="00905AEB">
      <w:pPr>
        <w:spacing w:line="360" w:lineRule="auto"/>
        <w:jc w:val="both"/>
        <w:rPr>
          <w:rFonts w:ascii="Arial" w:hAnsi="Arial" w:cs="Arial"/>
          <w:color w:val="000000"/>
          <w:sz w:val="22"/>
          <w:szCs w:val="22"/>
          <w:lang w:val="uk-UA"/>
        </w:rPr>
      </w:pPr>
      <w:r w:rsidRPr="0068758D">
        <w:rPr>
          <w:rFonts w:ascii="Arial" w:hAnsi="Arial" w:cs="Arial"/>
          <w:color w:val="000000"/>
          <w:sz w:val="22"/>
          <w:szCs w:val="22"/>
        </w:rPr>
        <w:t xml:space="preserve">Self-Efficacy Theory provides a useful framework for staff training and support. Opportunities for skill development, observation of effective practices, and constructive feedback can enhance staff self-efficacy </w:t>
      </w:r>
      <w:r w:rsidR="00D86336" w:rsidRPr="00905AEB">
        <w:rPr>
          <w:rFonts w:ascii="Arial" w:hAnsi="Arial" w:cs="Arial"/>
          <w:color w:val="000000"/>
          <w:sz w:val="22"/>
          <w:szCs w:val="22"/>
        </w:rPr>
        <w:t xml:space="preserve">(Bandura, 1986, </w:t>
      </w:r>
      <w:r w:rsidR="00E11455" w:rsidRPr="00905AEB">
        <w:rPr>
          <w:rFonts w:ascii="Arial" w:hAnsi="Arial" w:cs="Arial"/>
          <w:color w:val="000000"/>
          <w:sz w:val="22"/>
          <w:szCs w:val="22"/>
        </w:rPr>
        <w:t>quoted</w:t>
      </w:r>
      <w:r w:rsidR="00D86336" w:rsidRPr="00905AEB">
        <w:rPr>
          <w:rFonts w:ascii="Arial" w:hAnsi="Arial" w:cs="Arial"/>
          <w:color w:val="000000"/>
          <w:sz w:val="22"/>
          <w:szCs w:val="22"/>
        </w:rPr>
        <w:t xml:space="preserve"> in Butler, 1998). </w:t>
      </w:r>
      <w:r w:rsidR="00297D54" w:rsidRPr="00905AEB">
        <w:rPr>
          <w:rFonts w:ascii="Arial" w:hAnsi="Arial" w:cs="Arial"/>
          <w:color w:val="000000"/>
          <w:sz w:val="22"/>
          <w:szCs w:val="22"/>
        </w:rPr>
        <w:t>This supports the effectiveness of</w:t>
      </w:r>
      <w:r w:rsidR="004421B1" w:rsidRPr="00905AEB">
        <w:rPr>
          <w:rFonts w:ascii="Arial" w:hAnsi="Arial" w:cs="Arial"/>
          <w:color w:val="000000"/>
          <w:sz w:val="22"/>
          <w:szCs w:val="22"/>
        </w:rPr>
        <w:t xml:space="preserve"> </w:t>
      </w:r>
      <w:r w:rsidR="00297D54" w:rsidRPr="00905AEB">
        <w:rPr>
          <w:rFonts w:ascii="Arial" w:hAnsi="Arial" w:cs="Arial"/>
          <w:color w:val="000000"/>
          <w:sz w:val="22"/>
          <w:szCs w:val="22"/>
        </w:rPr>
        <w:t>training approach, which focuses on observable practice rather than information only. However, this approach presents certain limitations within dementia care. As dementia advances, residents' cognitive impairment may limit their capacity to accurately evaluate their own ability</w:t>
      </w:r>
      <w:r w:rsidR="006003F6" w:rsidRPr="00905AEB">
        <w:rPr>
          <w:rFonts w:ascii="Arial" w:hAnsi="Arial" w:cs="Arial"/>
          <w:color w:val="000000"/>
          <w:sz w:val="22"/>
          <w:szCs w:val="22"/>
        </w:rPr>
        <w:t xml:space="preserve"> (Livingston et al., 2014)</w:t>
      </w:r>
      <w:r w:rsidR="00297D54" w:rsidRPr="00905AEB">
        <w:rPr>
          <w:rFonts w:ascii="Arial" w:hAnsi="Arial" w:cs="Arial"/>
          <w:color w:val="000000"/>
          <w:sz w:val="22"/>
          <w:szCs w:val="22"/>
        </w:rPr>
        <w:t>. Additionally, staff self-efficacy may be influenced by organisational factors including staffing levels, time pressures, and organi</w:t>
      </w:r>
      <w:r w:rsidR="00B840CA" w:rsidRPr="00905AEB">
        <w:rPr>
          <w:rFonts w:ascii="Arial" w:hAnsi="Arial" w:cs="Arial"/>
          <w:color w:val="000000"/>
          <w:sz w:val="22"/>
          <w:szCs w:val="22"/>
        </w:rPr>
        <w:t>s</w:t>
      </w:r>
      <w:r w:rsidR="00297D54" w:rsidRPr="00905AEB">
        <w:rPr>
          <w:rFonts w:ascii="Arial" w:hAnsi="Arial" w:cs="Arial"/>
          <w:color w:val="000000"/>
          <w:sz w:val="22"/>
          <w:szCs w:val="22"/>
        </w:rPr>
        <w:t>ational culture</w:t>
      </w:r>
      <w:r w:rsidR="006003F6" w:rsidRPr="00905AEB">
        <w:rPr>
          <w:rFonts w:ascii="Arial" w:hAnsi="Arial" w:cs="Arial"/>
          <w:color w:val="000000"/>
          <w:sz w:val="22"/>
          <w:szCs w:val="22"/>
        </w:rPr>
        <w:t xml:space="preserve"> (Coates and Fossey, 2019)</w:t>
      </w:r>
      <w:r w:rsidR="00297D54" w:rsidRPr="00905AEB">
        <w:rPr>
          <w:rFonts w:ascii="Arial" w:hAnsi="Arial" w:cs="Arial"/>
          <w:color w:val="000000"/>
          <w:sz w:val="22"/>
          <w:szCs w:val="22"/>
        </w:rPr>
        <w:t>. Therefore, applying Self-Efficacy Theory in dementia care requires consideration of both staff beliefs and the broader care environment.</w:t>
      </w:r>
    </w:p>
    <w:p w14:paraId="0C221ED2" w14:textId="08E124CB" w:rsidR="008C5F10" w:rsidRPr="00905AEB" w:rsidRDefault="008C5F10" w:rsidP="00905AEB">
      <w:pPr>
        <w:pStyle w:val="Heading1"/>
        <w:rPr>
          <w:sz w:val="32"/>
          <w:szCs w:val="32"/>
        </w:rPr>
      </w:pPr>
      <w:bookmarkStart w:id="2" w:name="_Toc216990428"/>
      <w:r w:rsidRPr="00905AEB">
        <w:rPr>
          <w:sz w:val="32"/>
          <w:szCs w:val="32"/>
        </w:rPr>
        <w:lastRenderedPageBreak/>
        <w:t>Theory 2: Behaviourism (Behaviourist Approach)</w:t>
      </w:r>
      <w:bookmarkEnd w:id="2"/>
    </w:p>
    <w:p w14:paraId="2F69C897" w14:textId="2EC44F0B"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Behaviourism is a psychological approach that interprets human behaviour as a function of environmental stimuli, conditioning, and reinforcement, emphasising observable and measurable actions rather than internal cognitive processes (Moore, 2011). Developed by the theorists Watson and Skinner, behaviourism proposes that individuals obtain and maintain behaviours through interactions with their environment, particularly through rewards, punishments, and repeated experiences. This framework is particularly relevant in dementia care within residential settings, where cognitive decline often impairs insight, reasoning, and verbal communication.</w:t>
      </w:r>
    </w:p>
    <w:p w14:paraId="08411C1B" w14:textId="71A29F05"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Within care homes for adults aged 65 and over, behaviourist principles assist staff in understanding and managing symptoms of dementia, including agitation, resistance to care, and withdrawal. Instead of interpreting these behaviours as intentional acts or direct manifestations of illness, behaviourism conceptualises them as responses to environmental factors, daily routines, or staff interactions. Campbell et al. (2020) observe that modifying elements such as noise levels, task demands, and staff communication can reduce distress and promote more positive responses from residents. In this context, behaviour is shaped by learned associations within the care environment rather than by conscious decision-making.</w:t>
      </w:r>
    </w:p>
    <w:p w14:paraId="44DFE3B7" w14:textId="7319E5B1"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A primary strength of behaviourism in dementia care is its practical applicability. Staff can readily implement, observe, and evaluate behaviour-based strategies, making these approaches well-suited for care teams in residential settings (Moore, 2011). Livingston et al. (2020) report that consistent use of behaviou</w:t>
      </w:r>
      <w:r w:rsidR="00D94A35">
        <w:rPr>
          <w:rFonts w:ascii="Arial" w:hAnsi="Arial" w:cs="Arial"/>
          <w:color w:val="000000"/>
          <w:sz w:val="22"/>
          <w:szCs w:val="22"/>
        </w:rPr>
        <w:t>r-based</w:t>
      </w:r>
      <w:r w:rsidRPr="00905AEB">
        <w:rPr>
          <w:rFonts w:ascii="Arial" w:hAnsi="Arial" w:cs="Arial"/>
          <w:color w:val="000000"/>
          <w:sz w:val="22"/>
          <w:szCs w:val="22"/>
        </w:rPr>
        <w:t xml:space="preserve"> intervention, as </w:t>
      </w:r>
      <w:r w:rsidR="00CC71B9" w:rsidRPr="00905AEB">
        <w:rPr>
          <w:rFonts w:ascii="Arial" w:hAnsi="Arial" w:cs="Arial"/>
          <w:color w:val="000000"/>
          <w:sz w:val="22"/>
          <w:szCs w:val="22"/>
        </w:rPr>
        <w:t>part of</w:t>
      </w:r>
      <w:r w:rsidRPr="00905AEB">
        <w:rPr>
          <w:rFonts w:ascii="Arial" w:hAnsi="Arial" w:cs="Arial"/>
          <w:color w:val="000000"/>
          <w:sz w:val="22"/>
          <w:szCs w:val="22"/>
        </w:rPr>
        <w:t xml:space="preserve"> non-pharmacological interventions, </w:t>
      </w:r>
      <w:r w:rsidR="00130DF6" w:rsidRPr="00905AEB">
        <w:rPr>
          <w:rFonts w:ascii="Arial" w:hAnsi="Arial" w:cs="Arial"/>
          <w:color w:val="000000"/>
          <w:sz w:val="22"/>
          <w:szCs w:val="22"/>
        </w:rPr>
        <w:t>can contribute to improved emotional regulation and quality of life</w:t>
      </w:r>
      <w:r w:rsidRPr="00905AEB">
        <w:rPr>
          <w:rFonts w:ascii="Arial" w:hAnsi="Arial" w:cs="Arial"/>
          <w:color w:val="000000"/>
          <w:sz w:val="22"/>
          <w:szCs w:val="22"/>
        </w:rPr>
        <w:t xml:space="preserve">. This </w:t>
      </w:r>
      <w:r w:rsidR="00D94A35">
        <w:rPr>
          <w:rFonts w:ascii="Arial" w:hAnsi="Arial" w:cs="Arial"/>
          <w:color w:val="000000"/>
          <w:sz w:val="22"/>
          <w:szCs w:val="22"/>
        </w:rPr>
        <w:t>consistent</w:t>
      </w:r>
      <w:r w:rsidRPr="00905AEB">
        <w:rPr>
          <w:rFonts w:ascii="Arial" w:hAnsi="Arial" w:cs="Arial"/>
          <w:color w:val="000000"/>
          <w:sz w:val="22"/>
          <w:szCs w:val="22"/>
        </w:rPr>
        <w:t xml:space="preserve"> with current dementia care guidelines, which prioritise psychosocial interventions over pharmacological treatments when possible.</w:t>
      </w:r>
    </w:p>
    <w:p w14:paraId="5C2FCE40" w14:textId="77777777"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However, behaviourism presents significant limitations when applied in isolation. Its emphasis on observable behaviour may overlook the complex emotional and psychological experiences of individuals with dementia. Such behaviours may indicate unmet needs, fear, pain, or loss of identity, which are not necessarily addressed through rewards or environmental modifications (O’Donnell et al., 2022). In the absence of a person-centred approach, behaviourist methods risk prioritising behavioural control over understanding the individual's lived experience.</w:t>
      </w:r>
    </w:p>
    <w:p w14:paraId="3108673C" w14:textId="100776FF"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Additionally, while behaviourism emphasises environmental factors, it may not adequately address the neurological changes associated with dementia. Environmental modifications can influence behaviour but do not alter the underlying disease process. Effective dementia care should integrate both biological vulnerability and environmental context (Campbell et al.</w:t>
      </w:r>
      <w:r w:rsidR="009958E5">
        <w:rPr>
          <w:rFonts w:ascii="Arial" w:hAnsi="Arial" w:cs="Arial"/>
          <w:color w:val="000000"/>
          <w:sz w:val="22"/>
          <w:szCs w:val="22"/>
        </w:rPr>
        <w:t>,</w:t>
      </w:r>
      <w:r w:rsidRPr="00905AEB">
        <w:rPr>
          <w:rFonts w:ascii="Arial" w:hAnsi="Arial" w:cs="Arial"/>
          <w:color w:val="000000"/>
          <w:sz w:val="22"/>
          <w:szCs w:val="22"/>
        </w:rPr>
        <w:t xml:space="preserve"> </w:t>
      </w:r>
      <w:r w:rsidRPr="00905AEB">
        <w:rPr>
          <w:rFonts w:ascii="Arial" w:hAnsi="Arial" w:cs="Arial"/>
          <w:color w:val="000000"/>
          <w:sz w:val="22"/>
          <w:szCs w:val="22"/>
        </w:rPr>
        <w:lastRenderedPageBreak/>
        <w:t>2020). Behaviourist strategies are most effective when integrated with approaches that acknowledge cognitive decline and prioritise supportive care.</w:t>
      </w:r>
    </w:p>
    <w:p w14:paraId="1203186F" w14:textId="0D3546BA" w:rsidR="008A3A42" w:rsidRPr="00905AEB" w:rsidRDefault="008A3A42" w:rsidP="00905AEB">
      <w:pPr>
        <w:pStyle w:val="Heading1"/>
        <w:rPr>
          <w:sz w:val="32"/>
          <w:szCs w:val="32"/>
        </w:rPr>
      </w:pPr>
      <w:bookmarkStart w:id="3" w:name="_Toc216990429"/>
      <w:r w:rsidRPr="00905AEB">
        <w:rPr>
          <w:sz w:val="32"/>
          <w:szCs w:val="32"/>
        </w:rPr>
        <w:t>Conclusion</w:t>
      </w:r>
      <w:bookmarkEnd w:id="3"/>
    </w:p>
    <w:p w14:paraId="0A87A86B"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This report has explored the application of psychological theories to improve dementia care in residential care homes for adults aged 65 and over. By analysing Self-Efficacy Theory and Behaviourism, the discussion demonstrates that theory-guided practice supports more effective care routines and</w:t>
      </w:r>
      <w:r w:rsidRPr="00905AEB">
        <w:rPr>
          <w:rStyle w:val="apple-converted-space"/>
          <w:rFonts w:ascii="Arial" w:hAnsi="Arial" w:cs="Arial"/>
          <w:color w:val="000000"/>
          <w:sz w:val="22"/>
          <w:szCs w:val="22"/>
        </w:rPr>
        <w:t> </w:t>
      </w:r>
      <w:r w:rsidRPr="00905AEB">
        <w:rPr>
          <w:rFonts w:ascii="Arial" w:hAnsi="Arial" w:cs="Arial"/>
          <w:color w:val="000000"/>
          <w:sz w:val="22"/>
          <w:szCs w:val="22"/>
        </w:rPr>
        <w:t>contributes to supportive environments</w:t>
      </w:r>
      <w:r w:rsidRPr="00905AEB">
        <w:rPr>
          <w:rStyle w:val="apple-converted-space"/>
          <w:rFonts w:ascii="Arial" w:hAnsi="Arial" w:cs="Arial"/>
          <w:color w:val="000000"/>
          <w:sz w:val="22"/>
          <w:szCs w:val="22"/>
        </w:rPr>
        <w:t> </w:t>
      </w:r>
      <w:r w:rsidRPr="00905AEB">
        <w:rPr>
          <w:rFonts w:ascii="Arial" w:hAnsi="Arial" w:cs="Arial"/>
          <w:color w:val="000000"/>
          <w:sz w:val="22"/>
          <w:szCs w:val="22"/>
        </w:rPr>
        <w:t>for individuals living with dementia.</w:t>
      </w:r>
    </w:p>
    <w:p w14:paraId="1154D3DC"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Self-Efficacy Theory emphasises the importance of staff beliefs in shaping care practices. When care professionals possess confidence in their ability to manage challenging situations, they are more likely to maintain engagement, respond proactively, and consistently implement non-pharmacological interventions. This is especially appropriate in dementia care, where emotional demands and behavioural challenges frequently arise. However, the theory also has limitations, as workplace pressures and organisational constraints can disrupt staff confidence, and cognitive decline may limit residents’ capacity to assess their own abilities. These considerations emphasise the necessity for ongoing organisational and professional support.</w:t>
      </w:r>
    </w:p>
    <w:p w14:paraId="7E50613B" w14:textId="434EABAE"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Behaviourism offers an additional perspective by emphasising the influence of environmental factors on behaviour. This approach i</w:t>
      </w:r>
      <w:r w:rsidR="00D94A35">
        <w:rPr>
          <w:rFonts w:ascii="Arial" w:hAnsi="Arial" w:cs="Arial"/>
          <w:color w:val="000000"/>
          <w:sz w:val="22"/>
          <w:szCs w:val="22"/>
        </w:rPr>
        <w:t>n</w:t>
      </w:r>
      <w:r w:rsidRPr="00905AEB">
        <w:rPr>
          <w:rFonts w:ascii="Arial" w:hAnsi="Arial" w:cs="Arial"/>
          <w:color w:val="000000"/>
          <w:sz w:val="22"/>
          <w:szCs w:val="22"/>
        </w:rPr>
        <w:t xml:space="preserve"> particular relevant in dementia care, where individuals often experience reduced insight, comprehension, or verbal communication. By addressing environmental triggers, care routines, and staff responses, behaviourist strategies offer practical methods for managing behaviours such as agitation or resistance to care. However, when applied in isolation, behaviourism may neglect the emotional and relational aspects of care and risk prioritising behavioural regulation over person-centred understanding.</w:t>
      </w:r>
    </w:p>
    <w:p w14:paraId="6CAF0B1E"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Collectively, these theories illustrate the dynamic interaction between biological and environmental influences in later life. While dementia is underpinned by neurological changes, behavioural expression is significantly shaped by the care environment and staff interactions. Recognising this interaction enables health and social care professionals to adopt holistic and ethically informed approaches that integrate environmental adaptation with emotionally responsive, person-centred care.</w:t>
      </w:r>
    </w:p>
    <w:p w14:paraId="124A7350"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In conclusion, the application of Self-Efficacy Theory and Behaviourism demonstrates that effective dementia care extends beyond task completion. Theory-informed practice supports reflective care, enhances staff confidence, and contributes to improved outcomes for individuals living with dementia. For professionals in residential care homes, integrating </w:t>
      </w:r>
      <w:r w:rsidRPr="00905AEB">
        <w:rPr>
          <w:rFonts w:ascii="Arial" w:hAnsi="Arial" w:cs="Arial"/>
          <w:color w:val="000000"/>
          <w:sz w:val="22"/>
          <w:szCs w:val="22"/>
        </w:rPr>
        <w:lastRenderedPageBreak/>
        <w:t>psychological theory with practical strategies is essential for delivering compassionate, sustainable, and evidence-based care.</w:t>
      </w:r>
    </w:p>
    <w:p w14:paraId="4D368FD1" w14:textId="77777777" w:rsidR="008E71EA" w:rsidRPr="00905AEB" w:rsidRDefault="008E71EA" w:rsidP="00905AEB">
      <w:pPr>
        <w:spacing w:line="360" w:lineRule="auto"/>
        <w:jc w:val="both"/>
        <w:rPr>
          <w:rFonts w:ascii="Arial" w:hAnsi="Arial" w:cs="Arial"/>
          <w:color w:val="000000"/>
          <w:sz w:val="22"/>
          <w:szCs w:val="22"/>
        </w:rPr>
      </w:pPr>
    </w:p>
    <w:p w14:paraId="413810E7" w14:textId="77777777" w:rsidR="008E71EA" w:rsidRPr="00905AEB" w:rsidRDefault="008E71EA" w:rsidP="00905AEB">
      <w:pPr>
        <w:spacing w:line="360" w:lineRule="auto"/>
        <w:jc w:val="both"/>
        <w:rPr>
          <w:rFonts w:ascii="Arial" w:hAnsi="Arial" w:cs="Arial"/>
          <w:sz w:val="22"/>
          <w:szCs w:val="22"/>
        </w:rPr>
      </w:pPr>
    </w:p>
    <w:p w14:paraId="68FF5652" w14:textId="77777777" w:rsidR="008E71EA" w:rsidRPr="00905AEB" w:rsidRDefault="008E71EA" w:rsidP="00905AEB">
      <w:pPr>
        <w:spacing w:line="360" w:lineRule="auto"/>
        <w:jc w:val="both"/>
        <w:rPr>
          <w:rFonts w:ascii="Arial" w:hAnsi="Arial" w:cs="Arial"/>
          <w:sz w:val="22"/>
          <w:szCs w:val="22"/>
        </w:rPr>
      </w:pPr>
    </w:p>
    <w:p w14:paraId="44B8BA18" w14:textId="77777777" w:rsidR="008E71EA" w:rsidRPr="00905AEB" w:rsidRDefault="008E71EA" w:rsidP="00905AEB">
      <w:pPr>
        <w:spacing w:line="360" w:lineRule="auto"/>
        <w:jc w:val="both"/>
        <w:rPr>
          <w:rFonts w:ascii="Arial" w:hAnsi="Arial" w:cs="Arial"/>
          <w:b/>
          <w:bCs/>
          <w:sz w:val="22"/>
          <w:szCs w:val="22"/>
        </w:rPr>
      </w:pPr>
    </w:p>
    <w:p w14:paraId="7C2781D8" w14:textId="77777777" w:rsidR="008E71EA" w:rsidRPr="00905AEB" w:rsidRDefault="008E71EA" w:rsidP="00905AEB">
      <w:pPr>
        <w:spacing w:line="360" w:lineRule="auto"/>
        <w:jc w:val="both"/>
        <w:rPr>
          <w:rFonts w:ascii="Arial" w:hAnsi="Arial" w:cs="Arial"/>
          <w:b/>
          <w:bCs/>
          <w:sz w:val="22"/>
          <w:szCs w:val="22"/>
        </w:rPr>
      </w:pPr>
    </w:p>
    <w:p w14:paraId="6D68DB92" w14:textId="77777777" w:rsidR="008E71EA" w:rsidRPr="00905AEB" w:rsidRDefault="008E71EA" w:rsidP="00905AEB">
      <w:pPr>
        <w:spacing w:line="360" w:lineRule="auto"/>
        <w:jc w:val="both"/>
        <w:rPr>
          <w:rFonts w:ascii="Arial" w:hAnsi="Arial" w:cs="Arial"/>
          <w:b/>
          <w:bCs/>
          <w:sz w:val="22"/>
          <w:szCs w:val="22"/>
        </w:rPr>
      </w:pPr>
    </w:p>
    <w:p w14:paraId="535034D2" w14:textId="77777777" w:rsidR="00905AEB" w:rsidRDefault="00905AEB" w:rsidP="00905AEB">
      <w:pPr>
        <w:spacing w:line="360" w:lineRule="auto"/>
        <w:jc w:val="both"/>
        <w:rPr>
          <w:rFonts w:ascii="Arial" w:hAnsi="Arial" w:cs="Arial"/>
          <w:b/>
          <w:bCs/>
          <w:sz w:val="22"/>
          <w:szCs w:val="22"/>
        </w:rPr>
      </w:pPr>
    </w:p>
    <w:p w14:paraId="7AC880C0" w14:textId="77777777" w:rsidR="00905AEB" w:rsidRDefault="00905AEB" w:rsidP="00905AEB">
      <w:pPr>
        <w:spacing w:line="360" w:lineRule="auto"/>
        <w:jc w:val="both"/>
        <w:rPr>
          <w:rFonts w:ascii="Arial" w:hAnsi="Arial" w:cs="Arial"/>
          <w:b/>
          <w:bCs/>
          <w:sz w:val="22"/>
          <w:szCs w:val="22"/>
        </w:rPr>
      </w:pPr>
    </w:p>
    <w:p w14:paraId="1BE443AB" w14:textId="77777777" w:rsidR="00905AEB" w:rsidRDefault="00905AEB" w:rsidP="00905AEB">
      <w:pPr>
        <w:spacing w:line="360" w:lineRule="auto"/>
        <w:jc w:val="both"/>
        <w:rPr>
          <w:rFonts w:ascii="Arial" w:hAnsi="Arial" w:cs="Arial"/>
          <w:b/>
          <w:bCs/>
          <w:sz w:val="22"/>
          <w:szCs w:val="22"/>
        </w:rPr>
      </w:pPr>
    </w:p>
    <w:p w14:paraId="110601C6" w14:textId="77777777" w:rsidR="00905AEB" w:rsidRDefault="00905AEB" w:rsidP="00905AEB">
      <w:pPr>
        <w:spacing w:line="360" w:lineRule="auto"/>
        <w:jc w:val="both"/>
        <w:rPr>
          <w:rFonts w:ascii="Arial" w:hAnsi="Arial" w:cs="Arial"/>
          <w:b/>
          <w:bCs/>
          <w:sz w:val="22"/>
          <w:szCs w:val="22"/>
        </w:rPr>
      </w:pPr>
    </w:p>
    <w:p w14:paraId="5175D7C7" w14:textId="77777777" w:rsidR="00905AEB" w:rsidRDefault="00905AEB" w:rsidP="00905AEB">
      <w:pPr>
        <w:spacing w:line="360" w:lineRule="auto"/>
        <w:jc w:val="both"/>
        <w:rPr>
          <w:rFonts w:ascii="Arial" w:hAnsi="Arial" w:cs="Arial"/>
          <w:b/>
          <w:bCs/>
          <w:sz w:val="22"/>
          <w:szCs w:val="22"/>
        </w:rPr>
      </w:pPr>
    </w:p>
    <w:p w14:paraId="2D5B3506" w14:textId="77777777" w:rsidR="00905AEB" w:rsidRDefault="00905AEB" w:rsidP="00905AEB">
      <w:pPr>
        <w:spacing w:line="360" w:lineRule="auto"/>
        <w:jc w:val="both"/>
        <w:rPr>
          <w:rFonts w:ascii="Arial" w:hAnsi="Arial" w:cs="Arial"/>
          <w:b/>
          <w:bCs/>
          <w:sz w:val="22"/>
          <w:szCs w:val="22"/>
        </w:rPr>
      </w:pPr>
    </w:p>
    <w:p w14:paraId="7738AF43" w14:textId="77777777" w:rsidR="00905AEB" w:rsidRDefault="00905AEB" w:rsidP="00905AEB">
      <w:pPr>
        <w:spacing w:line="360" w:lineRule="auto"/>
        <w:jc w:val="both"/>
        <w:rPr>
          <w:rFonts w:ascii="Arial" w:hAnsi="Arial" w:cs="Arial"/>
          <w:b/>
          <w:bCs/>
          <w:sz w:val="22"/>
          <w:szCs w:val="22"/>
        </w:rPr>
      </w:pPr>
    </w:p>
    <w:p w14:paraId="6194478E" w14:textId="77777777" w:rsidR="00905AEB" w:rsidRDefault="00905AEB" w:rsidP="00905AEB">
      <w:pPr>
        <w:spacing w:line="360" w:lineRule="auto"/>
        <w:jc w:val="both"/>
        <w:rPr>
          <w:rFonts w:ascii="Arial" w:hAnsi="Arial" w:cs="Arial"/>
          <w:b/>
          <w:bCs/>
          <w:sz w:val="22"/>
          <w:szCs w:val="22"/>
        </w:rPr>
      </w:pPr>
    </w:p>
    <w:p w14:paraId="18596B17" w14:textId="77777777" w:rsidR="00905AEB" w:rsidRDefault="00905AEB" w:rsidP="00905AEB">
      <w:pPr>
        <w:spacing w:line="360" w:lineRule="auto"/>
        <w:jc w:val="both"/>
        <w:rPr>
          <w:rFonts w:ascii="Arial" w:hAnsi="Arial" w:cs="Arial"/>
          <w:b/>
          <w:bCs/>
          <w:sz w:val="22"/>
          <w:szCs w:val="22"/>
        </w:rPr>
      </w:pPr>
    </w:p>
    <w:p w14:paraId="4C2997A5" w14:textId="77777777" w:rsidR="00905AEB" w:rsidRDefault="00905AEB" w:rsidP="00905AEB">
      <w:pPr>
        <w:spacing w:line="360" w:lineRule="auto"/>
        <w:jc w:val="both"/>
        <w:rPr>
          <w:rFonts w:ascii="Arial" w:hAnsi="Arial" w:cs="Arial"/>
          <w:b/>
          <w:bCs/>
          <w:sz w:val="22"/>
          <w:szCs w:val="22"/>
        </w:rPr>
      </w:pPr>
    </w:p>
    <w:p w14:paraId="3874C16C" w14:textId="77777777" w:rsidR="00905AEB" w:rsidRDefault="00905AEB" w:rsidP="00905AEB">
      <w:pPr>
        <w:spacing w:line="360" w:lineRule="auto"/>
        <w:jc w:val="both"/>
        <w:rPr>
          <w:rFonts w:ascii="Arial" w:hAnsi="Arial" w:cs="Arial"/>
          <w:b/>
          <w:bCs/>
          <w:sz w:val="22"/>
          <w:szCs w:val="22"/>
        </w:rPr>
      </w:pPr>
    </w:p>
    <w:p w14:paraId="452C65D7" w14:textId="77777777" w:rsidR="00905AEB" w:rsidRDefault="00905AEB" w:rsidP="00905AEB">
      <w:pPr>
        <w:spacing w:line="360" w:lineRule="auto"/>
        <w:jc w:val="both"/>
        <w:rPr>
          <w:rFonts w:ascii="Arial" w:hAnsi="Arial" w:cs="Arial"/>
          <w:b/>
          <w:bCs/>
          <w:sz w:val="22"/>
          <w:szCs w:val="22"/>
        </w:rPr>
      </w:pPr>
    </w:p>
    <w:p w14:paraId="1A212B01" w14:textId="77777777" w:rsidR="00905AEB" w:rsidRDefault="00905AEB" w:rsidP="00905AEB">
      <w:pPr>
        <w:spacing w:line="360" w:lineRule="auto"/>
        <w:jc w:val="both"/>
        <w:rPr>
          <w:rFonts w:ascii="Arial" w:hAnsi="Arial" w:cs="Arial"/>
          <w:b/>
          <w:bCs/>
          <w:sz w:val="22"/>
          <w:szCs w:val="22"/>
        </w:rPr>
      </w:pPr>
    </w:p>
    <w:p w14:paraId="7138AF56" w14:textId="77777777" w:rsidR="00905AEB" w:rsidRDefault="00905AEB" w:rsidP="00905AEB">
      <w:pPr>
        <w:spacing w:line="360" w:lineRule="auto"/>
        <w:jc w:val="both"/>
        <w:rPr>
          <w:rFonts w:ascii="Arial" w:hAnsi="Arial" w:cs="Arial"/>
          <w:b/>
          <w:bCs/>
          <w:sz w:val="22"/>
          <w:szCs w:val="22"/>
        </w:rPr>
      </w:pPr>
    </w:p>
    <w:p w14:paraId="1B75BEF5" w14:textId="77777777" w:rsidR="00905AEB" w:rsidRDefault="00905AEB" w:rsidP="00905AEB">
      <w:pPr>
        <w:spacing w:line="360" w:lineRule="auto"/>
        <w:jc w:val="both"/>
        <w:rPr>
          <w:rFonts w:ascii="Arial" w:hAnsi="Arial" w:cs="Arial"/>
          <w:b/>
          <w:bCs/>
          <w:sz w:val="22"/>
          <w:szCs w:val="22"/>
        </w:rPr>
      </w:pPr>
    </w:p>
    <w:p w14:paraId="109B0F74" w14:textId="77777777" w:rsidR="00905AEB" w:rsidRDefault="00905AEB" w:rsidP="00905AEB">
      <w:pPr>
        <w:spacing w:line="360" w:lineRule="auto"/>
        <w:jc w:val="both"/>
        <w:rPr>
          <w:rFonts w:ascii="Arial" w:hAnsi="Arial" w:cs="Arial"/>
          <w:b/>
          <w:bCs/>
          <w:sz w:val="22"/>
          <w:szCs w:val="22"/>
        </w:rPr>
      </w:pPr>
    </w:p>
    <w:p w14:paraId="225DB76D" w14:textId="77777777" w:rsidR="00905AEB" w:rsidRDefault="00905AEB" w:rsidP="00905AEB">
      <w:pPr>
        <w:spacing w:line="360" w:lineRule="auto"/>
        <w:jc w:val="both"/>
        <w:rPr>
          <w:rFonts w:ascii="Arial" w:hAnsi="Arial" w:cs="Arial"/>
          <w:b/>
          <w:bCs/>
          <w:sz w:val="22"/>
          <w:szCs w:val="22"/>
        </w:rPr>
      </w:pPr>
    </w:p>
    <w:p w14:paraId="78933F38" w14:textId="77777777" w:rsidR="00905AEB" w:rsidRDefault="00905AEB" w:rsidP="00905AEB">
      <w:pPr>
        <w:spacing w:line="360" w:lineRule="auto"/>
        <w:jc w:val="both"/>
        <w:rPr>
          <w:rFonts w:ascii="Arial" w:hAnsi="Arial" w:cs="Arial"/>
          <w:b/>
          <w:bCs/>
          <w:sz w:val="22"/>
          <w:szCs w:val="22"/>
        </w:rPr>
      </w:pPr>
    </w:p>
    <w:p w14:paraId="7E242557" w14:textId="77777777" w:rsidR="00905AEB" w:rsidRDefault="00905AEB" w:rsidP="00905AEB">
      <w:pPr>
        <w:spacing w:line="360" w:lineRule="auto"/>
        <w:jc w:val="both"/>
        <w:rPr>
          <w:rFonts w:ascii="Arial" w:hAnsi="Arial" w:cs="Arial"/>
          <w:b/>
          <w:bCs/>
          <w:sz w:val="22"/>
          <w:szCs w:val="22"/>
        </w:rPr>
      </w:pPr>
    </w:p>
    <w:p w14:paraId="25784B12" w14:textId="77777777" w:rsidR="00905AEB" w:rsidRDefault="00905AEB" w:rsidP="00905AEB">
      <w:pPr>
        <w:spacing w:line="360" w:lineRule="auto"/>
        <w:jc w:val="both"/>
        <w:rPr>
          <w:rFonts w:ascii="Arial" w:hAnsi="Arial" w:cs="Arial"/>
          <w:b/>
          <w:bCs/>
          <w:sz w:val="22"/>
          <w:szCs w:val="22"/>
        </w:rPr>
      </w:pPr>
    </w:p>
    <w:p w14:paraId="6D4A0632" w14:textId="77777777" w:rsidR="00905AEB" w:rsidRDefault="00905AEB" w:rsidP="00905AEB">
      <w:pPr>
        <w:spacing w:line="360" w:lineRule="auto"/>
        <w:jc w:val="both"/>
        <w:rPr>
          <w:rFonts w:ascii="Arial" w:hAnsi="Arial" w:cs="Arial"/>
          <w:b/>
          <w:bCs/>
          <w:sz w:val="22"/>
          <w:szCs w:val="22"/>
        </w:rPr>
      </w:pPr>
    </w:p>
    <w:p w14:paraId="672A393B" w14:textId="77777777" w:rsidR="00905AEB" w:rsidRDefault="00905AEB" w:rsidP="00905AEB">
      <w:pPr>
        <w:spacing w:line="360" w:lineRule="auto"/>
        <w:jc w:val="both"/>
        <w:rPr>
          <w:rFonts w:ascii="Arial" w:hAnsi="Arial" w:cs="Arial"/>
          <w:b/>
          <w:bCs/>
          <w:sz w:val="22"/>
          <w:szCs w:val="22"/>
        </w:rPr>
      </w:pPr>
    </w:p>
    <w:p w14:paraId="5F82A5B1" w14:textId="77777777" w:rsidR="00905AEB" w:rsidRDefault="00905AEB" w:rsidP="00905AEB">
      <w:pPr>
        <w:spacing w:line="360" w:lineRule="auto"/>
        <w:jc w:val="both"/>
        <w:rPr>
          <w:rFonts w:ascii="Arial" w:hAnsi="Arial" w:cs="Arial"/>
          <w:b/>
          <w:bCs/>
          <w:sz w:val="22"/>
          <w:szCs w:val="22"/>
        </w:rPr>
      </w:pPr>
    </w:p>
    <w:p w14:paraId="60269FAB" w14:textId="77777777" w:rsidR="00905AEB" w:rsidRDefault="00905AEB" w:rsidP="00905AEB">
      <w:pPr>
        <w:spacing w:line="360" w:lineRule="auto"/>
        <w:jc w:val="both"/>
        <w:rPr>
          <w:rFonts w:ascii="Arial" w:hAnsi="Arial" w:cs="Arial"/>
          <w:b/>
          <w:bCs/>
          <w:sz w:val="22"/>
          <w:szCs w:val="22"/>
        </w:rPr>
      </w:pPr>
    </w:p>
    <w:p w14:paraId="50F159E0" w14:textId="77777777" w:rsidR="00905AEB" w:rsidRDefault="00905AEB" w:rsidP="00905AEB">
      <w:pPr>
        <w:spacing w:line="360" w:lineRule="auto"/>
        <w:jc w:val="both"/>
        <w:rPr>
          <w:rFonts w:ascii="Arial" w:hAnsi="Arial" w:cs="Arial"/>
          <w:b/>
          <w:bCs/>
          <w:sz w:val="22"/>
          <w:szCs w:val="22"/>
        </w:rPr>
      </w:pPr>
    </w:p>
    <w:p w14:paraId="02276E3C" w14:textId="77777777" w:rsidR="00905AEB" w:rsidRDefault="00905AEB" w:rsidP="00905AEB">
      <w:pPr>
        <w:spacing w:line="360" w:lineRule="auto"/>
        <w:jc w:val="both"/>
        <w:rPr>
          <w:rFonts w:ascii="Arial" w:hAnsi="Arial" w:cs="Arial"/>
          <w:b/>
          <w:bCs/>
          <w:sz w:val="22"/>
          <w:szCs w:val="22"/>
        </w:rPr>
      </w:pPr>
    </w:p>
    <w:p w14:paraId="084D66E9" w14:textId="77777777" w:rsidR="00905AEB" w:rsidRDefault="00905AEB" w:rsidP="00905AEB">
      <w:pPr>
        <w:spacing w:line="360" w:lineRule="auto"/>
        <w:jc w:val="both"/>
        <w:rPr>
          <w:rFonts w:ascii="Arial" w:hAnsi="Arial" w:cs="Arial"/>
          <w:b/>
          <w:bCs/>
          <w:sz w:val="22"/>
          <w:szCs w:val="22"/>
        </w:rPr>
      </w:pPr>
    </w:p>
    <w:p w14:paraId="512CA431" w14:textId="77777777" w:rsidR="00905AEB" w:rsidRDefault="00905AEB" w:rsidP="00905AEB">
      <w:pPr>
        <w:spacing w:line="360" w:lineRule="auto"/>
        <w:jc w:val="both"/>
        <w:rPr>
          <w:rFonts w:ascii="Arial" w:hAnsi="Arial" w:cs="Arial"/>
          <w:b/>
          <w:bCs/>
          <w:sz w:val="22"/>
          <w:szCs w:val="22"/>
        </w:rPr>
      </w:pPr>
    </w:p>
    <w:p w14:paraId="7C668751" w14:textId="77777777" w:rsidR="00905AEB" w:rsidRDefault="00905AEB" w:rsidP="00905AEB">
      <w:pPr>
        <w:spacing w:line="360" w:lineRule="auto"/>
        <w:jc w:val="both"/>
        <w:rPr>
          <w:rFonts w:ascii="Arial" w:hAnsi="Arial" w:cs="Arial"/>
          <w:b/>
          <w:bCs/>
          <w:sz w:val="22"/>
          <w:szCs w:val="22"/>
        </w:rPr>
      </w:pPr>
    </w:p>
    <w:p w14:paraId="6EBADD06" w14:textId="38A3BBC0" w:rsidR="008A3A42" w:rsidRPr="00905AEB" w:rsidRDefault="008A3A42" w:rsidP="00905AEB">
      <w:pPr>
        <w:pStyle w:val="Heading1"/>
        <w:rPr>
          <w:sz w:val="32"/>
          <w:szCs w:val="32"/>
        </w:rPr>
      </w:pPr>
      <w:bookmarkStart w:id="4" w:name="_Toc216990430"/>
      <w:r w:rsidRPr="00905AEB">
        <w:rPr>
          <w:sz w:val="32"/>
          <w:szCs w:val="32"/>
        </w:rPr>
        <w:lastRenderedPageBreak/>
        <w:t>Reference list</w:t>
      </w:r>
      <w:bookmarkEnd w:id="4"/>
    </w:p>
    <w:p w14:paraId="59017537"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Butler, G. (1998) ‘Self-Efficacy: The Exercise of Control’,</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British journal of clinical psychology,</w:t>
      </w:r>
      <w:r w:rsidRPr="00905AEB">
        <w:rPr>
          <w:rFonts w:ascii="Arial" w:hAnsi="Arial" w:cs="Arial"/>
          <w:color w:val="3A3A3A"/>
          <w:sz w:val="22"/>
          <w:szCs w:val="22"/>
          <w:shd w:val="clear" w:color="auto" w:fill="FFFFFF"/>
        </w:rPr>
        <w:t xml:space="preserve"> </w:t>
      </w:r>
      <w:r w:rsidRPr="00905AEB">
        <w:rPr>
          <w:rFonts w:ascii="Arial" w:hAnsi="Arial" w:cs="Arial"/>
          <w:color w:val="555555"/>
          <w:sz w:val="22"/>
          <w:szCs w:val="22"/>
          <w:shd w:val="clear" w:color="auto" w:fill="FFFFFF"/>
        </w:rPr>
        <w:t xml:space="preserve">vol. 37, no. 4, pp. 470. </w:t>
      </w:r>
      <w:r w:rsidRPr="00905AEB">
        <w:rPr>
          <w:rFonts w:ascii="Arial" w:hAnsi="Arial" w:cs="Arial"/>
          <w:color w:val="3A3A3A"/>
          <w:sz w:val="22"/>
          <w:szCs w:val="22"/>
          <w:shd w:val="clear" w:color="auto" w:fill="FFFFFF"/>
        </w:rPr>
        <w:t xml:space="preserve">Available at: </w:t>
      </w:r>
      <w:hyperlink r:id="rId10" w:history="1">
        <w:r w:rsidRPr="00905AEB">
          <w:rPr>
            <w:rStyle w:val="Hyperlink"/>
            <w:rFonts w:ascii="Arial" w:hAnsi="Arial" w:cs="Arial"/>
            <w:sz w:val="22"/>
            <w:szCs w:val="22"/>
            <w:shd w:val="clear" w:color="auto" w:fill="FFFFFF"/>
          </w:rPr>
          <w:t>https://www.proquest.com/docview/218661518/fulltext/B54B1AD71B6A4245PQ/1?accountid=130472&amp;sourcetype=Scholarly%20Journals</w:t>
        </w:r>
      </w:hyperlink>
      <w:r w:rsidRPr="00905AEB">
        <w:rPr>
          <w:rFonts w:ascii="Arial" w:hAnsi="Arial" w:cs="Arial"/>
          <w:color w:val="3A3A3A"/>
          <w:sz w:val="22"/>
          <w:szCs w:val="22"/>
          <w:shd w:val="clear" w:color="auto" w:fill="FFFFFF"/>
        </w:rPr>
        <w:t xml:space="preserve"> (Accessed: 11 December 2025).</w:t>
      </w:r>
    </w:p>
    <w:p w14:paraId="2B392BA6"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0F0BA7AD"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Campbell, N., Maidment, I. D., Randle, E., &amp; Shaw, R. L. (2020) ‘Preparing care home staff to manage challenging behaviours among residents living with dementia: A mixed-methods evaluation’, </w:t>
      </w:r>
      <w:r w:rsidRPr="00905AEB">
        <w:rPr>
          <w:rFonts w:ascii="Arial" w:hAnsi="Arial" w:cs="Arial"/>
          <w:i/>
          <w:iCs/>
          <w:color w:val="3A3A3A"/>
          <w:sz w:val="22"/>
          <w:szCs w:val="22"/>
        </w:rPr>
        <w:t>Health Psychology Open</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7</w:t>
      </w:r>
      <w:r w:rsidRPr="00905AEB">
        <w:rPr>
          <w:rFonts w:ascii="Arial" w:hAnsi="Arial" w:cs="Arial"/>
          <w:color w:val="3A3A3A"/>
          <w:sz w:val="22"/>
          <w:szCs w:val="22"/>
          <w:shd w:val="clear" w:color="auto" w:fill="FFFFFF"/>
        </w:rPr>
        <w:t xml:space="preserve">(2), 2055102920933065. Available at: </w:t>
      </w:r>
      <w:hyperlink r:id="rId11" w:history="1">
        <w:r w:rsidRPr="00905AEB">
          <w:rPr>
            <w:rStyle w:val="Hyperlink"/>
            <w:rFonts w:ascii="Arial" w:hAnsi="Arial" w:cs="Arial"/>
            <w:sz w:val="22"/>
            <w:szCs w:val="22"/>
            <w:shd w:val="clear" w:color="auto" w:fill="FFFFFF"/>
          </w:rPr>
          <w:t>https://doi.org/10.1177/2055102920933065</w:t>
        </w:r>
      </w:hyperlink>
    </w:p>
    <w:p w14:paraId="05AC0BA1"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6C46C837"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Coates, A. and Fossey, J. (2019) ‘Self-efficacy in dementia care staff: Experiences from the care home context’,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Dementia (London, England)</w:t>
      </w:r>
      <w:r w:rsidRPr="00905AEB">
        <w:rPr>
          <w:rFonts w:ascii="Arial" w:hAnsi="Arial" w:cs="Arial"/>
          <w:color w:val="3A3A3A"/>
          <w:sz w:val="22"/>
          <w:szCs w:val="22"/>
          <w:shd w:val="clear" w:color="auto" w:fill="FFFFFF"/>
        </w:rPr>
        <w:t xml:space="preserve">, 18(2), pp. 530–544. Available at: </w:t>
      </w:r>
      <w:hyperlink r:id="rId12" w:history="1">
        <w:r w:rsidRPr="00905AEB">
          <w:rPr>
            <w:rStyle w:val="Hyperlink"/>
            <w:rFonts w:ascii="Arial" w:hAnsi="Arial" w:cs="Arial"/>
            <w:sz w:val="22"/>
            <w:szCs w:val="22"/>
            <w:shd w:val="clear" w:color="auto" w:fill="FFFFFF"/>
          </w:rPr>
          <w:t>https://doi.org/10.1177/1471301216682627</w:t>
        </w:r>
      </w:hyperlink>
    </w:p>
    <w:p w14:paraId="42B1CF43"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3AD7B0EB"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Dal Pizzol, F. L. F., Duggleby, W., Baxter, P., Peacock, S., Thompson, G., Swindle, J., &amp; O’Rourke, H. M. (2025) ‘Exploring self-efficacy as perceived by men and women unpaid caregivers of older adults: A secondary analysis of focus group data’, </w:t>
      </w:r>
      <w:r w:rsidRPr="00905AEB">
        <w:rPr>
          <w:rFonts w:ascii="Arial" w:hAnsi="Arial" w:cs="Arial"/>
          <w:i/>
          <w:iCs/>
          <w:color w:val="3A3A3A"/>
          <w:sz w:val="22"/>
          <w:szCs w:val="22"/>
        </w:rPr>
        <w:t>Geriatric Nursing (New York)</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66</w:t>
      </w:r>
      <w:r w:rsidRPr="00905AEB">
        <w:rPr>
          <w:rFonts w:ascii="Arial" w:hAnsi="Arial" w:cs="Arial"/>
          <w:color w:val="3A3A3A"/>
          <w:sz w:val="22"/>
          <w:szCs w:val="22"/>
          <w:shd w:val="clear" w:color="auto" w:fill="FFFFFF"/>
        </w:rPr>
        <w:t xml:space="preserve">(Pt C), Article 103662. Available at:  </w:t>
      </w:r>
      <w:hyperlink r:id="rId13" w:history="1">
        <w:r w:rsidRPr="00905AEB">
          <w:rPr>
            <w:rStyle w:val="Hyperlink"/>
            <w:rFonts w:ascii="Arial" w:hAnsi="Arial" w:cs="Arial"/>
            <w:sz w:val="22"/>
            <w:szCs w:val="22"/>
            <w:shd w:val="clear" w:color="auto" w:fill="FFFFFF"/>
          </w:rPr>
          <w:t>https://doi.org/10.1016/j.gerinurse.2025.103662</w:t>
        </w:r>
      </w:hyperlink>
    </w:p>
    <w:p w14:paraId="3C77BFAF" w14:textId="77777777" w:rsidR="008906EC" w:rsidRPr="00905AEB" w:rsidRDefault="008906EC" w:rsidP="00905AEB">
      <w:pPr>
        <w:spacing w:line="360" w:lineRule="auto"/>
        <w:jc w:val="both"/>
        <w:rPr>
          <w:rFonts w:ascii="Arial" w:hAnsi="Arial" w:cs="Arial"/>
          <w:b/>
          <w:bCs/>
          <w:sz w:val="22"/>
          <w:szCs w:val="22"/>
        </w:rPr>
      </w:pPr>
    </w:p>
    <w:p w14:paraId="78F534AC" w14:textId="1E130B61" w:rsidR="006A0B89" w:rsidRPr="00905AEB" w:rsidRDefault="006A0B89"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Livingston, G., Kelly, L., Lewis-Holmes, E., Baio, G., Morris, S., Patel, N., Omar, R. Z., Katona, C., &amp; Cooper, C. (2014)</w:t>
      </w:r>
      <w:r w:rsidR="00211F5A" w:rsidRPr="00905AEB">
        <w:rPr>
          <w:rFonts w:ascii="Arial" w:hAnsi="Arial" w:cs="Arial"/>
          <w:color w:val="3A3A3A"/>
          <w:sz w:val="22"/>
          <w:szCs w:val="22"/>
          <w:shd w:val="clear" w:color="auto" w:fill="FFFFFF"/>
        </w:rPr>
        <w:t xml:space="preserve"> ‘</w:t>
      </w:r>
      <w:proofErr w:type="gramStart"/>
      <w:r w:rsidR="00211F5A" w:rsidRPr="00905AEB">
        <w:rPr>
          <w:rFonts w:ascii="Arial" w:hAnsi="Arial" w:cs="Arial"/>
          <w:color w:val="3A3A3A"/>
          <w:sz w:val="22"/>
          <w:szCs w:val="22"/>
          <w:shd w:val="clear" w:color="auto" w:fill="FFFFFF"/>
        </w:rPr>
        <w:t>Non-pharmacological</w:t>
      </w:r>
      <w:proofErr w:type="gramEnd"/>
      <w:r w:rsidRPr="00905AEB">
        <w:rPr>
          <w:rFonts w:ascii="Arial" w:hAnsi="Arial" w:cs="Arial"/>
          <w:color w:val="3A3A3A"/>
          <w:sz w:val="22"/>
          <w:szCs w:val="22"/>
          <w:shd w:val="clear" w:color="auto" w:fill="FFFFFF"/>
        </w:rPr>
        <w:t xml:space="preserve"> interventions for agitation in dementia: systematic review of randomised controlled trials</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British Journal of Psychiatry</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205</w:t>
      </w:r>
      <w:r w:rsidRPr="00905AEB">
        <w:rPr>
          <w:rFonts w:ascii="Arial" w:hAnsi="Arial" w:cs="Arial"/>
          <w:color w:val="3A3A3A"/>
          <w:sz w:val="22"/>
          <w:szCs w:val="22"/>
          <w:shd w:val="clear" w:color="auto" w:fill="FFFFFF"/>
        </w:rPr>
        <w:t>(6), 436–442.</w:t>
      </w:r>
      <w:r w:rsidR="00211F5A" w:rsidRPr="00905AEB">
        <w:rPr>
          <w:rFonts w:ascii="Arial" w:hAnsi="Arial" w:cs="Arial"/>
          <w:color w:val="3A3A3A"/>
          <w:sz w:val="22"/>
          <w:szCs w:val="22"/>
          <w:shd w:val="clear" w:color="auto" w:fill="FFFFFF"/>
        </w:rPr>
        <w:t xml:space="preserve"> Available at:</w:t>
      </w:r>
      <w:r w:rsidRPr="00905AEB">
        <w:rPr>
          <w:rFonts w:ascii="Arial" w:hAnsi="Arial" w:cs="Arial"/>
          <w:color w:val="3A3A3A"/>
          <w:sz w:val="22"/>
          <w:szCs w:val="22"/>
          <w:shd w:val="clear" w:color="auto" w:fill="FFFFFF"/>
        </w:rPr>
        <w:t xml:space="preserve"> </w:t>
      </w:r>
      <w:hyperlink r:id="rId14" w:history="1">
        <w:r w:rsidR="00C6708C" w:rsidRPr="00905AEB">
          <w:rPr>
            <w:rStyle w:val="Hyperlink"/>
            <w:rFonts w:ascii="Arial" w:hAnsi="Arial" w:cs="Arial"/>
            <w:sz w:val="22"/>
            <w:szCs w:val="22"/>
            <w:shd w:val="clear" w:color="auto" w:fill="FFFFFF"/>
          </w:rPr>
          <w:t>https://doi.org/10.1192/bjp.bp.113.141119</w:t>
        </w:r>
      </w:hyperlink>
    </w:p>
    <w:p w14:paraId="31E23ABF"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7BAF8C83" w14:textId="78A6CBB8"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Livingston, G., Huntley, J., </w:t>
      </w:r>
      <w:proofErr w:type="spellStart"/>
      <w:r w:rsidRPr="00905AEB">
        <w:rPr>
          <w:rFonts w:ascii="Arial" w:hAnsi="Arial" w:cs="Arial"/>
          <w:color w:val="3A3A3A"/>
          <w:sz w:val="22"/>
          <w:szCs w:val="22"/>
          <w:shd w:val="clear" w:color="auto" w:fill="FFFFFF"/>
        </w:rPr>
        <w:t>Sommerlad</w:t>
      </w:r>
      <w:proofErr w:type="spellEnd"/>
      <w:r w:rsidRPr="00905AEB">
        <w:rPr>
          <w:rFonts w:ascii="Arial" w:hAnsi="Arial" w:cs="Arial"/>
          <w:color w:val="3A3A3A"/>
          <w:sz w:val="22"/>
          <w:szCs w:val="22"/>
          <w:shd w:val="clear" w:color="auto" w:fill="FFFFFF"/>
        </w:rPr>
        <w:t xml:space="preserve">, A., Ames, D., Ballard, C., Banerjee, S., </w:t>
      </w:r>
      <w:proofErr w:type="spellStart"/>
      <w:r w:rsidRPr="00905AEB">
        <w:rPr>
          <w:rFonts w:ascii="Arial" w:hAnsi="Arial" w:cs="Arial"/>
          <w:color w:val="3A3A3A"/>
          <w:sz w:val="22"/>
          <w:szCs w:val="22"/>
          <w:shd w:val="clear" w:color="auto" w:fill="FFFFFF"/>
        </w:rPr>
        <w:t>Brayne</w:t>
      </w:r>
      <w:proofErr w:type="spellEnd"/>
      <w:r w:rsidRPr="00905AEB">
        <w:rPr>
          <w:rFonts w:ascii="Arial" w:hAnsi="Arial" w:cs="Arial"/>
          <w:color w:val="3A3A3A"/>
          <w:sz w:val="22"/>
          <w:szCs w:val="22"/>
          <w:shd w:val="clear" w:color="auto" w:fill="FFFFFF"/>
        </w:rPr>
        <w:t xml:space="preserve">, C., Burns, A., Cohen-Mansfield, J., Cooper, C., </w:t>
      </w:r>
      <w:proofErr w:type="spellStart"/>
      <w:r w:rsidRPr="00905AEB">
        <w:rPr>
          <w:rFonts w:ascii="Arial" w:hAnsi="Arial" w:cs="Arial"/>
          <w:color w:val="3A3A3A"/>
          <w:sz w:val="22"/>
          <w:szCs w:val="22"/>
          <w:shd w:val="clear" w:color="auto" w:fill="FFFFFF"/>
        </w:rPr>
        <w:t>Costafreda</w:t>
      </w:r>
      <w:proofErr w:type="spellEnd"/>
      <w:r w:rsidRPr="00905AEB">
        <w:rPr>
          <w:rFonts w:ascii="Arial" w:hAnsi="Arial" w:cs="Arial"/>
          <w:color w:val="3A3A3A"/>
          <w:sz w:val="22"/>
          <w:szCs w:val="22"/>
          <w:shd w:val="clear" w:color="auto" w:fill="FFFFFF"/>
        </w:rPr>
        <w:t xml:space="preserve">, S. G., Dias, A., Fox, N., Gitlin, L. N., Howard, R., Kales, H. C., Kivimäki, M., Larson, E. B., Ogunniyi, A., … Mukadam, N. (2020) ‘Dementia prevention, intervention, and care: 2020 report of the Lancet Commission;, </w:t>
      </w:r>
      <w:r w:rsidRPr="00905AEB">
        <w:rPr>
          <w:rFonts w:ascii="Arial" w:hAnsi="Arial" w:cs="Arial"/>
          <w:i/>
          <w:iCs/>
          <w:color w:val="3A3A3A"/>
          <w:sz w:val="22"/>
          <w:szCs w:val="22"/>
        </w:rPr>
        <w:t>The Lancet (British Edition)</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396</w:t>
      </w:r>
      <w:r w:rsidRPr="00905AEB">
        <w:rPr>
          <w:rFonts w:ascii="Arial" w:hAnsi="Arial" w:cs="Arial"/>
          <w:color w:val="3A3A3A"/>
          <w:sz w:val="22"/>
          <w:szCs w:val="22"/>
          <w:shd w:val="clear" w:color="auto" w:fill="FFFFFF"/>
        </w:rPr>
        <w:t xml:space="preserve">(10248), 413–446. Available at: </w:t>
      </w:r>
      <w:hyperlink r:id="rId15" w:history="1">
        <w:r w:rsidRPr="00905AEB">
          <w:rPr>
            <w:rStyle w:val="Hyperlink"/>
            <w:rFonts w:ascii="Arial" w:hAnsi="Arial" w:cs="Arial"/>
            <w:sz w:val="22"/>
            <w:szCs w:val="22"/>
            <w:shd w:val="clear" w:color="auto" w:fill="FFFFFF"/>
          </w:rPr>
          <w:t>https://doi.org/10.1016/S0140-6736(20)30367-6</w:t>
        </w:r>
      </w:hyperlink>
    </w:p>
    <w:p w14:paraId="15D61CAF"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179D5B62"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Moore, J. (2011) ‘</w:t>
      </w:r>
      <w:proofErr w:type="spellStart"/>
      <w:r w:rsidRPr="00905AEB">
        <w:rPr>
          <w:rFonts w:ascii="Arial" w:hAnsi="Arial" w:cs="Arial"/>
          <w:color w:val="3A3A3A"/>
          <w:sz w:val="22"/>
          <w:szCs w:val="22"/>
          <w:shd w:val="clear" w:color="auto" w:fill="FFFFFF"/>
        </w:rPr>
        <w:t>Behaviorism</w:t>
      </w:r>
      <w:proofErr w:type="spellEnd"/>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The Psychological record</w:t>
      </w:r>
      <w:r w:rsidRPr="00905AEB">
        <w:rPr>
          <w:rFonts w:ascii="Arial" w:hAnsi="Arial" w:cs="Arial"/>
          <w:color w:val="3A3A3A"/>
          <w:sz w:val="22"/>
          <w:szCs w:val="22"/>
          <w:shd w:val="clear" w:color="auto" w:fill="FFFFFF"/>
        </w:rPr>
        <w:t xml:space="preserve">, 61(3), pp. 449–463. Available at: </w:t>
      </w:r>
      <w:hyperlink r:id="rId16" w:history="1">
        <w:r w:rsidRPr="00905AEB">
          <w:rPr>
            <w:rStyle w:val="Hyperlink"/>
            <w:rFonts w:ascii="Arial" w:hAnsi="Arial" w:cs="Arial"/>
            <w:sz w:val="22"/>
            <w:szCs w:val="22"/>
            <w:shd w:val="clear" w:color="auto" w:fill="FFFFFF"/>
          </w:rPr>
          <w:t>https://doi.org/10.1007/BF03395771</w:t>
        </w:r>
      </w:hyperlink>
      <w:r w:rsidRPr="00905AEB">
        <w:rPr>
          <w:rFonts w:ascii="Arial" w:hAnsi="Arial" w:cs="Arial"/>
          <w:color w:val="3A3A3A"/>
          <w:sz w:val="22"/>
          <w:szCs w:val="22"/>
          <w:shd w:val="clear" w:color="auto" w:fill="FFFFFF"/>
        </w:rPr>
        <w:t xml:space="preserve">  </w:t>
      </w:r>
    </w:p>
    <w:p w14:paraId="334283E5"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07D96B75" w14:textId="77777777" w:rsidR="00905AEB"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lastRenderedPageBreak/>
        <w:t xml:space="preserve">O’Donnell, E., Holland, C., &amp; Swarbrick, C. (2022) ‘Strategies used by care home staff to manage behaviour that challenges in dementia: A systematic review of qualitative studies’, </w:t>
      </w:r>
      <w:r w:rsidRPr="00905AEB">
        <w:rPr>
          <w:rFonts w:ascii="Arial" w:hAnsi="Arial" w:cs="Arial"/>
          <w:i/>
          <w:iCs/>
          <w:color w:val="3A3A3A"/>
          <w:sz w:val="22"/>
          <w:szCs w:val="22"/>
        </w:rPr>
        <w:t>International Journal of Nursing Studies</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133</w:t>
      </w:r>
      <w:r w:rsidRPr="00905AEB">
        <w:rPr>
          <w:rFonts w:ascii="Arial" w:hAnsi="Arial" w:cs="Arial"/>
          <w:color w:val="3A3A3A"/>
          <w:sz w:val="22"/>
          <w:szCs w:val="22"/>
          <w:shd w:val="clear" w:color="auto" w:fill="FFFFFF"/>
        </w:rPr>
        <w:t xml:space="preserve">, Article 104260. Available at: </w:t>
      </w:r>
      <w:hyperlink r:id="rId17" w:history="1">
        <w:r w:rsidRPr="00905AEB">
          <w:rPr>
            <w:rStyle w:val="Hyperlink"/>
            <w:rFonts w:ascii="Arial" w:hAnsi="Arial" w:cs="Arial"/>
            <w:sz w:val="22"/>
            <w:szCs w:val="22"/>
            <w:shd w:val="clear" w:color="auto" w:fill="FFFFFF"/>
          </w:rPr>
          <w:t>https://doi.org/10.1016/j.ijnurstu.2022.104260</w:t>
        </w:r>
      </w:hyperlink>
    </w:p>
    <w:p w14:paraId="76E2C6FD" w14:textId="77777777" w:rsidR="00905AEB" w:rsidRPr="00905AEB" w:rsidRDefault="00905AEB" w:rsidP="00905AEB">
      <w:pPr>
        <w:spacing w:line="360" w:lineRule="auto"/>
        <w:ind w:left="360"/>
        <w:jc w:val="both"/>
        <w:rPr>
          <w:rFonts w:ascii="Arial" w:hAnsi="Arial" w:cs="Arial"/>
          <w:color w:val="3A3A3A"/>
          <w:sz w:val="22"/>
          <w:szCs w:val="22"/>
          <w:shd w:val="clear" w:color="auto" w:fill="FFFFFF"/>
        </w:rPr>
      </w:pPr>
    </w:p>
    <w:p w14:paraId="149A3F70" w14:textId="3AFC29F7" w:rsidR="00C6708C" w:rsidRPr="00905AEB" w:rsidRDefault="00C6708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Olsen, C. F., </w:t>
      </w:r>
      <w:proofErr w:type="spellStart"/>
      <w:r w:rsidRPr="00905AEB">
        <w:rPr>
          <w:rFonts w:ascii="Arial" w:hAnsi="Arial" w:cs="Arial"/>
          <w:color w:val="3A3A3A"/>
          <w:sz w:val="22"/>
          <w:szCs w:val="22"/>
          <w:shd w:val="clear" w:color="auto" w:fill="FFFFFF"/>
        </w:rPr>
        <w:t>Telenius</w:t>
      </w:r>
      <w:proofErr w:type="spellEnd"/>
      <w:r w:rsidRPr="00905AEB">
        <w:rPr>
          <w:rFonts w:ascii="Arial" w:hAnsi="Arial" w:cs="Arial"/>
          <w:color w:val="3A3A3A"/>
          <w:sz w:val="22"/>
          <w:szCs w:val="22"/>
          <w:shd w:val="clear" w:color="auto" w:fill="FFFFFF"/>
        </w:rPr>
        <w:t>, E. W., Engedal, K., &amp; Bergland, A. (2015)</w:t>
      </w:r>
      <w:r w:rsidR="00211F5A" w:rsidRPr="00905AEB">
        <w:rPr>
          <w:rFonts w:ascii="Arial" w:hAnsi="Arial" w:cs="Arial"/>
          <w:color w:val="3A3A3A"/>
          <w:sz w:val="22"/>
          <w:szCs w:val="22"/>
          <w:shd w:val="clear" w:color="auto" w:fill="FFFFFF"/>
        </w:rPr>
        <w:t xml:space="preserve"> ‘</w:t>
      </w:r>
      <w:r w:rsidRPr="00905AEB">
        <w:rPr>
          <w:rFonts w:ascii="Arial" w:hAnsi="Arial" w:cs="Arial"/>
          <w:color w:val="3A3A3A"/>
          <w:sz w:val="22"/>
          <w:szCs w:val="22"/>
          <w:shd w:val="clear" w:color="auto" w:fill="FFFFFF"/>
        </w:rPr>
        <w:t>Increased self-efficacy: the experience of high-intensity exercise of nursing home residents with dementia – a qualitative study</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BMC Health Services Research</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15</w:t>
      </w:r>
      <w:r w:rsidRPr="00905AEB">
        <w:rPr>
          <w:rFonts w:ascii="Arial" w:hAnsi="Arial" w:cs="Arial"/>
          <w:color w:val="3A3A3A"/>
          <w:sz w:val="22"/>
          <w:szCs w:val="22"/>
          <w:shd w:val="clear" w:color="auto" w:fill="FFFFFF"/>
        </w:rPr>
        <w:t>(1), Article 379.</w:t>
      </w:r>
      <w:r w:rsidR="00211F5A" w:rsidRPr="00905AEB">
        <w:rPr>
          <w:rFonts w:ascii="Arial" w:hAnsi="Arial" w:cs="Arial"/>
          <w:color w:val="3A3A3A"/>
          <w:sz w:val="22"/>
          <w:szCs w:val="22"/>
          <w:shd w:val="clear" w:color="auto" w:fill="FFFFFF"/>
        </w:rPr>
        <w:t xml:space="preserve"> Available at:</w:t>
      </w:r>
      <w:r w:rsidRPr="00905AEB">
        <w:rPr>
          <w:rFonts w:ascii="Arial" w:hAnsi="Arial" w:cs="Arial"/>
          <w:color w:val="3A3A3A"/>
          <w:sz w:val="22"/>
          <w:szCs w:val="22"/>
          <w:shd w:val="clear" w:color="auto" w:fill="FFFFFF"/>
        </w:rPr>
        <w:t xml:space="preserve"> </w:t>
      </w:r>
      <w:hyperlink r:id="rId18" w:history="1">
        <w:r w:rsidRPr="00905AEB">
          <w:rPr>
            <w:rStyle w:val="Hyperlink"/>
            <w:rFonts w:ascii="Arial" w:hAnsi="Arial" w:cs="Arial"/>
            <w:sz w:val="22"/>
            <w:szCs w:val="22"/>
            <w:shd w:val="clear" w:color="auto" w:fill="FFFFFF"/>
          </w:rPr>
          <w:t>https://doi.org/10.1186/s12913-015-1041-7</w:t>
        </w:r>
      </w:hyperlink>
    </w:p>
    <w:p w14:paraId="07806BA3"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3A27B59C" w14:textId="16428DDE" w:rsidR="00C6708C" w:rsidRPr="00905AEB" w:rsidRDefault="00C6708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Schou-Juul, F., Ferm, L.-M. T., Kinch, S., Skov, S. S., Ritz, C., &amp; Lauridsen, S. (2024) </w:t>
      </w:r>
      <w:r w:rsidR="00211F5A" w:rsidRPr="00905AEB">
        <w:rPr>
          <w:rFonts w:ascii="Arial" w:hAnsi="Arial" w:cs="Arial"/>
          <w:color w:val="3A3A3A"/>
          <w:sz w:val="22"/>
          <w:szCs w:val="22"/>
          <w:shd w:val="clear" w:color="auto" w:fill="FFFFFF"/>
        </w:rPr>
        <w:t>‘</w:t>
      </w:r>
      <w:r w:rsidRPr="00905AEB">
        <w:rPr>
          <w:rFonts w:ascii="Arial" w:hAnsi="Arial" w:cs="Arial"/>
          <w:color w:val="3A3A3A"/>
          <w:sz w:val="22"/>
          <w:szCs w:val="22"/>
          <w:shd w:val="clear" w:color="auto" w:fill="FFFFFF"/>
        </w:rPr>
        <w:t>Ethical self-efficacy among healthcare professionals caring for people with dementia: a brief pre- and post-report on the CARE intervention</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BMC Medical Ethics</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25</w:t>
      </w:r>
      <w:r w:rsidRPr="00905AEB">
        <w:rPr>
          <w:rFonts w:ascii="Arial" w:hAnsi="Arial" w:cs="Arial"/>
          <w:color w:val="3A3A3A"/>
          <w:sz w:val="22"/>
          <w:szCs w:val="22"/>
          <w:shd w:val="clear" w:color="auto" w:fill="FFFFFF"/>
        </w:rPr>
        <w:t>(1), Article 109.</w:t>
      </w:r>
      <w:r w:rsidR="00E32306" w:rsidRPr="00905AEB">
        <w:rPr>
          <w:rFonts w:ascii="Arial" w:hAnsi="Arial" w:cs="Arial"/>
          <w:color w:val="3A3A3A"/>
          <w:sz w:val="22"/>
          <w:szCs w:val="22"/>
          <w:shd w:val="clear" w:color="auto" w:fill="FFFFFF"/>
        </w:rPr>
        <w:t xml:space="preserve"> Available at: </w:t>
      </w:r>
      <w:hyperlink r:id="rId19" w:history="1">
        <w:r w:rsidR="00E32306" w:rsidRPr="00905AEB">
          <w:rPr>
            <w:rStyle w:val="Hyperlink"/>
            <w:rFonts w:ascii="Arial" w:hAnsi="Arial" w:cs="Arial"/>
            <w:sz w:val="22"/>
            <w:szCs w:val="22"/>
            <w:shd w:val="clear" w:color="auto" w:fill="FFFFFF"/>
          </w:rPr>
          <w:t>https://doi.org/10.1186/s12910-024-01106-z</w:t>
        </w:r>
      </w:hyperlink>
    </w:p>
    <w:p w14:paraId="06008A07"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61EA3893"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6430C9C5" w14:textId="77777777" w:rsidR="00E32306" w:rsidRPr="00905AEB" w:rsidRDefault="00E32306" w:rsidP="00905AEB">
      <w:pPr>
        <w:spacing w:line="360" w:lineRule="auto"/>
        <w:ind w:left="360"/>
        <w:jc w:val="both"/>
        <w:rPr>
          <w:rFonts w:ascii="Arial" w:hAnsi="Arial" w:cs="Arial"/>
          <w:color w:val="3A3A3A"/>
          <w:sz w:val="22"/>
          <w:szCs w:val="22"/>
          <w:highlight w:val="yellow"/>
          <w:shd w:val="clear" w:color="auto" w:fill="FFFFFF"/>
        </w:rPr>
      </w:pPr>
    </w:p>
    <w:p w14:paraId="526DA124" w14:textId="77777777" w:rsidR="00130DF6" w:rsidRPr="00211F5A" w:rsidRDefault="00130DF6" w:rsidP="008E71EA">
      <w:pPr>
        <w:spacing w:line="360" w:lineRule="auto"/>
        <w:ind w:left="360"/>
        <w:jc w:val="both"/>
        <w:rPr>
          <w:rFonts w:ascii="Arial" w:hAnsi="Arial" w:cs="Arial"/>
          <w:color w:val="3A3A3A"/>
          <w:sz w:val="22"/>
          <w:szCs w:val="22"/>
          <w:highlight w:val="yellow"/>
          <w:shd w:val="clear" w:color="auto" w:fill="FFFFFF"/>
        </w:rPr>
      </w:pPr>
    </w:p>
    <w:p w14:paraId="0B95180B" w14:textId="77777777" w:rsidR="00130DF6" w:rsidRPr="008D56A0" w:rsidRDefault="00130DF6" w:rsidP="008E71EA">
      <w:pPr>
        <w:spacing w:line="360" w:lineRule="auto"/>
        <w:ind w:left="360"/>
        <w:jc w:val="both"/>
        <w:rPr>
          <w:rFonts w:ascii="Arial" w:hAnsi="Arial" w:cs="Arial"/>
          <w:color w:val="3A3A3A"/>
          <w:sz w:val="22"/>
          <w:szCs w:val="22"/>
          <w:shd w:val="clear" w:color="auto" w:fill="FFFFFF"/>
        </w:rPr>
      </w:pPr>
    </w:p>
    <w:p w14:paraId="51F9D34B" w14:textId="77777777" w:rsidR="008E71EA" w:rsidRPr="00211F5A" w:rsidRDefault="008E71EA" w:rsidP="008E71EA">
      <w:pPr>
        <w:spacing w:line="360" w:lineRule="auto"/>
        <w:ind w:left="360"/>
        <w:jc w:val="both"/>
        <w:rPr>
          <w:rFonts w:ascii="Arial" w:hAnsi="Arial" w:cs="Arial"/>
          <w:color w:val="3A3A3A"/>
          <w:sz w:val="22"/>
          <w:szCs w:val="22"/>
          <w:highlight w:val="yellow"/>
          <w:shd w:val="clear" w:color="auto" w:fill="FFFFFF"/>
        </w:rPr>
      </w:pPr>
    </w:p>
    <w:p w14:paraId="3DD2BBE3" w14:textId="77777777" w:rsidR="00130DF6" w:rsidRPr="006A0B89" w:rsidRDefault="00130DF6" w:rsidP="0031004B">
      <w:pPr>
        <w:ind w:left="360"/>
      </w:pPr>
    </w:p>
    <w:p w14:paraId="51BAFA48" w14:textId="77777777" w:rsidR="00CC3F85" w:rsidRPr="001F7A07" w:rsidRDefault="00CC3F85" w:rsidP="0031004B">
      <w:pPr>
        <w:spacing w:line="360" w:lineRule="auto"/>
        <w:jc w:val="both"/>
        <w:rPr>
          <w:b/>
          <w:bCs/>
          <w:i/>
          <w:iCs/>
          <w:lang w:val="uk-UA"/>
        </w:rPr>
      </w:pPr>
    </w:p>
    <w:p w14:paraId="32417EF7" w14:textId="77777777" w:rsidR="00CC3F85" w:rsidRPr="00CC3F85" w:rsidRDefault="00CC3F85" w:rsidP="00CC3F85">
      <w:pPr>
        <w:spacing w:line="360" w:lineRule="auto"/>
        <w:jc w:val="both"/>
        <w:rPr>
          <w:b/>
          <w:bCs/>
          <w:i/>
          <w:iCs/>
        </w:rPr>
      </w:pPr>
    </w:p>
    <w:p w14:paraId="3FD86A8B" w14:textId="13F7A141" w:rsidR="00C46EED" w:rsidRPr="00CC3F85" w:rsidRDefault="00C46EED" w:rsidP="00CC3F85">
      <w:pPr>
        <w:spacing w:line="360" w:lineRule="auto"/>
        <w:jc w:val="both"/>
        <w:rPr>
          <w:rFonts w:eastAsia="Verdana"/>
          <w:b/>
          <w:bCs/>
          <w:color w:val="000000" w:themeColor="text1"/>
        </w:rPr>
      </w:pPr>
    </w:p>
    <w:sectPr w:rsidR="00C46EED" w:rsidRPr="00CC3F85">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B74EF" w14:textId="77777777" w:rsidR="00A3280E" w:rsidRDefault="00A3280E">
      <w:r>
        <w:separator/>
      </w:r>
    </w:p>
  </w:endnote>
  <w:endnote w:type="continuationSeparator" w:id="0">
    <w:p w14:paraId="0E6EEA8B" w14:textId="77777777" w:rsidR="00A3280E" w:rsidRDefault="00A32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ED219C">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48501" w14:textId="77777777" w:rsidR="00A3280E" w:rsidRDefault="00A3280E">
      <w:r>
        <w:rPr>
          <w:color w:val="000000"/>
        </w:rPr>
        <w:separator/>
      </w:r>
    </w:p>
  </w:footnote>
  <w:footnote w:type="continuationSeparator" w:id="0">
    <w:p w14:paraId="6C19077E" w14:textId="77777777" w:rsidR="00A3280E" w:rsidRDefault="00A328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E4C0A"/>
    <w:multiLevelType w:val="hybridMultilevel"/>
    <w:tmpl w:val="8AA2D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
  </w:num>
  <w:num w:numId="2" w16cid:durableId="1933659667">
    <w:abstractNumId w:val="2"/>
  </w:num>
  <w:num w:numId="3" w16cid:durableId="568736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F2D"/>
    <w:rsid w:val="000A490D"/>
    <w:rsid w:val="000A59DA"/>
    <w:rsid w:val="000A6D33"/>
    <w:rsid w:val="000C2F88"/>
    <w:rsid w:val="000D2058"/>
    <w:rsid w:val="00120EB5"/>
    <w:rsid w:val="00130DF6"/>
    <w:rsid w:val="001616F7"/>
    <w:rsid w:val="00173F1E"/>
    <w:rsid w:val="001A3C30"/>
    <w:rsid w:val="001C5119"/>
    <w:rsid w:val="001D60AF"/>
    <w:rsid w:val="001F5161"/>
    <w:rsid w:val="001F7A07"/>
    <w:rsid w:val="00203B5E"/>
    <w:rsid w:val="00211F5A"/>
    <w:rsid w:val="002674A9"/>
    <w:rsid w:val="00297D54"/>
    <w:rsid w:val="002A748D"/>
    <w:rsid w:val="002C2808"/>
    <w:rsid w:val="0031004B"/>
    <w:rsid w:val="00314E59"/>
    <w:rsid w:val="00333FDD"/>
    <w:rsid w:val="00335F42"/>
    <w:rsid w:val="00367A97"/>
    <w:rsid w:val="0038363A"/>
    <w:rsid w:val="0039287D"/>
    <w:rsid w:val="00395678"/>
    <w:rsid w:val="0044123B"/>
    <w:rsid w:val="00441662"/>
    <w:rsid w:val="004421B1"/>
    <w:rsid w:val="00486FC2"/>
    <w:rsid w:val="004C65B8"/>
    <w:rsid w:val="004D31D3"/>
    <w:rsid w:val="004D4F2E"/>
    <w:rsid w:val="004D5ADA"/>
    <w:rsid w:val="00530694"/>
    <w:rsid w:val="0056251E"/>
    <w:rsid w:val="005A7BBE"/>
    <w:rsid w:val="005B1D3F"/>
    <w:rsid w:val="005C4BE8"/>
    <w:rsid w:val="005D0E9F"/>
    <w:rsid w:val="005E1BD3"/>
    <w:rsid w:val="005F0D19"/>
    <w:rsid w:val="006003F6"/>
    <w:rsid w:val="006063D8"/>
    <w:rsid w:val="00661BCF"/>
    <w:rsid w:val="00687218"/>
    <w:rsid w:val="0068758D"/>
    <w:rsid w:val="006A0B89"/>
    <w:rsid w:val="006B67F9"/>
    <w:rsid w:val="00707092"/>
    <w:rsid w:val="00726FEE"/>
    <w:rsid w:val="007271E1"/>
    <w:rsid w:val="00757FC5"/>
    <w:rsid w:val="007804B7"/>
    <w:rsid w:val="00781126"/>
    <w:rsid w:val="007831E6"/>
    <w:rsid w:val="007B699E"/>
    <w:rsid w:val="007C7D28"/>
    <w:rsid w:val="00841553"/>
    <w:rsid w:val="008467C8"/>
    <w:rsid w:val="008677D7"/>
    <w:rsid w:val="008731C0"/>
    <w:rsid w:val="00876B00"/>
    <w:rsid w:val="008906EC"/>
    <w:rsid w:val="008A3A42"/>
    <w:rsid w:val="008C5F10"/>
    <w:rsid w:val="008D56A0"/>
    <w:rsid w:val="008E71EA"/>
    <w:rsid w:val="00905AEB"/>
    <w:rsid w:val="00941919"/>
    <w:rsid w:val="009814B5"/>
    <w:rsid w:val="00986F68"/>
    <w:rsid w:val="009958E5"/>
    <w:rsid w:val="00A04E3A"/>
    <w:rsid w:val="00A1080D"/>
    <w:rsid w:val="00A319CB"/>
    <w:rsid w:val="00A3280E"/>
    <w:rsid w:val="00A34563"/>
    <w:rsid w:val="00A40468"/>
    <w:rsid w:val="00A4765B"/>
    <w:rsid w:val="00A97C73"/>
    <w:rsid w:val="00AD6FB8"/>
    <w:rsid w:val="00AD75F4"/>
    <w:rsid w:val="00AE51BF"/>
    <w:rsid w:val="00AE5D47"/>
    <w:rsid w:val="00B1402F"/>
    <w:rsid w:val="00B840CA"/>
    <w:rsid w:val="00BC27A8"/>
    <w:rsid w:val="00BC6FAF"/>
    <w:rsid w:val="00C10824"/>
    <w:rsid w:val="00C13765"/>
    <w:rsid w:val="00C16BE1"/>
    <w:rsid w:val="00C31CBF"/>
    <w:rsid w:val="00C34BEA"/>
    <w:rsid w:val="00C46EED"/>
    <w:rsid w:val="00C66091"/>
    <w:rsid w:val="00C6708C"/>
    <w:rsid w:val="00C82342"/>
    <w:rsid w:val="00CC1632"/>
    <w:rsid w:val="00CC3F85"/>
    <w:rsid w:val="00CC71B9"/>
    <w:rsid w:val="00CD3DA6"/>
    <w:rsid w:val="00CD42EC"/>
    <w:rsid w:val="00D13281"/>
    <w:rsid w:val="00D34FED"/>
    <w:rsid w:val="00D45B47"/>
    <w:rsid w:val="00D77382"/>
    <w:rsid w:val="00D80574"/>
    <w:rsid w:val="00D86336"/>
    <w:rsid w:val="00D94A35"/>
    <w:rsid w:val="00DB464A"/>
    <w:rsid w:val="00DD6B16"/>
    <w:rsid w:val="00DF0219"/>
    <w:rsid w:val="00DF16A6"/>
    <w:rsid w:val="00E11455"/>
    <w:rsid w:val="00E22875"/>
    <w:rsid w:val="00E32306"/>
    <w:rsid w:val="00E33FCF"/>
    <w:rsid w:val="00E42822"/>
    <w:rsid w:val="00E53C21"/>
    <w:rsid w:val="00E903B9"/>
    <w:rsid w:val="00EC4D9E"/>
    <w:rsid w:val="00ED219C"/>
    <w:rsid w:val="00ED7877"/>
    <w:rsid w:val="00F43415"/>
    <w:rsid w:val="00F611B5"/>
    <w:rsid w:val="00F82722"/>
    <w:rsid w:val="00F875CE"/>
    <w:rsid w:val="00F97970"/>
    <w:rsid w:val="00FD7F29"/>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219"/>
    <w:pPr>
      <w:autoSpaceDN/>
      <w:spacing w:line="240" w:lineRule="auto"/>
      <w:textAlignment w:val="auto"/>
    </w:pPr>
    <w:rPr>
      <w:rFonts w:ascii="Times New Roman" w:eastAsia="Times New Roman" w:hAnsi="Times New Roman" w:cs="Times New Roman"/>
      <w:sz w:val="24"/>
      <w:szCs w:val="24"/>
    </w:rPr>
  </w:style>
  <w:style w:type="paragraph" w:styleId="Heading1">
    <w:name w:val="heading 1"/>
    <w:basedOn w:val="Normal"/>
    <w:next w:val="Normal"/>
    <w:uiPriority w:val="9"/>
    <w:qFormat/>
    <w:pPr>
      <w:keepNext/>
      <w:keepLines/>
      <w:suppressAutoHyphens/>
      <w:autoSpaceDN w:val="0"/>
      <w:spacing w:before="400" w:after="120" w:line="276" w:lineRule="auto"/>
      <w:textAlignment w:val="baseline"/>
      <w:outlineLvl w:val="0"/>
    </w:pPr>
    <w:rPr>
      <w:rFonts w:ascii="Arial" w:eastAsia="Arial" w:hAnsi="Arial" w:cs="Arial"/>
      <w:sz w:val="40"/>
      <w:szCs w:val="40"/>
    </w:rPr>
  </w:style>
  <w:style w:type="paragraph" w:styleId="Heading2">
    <w:name w:val="heading 2"/>
    <w:basedOn w:val="Normal"/>
    <w:next w:val="Normal"/>
    <w:uiPriority w:val="9"/>
    <w:unhideWhenUsed/>
    <w:qFormat/>
    <w:pPr>
      <w:keepNext/>
      <w:keepLines/>
      <w:suppressAutoHyphens/>
      <w:autoSpaceDN w:val="0"/>
      <w:spacing w:before="360" w:after="120" w:line="276" w:lineRule="auto"/>
      <w:textAlignment w:val="baseline"/>
      <w:outlineLvl w:val="1"/>
    </w:pPr>
    <w:rPr>
      <w:rFonts w:ascii="Arial" w:eastAsia="Arial" w:hAnsi="Arial" w:cs="Arial"/>
      <w:sz w:val="32"/>
      <w:szCs w:val="32"/>
    </w:rPr>
  </w:style>
  <w:style w:type="paragraph" w:styleId="Heading3">
    <w:name w:val="heading 3"/>
    <w:basedOn w:val="Normal"/>
    <w:next w:val="Normal"/>
    <w:uiPriority w:val="9"/>
    <w:unhideWhenUsed/>
    <w:qFormat/>
    <w:pPr>
      <w:keepNext/>
      <w:keepLines/>
      <w:suppressAutoHyphens/>
      <w:autoSpaceDN w:val="0"/>
      <w:spacing w:before="320" w:after="80" w:line="276" w:lineRule="auto"/>
      <w:textAlignment w:val="baseline"/>
      <w:outlineLvl w:val="2"/>
    </w:pPr>
    <w:rPr>
      <w:rFonts w:ascii="Arial" w:eastAsia="Arial" w:hAnsi="Arial" w:cs="Arial"/>
      <w:color w:val="434343"/>
      <w:sz w:val="28"/>
      <w:szCs w:val="28"/>
    </w:rPr>
  </w:style>
  <w:style w:type="paragraph" w:styleId="Heading4">
    <w:name w:val="heading 4"/>
    <w:basedOn w:val="Normal"/>
    <w:next w:val="Normal"/>
    <w:uiPriority w:val="9"/>
    <w:semiHidden/>
    <w:unhideWhenUsed/>
    <w:qFormat/>
    <w:pPr>
      <w:keepNext/>
      <w:keepLines/>
      <w:suppressAutoHyphens/>
      <w:autoSpaceDN w:val="0"/>
      <w:spacing w:before="280" w:after="80" w:line="276" w:lineRule="auto"/>
      <w:textAlignment w:val="baseline"/>
      <w:outlineLvl w:val="3"/>
    </w:pPr>
    <w:rPr>
      <w:rFonts w:ascii="Arial" w:eastAsia="Arial" w:hAnsi="Arial" w:cs="Arial"/>
      <w:color w:val="666666"/>
    </w:rPr>
  </w:style>
  <w:style w:type="paragraph" w:styleId="Heading5">
    <w:name w:val="heading 5"/>
    <w:basedOn w:val="Normal"/>
    <w:next w:val="Normal"/>
    <w:uiPriority w:val="9"/>
    <w:semiHidden/>
    <w:unhideWhenUsed/>
    <w:qFormat/>
    <w:pPr>
      <w:keepNext/>
      <w:keepLines/>
      <w:suppressAutoHyphens/>
      <w:autoSpaceDN w:val="0"/>
      <w:spacing w:before="240" w:after="80" w:line="276" w:lineRule="auto"/>
      <w:textAlignment w:val="baseline"/>
      <w:outlineLvl w:val="4"/>
    </w:pPr>
    <w:rPr>
      <w:rFonts w:ascii="Arial" w:eastAsia="Arial" w:hAnsi="Arial" w:cs="Arial"/>
      <w:color w:val="666666"/>
      <w:sz w:val="22"/>
      <w:szCs w:val="22"/>
    </w:rPr>
  </w:style>
  <w:style w:type="paragraph" w:styleId="Heading6">
    <w:name w:val="heading 6"/>
    <w:basedOn w:val="Normal"/>
    <w:next w:val="Normal"/>
    <w:uiPriority w:val="9"/>
    <w:semiHidden/>
    <w:unhideWhenUsed/>
    <w:qFormat/>
    <w:pPr>
      <w:keepNext/>
      <w:keepLines/>
      <w:suppressAutoHyphens/>
      <w:autoSpaceDN w:val="0"/>
      <w:spacing w:before="240" w:after="80" w:line="276" w:lineRule="auto"/>
      <w:textAlignment w:val="baseline"/>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uppressAutoHyphens/>
      <w:autoSpaceDN w:val="0"/>
      <w:spacing w:after="60" w:line="276" w:lineRule="auto"/>
      <w:textAlignment w:val="baseline"/>
    </w:pPr>
    <w:rPr>
      <w:rFonts w:ascii="Arial" w:eastAsia="Arial" w:hAnsi="Arial" w:cs="Arial"/>
      <w:sz w:val="52"/>
      <w:szCs w:val="52"/>
    </w:rPr>
  </w:style>
  <w:style w:type="paragraph" w:styleId="Subtitle">
    <w:name w:val="Subtitle"/>
    <w:basedOn w:val="Normal"/>
    <w:next w:val="Normal"/>
    <w:uiPriority w:val="11"/>
    <w:qFormat/>
    <w:pPr>
      <w:keepNext/>
      <w:keepLines/>
      <w:suppressAutoHyphens/>
      <w:autoSpaceDN w:val="0"/>
      <w:spacing w:after="320" w:line="276" w:lineRule="auto"/>
      <w:textAlignment w:val="baseline"/>
    </w:pPr>
    <w:rPr>
      <w:rFonts w:ascii="Arial" w:eastAsia="Arial" w:hAnsi="Arial" w:cs="Arial"/>
      <w:color w:val="666666"/>
      <w:sz w:val="30"/>
      <w:szCs w:val="30"/>
    </w:rPr>
  </w:style>
  <w:style w:type="paragraph" w:styleId="Header">
    <w:name w:val="header"/>
    <w:basedOn w:val="Normal"/>
    <w:pPr>
      <w:tabs>
        <w:tab w:val="center" w:pos="4513"/>
        <w:tab w:val="right" w:pos="9026"/>
      </w:tabs>
      <w:suppressAutoHyphens/>
      <w:autoSpaceDN w:val="0"/>
      <w:textAlignment w:val="baseline"/>
    </w:pPr>
    <w:rPr>
      <w:rFonts w:ascii="Arial" w:eastAsia="Arial" w:hAnsi="Arial" w:cs="Arial"/>
      <w:sz w:val="22"/>
      <w:szCs w:val="22"/>
    </w:r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autoSpaceDN w:val="0"/>
      <w:textAlignment w:val="baseline"/>
    </w:pPr>
    <w:rPr>
      <w:rFonts w:ascii="Arial" w:eastAsia="Arial" w:hAnsi="Arial" w:cs="Arial"/>
      <w:sz w:val="22"/>
      <w:szCs w:val="22"/>
    </w:rPr>
  </w:style>
  <w:style w:type="character" w:customStyle="1" w:styleId="FooterChar">
    <w:name w:val="Footer Char"/>
    <w:basedOn w:val="DefaultParagraphFont"/>
  </w:style>
  <w:style w:type="paragraph" w:styleId="ListParagraph">
    <w:name w:val="List Paragraph"/>
    <w:basedOn w:val="Normal"/>
    <w:uiPriority w:val="34"/>
    <w:qFormat/>
    <w:pPr>
      <w:autoSpaceDN w:val="0"/>
      <w:ind w:left="720"/>
      <w:contextualSpacing/>
    </w:pPr>
  </w:style>
  <w:style w:type="paragraph" w:customStyle="1" w:styleId="p1">
    <w:name w:val="p1"/>
    <w:basedOn w:val="Normal"/>
    <w:rsid w:val="006B67F9"/>
    <w:rPr>
      <w:rFonts w:ascii="Arial" w:hAnsi="Arial" w:cs="Arial"/>
      <w:color w:val="000000"/>
      <w:sz w:val="17"/>
      <w:szCs w:val="17"/>
    </w:rPr>
  </w:style>
  <w:style w:type="character" w:customStyle="1" w:styleId="apple-converted-space">
    <w:name w:val="apple-converted-space"/>
    <w:basedOn w:val="DefaultParagraphFont"/>
    <w:rsid w:val="006B67F9"/>
  </w:style>
  <w:style w:type="character" w:customStyle="1" w:styleId="TitleChar">
    <w:name w:val="Title Char"/>
    <w:basedOn w:val="DefaultParagraphFont"/>
    <w:link w:val="Title"/>
    <w:uiPriority w:val="10"/>
    <w:rsid w:val="00BC6FAF"/>
    <w:rPr>
      <w:sz w:val="52"/>
      <w:szCs w:val="52"/>
    </w:rPr>
  </w:style>
  <w:style w:type="character" w:styleId="Hyperlink">
    <w:name w:val="Hyperlink"/>
    <w:basedOn w:val="DefaultParagraphFont"/>
    <w:uiPriority w:val="99"/>
    <w:unhideWhenUsed/>
    <w:rsid w:val="00BC6FAF"/>
    <w:rPr>
      <w:color w:val="467886" w:themeColor="hyperlink"/>
      <w:u w:val="single"/>
    </w:rPr>
  </w:style>
  <w:style w:type="character" w:styleId="UnresolvedMention">
    <w:name w:val="Unresolved Mention"/>
    <w:basedOn w:val="DefaultParagraphFont"/>
    <w:uiPriority w:val="99"/>
    <w:semiHidden/>
    <w:unhideWhenUsed/>
    <w:rsid w:val="00C6708C"/>
    <w:rPr>
      <w:color w:val="605E5C"/>
      <w:shd w:val="clear" w:color="auto" w:fill="E1DFDD"/>
    </w:rPr>
  </w:style>
  <w:style w:type="character" w:styleId="FollowedHyperlink">
    <w:name w:val="FollowedHyperlink"/>
    <w:basedOn w:val="DefaultParagraphFont"/>
    <w:uiPriority w:val="99"/>
    <w:semiHidden/>
    <w:unhideWhenUsed/>
    <w:rsid w:val="00E32306"/>
    <w:rPr>
      <w:color w:val="96607D" w:themeColor="followedHyperlink"/>
      <w:u w:val="single"/>
    </w:rPr>
  </w:style>
  <w:style w:type="paragraph" w:styleId="TOCHeading">
    <w:name w:val="TOC Heading"/>
    <w:basedOn w:val="Heading1"/>
    <w:next w:val="Normal"/>
    <w:uiPriority w:val="39"/>
    <w:unhideWhenUsed/>
    <w:qFormat/>
    <w:rsid w:val="00905AEB"/>
    <w:pPr>
      <w:suppressAutoHyphens w:val="0"/>
      <w:autoSpaceDN/>
      <w:spacing w:before="480" w:after="0"/>
      <w:textAlignment w:val="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905AEB"/>
    <w:pPr>
      <w:spacing w:before="120"/>
    </w:pPr>
    <w:rPr>
      <w:rFonts w:asciiTheme="minorHAnsi" w:hAnsiTheme="minorHAnsi"/>
      <w:b/>
      <w:bCs/>
      <w:i/>
      <w:iCs/>
    </w:rPr>
  </w:style>
  <w:style w:type="paragraph" w:styleId="TOC2">
    <w:name w:val="toc 2"/>
    <w:basedOn w:val="Normal"/>
    <w:next w:val="Normal"/>
    <w:autoRedefine/>
    <w:uiPriority w:val="39"/>
    <w:semiHidden/>
    <w:unhideWhenUsed/>
    <w:rsid w:val="00905AE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05AE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05AE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05AE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05AE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05AE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05AE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05AE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06100">
      <w:bodyDiv w:val="1"/>
      <w:marLeft w:val="0"/>
      <w:marRight w:val="0"/>
      <w:marTop w:val="0"/>
      <w:marBottom w:val="0"/>
      <w:divBdr>
        <w:top w:val="none" w:sz="0" w:space="0" w:color="auto"/>
        <w:left w:val="none" w:sz="0" w:space="0" w:color="auto"/>
        <w:bottom w:val="none" w:sz="0" w:space="0" w:color="auto"/>
        <w:right w:val="none" w:sz="0" w:space="0" w:color="auto"/>
      </w:divBdr>
      <w:divsChild>
        <w:div w:id="1555509561">
          <w:marLeft w:val="0"/>
          <w:marRight w:val="0"/>
          <w:marTop w:val="120"/>
          <w:marBottom w:val="120"/>
          <w:divBdr>
            <w:top w:val="none" w:sz="0" w:space="0" w:color="auto"/>
            <w:left w:val="none" w:sz="0" w:space="0" w:color="auto"/>
            <w:bottom w:val="none" w:sz="0" w:space="0" w:color="auto"/>
            <w:right w:val="none" w:sz="0" w:space="0" w:color="auto"/>
          </w:divBdr>
        </w:div>
      </w:divsChild>
    </w:div>
    <w:div w:id="23755242">
      <w:bodyDiv w:val="1"/>
      <w:marLeft w:val="0"/>
      <w:marRight w:val="0"/>
      <w:marTop w:val="0"/>
      <w:marBottom w:val="0"/>
      <w:divBdr>
        <w:top w:val="none" w:sz="0" w:space="0" w:color="auto"/>
        <w:left w:val="none" w:sz="0" w:space="0" w:color="auto"/>
        <w:bottom w:val="none" w:sz="0" w:space="0" w:color="auto"/>
        <w:right w:val="none" w:sz="0" w:space="0" w:color="auto"/>
      </w:divBdr>
      <w:divsChild>
        <w:div w:id="927737128">
          <w:marLeft w:val="0"/>
          <w:marRight w:val="0"/>
          <w:marTop w:val="120"/>
          <w:marBottom w:val="120"/>
          <w:divBdr>
            <w:top w:val="none" w:sz="0" w:space="0" w:color="auto"/>
            <w:left w:val="none" w:sz="0" w:space="0" w:color="auto"/>
            <w:bottom w:val="none" w:sz="0" w:space="0" w:color="auto"/>
            <w:right w:val="none" w:sz="0" w:space="0" w:color="auto"/>
          </w:divBdr>
        </w:div>
      </w:divsChild>
    </w:div>
    <w:div w:id="53429199">
      <w:bodyDiv w:val="1"/>
      <w:marLeft w:val="0"/>
      <w:marRight w:val="0"/>
      <w:marTop w:val="0"/>
      <w:marBottom w:val="0"/>
      <w:divBdr>
        <w:top w:val="none" w:sz="0" w:space="0" w:color="auto"/>
        <w:left w:val="none" w:sz="0" w:space="0" w:color="auto"/>
        <w:bottom w:val="none" w:sz="0" w:space="0" w:color="auto"/>
        <w:right w:val="none" w:sz="0" w:space="0" w:color="auto"/>
      </w:divBdr>
      <w:divsChild>
        <w:div w:id="1541866733">
          <w:marLeft w:val="0"/>
          <w:marRight w:val="0"/>
          <w:marTop w:val="120"/>
          <w:marBottom w:val="120"/>
          <w:divBdr>
            <w:top w:val="none" w:sz="0" w:space="0" w:color="auto"/>
            <w:left w:val="none" w:sz="0" w:space="0" w:color="auto"/>
            <w:bottom w:val="none" w:sz="0" w:space="0" w:color="auto"/>
            <w:right w:val="none" w:sz="0" w:space="0" w:color="auto"/>
          </w:divBdr>
        </w:div>
      </w:divsChild>
    </w:div>
    <w:div w:id="179467819">
      <w:bodyDiv w:val="1"/>
      <w:marLeft w:val="0"/>
      <w:marRight w:val="0"/>
      <w:marTop w:val="0"/>
      <w:marBottom w:val="0"/>
      <w:divBdr>
        <w:top w:val="none" w:sz="0" w:space="0" w:color="auto"/>
        <w:left w:val="none" w:sz="0" w:space="0" w:color="auto"/>
        <w:bottom w:val="none" w:sz="0" w:space="0" w:color="auto"/>
        <w:right w:val="none" w:sz="0" w:space="0" w:color="auto"/>
      </w:divBdr>
      <w:divsChild>
        <w:div w:id="228198160">
          <w:marLeft w:val="0"/>
          <w:marRight w:val="0"/>
          <w:marTop w:val="120"/>
          <w:marBottom w:val="120"/>
          <w:divBdr>
            <w:top w:val="none" w:sz="0" w:space="0" w:color="auto"/>
            <w:left w:val="none" w:sz="0" w:space="0" w:color="auto"/>
            <w:bottom w:val="none" w:sz="0" w:space="0" w:color="auto"/>
            <w:right w:val="none" w:sz="0" w:space="0" w:color="auto"/>
          </w:divBdr>
        </w:div>
      </w:divsChild>
    </w:div>
    <w:div w:id="361787176">
      <w:bodyDiv w:val="1"/>
      <w:marLeft w:val="0"/>
      <w:marRight w:val="0"/>
      <w:marTop w:val="0"/>
      <w:marBottom w:val="0"/>
      <w:divBdr>
        <w:top w:val="none" w:sz="0" w:space="0" w:color="auto"/>
        <w:left w:val="none" w:sz="0" w:space="0" w:color="auto"/>
        <w:bottom w:val="none" w:sz="0" w:space="0" w:color="auto"/>
        <w:right w:val="none" w:sz="0" w:space="0" w:color="auto"/>
      </w:divBdr>
    </w:div>
    <w:div w:id="369574285">
      <w:bodyDiv w:val="1"/>
      <w:marLeft w:val="0"/>
      <w:marRight w:val="0"/>
      <w:marTop w:val="0"/>
      <w:marBottom w:val="0"/>
      <w:divBdr>
        <w:top w:val="none" w:sz="0" w:space="0" w:color="auto"/>
        <w:left w:val="none" w:sz="0" w:space="0" w:color="auto"/>
        <w:bottom w:val="none" w:sz="0" w:space="0" w:color="auto"/>
        <w:right w:val="none" w:sz="0" w:space="0" w:color="auto"/>
      </w:divBdr>
      <w:divsChild>
        <w:div w:id="430976120">
          <w:marLeft w:val="0"/>
          <w:marRight w:val="0"/>
          <w:marTop w:val="120"/>
          <w:marBottom w:val="120"/>
          <w:divBdr>
            <w:top w:val="none" w:sz="0" w:space="0" w:color="auto"/>
            <w:left w:val="none" w:sz="0" w:space="0" w:color="auto"/>
            <w:bottom w:val="none" w:sz="0" w:space="0" w:color="auto"/>
            <w:right w:val="none" w:sz="0" w:space="0" w:color="auto"/>
          </w:divBdr>
        </w:div>
      </w:divsChild>
    </w:div>
    <w:div w:id="424501797">
      <w:bodyDiv w:val="1"/>
      <w:marLeft w:val="0"/>
      <w:marRight w:val="0"/>
      <w:marTop w:val="0"/>
      <w:marBottom w:val="0"/>
      <w:divBdr>
        <w:top w:val="none" w:sz="0" w:space="0" w:color="auto"/>
        <w:left w:val="none" w:sz="0" w:space="0" w:color="auto"/>
        <w:bottom w:val="none" w:sz="0" w:space="0" w:color="auto"/>
        <w:right w:val="none" w:sz="0" w:space="0" w:color="auto"/>
      </w:divBdr>
    </w:div>
    <w:div w:id="479199451">
      <w:bodyDiv w:val="1"/>
      <w:marLeft w:val="0"/>
      <w:marRight w:val="0"/>
      <w:marTop w:val="0"/>
      <w:marBottom w:val="0"/>
      <w:divBdr>
        <w:top w:val="none" w:sz="0" w:space="0" w:color="auto"/>
        <w:left w:val="none" w:sz="0" w:space="0" w:color="auto"/>
        <w:bottom w:val="none" w:sz="0" w:space="0" w:color="auto"/>
        <w:right w:val="none" w:sz="0" w:space="0" w:color="auto"/>
      </w:divBdr>
      <w:divsChild>
        <w:div w:id="2138839136">
          <w:marLeft w:val="0"/>
          <w:marRight w:val="0"/>
          <w:marTop w:val="120"/>
          <w:marBottom w:val="120"/>
          <w:divBdr>
            <w:top w:val="none" w:sz="0" w:space="0" w:color="auto"/>
            <w:left w:val="none" w:sz="0" w:space="0" w:color="auto"/>
            <w:bottom w:val="none" w:sz="0" w:space="0" w:color="auto"/>
            <w:right w:val="none" w:sz="0" w:space="0" w:color="auto"/>
          </w:divBdr>
        </w:div>
      </w:divsChild>
    </w:div>
    <w:div w:id="602998432">
      <w:bodyDiv w:val="1"/>
      <w:marLeft w:val="0"/>
      <w:marRight w:val="0"/>
      <w:marTop w:val="0"/>
      <w:marBottom w:val="0"/>
      <w:divBdr>
        <w:top w:val="none" w:sz="0" w:space="0" w:color="auto"/>
        <w:left w:val="none" w:sz="0" w:space="0" w:color="auto"/>
        <w:bottom w:val="none" w:sz="0" w:space="0" w:color="auto"/>
        <w:right w:val="none" w:sz="0" w:space="0" w:color="auto"/>
      </w:divBdr>
      <w:divsChild>
        <w:div w:id="1033849742">
          <w:marLeft w:val="0"/>
          <w:marRight w:val="0"/>
          <w:marTop w:val="120"/>
          <w:marBottom w:val="120"/>
          <w:divBdr>
            <w:top w:val="none" w:sz="0" w:space="0" w:color="auto"/>
            <w:left w:val="none" w:sz="0" w:space="0" w:color="auto"/>
            <w:bottom w:val="none" w:sz="0" w:space="0" w:color="auto"/>
            <w:right w:val="none" w:sz="0" w:space="0" w:color="auto"/>
          </w:divBdr>
        </w:div>
      </w:divsChild>
    </w:div>
    <w:div w:id="643046858">
      <w:bodyDiv w:val="1"/>
      <w:marLeft w:val="0"/>
      <w:marRight w:val="0"/>
      <w:marTop w:val="0"/>
      <w:marBottom w:val="0"/>
      <w:divBdr>
        <w:top w:val="none" w:sz="0" w:space="0" w:color="auto"/>
        <w:left w:val="none" w:sz="0" w:space="0" w:color="auto"/>
        <w:bottom w:val="none" w:sz="0" w:space="0" w:color="auto"/>
        <w:right w:val="none" w:sz="0" w:space="0" w:color="auto"/>
      </w:divBdr>
      <w:divsChild>
        <w:div w:id="491987116">
          <w:marLeft w:val="0"/>
          <w:marRight w:val="0"/>
          <w:marTop w:val="120"/>
          <w:marBottom w:val="120"/>
          <w:divBdr>
            <w:top w:val="none" w:sz="0" w:space="0" w:color="auto"/>
            <w:left w:val="none" w:sz="0" w:space="0" w:color="auto"/>
            <w:bottom w:val="none" w:sz="0" w:space="0" w:color="auto"/>
            <w:right w:val="none" w:sz="0" w:space="0" w:color="auto"/>
          </w:divBdr>
        </w:div>
        <w:div w:id="45028785">
          <w:marLeft w:val="0"/>
          <w:marRight w:val="0"/>
          <w:marTop w:val="120"/>
          <w:marBottom w:val="120"/>
          <w:divBdr>
            <w:top w:val="none" w:sz="0" w:space="0" w:color="auto"/>
            <w:left w:val="none" w:sz="0" w:space="0" w:color="auto"/>
            <w:bottom w:val="none" w:sz="0" w:space="0" w:color="auto"/>
            <w:right w:val="none" w:sz="0" w:space="0" w:color="auto"/>
          </w:divBdr>
        </w:div>
        <w:div w:id="776830734">
          <w:marLeft w:val="0"/>
          <w:marRight w:val="0"/>
          <w:marTop w:val="120"/>
          <w:marBottom w:val="120"/>
          <w:divBdr>
            <w:top w:val="none" w:sz="0" w:space="0" w:color="auto"/>
            <w:left w:val="none" w:sz="0" w:space="0" w:color="auto"/>
            <w:bottom w:val="none" w:sz="0" w:space="0" w:color="auto"/>
            <w:right w:val="none" w:sz="0" w:space="0" w:color="auto"/>
          </w:divBdr>
        </w:div>
        <w:div w:id="2099326354">
          <w:marLeft w:val="0"/>
          <w:marRight w:val="0"/>
          <w:marTop w:val="120"/>
          <w:marBottom w:val="120"/>
          <w:divBdr>
            <w:top w:val="none" w:sz="0" w:space="0" w:color="auto"/>
            <w:left w:val="none" w:sz="0" w:space="0" w:color="auto"/>
            <w:bottom w:val="none" w:sz="0" w:space="0" w:color="auto"/>
            <w:right w:val="none" w:sz="0" w:space="0" w:color="auto"/>
          </w:divBdr>
        </w:div>
        <w:div w:id="1642687096">
          <w:marLeft w:val="0"/>
          <w:marRight w:val="0"/>
          <w:marTop w:val="120"/>
          <w:marBottom w:val="120"/>
          <w:divBdr>
            <w:top w:val="none" w:sz="0" w:space="0" w:color="auto"/>
            <w:left w:val="none" w:sz="0" w:space="0" w:color="auto"/>
            <w:bottom w:val="none" w:sz="0" w:space="0" w:color="auto"/>
            <w:right w:val="none" w:sz="0" w:space="0" w:color="auto"/>
          </w:divBdr>
        </w:div>
      </w:divsChild>
    </w:div>
    <w:div w:id="992220073">
      <w:bodyDiv w:val="1"/>
      <w:marLeft w:val="0"/>
      <w:marRight w:val="0"/>
      <w:marTop w:val="0"/>
      <w:marBottom w:val="0"/>
      <w:divBdr>
        <w:top w:val="none" w:sz="0" w:space="0" w:color="auto"/>
        <w:left w:val="none" w:sz="0" w:space="0" w:color="auto"/>
        <w:bottom w:val="none" w:sz="0" w:space="0" w:color="auto"/>
        <w:right w:val="none" w:sz="0" w:space="0" w:color="auto"/>
      </w:divBdr>
      <w:divsChild>
        <w:div w:id="1533347195">
          <w:marLeft w:val="0"/>
          <w:marRight w:val="0"/>
          <w:marTop w:val="120"/>
          <w:marBottom w:val="120"/>
          <w:divBdr>
            <w:top w:val="none" w:sz="0" w:space="0" w:color="auto"/>
            <w:left w:val="none" w:sz="0" w:space="0" w:color="auto"/>
            <w:bottom w:val="none" w:sz="0" w:space="0" w:color="auto"/>
            <w:right w:val="none" w:sz="0" w:space="0" w:color="auto"/>
          </w:divBdr>
        </w:div>
      </w:divsChild>
    </w:div>
    <w:div w:id="1146582606">
      <w:bodyDiv w:val="1"/>
      <w:marLeft w:val="0"/>
      <w:marRight w:val="0"/>
      <w:marTop w:val="0"/>
      <w:marBottom w:val="0"/>
      <w:divBdr>
        <w:top w:val="none" w:sz="0" w:space="0" w:color="auto"/>
        <w:left w:val="none" w:sz="0" w:space="0" w:color="auto"/>
        <w:bottom w:val="none" w:sz="0" w:space="0" w:color="auto"/>
        <w:right w:val="none" w:sz="0" w:space="0" w:color="auto"/>
      </w:divBdr>
      <w:divsChild>
        <w:div w:id="448280979">
          <w:marLeft w:val="0"/>
          <w:marRight w:val="0"/>
          <w:marTop w:val="120"/>
          <w:marBottom w:val="120"/>
          <w:divBdr>
            <w:top w:val="none" w:sz="0" w:space="0" w:color="auto"/>
            <w:left w:val="none" w:sz="0" w:space="0" w:color="auto"/>
            <w:bottom w:val="none" w:sz="0" w:space="0" w:color="auto"/>
            <w:right w:val="none" w:sz="0" w:space="0" w:color="auto"/>
          </w:divBdr>
        </w:div>
        <w:div w:id="1705251016">
          <w:marLeft w:val="0"/>
          <w:marRight w:val="0"/>
          <w:marTop w:val="120"/>
          <w:marBottom w:val="120"/>
          <w:divBdr>
            <w:top w:val="none" w:sz="0" w:space="0" w:color="auto"/>
            <w:left w:val="none" w:sz="0" w:space="0" w:color="auto"/>
            <w:bottom w:val="none" w:sz="0" w:space="0" w:color="auto"/>
            <w:right w:val="none" w:sz="0" w:space="0" w:color="auto"/>
          </w:divBdr>
        </w:div>
        <w:div w:id="1165324042">
          <w:marLeft w:val="0"/>
          <w:marRight w:val="0"/>
          <w:marTop w:val="120"/>
          <w:marBottom w:val="120"/>
          <w:divBdr>
            <w:top w:val="none" w:sz="0" w:space="0" w:color="auto"/>
            <w:left w:val="none" w:sz="0" w:space="0" w:color="auto"/>
            <w:bottom w:val="none" w:sz="0" w:space="0" w:color="auto"/>
            <w:right w:val="none" w:sz="0" w:space="0" w:color="auto"/>
          </w:divBdr>
        </w:div>
        <w:div w:id="2138913549">
          <w:marLeft w:val="0"/>
          <w:marRight w:val="0"/>
          <w:marTop w:val="120"/>
          <w:marBottom w:val="120"/>
          <w:divBdr>
            <w:top w:val="none" w:sz="0" w:space="0" w:color="auto"/>
            <w:left w:val="none" w:sz="0" w:space="0" w:color="auto"/>
            <w:bottom w:val="none" w:sz="0" w:space="0" w:color="auto"/>
            <w:right w:val="none" w:sz="0" w:space="0" w:color="auto"/>
          </w:divBdr>
        </w:div>
        <w:div w:id="1900434239">
          <w:marLeft w:val="0"/>
          <w:marRight w:val="0"/>
          <w:marTop w:val="120"/>
          <w:marBottom w:val="120"/>
          <w:divBdr>
            <w:top w:val="none" w:sz="0" w:space="0" w:color="auto"/>
            <w:left w:val="none" w:sz="0" w:space="0" w:color="auto"/>
            <w:bottom w:val="none" w:sz="0" w:space="0" w:color="auto"/>
            <w:right w:val="none" w:sz="0" w:space="0" w:color="auto"/>
          </w:divBdr>
        </w:div>
        <w:div w:id="1262568221">
          <w:marLeft w:val="0"/>
          <w:marRight w:val="0"/>
          <w:marTop w:val="120"/>
          <w:marBottom w:val="120"/>
          <w:divBdr>
            <w:top w:val="none" w:sz="0" w:space="0" w:color="auto"/>
            <w:left w:val="none" w:sz="0" w:space="0" w:color="auto"/>
            <w:bottom w:val="none" w:sz="0" w:space="0" w:color="auto"/>
            <w:right w:val="none" w:sz="0" w:space="0" w:color="auto"/>
          </w:divBdr>
        </w:div>
      </w:divsChild>
    </w:div>
    <w:div w:id="1257910311">
      <w:bodyDiv w:val="1"/>
      <w:marLeft w:val="0"/>
      <w:marRight w:val="0"/>
      <w:marTop w:val="0"/>
      <w:marBottom w:val="0"/>
      <w:divBdr>
        <w:top w:val="none" w:sz="0" w:space="0" w:color="auto"/>
        <w:left w:val="none" w:sz="0" w:space="0" w:color="auto"/>
        <w:bottom w:val="none" w:sz="0" w:space="0" w:color="auto"/>
        <w:right w:val="none" w:sz="0" w:space="0" w:color="auto"/>
      </w:divBdr>
      <w:divsChild>
        <w:div w:id="480464817">
          <w:marLeft w:val="0"/>
          <w:marRight w:val="0"/>
          <w:marTop w:val="120"/>
          <w:marBottom w:val="120"/>
          <w:divBdr>
            <w:top w:val="none" w:sz="0" w:space="0" w:color="auto"/>
            <w:left w:val="none" w:sz="0" w:space="0" w:color="auto"/>
            <w:bottom w:val="none" w:sz="0" w:space="0" w:color="auto"/>
            <w:right w:val="none" w:sz="0" w:space="0" w:color="auto"/>
          </w:divBdr>
        </w:div>
      </w:divsChild>
    </w:div>
    <w:div w:id="1335719108">
      <w:bodyDiv w:val="1"/>
      <w:marLeft w:val="0"/>
      <w:marRight w:val="0"/>
      <w:marTop w:val="0"/>
      <w:marBottom w:val="0"/>
      <w:divBdr>
        <w:top w:val="none" w:sz="0" w:space="0" w:color="auto"/>
        <w:left w:val="none" w:sz="0" w:space="0" w:color="auto"/>
        <w:bottom w:val="none" w:sz="0" w:space="0" w:color="auto"/>
        <w:right w:val="none" w:sz="0" w:space="0" w:color="auto"/>
      </w:divBdr>
      <w:divsChild>
        <w:div w:id="617226988">
          <w:marLeft w:val="0"/>
          <w:marRight w:val="0"/>
          <w:marTop w:val="120"/>
          <w:marBottom w:val="120"/>
          <w:divBdr>
            <w:top w:val="none" w:sz="0" w:space="0" w:color="auto"/>
            <w:left w:val="none" w:sz="0" w:space="0" w:color="auto"/>
            <w:bottom w:val="none" w:sz="0" w:space="0" w:color="auto"/>
            <w:right w:val="none" w:sz="0" w:space="0" w:color="auto"/>
          </w:divBdr>
        </w:div>
      </w:divsChild>
    </w:div>
    <w:div w:id="1898472802">
      <w:bodyDiv w:val="1"/>
      <w:marLeft w:val="0"/>
      <w:marRight w:val="0"/>
      <w:marTop w:val="0"/>
      <w:marBottom w:val="0"/>
      <w:divBdr>
        <w:top w:val="none" w:sz="0" w:space="0" w:color="auto"/>
        <w:left w:val="none" w:sz="0" w:space="0" w:color="auto"/>
        <w:bottom w:val="none" w:sz="0" w:space="0" w:color="auto"/>
        <w:right w:val="none" w:sz="0" w:space="0" w:color="auto"/>
      </w:divBdr>
      <w:divsChild>
        <w:div w:id="719789555">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gerinurse.2025.103662" TargetMode="External"/><Relationship Id="rId18" Type="http://schemas.openxmlformats.org/officeDocument/2006/relationships/hyperlink" Target="https://doi.org/10.1186/s12913-015-1041-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1471301216682627" TargetMode="External"/><Relationship Id="rId17" Type="http://schemas.openxmlformats.org/officeDocument/2006/relationships/hyperlink" Target="https://doi.org/10.1016/j.ijnurstu.2022.104260" TargetMode="External"/><Relationship Id="rId2" Type="http://schemas.openxmlformats.org/officeDocument/2006/relationships/numbering" Target="numbering.xml"/><Relationship Id="rId16" Type="http://schemas.openxmlformats.org/officeDocument/2006/relationships/hyperlink" Target="https://doi.org/10.1007/BF0339577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2055102920933065" TargetMode="External"/><Relationship Id="rId5" Type="http://schemas.openxmlformats.org/officeDocument/2006/relationships/webSettings" Target="webSettings.xml"/><Relationship Id="rId15" Type="http://schemas.openxmlformats.org/officeDocument/2006/relationships/hyperlink" Target="https://doi.org/10.1016/S0140-6736(20)30367-6" TargetMode="External"/><Relationship Id="rId10" Type="http://schemas.openxmlformats.org/officeDocument/2006/relationships/hyperlink" Target="https://www.proquest.com/docview/218661518/fulltext/B54B1AD71B6A4245PQ/1?accountid=130472&amp;sourcetype=Scholarly%20Journals" TargetMode="External"/><Relationship Id="rId19" Type="http://schemas.openxmlformats.org/officeDocument/2006/relationships/hyperlink" Target="https://doi.org/10.1186/s12910-024-01106-z"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doi.org/10.1192/bjp.bp.113.1411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36551-1E21-7F46-B234-D5FFC0CFB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9</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Yuliia Silman</cp:lastModifiedBy>
  <cp:revision>14</cp:revision>
  <dcterms:created xsi:type="dcterms:W3CDTF">2025-12-09T13:56:00Z</dcterms:created>
  <dcterms:modified xsi:type="dcterms:W3CDTF">2025-12-18T23:23:00Z</dcterms:modified>
</cp:coreProperties>
</file>