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6AC66B7" w14:textId="77777777" w:rsidR="00DA39D1" w:rsidRPr="00BC7E2B" w:rsidRDefault="005A5CA9" w:rsidP="00E84A66">
      <w:pPr>
        <w:spacing w:after="1400"/>
      </w:pPr>
      <w:r w:rsidRPr="00BC7E2B">
        <w:t xml:space="preserve"> </w:t>
      </w:r>
    </w:p>
    <w:p w14:paraId="7EED5AD6" w14:textId="77777777" w:rsidR="00DA39D1" w:rsidRPr="00BC7E2B" w:rsidRDefault="005A5CA9" w:rsidP="00E84A66">
      <w:pPr>
        <w:spacing w:after="240"/>
        <w:jc w:val="center"/>
        <w:rPr>
          <w:sz w:val="56"/>
          <w:szCs w:val="56"/>
        </w:rPr>
      </w:pPr>
      <w:r w:rsidRPr="00BC7E2B">
        <w:rPr>
          <w:b/>
          <w:bCs/>
          <w:sz w:val="56"/>
          <w:szCs w:val="56"/>
        </w:rPr>
        <w:t>Digital Transformation in the Health and Care Professions</w:t>
      </w:r>
    </w:p>
    <w:p w14:paraId="72C2B435" w14:textId="77777777" w:rsidR="00DA39D1" w:rsidRPr="00BC7E2B" w:rsidRDefault="005A5CA9" w:rsidP="00E84A66">
      <w:pPr>
        <w:spacing w:after="120"/>
        <w:jc w:val="center"/>
        <w:rPr>
          <w:b/>
          <w:sz w:val="56"/>
          <w:szCs w:val="56"/>
        </w:rPr>
      </w:pPr>
      <w:r w:rsidRPr="00BC7E2B">
        <w:rPr>
          <w:b/>
          <w:sz w:val="56"/>
          <w:szCs w:val="56"/>
        </w:rPr>
        <w:t>Module code: BMHP6026</w:t>
      </w:r>
    </w:p>
    <w:p w14:paraId="328847D2" w14:textId="4F69FFF1" w:rsidR="00DA39D1" w:rsidRPr="00BC7E2B" w:rsidRDefault="005A5CA9" w:rsidP="00E84A66">
      <w:pPr>
        <w:spacing w:after="600"/>
        <w:jc w:val="center"/>
        <w:rPr>
          <w:b/>
          <w:sz w:val="56"/>
          <w:szCs w:val="56"/>
        </w:rPr>
      </w:pPr>
      <w:r w:rsidRPr="00BC7E2B">
        <w:rPr>
          <w:b/>
          <w:sz w:val="56"/>
          <w:szCs w:val="56"/>
        </w:rPr>
        <w:t>Component 1: Written Report</w:t>
      </w:r>
      <w:r w:rsidR="00C45F43" w:rsidRPr="00BC7E2B">
        <w:rPr>
          <w:b/>
          <w:sz w:val="56"/>
          <w:szCs w:val="56"/>
        </w:rPr>
        <w:t xml:space="preserve"> </w:t>
      </w:r>
    </w:p>
    <w:p w14:paraId="313812CA" w14:textId="77777777" w:rsidR="00BD7DFA" w:rsidRPr="00BC7E2B" w:rsidRDefault="00BD7DFA" w:rsidP="00E84A66">
      <w:pPr>
        <w:spacing w:after="600"/>
        <w:jc w:val="center"/>
        <w:rPr>
          <w:b/>
          <w:sz w:val="56"/>
          <w:szCs w:val="56"/>
        </w:rPr>
      </w:pPr>
    </w:p>
    <w:p w14:paraId="4F359E82" w14:textId="77777777" w:rsidR="00BD7DFA" w:rsidRPr="00BC7E2B" w:rsidRDefault="00BD7DFA" w:rsidP="00E84A66">
      <w:pPr>
        <w:spacing w:after="600"/>
        <w:jc w:val="center"/>
        <w:rPr>
          <w:b/>
          <w:sz w:val="56"/>
          <w:szCs w:val="56"/>
        </w:rPr>
      </w:pPr>
    </w:p>
    <w:p w14:paraId="570EB3DF" w14:textId="5197FCD4" w:rsidR="00DA39D1" w:rsidRPr="00BC7E2B" w:rsidRDefault="005A5CA9" w:rsidP="00E84A66">
      <w:pPr>
        <w:spacing w:after="140"/>
        <w:jc w:val="center"/>
      </w:pPr>
      <w:r w:rsidRPr="00BC7E2B">
        <w:rPr>
          <w:b/>
          <w:bCs/>
        </w:rPr>
        <w:t>Student name</w:t>
      </w:r>
      <w:r w:rsidR="00AF65A6" w:rsidRPr="00BC7E2B">
        <w:rPr>
          <w:b/>
          <w:bCs/>
        </w:rPr>
        <w:t xml:space="preserve">: </w:t>
      </w:r>
      <w:r w:rsidR="00FE12A2">
        <w:rPr>
          <w:b/>
          <w:bCs/>
        </w:rPr>
        <w:t xml:space="preserve">Alexandra Elena Galiceanu </w:t>
      </w:r>
    </w:p>
    <w:p w14:paraId="6A175943" w14:textId="6C629381" w:rsidR="00DA39D1" w:rsidRPr="00BC7E2B" w:rsidRDefault="005A5CA9" w:rsidP="00E84A66">
      <w:pPr>
        <w:spacing w:after="600"/>
        <w:jc w:val="center"/>
      </w:pPr>
      <w:r w:rsidRPr="00BC7E2B">
        <w:rPr>
          <w:b/>
          <w:bCs/>
        </w:rPr>
        <w:t xml:space="preserve">Student number: </w:t>
      </w:r>
      <w:r w:rsidR="00FE12A2">
        <w:rPr>
          <w:b/>
          <w:bCs/>
        </w:rPr>
        <w:t xml:space="preserve"> 2330542</w:t>
      </w:r>
    </w:p>
    <w:p w14:paraId="1CC844B8" w14:textId="77777777" w:rsidR="00843A13" w:rsidRPr="00BC7E2B" w:rsidRDefault="00843A13" w:rsidP="00E84A66">
      <w:pPr>
        <w:rPr>
          <w:b/>
          <w:bCs/>
        </w:rPr>
      </w:pPr>
      <w:r w:rsidRPr="00BC7E2B">
        <w:rPr>
          <w:b/>
          <w:bCs/>
        </w:rPr>
        <w:br w:type="page"/>
      </w:r>
    </w:p>
    <w:sdt>
      <w:sdtPr>
        <w:rPr>
          <w:rFonts w:ascii="Arial" w:eastAsia="Arial" w:hAnsi="Arial" w:cs="Arial"/>
          <w:color w:val="auto"/>
          <w:sz w:val="22"/>
          <w:szCs w:val="22"/>
          <w:lang w:val="en-IN" w:eastAsia="en-IN"/>
        </w:rPr>
        <w:id w:val="1394237434"/>
        <w:docPartObj>
          <w:docPartGallery w:val="Table of Contents"/>
          <w:docPartUnique/>
        </w:docPartObj>
      </w:sdtPr>
      <w:sdtEndPr>
        <w:rPr>
          <w:b/>
          <w:bCs/>
          <w:noProof/>
        </w:rPr>
      </w:sdtEndPr>
      <w:sdtContent>
        <w:p w14:paraId="59539589" w14:textId="4A8E4879" w:rsidR="00BC7E2B" w:rsidRPr="00BC7E2B" w:rsidRDefault="00BC7E2B" w:rsidP="00E84A66">
          <w:pPr>
            <w:pStyle w:val="TOCHeading"/>
            <w:spacing w:line="360" w:lineRule="auto"/>
            <w:rPr>
              <w:rFonts w:ascii="Arial" w:hAnsi="Arial" w:cs="Arial"/>
              <w:b/>
              <w:bCs/>
              <w:color w:val="auto"/>
            </w:rPr>
          </w:pPr>
          <w:r w:rsidRPr="00BC7E2B">
            <w:rPr>
              <w:rFonts w:ascii="Arial" w:hAnsi="Arial" w:cs="Arial"/>
              <w:b/>
              <w:bCs/>
              <w:color w:val="auto"/>
            </w:rPr>
            <w:t>Table of Contents</w:t>
          </w:r>
          <w:r>
            <w:rPr>
              <w:rFonts w:ascii="Arial" w:hAnsi="Arial" w:cs="Arial"/>
              <w:b/>
              <w:bCs/>
              <w:color w:val="auto"/>
            </w:rPr>
            <w:t xml:space="preserve"> </w:t>
          </w:r>
          <w:r w:rsidR="0039555E">
            <w:rPr>
              <w:rFonts w:ascii="Arial" w:hAnsi="Arial" w:cs="Arial"/>
              <w:b/>
              <w:bCs/>
              <w:color w:val="auto"/>
            </w:rPr>
            <w:t xml:space="preserve"> </w:t>
          </w:r>
        </w:p>
        <w:p w14:paraId="4D0C9587" w14:textId="72DB5163" w:rsidR="0039555E" w:rsidRDefault="00BC7E2B">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r w:rsidRPr="00BC7E2B">
            <w:fldChar w:fldCharType="begin"/>
          </w:r>
          <w:r w:rsidRPr="00BC7E2B">
            <w:instrText xml:space="preserve"> TOC \o "1-3" \h \z \u </w:instrText>
          </w:r>
          <w:r w:rsidRPr="00BC7E2B">
            <w:fldChar w:fldCharType="separate"/>
          </w:r>
          <w:hyperlink w:anchor="_Toc240982807" w:history="1">
            <w:r w:rsidR="0039555E" w:rsidRPr="004738FF">
              <w:rPr>
                <w:rStyle w:val="Hyperlink"/>
                <w:noProof/>
              </w:rPr>
              <w:t>Introduction</w:t>
            </w:r>
            <w:r w:rsidR="0039555E">
              <w:rPr>
                <w:noProof/>
                <w:webHidden/>
              </w:rPr>
              <w:tab/>
            </w:r>
            <w:r w:rsidR="0039555E">
              <w:rPr>
                <w:noProof/>
                <w:webHidden/>
              </w:rPr>
              <w:fldChar w:fldCharType="begin"/>
            </w:r>
            <w:r w:rsidR="0039555E">
              <w:rPr>
                <w:noProof/>
                <w:webHidden/>
              </w:rPr>
              <w:instrText xml:space="preserve"> PAGEREF _Toc240982807 \h </w:instrText>
            </w:r>
            <w:r w:rsidR="0039555E">
              <w:rPr>
                <w:noProof/>
                <w:webHidden/>
              </w:rPr>
            </w:r>
            <w:r w:rsidR="0039555E">
              <w:rPr>
                <w:noProof/>
                <w:webHidden/>
              </w:rPr>
              <w:fldChar w:fldCharType="separate"/>
            </w:r>
            <w:r w:rsidR="0039555E">
              <w:rPr>
                <w:noProof/>
                <w:webHidden/>
              </w:rPr>
              <w:t>3</w:t>
            </w:r>
            <w:r w:rsidR="0039555E">
              <w:rPr>
                <w:noProof/>
                <w:webHidden/>
              </w:rPr>
              <w:fldChar w:fldCharType="end"/>
            </w:r>
          </w:hyperlink>
        </w:p>
        <w:p w14:paraId="76D127A5" w14:textId="1F0A6DC0" w:rsidR="0039555E" w:rsidRDefault="0039555E">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40982808" w:history="1">
            <w:r w:rsidRPr="004738FF">
              <w:rPr>
                <w:rStyle w:val="Hyperlink"/>
                <w:noProof/>
              </w:rPr>
              <w:t>Policy ambition and reported scale.</w:t>
            </w:r>
            <w:r>
              <w:rPr>
                <w:noProof/>
                <w:webHidden/>
              </w:rPr>
              <w:tab/>
            </w:r>
            <w:r>
              <w:rPr>
                <w:noProof/>
                <w:webHidden/>
              </w:rPr>
              <w:fldChar w:fldCharType="begin"/>
            </w:r>
            <w:r>
              <w:rPr>
                <w:noProof/>
                <w:webHidden/>
              </w:rPr>
              <w:instrText xml:space="preserve"> PAGEREF _Toc240982808 \h </w:instrText>
            </w:r>
            <w:r>
              <w:rPr>
                <w:noProof/>
                <w:webHidden/>
              </w:rPr>
            </w:r>
            <w:r>
              <w:rPr>
                <w:noProof/>
                <w:webHidden/>
              </w:rPr>
              <w:fldChar w:fldCharType="separate"/>
            </w:r>
            <w:r>
              <w:rPr>
                <w:noProof/>
                <w:webHidden/>
              </w:rPr>
              <w:t>4</w:t>
            </w:r>
            <w:r>
              <w:rPr>
                <w:noProof/>
                <w:webHidden/>
              </w:rPr>
              <w:fldChar w:fldCharType="end"/>
            </w:r>
          </w:hyperlink>
        </w:p>
        <w:p w14:paraId="50EAC958" w14:textId="0909871D" w:rsidR="0039555E" w:rsidRDefault="0039555E">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40982809" w:history="1">
            <w:r w:rsidRPr="004738FF">
              <w:rPr>
                <w:rStyle w:val="Hyperlink"/>
                <w:noProof/>
              </w:rPr>
              <w:t>Impact on the workforce</w:t>
            </w:r>
            <w:r>
              <w:rPr>
                <w:noProof/>
                <w:webHidden/>
              </w:rPr>
              <w:tab/>
            </w:r>
            <w:r>
              <w:rPr>
                <w:noProof/>
                <w:webHidden/>
              </w:rPr>
              <w:fldChar w:fldCharType="begin"/>
            </w:r>
            <w:r>
              <w:rPr>
                <w:noProof/>
                <w:webHidden/>
              </w:rPr>
              <w:instrText xml:space="preserve"> PAGEREF _Toc240982809 \h </w:instrText>
            </w:r>
            <w:r>
              <w:rPr>
                <w:noProof/>
                <w:webHidden/>
              </w:rPr>
            </w:r>
            <w:r>
              <w:rPr>
                <w:noProof/>
                <w:webHidden/>
              </w:rPr>
              <w:fldChar w:fldCharType="separate"/>
            </w:r>
            <w:r>
              <w:rPr>
                <w:noProof/>
                <w:webHidden/>
              </w:rPr>
              <w:t>5</w:t>
            </w:r>
            <w:r>
              <w:rPr>
                <w:noProof/>
                <w:webHidden/>
              </w:rPr>
              <w:fldChar w:fldCharType="end"/>
            </w:r>
          </w:hyperlink>
        </w:p>
        <w:p w14:paraId="5A3B1E18" w14:textId="509FF19C" w:rsidR="0039555E" w:rsidRDefault="0039555E">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40982810" w:history="1">
            <w:r w:rsidRPr="004738FF">
              <w:rPr>
                <w:rStyle w:val="Hyperlink"/>
                <w:noProof/>
              </w:rPr>
              <w:t>Impact on service delivery</w:t>
            </w:r>
            <w:r>
              <w:rPr>
                <w:noProof/>
                <w:webHidden/>
              </w:rPr>
              <w:tab/>
            </w:r>
            <w:r>
              <w:rPr>
                <w:noProof/>
                <w:webHidden/>
              </w:rPr>
              <w:fldChar w:fldCharType="begin"/>
            </w:r>
            <w:r>
              <w:rPr>
                <w:noProof/>
                <w:webHidden/>
              </w:rPr>
              <w:instrText xml:space="preserve"> PAGEREF _Toc240982810 \h </w:instrText>
            </w:r>
            <w:r>
              <w:rPr>
                <w:noProof/>
                <w:webHidden/>
              </w:rPr>
            </w:r>
            <w:r>
              <w:rPr>
                <w:noProof/>
                <w:webHidden/>
              </w:rPr>
              <w:fldChar w:fldCharType="separate"/>
            </w:r>
            <w:r>
              <w:rPr>
                <w:noProof/>
                <w:webHidden/>
              </w:rPr>
              <w:t>5</w:t>
            </w:r>
            <w:r>
              <w:rPr>
                <w:noProof/>
                <w:webHidden/>
              </w:rPr>
              <w:fldChar w:fldCharType="end"/>
            </w:r>
          </w:hyperlink>
        </w:p>
        <w:p w14:paraId="28FE527E" w14:textId="0852CAAE" w:rsidR="0039555E" w:rsidRDefault="0039555E">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40982811" w:history="1">
            <w:r w:rsidRPr="004738FF">
              <w:rPr>
                <w:rStyle w:val="Hyperlink"/>
                <w:noProof/>
              </w:rPr>
              <w:t>Impact on patients and service users</w:t>
            </w:r>
            <w:r>
              <w:rPr>
                <w:noProof/>
                <w:webHidden/>
              </w:rPr>
              <w:tab/>
            </w:r>
            <w:r>
              <w:rPr>
                <w:noProof/>
                <w:webHidden/>
              </w:rPr>
              <w:fldChar w:fldCharType="begin"/>
            </w:r>
            <w:r>
              <w:rPr>
                <w:noProof/>
                <w:webHidden/>
              </w:rPr>
              <w:instrText xml:space="preserve"> PAGEREF _Toc240982811 \h </w:instrText>
            </w:r>
            <w:r>
              <w:rPr>
                <w:noProof/>
                <w:webHidden/>
              </w:rPr>
            </w:r>
            <w:r>
              <w:rPr>
                <w:noProof/>
                <w:webHidden/>
              </w:rPr>
              <w:fldChar w:fldCharType="separate"/>
            </w:r>
            <w:r>
              <w:rPr>
                <w:noProof/>
                <w:webHidden/>
              </w:rPr>
              <w:t>8</w:t>
            </w:r>
            <w:r>
              <w:rPr>
                <w:noProof/>
                <w:webHidden/>
              </w:rPr>
              <w:fldChar w:fldCharType="end"/>
            </w:r>
          </w:hyperlink>
        </w:p>
        <w:p w14:paraId="3FAF6219" w14:textId="197E65B2" w:rsidR="0039555E" w:rsidRDefault="0039555E">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40982812" w:history="1">
            <w:r w:rsidRPr="004738FF">
              <w:rPr>
                <w:rStyle w:val="Hyperlink"/>
                <w:noProof/>
              </w:rPr>
              <w:t>Impact on communities and populations</w:t>
            </w:r>
            <w:r>
              <w:rPr>
                <w:noProof/>
                <w:webHidden/>
              </w:rPr>
              <w:tab/>
            </w:r>
            <w:r>
              <w:rPr>
                <w:noProof/>
                <w:webHidden/>
              </w:rPr>
              <w:fldChar w:fldCharType="begin"/>
            </w:r>
            <w:r>
              <w:rPr>
                <w:noProof/>
                <w:webHidden/>
              </w:rPr>
              <w:instrText xml:space="preserve"> PAGEREF _Toc240982812 \h </w:instrText>
            </w:r>
            <w:r>
              <w:rPr>
                <w:noProof/>
                <w:webHidden/>
              </w:rPr>
            </w:r>
            <w:r>
              <w:rPr>
                <w:noProof/>
                <w:webHidden/>
              </w:rPr>
              <w:fldChar w:fldCharType="separate"/>
            </w:r>
            <w:r>
              <w:rPr>
                <w:noProof/>
                <w:webHidden/>
              </w:rPr>
              <w:t>9</w:t>
            </w:r>
            <w:r>
              <w:rPr>
                <w:noProof/>
                <w:webHidden/>
              </w:rPr>
              <w:fldChar w:fldCharType="end"/>
            </w:r>
          </w:hyperlink>
        </w:p>
        <w:p w14:paraId="46532702" w14:textId="02FDC645" w:rsidR="0039555E" w:rsidRDefault="0039555E">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40982813" w:history="1">
            <w:r w:rsidRPr="004738FF">
              <w:rPr>
                <w:rStyle w:val="Hyperlink"/>
                <w:noProof/>
              </w:rPr>
              <w:t>Conclusion</w:t>
            </w:r>
            <w:r>
              <w:rPr>
                <w:noProof/>
                <w:webHidden/>
              </w:rPr>
              <w:tab/>
            </w:r>
            <w:r>
              <w:rPr>
                <w:noProof/>
                <w:webHidden/>
              </w:rPr>
              <w:fldChar w:fldCharType="begin"/>
            </w:r>
            <w:r>
              <w:rPr>
                <w:noProof/>
                <w:webHidden/>
              </w:rPr>
              <w:instrText xml:space="preserve"> PAGEREF _Toc240982813 \h </w:instrText>
            </w:r>
            <w:r>
              <w:rPr>
                <w:noProof/>
                <w:webHidden/>
              </w:rPr>
            </w:r>
            <w:r>
              <w:rPr>
                <w:noProof/>
                <w:webHidden/>
              </w:rPr>
              <w:fldChar w:fldCharType="separate"/>
            </w:r>
            <w:r>
              <w:rPr>
                <w:noProof/>
                <w:webHidden/>
              </w:rPr>
              <w:t>11</w:t>
            </w:r>
            <w:r>
              <w:rPr>
                <w:noProof/>
                <w:webHidden/>
              </w:rPr>
              <w:fldChar w:fldCharType="end"/>
            </w:r>
          </w:hyperlink>
        </w:p>
        <w:p w14:paraId="7F0C4DF7" w14:textId="49851F89" w:rsidR="0039555E" w:rsidRDefault="0039555E">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40982814" w:history="1">
            <w:r w:rsidRPr="004738FF">
              <w:rPr>
                <w:rStyle w:val="Hyperlink"/>
                <w:noProof/>
              </w:rPr>
              <w:t>Reference List</w:t>
            </w:r>
            <w:r>
              <w:rPr>
                <w:noProof/>
                <w:webHidden/>
              </w:rPr>
              <w:tab/>
            </w:r>
            <w:r>
              <w:rPr>
                <w:noProof/>
                <w:webHidden/>
              </w:rPr>
              <w:fldChar w:fldCharType="begin"/>
            </w:r>
            <w:r>
              <w:rPr>
                <w:noProof/>
                <w:webHidden/>
              </w:rPr>
              <w:instrText xml:space="preserve"> PAGEREF _Toc240982814 \h </w:instrText>
            </w:r>
            <w:r>
              <w:rPr>
                <w:noProof/>
                <w:webHidden/>
              </w:rPr>
            </w:r>
            <w:r>
              <w:rPr>
                <w:noProof/>
                <w:webHidden/>
              </w:rPr>
              <w:fldChar w:fldCharType="separate"/>
            </w:r>
            <w:r>
              <w:rPr>
                <w:noProof/>
                <w:webHidden/>
              </w:rPr>
              <w:t>12</w:t>
            </w:r>
            <w:r>
              <w:rPr>
                <w:noProof/>
                <w:webHidden/>
              </w:rPr>
              <w:fldChar w:fldCharType="end"/>
            </w:r>
          </w:hyperlink>
        </w:p>
        <w:p w14:paraId="1617FF8F" w14:textId="0ED0524D" w:rsidR="0039555E" w:rsidRDefault="0039555E">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w:anchor="_Toc240982815" w:history="1">
            <w:r w:rsidRPr="004738FF">
              <w:rPr>
                <w:rStyle w:val="Hyperlink"/>
                <w:noProof/>
              </w:rPr>
              <w:t>Appendix</w:t>
            </w:r>
            <w:r>
              <w:rPr>
                <w:noProof/>
                <w:webHidden/>
              </w:rPr>
              <w:tab/>
            </w:r>
            <w:r>
              <w:rPr>
                <w:noProof/>
                <w:webHidden/>
              </w:rPr>
              <w:fldChar w:fldCharType="begin"/>
            </w:r>
            <w:r>
              <w:rPr>
                <w:noProof/>
                <w:webHidden/>
              </w:rPr>
              <w:instrText xml:space="preserve"> PAGEREF _Toc240982815 \h </w:instrText>
            </w:r>
            <w:r>
              <w:rPr>
                <w:noProof/>
                <w:webHidden/>
              </w:rPr>
            </w:r>
            <w:r>
              <w:rPr>
                <w:noProof/>
                <w:webHidden/>
              </w:rPr>
              <w:fldChar w:fldCharType="separate"/>
            </w:r>
            <w:r>
              <w:rPr>
                <w:noProof/>
                <w:webHidden/>
              </w:rPr>
              <w:t>14</w:t>
            </w:r>
            <w:r>
              <w:rPr>
                <w:noProof/>
                <w:webHidden/>
              </w:rPr>
              <w:fldChar w:fldCharType="end"/>
            </w:r>
          </w:hyperlink>
        </w:p>
        <w:p w14:paraId="769C9843" w14:textId="31B3CA1F" w:rsidR="00BC7E2B" w:rsidRPr="00BC7E2B" w:rsidRDefault="00BC7E2B" w:rsidP="00E84A66">
          <w:r w:rsidRPr="00BC7E2B">
            <w:rPr>
              <w:b/>
              <w:bCs/>
              <w:noProof/>
            </w:rPr>
            <w:fldChar w:fldCharType="end"/>
          </w:r>
        </w:p>
      </w:sdtContent>
    </w:sdt>
    <w:p w14:paraId="13F18164" w14:textId="77777777" w:rsidR="00915EE4" w:rsidRPr="00BC7E2B" w:rsidRDefault="00915EE4" w:rsidP="00E84A66">
      <w:pPr>
        <w:rPr>
          <w:sz w:val="32"/>
          <w:szCs w:val="32"/>
        </w:rPr>
      </w:pPr>
      <w:r w:rsidRPr="00BC7E2B">
        <w:br w:type="page"/>
      </w:r>
    </w:p>
    <w:p w14:paraId="4A011777" w14:textId="5DDB3B0B" w:rsidR="00DA39D1" w:rsidRPr="00BC7E2B" w:rsidRDefault="005A5CA9" w:rsidP="00E84A66">
      <w:pPr>
        <w:pStyle w:val="Heading1"/>
      </w:pPr>
      <w:bookmarkStart w:id="0" w:name="_Toc240982807"/>
      <w:r w:rsidRPr="00BC7E2B">
        <w:t>Introduction</w:t>
      </w:r>
      <w:bookmarkEnd w:id="0"/>
      <w:r w:rsidR="00BD039D">
        <w:t xml:space="preserve"> </w:t>
      </w:r>
    </w:p>
    <w:p w14:paraId="26EE1B28" w14:textId="0BE59C78" w:rsidR="00DA39D1" w:rsidRPr="00BC7E2B" w:rsidRDefault="005A5CA9" w:rsidP="00E84A66">
      <w:pPr>
        <w:spacing w:after="200"/>
      </w:pPr>
      <w:r w:rsidRPr="00BC7E2B">
        <w:t>NHS in England has moved a significant volume of acute care out of hospital buildings and into people's homes</w:t>
      </w:r>
      <w:r w:rsidR="009C5814" w:rsidRPr="00BC7E2B">
        <w:t xml:space="preserve"> since 2022.</w:t>
      </w:r>
      <w:r w:rsidRPr="00BC7E2B">
        <w:t xml:space="preserve"> </w:t>
      </w:r>
      <w:r w:rsidR="008D1A43" w:rsidRPr="00BC7E2B">
        <w:t>Technology-enabled v</w:t>
      </w:r>
      <w:r w:rsidRPr="00BC7E2B">
        <w:t xml:space="preserve">irtual wards, also known as Hospital at Home, deliver hospital-level care at a patient's usual place of residence, combining face-to-face visits from a multidisciplinary team with remote monitoring technology (British Geriatrics Society, 2022). </w:t>
      </w:r>
      <w:r w:rsidR="002709DA" w:rsidRPr="00BC7E2B">
        <w:t xml:space="preserve">The model aims to prevent avoidable </w:t>
      </w:r>
      <w:r w:rsidR="004C10A8">
        <w:t>admissions</w:t>
      </w:r>
      <w:r w:rsidR="002709DA" w:rsidRPr="00BC7E2B">
        <w:t xml:space="preserve"> or bring discharge forward, and NHS England (2024b) treats it as part of urgent and emergency care recovery.</w:t>
      </w:r>
    </w:p>
    <w:p w14:paraId="179488BA" w14:textId="004DA62C" w:rsidR="00DA39D1" w:rsidRPr="00BC7E2B" w:rsidRDefault="00BD22E8" w:rsidP="00E84A66">
      <w:pPr>
        <w:spacing w:after="200"/>
      </w:pPr>
      <w:r>
        <w:t>The chosen digital innovation is Virtual Ward</w:t>
      </w:r>
      <w:r w:rsidR="003C0966">
        <w:t>,</w:t>
      </w:r>
      <w:r>
        <w:t xml:space="preserve"> an example of which is attached in </w:t>
      </w:r>
      <w:r w:rsidR="003C0966">
        <w:t xml:space="preserve">the </w:t>
      </w:r>
      <w:r>
        <w:t xml:space="preserve">appendix. </w:t>
      </w:r>
      <w:r w:rsidR="002709DA" w:rsidRPr="00BC7E2B">
        <w:t>This report critically evaluates implementation using the South East evaluation (NHS England, 2024a) and national analysis by the Health Foundation's Improvement Analytics Unit (Chappell et al., 2024).</w:t>
      </w:r>
      <w:r>
        <w:t xml:space="preserve"> </w:t>
      </w:r>
      <w:r w:rsidR="000D6E8E" w:rsidRPr="00BC7E2B">
        <w:t>The report argues that, although digital technology enables remote monitoring and changes how care is delivered, the evidence increasingly suggests that workforce configuration, service integration and organisational maturity are more clearly associated with successful implementation than the intensity of the technology itself.</w:t>
      </w:r>
    </w:p>
    <w:p w14:paraId="384E0E14" w14:textId="77777777" w:rsidR="002709DA" w:rsidRPr="00BC7E2B" w:rsidRDefault="002709DA" w:rsidP="00E84A66">
      <w:pPr>
        <w:rPr>
          <w:b/>
          <w:bCs/>
        </w:rPr>
      </w:pPr>
      <w:r w:rsidRPr="00BC7E2B">
        <w:rPr>
          <w:b/>
          <w:bCs/>
        </w:rPr>
        <w:br w:type="page"/>
      </w:r>
    </w:p>
    <w:p w14:paraId="257EEC2F" w14:textId="3ACE56B6" w:rsidR="00DA39D1" w:rsidRPr="00BC7E2B" w:rsidRDefault="005A5CA9" w:rsidP="00E84A66">
      <w:pPr>
        <w:pStyle w:val="Heading1"/>
      </w:pPr>
      <w:bookmarkStart w:id="1" w:name="_Toc240982808"/>
      <w:r w:rsidRPr="00BC7E2B">
        <w:t>Policy ambition and reported scale</w:t>
      </w:r>
      <w:r w:rsidR="004C10A8">
        <w:t>.</w:t>
      </w:r>
      <w:bookmarkEnd w:id="1"/>
    </w:p>
    <w:p w14:paraId="11379587" w14:textId="77777777" w:rsidR="0006597B" w:rsidRPr="00BC7E2B" w:rsidRDefault="005A5CA9" w:rsidP="00E84A66">
      <w:pPr>
        <w:spacing w:after="200"/>
      </w:pPr>
      <w:r w:rsidRPr="00BC7E2B">
        <w:t xml:space="preserve">NHS England launched the national programme in April 2022 with a long-term aim of 40 to 50 virtual ward 'beds' per 100,000 people, equivalent to roughly 24,000 beds (Chappell et al., 2024). By December 2023, the original target date, capacity had reached approximately 11,800 beds running at just under 73% occupancy, against an occupancy goal of 80% (Chappell et al., 2024). </w:t>
      </w:r>
      <w:r w:rsidR="002709DA" w:rsidRPr="00BC7E2B">
        <w:t>Every integrated care board had introduced a service, while reported capacity remained just under half of the intended total.</w:t>
      </w:r>
    </w:p>
    <w:p w14:paraId="1C701657" w14:textId="77777777" w:rsidR="007069A4" w:rsidRPr="00BC7E2B" w:rsidRDefault="007069A4" w:rsidP="00E84A66">
      <w:pPr>
        <w:keepNext/>
        <w:spacing w:after="200"/>
        <w:jc w:val="center"/>
      </w:pPr>
      <w:r w:rsidRPr="00BC7E2B">
        <w:rPr>
          <w:noProof/>
        </w:rPr>
        <w:drawing>
          <wp:inline distT="0" distB="0" distL="0" distR="0" wp14:anchorId="4537E6FC" wp14:editId="0CA534AE">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315C739" w14:textId="77777777" w:rsidR="007069A4" w:rsidRPr="00BC7E2B" w:rsidRDefault="007069A4" w:rsidP="00E84A66">
      <w:pPr>
        <w:pStyle w:val="Caption"/>
        <w:spacing w:line="360" w:lineRule="auto"/>
        <w:jc w:val="center"/>
        <w:rPr>
          <w:color w:val="auto"/>
        </w:rPr>
      </w:pPr>
      <w:r w:rsidRPr="00BC7E2B">
        <w:rPr>
          <w:color w:val="auto"/>
        </w:rPr>
        <w:t xml:space="preserve">Figure </w:t>
      </w:r>
      <w:r w:rsidR="00AF43AB" w:rsidRPr="00BC7E2B">
        <w:rPr>
          <w:color w:val="auto"/>
        </w:rPr>
        <w:t>1</w:t>
      </w:r>
      <w:r w:rsidRPr="00BC7E2B">
        <w:rPr>
          <w:color w:val="auto"/>
        </w:rPr>
        <w:t>: Reported virtual ward capacity compared with the national capacity ambition</w:t>
      </w:r>
    </w:p>
    <w:p w14:paraId="4588915A" w14:textId="77777777" w:rsidR="0080066B" w:rsidRPr="00BC7E2B" w:rsidRDefault="007069A4" w:rsidP="00E84A66">
      <w:pPr>
        <w:pStyle w:val="Caption"/>
        <w:spacing w:line="360" w:lineRule="auto"/>
        <w:jc w:val="center"/>
        <w:rPr>
          <w:color w:val="auto"/>
        </w:rPr>
      </w:pPr>
      <w:r w:rsidRPr="00BC7E2B">
        <w:rPr>
          <w:color w:val="auto"/>
        </w:rPr>
        <w:t>Source: Adapted from Chappell et al. (2024)</w:t>
      </w:r>
    </w:p>
    <w:p w14:paraId="233CF3A7" w14:textId="77777777" w:rsidR="00DA39D1" w:rsidRPr="00BC7E2B" w:rsidRDefault="005A5CA9" w:rsidP="00E84A66">
      <w:pPr>
        <w:spacing w:after="200"/>
      </w:pPr>
      <w:r w:rsidRPr="00BC7E2B">
        <w:t>The measurement deserves scrutiny</w:t>
      </w:r>
      <w:r w:rsidR="0006597B" w:rsidRPr="00BC7E2B">
        <w:t xml:space="preserve">. </w:t>
      </w:r>
      <w:r w:rsidRPr="00BC7E2B">
        <w:t xml:space="preserve">A virtual ward 'bed' is not a physical object but an estimate of how many patients a clinical team can support (Chappell et al., 2024), </w:t>
      </w:r>
      <w:r w:rsidR="0006597B" w:rsidRPr="00BC7E2B">
        <w:t xml:space="preserve">making </w:t>
      </w:r>
      <w:r w:rsidRPr="00BC7E2B">
        <w:t xml:space="preserve">direct comparison with hospital beds misleading. </w:t>
      </w:r>
      <w:r w:rsidR="00AF65A6" w:rsidRPr="00BC7E2B">
        <w:t>NHS England classifies the monthly capacity and occupancy statistics as management information and advises that they should be used with caution. This limits the extent to which reported capacity and occupancy can, on their own, demonstrate the effectiveness of the national programme.</w:t>
      </w:r>
    </w:p>
    <w:p w14:paraId="745C0BDB" w14:textId="77777777" w:rsidR="00AF65A6" w:rsidRPr="00BC7E2B" w:rsidRDefault="00AF65A6" w:rsidP="00E84A66">
      <w:pPr>
        <w:rPr>
          <w:b/>
          <w:bCs/>
        </w:rPr>
      </w:pPr>
      <w:r w:rsidRPr="00BC7E2B">
        <w:rPr>
          <w:b/>
          <w:bCs/>
        </w:rPr>
        <w:br w:type="page"/>
      </w:r>
    </w:p>
    <w:p w14:paraId="0A3FC7A0" w14:textId="77777777" w:rsidR="00DA39D1" w:rsidRPr="00BC7E2B" w:rsidRDefault="005A5CA9" w:rsidP="00E84A66">
      <w:pPr>
        <w:pStyle w:val="Heading1"/>
      </w:pPr>
      <w:bookmarkStart w:id="2" w:name="_Toc240982809"/>
      <w:r w:rsidRPr="00BC7E2B">
        <w:t>Impact on the workforce</w:t>
      </w:r>
      <w:bookmarkEnd w:id="2"/>
    </w:p>
    <w:p w14:paraId="4BD9EA5D" w14:textId="51740C65" w:rsidR="00DA39D1" w:rsidRPr="00BC7E2B" w:rsidRDefault="005A5CA9" w:rsidP="00E84A66">
      <w:pPr>
        <w:spacing w:after="200"/>
      </w:pPr>
      <w:r w:rsidRPr="00BC7E2B">
        <w:t>The South East evaluation analysed 29 virtual ward pathways within a region delivering 76 wards across 32 NHS trusts, and found that implementation succeeded or failed largely on workforce factors (NHS England, 2024a). Services with strong clinical leadership, well-resourced and experienced teams, and daily multidisciplinary working across acute, community and primary care were consistently more effective. The mirror image of this was equally clear</w:t>
      </w:r>
      <w:r w:rsidR="004C10A8">
        <w:t>:</w:t>
      </w:r>
      <w:r w:rsidRPr="00BC7E2B">
        <w:t xml:space="preserve"> fragmented leadership, teams that were not joined up across services, staff who felt under-confident with unfamiliar ways of working, and funding shortfalls that produced recruitment difficulties or overworked staff.</w:t>
      </w:r>
    </w:p>
    <w:p w14:paraId="0200D631" w14:textId="77777777" w:rsidR="00AF65A6" w:rsidRPr="00BC7E2B" w:rsidRDefault="005A5CA9" w:rsidP="00E84A66">
      <w:pPr>
        <w:spacing w:after="200"/>
      </w:pPr>
      <w:r w:rsidRPr="00BC7E2B">
        <w:t>This maps closely onto the meta-analytic evidence. Shi et al. (2024), synthesising 69 studies, found that models delivered jointly by hospital-based and community-based professionals achieved readmission and mortality outcomes comparable to inpatient care, whereas evidence for models drawing on only one setting was more uncertain</w:t>
      </w:r>
      <w:r w:rsidR="00AF65A6" w:rsidRPr="00BC7E2B">
        <w:t>. Taken together, these findings suggest that workforce configuration and multidisciplinary integration may be at least as important as technology intensity in determining outcomes.</w:t>
      </w:r>
    </w:p>
    <w:p w14:paraId="7525D88F" w14:textId="77777777" w:rsidR="00DA39D1" w:rsidRPr="00BC7E2B" w:rsidRDefault="002709DA" w:rsidP="00E84A66">
      <w:pPr>
        <w:spacing w:after="200"/>
      </w:pPr>
      <w:r w:rsidRPr="00BC7E2B">
        <w:t xml:space="preserve">The change in role is substantial but under-acknowledged in policy language. </w:t>
      </w:r>
      <w:r w:rsidR="005A5CA9" w:rsidRPr="00BC7E2B">
        <w:t>Nurses and allied health professionals on virtual wards undertake assessment, escalation and clinical decision-making in a patient's living room</w:t>
      </w:r>
      <w:r w:rsidR="00AF65A6" w:rsidRPr="00BC7E2B">
        <w:t xml:space="preserve"> outside the conventional hospital environment and with greater reliance on remote clinical oversight</w:t>
      </w:r>
      <w:r w:rsidR="005A5CA9" w:rsidRPr="00BC7E2B">
        <w:t xml:space="preserve">, interpreting remote monitoring data alongside their own observations. The British Geriatrics Society, the UK Hospital at Home Society and the Royal College of Physicians (2024) jointly argued that the term 'virtual ward' should be abandoned precisely because it understates the level of care and skill required, and gives patients an unclear picture of what they are being offered. </w:t>
      </w:r>
      <w:r w:rsidRPr="00BC7E2B">
        <w:t xml:space="preserve">Their challenge to the terminology indicates a gap between policy framing and clinical reality. </w:t>
      </w:r>
      <w:r w:rsidR="005A5CA9" w:rsidRPr="00BC7E2B">
        <w:t>The Royal College of Physicians of Edinburgh (2023) made a related point, warning that such services must supplement rather than replace existing acute provision and require further investment in staffing if they are to be safe.</w:t>
      </w:r>
    </w:p>
    <w:p w14:paraId="47F1E016" w14:textId="77777777" w:rsidR="00DA39D1" w:rsidRPr="00BC7E2B" w:rsidRDefault="005A5CA9" w:rsidP="00E84A66">
      <w:pPr>
        <w:pStyle w:val="Heading1"/>
      </w:pPr>
      <w:bookmarkStart w:id="3" w:name="_Toc240982810"/>
      <w:r w:rsidRPr="00BC7E2B">
        <w:t>Impact on service delivery</w:t>
      </w:r>
      <w:bookmarkEnd w:id="3"/>
    </w:p>
    <w:p w14:paraId="252E7965" w14:textId="77777777" w:rsidR="00DA39D1" w:rsidRPr="00BC7E2B" w:rsidRDefault="005A5CA9" w:rsidP="00E84A66">
      <w:pPr>
        <w:spacing w:after="200"/>
      </w:pPr>
      <w:r w:rsidRPr="00BC7E2B">
        <w:t>The headline service delivery findings are positive. The South East evaluation reported an estimated 22,794 annualised admission-avoidance admissions associated with 9,165 avoided non-elective hospital admissions per year, alongside estimated annualised figures of £24.5 million gross benefit, £14.2 million gross cost and £10.4 million net benefit across the wards analysed (NHS England, 2024a).</w:t>
      </w:r>
    </w:p>
    <w:p w14:paraId="02F3E386" w14:textId="77777777" w:rsidR="00666390" w:rsidRPr="00BC7E2B" w:rsidRDefault="0073524F" w:rsidP="00E84A66">
      <w:pPr>
        <w:keepNext/>
        <w:spacing w:after="200"/>
        <w:jc w:val="center"/>
      </w:pPr>
      <w:r w:rsidRPr="00BC7E2B">
        <w:rPr>
          <w:noProof/>
        </w:rPr>
        <w:drawing>
          <wp:inline distT="0" distB="0" distL="0" distR="0" wp14:anchorId="38E2B69A" wp14:editId="6C83FF0B">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16C3843" w14:textId="77777777" w:rsidR="000C4AA7" w:rsidRPr="00BC7E2B" w:rsidRDefault="00666390" w:rsidP="00E84A66">
      <w:pPr>
        <w:pStyle w:val="Caption"/>
        <w:spacing w:line="360" w:lineRule="auto"/>
        <w:jc w:val="center"/>
        <w:rPr>
          <w:color w:val="auto"/>
        </w:rPr>
      </w:pPr>
      <w:r w:rsidRPr="00BC7E2B">
        <w:rPr>
          <w:color w:val="auto"/>
        </w:rPr>
        <w:t>Figure 2: Annualised virtual ward activity and estimated avoided non-elective admissions in the South East</w:t>
      </w:r>
    </w:p>
    <w:p w14:paraId="0FB73F1B" w14:textId="77777777" w:rsidR="00666390" w:rsidRPr="00BC7E2B" w:rsidRDefault="00666390" w:rsidP="00E84A66">
      <w:pPr>
        <w:pStyle w:val="Caption"/>
        <w:spacing w:line="360" w:lineRule="auto"/>
        <w:jc w:val="center"/>
        <w:rPr>
          <w:color w:val="auto"/>
        </w:rPr>
      </w:pPr>
      <w:r w:rsidRPr="00BC7E2B">
        <w:rPr>
          <w:color w:val="auto"/>
        </w:rPr>
        <w:t xml:space="preserve">Source: NHS England (2024a). </w:t>
      </w:r>
    </w:p>
    <w:p w14:paraId="03FCB459" w14:textId="77777777" w:rsidR="0073524F" w:rsidRPr="00BC7E2B" w:rsidRDefault="00666390" w:rsidP="00E84A66">
      <w:r w:rsidRPr="00BC7E2B">
        <w:t>Figure</w:t>
      </w:r>
      <w:r w:rsidR="000C4AA7" w:rsidRPr="00BC7E2B">
        <w:t xml:space="preserve"> 2</w:t>
      </w:r>
      <w:r w:rsidRPr="00BC7E2B">
        <w:t xml:space="preserve"> illustrates the scale of virtual ward activity relative to estimated avoided non-elective admissions; however, the association should not be interpreted as proof of causation because the evaluation does not establish that every estimated avoided admission was directly attributable to virtual ward provision.</w:t>
      </w:r>
    </w:p>
    <w:p w14:paraId="109F5D07" w14:textId="5B567CED" w:rsidR="00364D86" w:rsidRPr="00BC7E2B" w:rsidRDefault="005A5CA9" w:rsidP="00E84A66">
      <w:pPr>
        <w:spacing w:after="200"/>
      </w:pPr>
      <w:r w:rsidRPr="00BC7E2B">
        <w:t xml:space="preserve">The ratio underlying those figures </w:t>
      </w:r>
      <w:r w:rsidR="004C10A8">
        <w:t>warrants</w:t>
      </w:r>
      <w:r w:rsidRPr="00BC7E2B">
        <w:t xml:space="preserve"> closer attention. On average, 2.5 virtual ward admissions were associated with one avoided non-elective admission, although the most mature services approached a ratio of 1:1 (NHS England, 2024a)</w:t>
      </w:r>
      <w:r w:rsidR="008C6CF7" w:rsidRPr="00BC7E2B">
        <w:t xml:space="preserve">. This ratio does not </w:t>
      </w:r>
      <w:r w:rsidR="004C10A8">
        <w:t>represent a</w:t>
      </w:r>
      <w:r w:rsidR="008C6CF7" w:rsidRPr="00BC7E2B">
        <w:t xml:space="preserve"> direct substitution rate rather</w:t>
      </w:r>
      <w:r w:rsidR="004C10A8">
        <w:t>,</w:t>
      </w:r>
      <w:r w:rsidR="008C6CF7" w:rsidRPr="00BC7E2B">
        <w:t xml:space="preserve"> it </w:t>
      </w:r>
      <w:r w:rsidR="00AF65A6" w:rsidRPr="00BC7E2B">
        <w:t xml:space="preserve">indicates that several virtual ward episodes were associated with each estimated avoided non-elective admission, but it cannot establish how many patients would otherwise have required hospital admission. </w:t>
      </w:r>
      <w:r w:rsidRPr="00BC7E2B">
        <w:t xml:space="preserve">The evaluation is careful to describe this as a correlation rather than a causal ratio, and that distinction matters, because Shi et al. (2024) found that non-randomised studies in this field clearly overestimated effectiveness when compared with randomised evidence. </w:t>
      </w:r>
    </w:p>
    <w:p w14:paraId="4CC08CD7" w14:textId="77777777" w:rsidR="002709DA" w:rsidRPr="00BC7E2B" w:rsidRDefault="005A5CA9" w:rsidP="00E84A66">
      <w:pPr>
        <w:spacing w:after="200"/>
      </w:pPr>
      <w:r w:rsidRPr="00BC7E2B">
        <w:t xml:space="preserve">Whether the model relieves hospital pressure at system level remains unresolved. Chappell et al. (2024) conclude that it is not yet clear whether virtual wards reduce pressure on hospital beds, chiefly because the counterfactual is unknown: services rarely record how many of their patients would otherwise have occupied a hospital bed. High virtual ward activity is not the same thing as avoided admissions, yet the two have frequently been treated as interchangeable. </w:t>
      </w:r>
      <w:r w:rsidR="00364D86" w:rsidRPr="00BC7E2B">
        <w:t xml:space="preserve">This evidence gap has also prompted further national evaluation activity, reflecting the need to establish more clearly the extent to which virtual ward activity represents genuine substitution for hospital-based care. </w:t>
      </w:r>
    </w:p>
    <w:p w14:paraId="11E7EFE5" w14:textId="77777777" w:rsidR="00AF65A6" w:rsidRPr="00BC7E2B" w:rsidRDefault="00AF65A6" w:rsidP="00E84A66">
      <w:pPr>
        <w:spacing w:after="200"/>
      </w:pPr>
      <w:r w:rsidRPr="00BC7E2B">
        <w:t xml:space="preserve">Digital integration </w:t>
      </w:r>
      <w:r w:rsidR="008C6CF7" w:rsidRPr="00BC7E2B">
        <w:t xml:space="preserve">proves to be a double-edged enabler as </w:t>
      </w:r>
      <w:r w:rsidRPr="00BC7E2B">
        <w:t>NHS England guidance specifies that technology-enabled virtual wards should</w:t>
      </w:r>
      <w:r w:rsidR="008C6CF7" w:rsidRPr="00BC7E2B">
        <w:t xml:space="preserve"> </w:t>
      </w:r>
      <w:r w:rsidRPr="00BC7E2B">
        <w:t>allow patients to record health data such as vital signs through apps, websites or connected devices</w:t>
      </w:r>
      <w:r w:rsidR="008C6CF7" w:rsidRPr="00BC7E2B">
        <w:t xml:space="preserve"> after proper consent</w:t>
      </w:r>
      <w:r w:rsidRPr="00BC7E2B">
        <w:t xml:space="preserve"> </w:t>
      </w:r>
      <w:r w:rsidR="008C6CF7" w:rsidRPr="00BC7E2B">
        <w:t xml:space="preserve">and </w:t>
      </w:r>
      <w:r w:rsidRPr="00BC7E2B">
        <w:t>feeding into a digital platform or dashboard for remote clinical review and alerts (NHS England, 2023</w:t>
      </w:r>
      <w:r w:rsidR="00AF43AB" w:rsidRPr="00BC7E2B">
        <w:t>a</w:t>
      </w:r>
      <w:r w:rsidRPr="00BC7E2B">
        <w:t xml:space="preserve">). This changes day-to-day service delivery by moving part of observation and escalation from the physical ward to a digitally mediated workflow. However, where digital strategies were misaligned between providers and primary care, or where data support was insufficient and collection remained manual, implementation was undermined (NHS England, 2024a). </w:t>
      </w:r>
      <w:r w:rsidR="00266BF6" w:rsidRPr="00BC7E2B">
        <w:t>The challenge is therefore not device availability alone, but interoperability, usability and clinical integration.</w:t>
      </w:r>
    </w:p>
    <w:p w14:paraId="09EAEB3A" w14:textId="77777777" w:rsidR="0080066B" w:rsidRPr="00BC7E2B" w:rsidRDefault="0080066B" w:rsidP="00E84A66">
      <w:pPr>
        <w:keepNext/>
        <w:spacing w:after="200"/>
        <w:jc w:val="center"/>
      </w:pPr>
      <w:r w:rsidRPr="00BC7E2B">
        <w:rPr>
          <w:noProof/>
        </w:rPr>
        <w:drawing>
          <wp:inline distT="0" distB="0" distL="0" distR="0" wp14:anchorId="1EDC45AE" wp14:editId="0369E148">
            <wp:extent cx="3596640" cy="4029641"/>
            <wp:effectExtent l="0" t="0" r="3810" b="9525"/>
            <wp:docPr id="1" name="Picture 1" descr="prn00299-fig-1.jpg (1475×1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n00299-fig-1.jpg (1475×165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03157" cy="4036942"/>
                    </a:xfrm>
                    <a:prstGeom prst="rect">
                      <a:avLst/>
                    </a:prstGeom>
                    <a:noFill/>
                    <a:ln>
                      <a:noFill/>
                    </a:ln>
                  </pic:spPr>
                </pic:pic>
              </a:graphicData>
            </a:graphic>
          </wp:inline>
        </w:drawing>
      </w:r>
    </w:p>
    <w:p w14:paraId="144ECB0B" w14:textId="77777777" w:rsidR="0080066B" w:rsidRPr="00BC7E2B" w:rsidRDefault="0080066B" w:rsidP="00E84A66">
      <w:pPr>
        <w:pStyle w:val="Caption"/>
        <w:spacing w:line="360" w:lineRule="auto"/>
        <w:jc w:val="center"/>
        <w:rPr>
          <w:color w:val="auto"/>
        </w:rPr>
      </w:pPr>
      <w:r w:rsidRPr="00BC7E2B">
        <w:rPr>
          <w:color w:val="auto"/>
        </w:rPr>
        <w:t xml:space="preserve">Figure </w:t>
      </w:r>
      <w:r w:rsidR="000C4AA7" w:rsidRPr="00BC7E2B">
        <w:rPr>
          <w:color w:val="auto"/>
        </w:rPr>
        <w:t>3</w:t>
      </w:r>
      <w:r w:rsidRPr="00BC7E2B">
        <w:rPr>
          <w:color w:val="auto"/>
        </w:rPr>
        <w:t xml:space="preserve">: How technology-enabled virtual wards support remote monitoring and clinical escalation </w:t>
      </w:r>
    </w:p>
    <w:p w14:paraId="2DD0169A" w14:textId="77777777" w:rsidR="00666390" w:rsidRPr="00BC7E2B" w:rsidRDefault="0080066B" w:rsidP="00E84A66">
      <w:pPr>
        <w:pStyle w:val="Caption"/>
        <w:spacing w:line="360" w:lineRule="auto"/>
        <w:jc w:val="center"/>
        <w:rPr>
          <w:color w:val="auto"/>
        </w:rPr>
      </w:pPr>
      <w:r w:rsidRPr="00BC7E2B">
        <w:rPr>
          <w:color w:val="auto"/>
        </w:rPr>
        <w:t>Source: NHS England (2023</w:t>
      </w:r>
      <w:r w:rsidR="00AF43AB" w:rsidRPr="00BC7E2B">
        <w:rPr>
          <w:color w:val="auto"/>
        </w:rPr>
        <w:t>b</w:t>
      </w:r>
      <w:r w:rsidRPr="00BC7E2B">
        <w:rPr>
          <w:color w:val="auto"/>
        </w:rPr>
        <w:t>)</w:t>
      </w:r>
    </w:p>
    <w:p w14:paraId="22FFCEDD" w14:textId="77777777" w:rsidR="0080066B" w:rsidRPr="00BC7E2B" w:rsidRDefault="0080066B" w:rsidP="00E84A66">
      <w:r w:rsidRPr="00BC7E2B">
        <w:t xml:space="preserve">Figure </w:t>
      </w:r>
      <w:r w:rsidR="000C4AA7" w:rsidRPr="00BC7E2B">
        <w:t>3</w:t>
      </w:r>
      <w:r w:rsidRPr="00BC7E2B">
        <w:t xml:space="preserve"> illustrates how virtual wards shift elements of patient observation and clinical escalation from the hospital environment into the patient's home through digitally supported monitoring. </w:t>
      </w:r>
    </w:p>
    <w:p w14:paraId="4AAFC19C" w14:textId="77777777" w:rsidR="00964627" w:rsidRPr="00BC7E2B" w:rsidRDefault="005A5CA9" w:rsidP="00E84A66">
      <w:pPr>
        <w:spacing w:after="200"/>
        <w:rPr>
          <w:b/>
          <w:bCs/>
        </w:rPr>
      </w:pPr>
      <w:r w:rsidRPr="00BC7E2B">
        <w:t>Variation is the other consistent finding. Impact differed substantially between geographies and pathways, and longer-running services demonstrated greater impact as volumes rose and cost per admission fell (NHS England, 2024a). Service maturity, rather than the technology deployed, is what predicts performance.</w:t>
      </w:r>
    </w:p>
    <w:p w14:paraId="53A368E5" w14:textId="0EAC2095" w:rsidR="00DA39D1" w:rsidRPr="00BC7E2B" w:rsidRDefault="005A5CA9" w:rsidP="00E84A66">
      <w:pPr>
        <w:pStyle w:val="Heading1"/>
      </w:pPr>
      <w:bookmarkStart w:id="4" w:name="_Toc240982811"/>
      <w:r w:rsidRPr="00BC7E2B">
        <w:t>Impact on patients and service users</w:t>
      </w:r>
      <w:bookmarkEnd w:id="4"/>
      <w:r w:rsidR="004C10A8">
        <w:t xml:space="preserve"> </w:t>
      </w:r>
    </w:p>
    <w:p w14:paraId="3EFBF042" w14:textId="3D4D0036" w:rsidR="00DA39D1" w:rsidRPr="00BC7E2B" w:rsidRDefault="00AF65A6" w:rsidP="00E84A66">
      <w:pPr>
        <w:spacing w:after="200"/>
      </w:pPr>
      <w:r w:rsidRPr="00BC7E2B">
        <w:t xml:space="preserve">Patient experience is generally positive in the available evidence, although experiences vary according to individual circumstances and the support available at home. </w:t>
      </w:r>
      <w:r w:rsidR="005A5CA9" w:rsidRPr="00BC7E2B">
        <w:t xml:space="preserve">Patients described appreciating home-based care, being closer to family and feeling more comfortable than in an acute hospital setting (NHS England, 2024a), and the wider Hospital at Home literature suggests satisfaction may improve relative to inpatient care (Norman, Bennett and Vardy, 2023). </w:t>
      </w:r>
      <w:r w:rsidR="00266BF6" w:rsidRPr="00BC7E2B">
        <w:t xml:space="preserve">For older people, home may also be preferable because hospital admission carries risks of deconditioning, delirium and infection </w:t>
      </w:r>
      <w:r w:rsidR="005A5CA9" w:rsidRPr="00BC7E2B">
        <w:t>(British Geriatrics Society, 2022).</w:t>
      </w:r>
      <w:r w:rsidR="001F3780">
        <w:t xml:space="preserve"> </w:t>
      </w:r>
      <w:r w:rsidR="00BD0101">
        <w:t xml:space="preserve"> </w:t>
      </w:r>
    </w:p>
    <w:p w14:paraId="623CF05D" w14:textId="74B5A827" w:rsidR="00DA39D1" w:rsidRPr="00BC7E2B" w:rsidRDefault="005A5CA9" w:rsidP="00E84A66">
      <w:pPr>
        <w:spacing w:after="200"/>
      </w:pPr>
      <w:r w:rsidRPr="00BC7E2B">
        <w:t xml:space="preserve">On safety, Norman, Bennett and Vardy (2023) reviewed 28 evidence syntheses and reported example pooled estimates of relative risk </w:t>
      </w:r>
      <w:r w:rsidR="004C10A8">
        <w:t xml:space="preserve">of </w:t>
      </w:r>
      <w:r w:rsidRPr="00BC7E2B">
        <w:t xml:space="preserve">0.77 (95% CI 0.60 to 0.99) for mortality and 0.35 (95% CI 0.22 to 0.57) for subsequent residential care admission, at low to moderate certainty, concluding that outcomes were probably equivalent </w:t>
      </w:r>
      <w:r w:rsidR="004C10A8">
        <w:t xml:space="preserve">to </w:t>
      </w:r>
      <w:r w:rsidRPr="00BC7E2B">
        <w:t>or better than inpatient care.</w:t>
      </w:r>
      <w:r w:rsidR="00266BF6" w:rsidRPr="00BC7E2B">
        <w:t xml:space="preserve"> </w:t>
      </w:r>
      <w:r w:rsidRPr="00BC7E2B">
        <w:t>Their searches were conducted in March 2022, the month before the national programme began, and the authors were explicit that substantial evidence existed for Hospital at Home but considerably less for virtual wards. The reassurance therefore attaches to a model that has operated for decades, not to the technology-enabled version now being scaled.</w:t>
      </w:r>
    </w:p>
    <w:p w14:paraId="56DDF833" w14:textId="210B9F68" w:rsidR="00AF65A6" w:rsidRPr="00BC7E2B" w:rsidRDefault="005A5CA9" w:rsidP="00E84A66">
      <w:pPr>
        <w:spacing w:after="200"/>
      </w:pPr>
      <w:r w:rsidRPr="00BC7E2B">
        <w:t>Shi et al. (2024) sharpen this point considerably. Across eight model configurations</w:t>
      </w:r>
      <w:r w:rsidR="004C10A8">
        <w:t>,</w:t>
      </w:r>
      <w:r w:rsidRPr="00BC7E2B">
        <w:t xml:space="preserve"> they found it unclear whether higher-intensity technology conferred any additional benefit over hospital-based care, and cost-effectiveness evidence was unavailable for high-technology models altogether. One configuration was associated with a length of care stay 4.85 days longer (95% CI 1.8 to 7.9) than inpatient care. </w:t>
      </w:r>
      <w:r w:rsidR="00AF65A6" w:rsidRPr="00BC7E2B">
        <w:t>For an evaluation of digital transformation, this highlights an important evidence gap: although technology is central to the virtual-ward model, the evidence does not yet clearly establish that greater technology intensity produces additional benefit over hospital-based care.</w:t>
      </w:r>
    </w:p>
    <w:p w14:paraId="1C87A342" w14:textId="77777777" w:rsidR="00964627" w:rsidRPr="00BC7E2B" w:rsidRDefault="005A5CA9" w:rsidP="00E84A66">
      <w:pPr>
        <w:spacing w:after="200"/>
      </w:pPr>
      <w:r w:rsidRPr="00BC7E2B">
        <w:t xml:space="preserve">Choice and burden also merit consideration. Care at home is not suitable or wanted by every patient, and honest communication about what happens if a condition deteriorates is essential to running a service safely (British Geriatrics Society, 2022). </w:t>
      </w:r>
      <w:r w:rsidR="00AF65A6" w:rsidRPr="00BC7E2B">
        <w:t>Where patients are required to record their own observations, part of the monitoring process is transferred from professionals to the patient, increasing the importance of digital confidence, clear instructions and appropriate clinical support.</w:t>
      </w:r>
    </w:p>
    <w:p w14:paraId="1A8ECF94" w14:textId="10B4EE96" w:rsidR="00DA39D1" w:rsidRPr="00BC7E2B" w:rsidRDefault="005A5CA9" w:rsidP="00E84A66">
      <w:pPr>
        <w:pStyle w:val="Heading1"/>
      </w:pPr>
      <w:bookmarkStart w:id="5" w:name="_Toc240982812"/>
      <w:r w:rsidRPr="00BC7E2B">
        <w:t>Impact on communities and populations</w:t>
      </w:r>
      <w:bookmarkEnd w:id="5"/>
      <w:r w:rsidR="00860DF6" w:rsidRPr="00BC7E2B">
        <w:t xml:space="preserve"> </w:t>
      </w:r>
    </w:p>
    <w:p w14:paraId="73BE27DF" w14:textId="77777777" w:rsidR="00266BF6" w:rsidRPr="00BC7E2B" w:rsidRDefault="005A5CA9" w:rsidP="00E84A66">
      <w:pPr>
        <w:spacing w:after="200"/>
      </w:pPr>
      <w:r w:rsidRPr="00BC7E2B">
        <w:t xml:space="preserve">Relocating acute care into homes redistributes its consequences across families, housing and local services. The South East evaluation found Black and minority ethnic people consistently underrepresented in virtual ward patient cohorts, while also noting significant gaps in ethnicity recording (NHS England, 2024a). </w:t>
      </w:r>
      <w:r w:rsidR="00266BF6" w:rsidRPr="00BC7E2B">
        <w:t xml:space="preserve">Although ethnicity recording was incomplete, a plausible mechanism exists. </w:t>
      </w:r>
      <w:r w:rsidRPr="00BC7E2B">
        <w:t xml:space="preserve">Age UK (2025) found that 2.4 million older people, nearly one in five, use the internet less than once a month or not at all, rising to 32% among older Black people and 26% among older Asian people, and that 4.3 million do not use a smartphone. </w:t>
      </w:r>
      <w:r w:rsidR="002D690D" w:rsidRPr="00BC7E2B">
        <w:t xml:space="preserve">Where participation in a technology-enabled virtual ward requires patients to use digital devices or online services, these patterns of digital exclusion may create additional barriers to equitable access. </w:t>
      </w:r>
      <w:r w:rsidRPr="00BC7E2B">
        <w:t>Staff in the same evaluation observed access inequalities produced by service requirements such as a fixed address and a means of verbal communication (NHS England, 2024a), which effectively excludes people experiencing homelessness or insecure housing.</w:t>
      </w:r>
      <w:r w:rsidR="00364D86" w:rsidRPr="00BC7E2B">
        <w:t xml:space="preserve"> </w:t>
      </w:r>
      <w:r w:rsidR="00266BF6" w:rsidRPr="00BC7E2B">
        <w:t xml:space="preserve">NHS England guidance anticipated digital exclusion rather than treating it as unforeseen. </w:t>
      </w:r>
      <w:r w:rsidR="00364D86" w:rsidRPr="00BC7E2B">
        <w:t xml:space="preserve">Guidance states that virtual wards should consider the risk of excluding patients through exclusive reliance on digital tools and offer alternatives where patients cannot fully use the technology (NHS England, 2022). </w:t>
      </w:r>
      <w:r w:rsidR="00266BF6" w:rsidRPr="00BC7E2B">
        <w:t xml:space="preserve">This creates an implementation test: alternative routes to care must mitigate digital exclusion rather than assume equal accessibility. </w:t>
      </w:r>
    </w:p>
    <w:p w14:paraId="610C7E4F" w14:textId="77777777" w:rsidR="00364D86" w:rsidRPr="00BC7E2B" w:rsidRDefault="00364D86" w:rsidP="00E84A66">
      <w:pPr>
        <w:spacing w:after="200"/>
      </w:pPr>
      <w:r w:rsidRPr="00BC7E2B">
        <w:t>Community impact also extends beyond access to the principle of co-production. NHS England guidance recommends that patients, carers and staff work together to develop and shape virtual-ward services and that carers and third-sector organisations are involved in decisions about the technology and support offered (NHS England, 2022). This is significant because moving acute care into the home changes not only where care occurs but also who participates in delivering and monitoring it. Co-production can therefore help ensure that technology, communication arrangements and care plans reflect patients' capabilities, preferences and home circumstances rather than being designed solely around organisational requirements.</w:t>
      </w:r>
    </w:p>
    <w:p w14:paraId="375696E8" w14:textId="77777777" w:rsidR="00AF43AB" w:rsidRPr="00BC7E2B" w:rsidRDefault="00AF43AB" w:rsidP="00E84A66">
      <w:pPr>
        <w:spacing w:after="200"/>
      </w:pPr>
      <w:r w:rsidRPr="00BC7E2B">
        <w:t>From a public-health perspective, virtual wards may also support a shift towards prevention, early intervention and population-based management by enabling people with acute or chronic conditions to receive monitoring closer to home. However, these benefits depend on equitable access to devices, connectivity and appropriate support. If uptake is concentrated among digitally confident and better-resourced groups, virtual wards could reproduce or widen existing health inequalities rather than reduce them.</w:t>
      </w:r>
    </w:p>
    <w:p w14:paraId="0FE825F0" w14:textId="77777777" w:rsidR="002D690D" w:rsidRPr="00BC7E2B" w:rsidRDefault="005A5CA9" w:rsidP="00E84A66">
      <w:pPr>
        <w:spacing w:after="200"/>
      </w:pPr>
      <w:r w:rsidRPr="00BC7E2B">
        <w:t xml:space="preserve">Families absorb a quieter transfer of work. Carers recognised the benefits of patients remaining at home and retaining independence, but also acknowledged an increased burden of care (NHS England, 2024a), and Norman, Bennett and Vardy (2023) found evidence on carer experience limited and evidence on costs borne by patients and carers largely absent. </w:t>
      </w:r>
      <w:r w:rsidR="002D690D" w:rsidRPr="00BC7E2B">
        <w:t>Some practical and financial responsibilities associated with acute care may also fall on households, including supervision and additional household resource use. The reported £10.4 million annualised net benefit is calculated from a health-system perspective and therefore does not capture all costs transferred to households. It should therefore be interpreted as an estimated NHS system benefit rather than a measure of total societal savings.</w:t>
      </w:r>
    </w:p>
    <w:p w14:paraId="580431FE" w14:textId="77777777" w:rsidR="00DA39D1" w:rsidRPr="00BC7E2B" w:rsidRDefault="005A5CA9" w:rsidP="00E84A66">
      <w:pPr>
        <w:spacing w:after="200"/>
      </w:pPr>
      <w:r w:rsidRPr="00BC7E2B">
        <w:t>Geography and coordination matter too. Large or rural areas present difficulties for a single centralised team, which some services mitigated by distributing staff across localities with full multidisciplinary representation (NHS England, 2024a). Commissioners interviewed by McGowan et al. (2024) described the practical difficulty of aligning virtual ward development with existing community and primary care capacity, which suggests that the model's community impact depends on services that were already stretched before it arrived.</w:t>
      </w:r>
    </w:p>
    <w:p w14:paraId="33FEB3E4" w14:textId="77777777" w:rsidR="00266BF6" w:rsidRPr="00BC7E2B" w:rsidRDefault="00266BF6" w:rsidP="00E84A66">
      <w:pPr>
        <w:rPr>
          <w:b/>
          <w:bCs/>
        </w:rPr>
      </w:pPr>
      <w:r w:rsidRPr="00BC7E2B">
        <w:rPr>
          <w:b/>
          <w:bCs/>
        </w:rPr>
        <w:br w:type="page"/>
      </w:r>
    </w:p>
    <w:p w14:paraId="4D480AC4" w14:textId="206E9CC3" w:rsidR="00DA39D1" w:rsidRPr="00BC7E2B" w:rsidRDefault="005A5CA9" w:rsidP="00E84A66">
      <w:pPr>
        <w:pStyle w:val="Heading1"/>
      </w:pPr>
      <w:bookmarkStart w:id="6" w:name="_Toc240982813"/>
      <w:r w:rsidRPr="00BC7E2B">
        <w:t>Conclusion</w:t>
      </w:r>
      <w:bookmarkEnd w:id="6"/>
      <w:r w:rsidR="00993826" w:rsidRPr="00BC7E2B">
        <w:t xml:space="preserve"> </w:t>
      </w:r>
      <w:r w:rsidR="00992885" w:rsidRPr="00BC7E2B">
        <w:t xml:space="preserve"> </w:t>
      </w:r>
    </w:p>
    <w:p w14:paraId="5FD1F258" w14:textId="77777777" w:rsidR="00DA39D1" w:rsidRPr="00BC7E2B" w:rsidRDefault="005A5CA9" w:rsidP="00E84A66">
      <w:pPr>
        <w:spacing w:after="200"/>
      </w:pPr>
      <w:r w:rsidRPr="00BC7E2B">
        <w:t>Virtual wards have been adopted across every integrated care board in England within a short period, and the 10 Year Health Plan confirms the direction of travel towards care delivered closer to home (Department of Health and Social Care, 2025).</w:t>
      </w:r>
      <w:r w:rsidR="002D690D" w:rsidRPr="00BC7E2B">
        <w:t xml:space="preserve"> The regional evidence indicates potential benefits, including estimated avoided non-elective admissions, a positive estimated net financial position and generally positive patient experiences. </w:t>
      </w:r>
      <w:r w:rsidRPr="00BC7E2B">
        <w:t>These are meaningful achievements and should not be discounted.</w:t>
      </w:r>
    </w:p>
    <w:p w14:paraId="144AFE73" w14:textId="77777777" w:rsidR="00DA39D1" w:rsidRPr="00BC7E2B" w:rsidRDefault="005A5CA9" w:rsidP="00E84A66">
      <w:pPr>
        <w:spacing w:after="200"/>
      </w:pPr>
      <w:r w:rsidRPr="00BC7E2B">
        <w:t xml:space="preserve">The critical question, though, is what is actually producing them. </w:t>
      </w:r>
      <w:r w:rsidR="002D690D" w:rsidRPr="00BC7E2B">
        <w:t xml:space="preserve">The evidence points strongly to the importance of organisational factors, including clinical leadership, integrated hospital and community teams, adequate resourcing and service maturity. At the same time, the specific additional contribution of higher-intensity monitoring technology remains uncertain, and cost-effectiveness evidence for high-technology models is limited. </w:t>
      </w:r>
      <w:r w:rsidRPr="00BC7E2B">
        <w:t xml:space="preserve">Virtual wards may be better understood as a workforce and integration reform delivered with digital support than as a digital transformation in their own right. The practical implication is that investment should follow the components that demonstrably work rather than the technology that gives the model its name, and that the national evaluation now underway should be designed to establish a counterfactual rather than to measure activity. </w:t>
      </w:r>
      <w:r w:rsidR="002D690D" w:rsidRPr="00BC7E2B">
        <w:t>Until this evidence improves, activity measures alone cannot establish how much hospital-based care virtual wards have genuinely replaced.</w:t>
      </w:r>
    </w:p>
    <w:p w14:paraId="1C104B82" w14:textId="77777777" w:rsidR="00DA39D1" w:rsidRPr="00BC7E2B" w:rsidRDefault="005A5CA9" w:rsidP="00E84A66">
      <w:r w:rsidRPr="00BC7E2B">
        <w:br w:type="page"/>
      </w:r>
    </w:p>
    <w:p w14:paraId="382D89E0" w14:textId="694E692A" w:rsidR="00DA39D1" w:rsidRPr="00BC7E2B" w:rsidRDefault="005A5CA9" w:rsidP="00E84A66">
      <w:pPr>
        <w:pStyle w:val="Heading1"/>
      </w:pPr>
      <w:bookmarkStart w:id="7" w:name="_Toc240982814"/>
      <w:r w:rsidRPr="00BC7E2B">
        <w:t>Reference List</w:t>
      </w:r>
      <w:bookmarkEnd w:id="7"/>
      <w:r w:rsidR="00EE4204">
        <w:t xml:space="preserve"> </w:t>
      </w:r>
    </w:p>
    <w:p w14:paraId="6AF26C02" w14:textId="77777777" w:rsidR="00EE4204" w:rsidRPr="00993826" w:rsidRDefault="00EE4204" w:rsidP="00E84A66">
      <w:pPr>
        <w:jc w:val="left"/>
      </w:pPr>
      <w:bookmarkStart w:id="8" w:name="_Hlk240627859"/>
      <w:r w:rsidRPr="00993826">
        <w:t xml:space="preserve">Age UK (2025) </w:t>
      </w:r>
      <w:r w:rsidRPr="00993826">
        <w:rPr>
          <w:i/>
          <w:iCs/>
        </w:rPr>
        <w:t>Age UK warns 2.4 million digitally excluded older people are at risk of being left behind in an increasingly digital world</w:t>
      </w:r>
      <w:r w:rsidRPr="00993826">
        <w:t xml:space="preserve">. Available at: </w:t>
      </w:r>
      <w:hyperlink r:id="rId11" w:history="1">
        <w:r w:rsidRPr="00993826">
          <w:rPr>
            <w:rStyle w:val="Hyperlink"/>
            <w:color w:val="auto"/>
          </w:rPr>
          <w:t>https://www.ageuk.org.uk/latest-press/articles/age-uk-warns-22.4-million-digitally-excluded-older-people-are-at-risk-of-being-left-behind-in-an-increasingly-digital-world/</w:t>
        </w:r>
      </w:hyperlink>
      <w:r w:rsidRPr="00993826">
        <w:t xml:space="preserve">   (Accessed: 17 September 2026).</w:t>
      </w:r>
    </w:p>
    <w:p w14:paraId="71267EA9" w14:textId="77777777" w:rsidR="00EE4204" w:rsidRPr="00993826" w:rsidRDefault="00EE4204" w:rsidP="00E84A66">
      <w:pPr>
        <w:jc w:val="left"/>
      </w:pPr>
      <w:r w:rsidRPr="00993826">
        <w:t xml:space="preserve">British Geriatrics Society (2022) </w:t>
      </w:r>
      <w:r w:rsidRPr="00993826">
        <w:rPr>
          <w:i/>
          <w:iCs/>
        </w:rPr>
        <w:t>Bringing hospital care home: Virtual Wards and Hospital at Home for older people</w:t>
      </w:r>
      <w:r w:rsidRPr="00993826">
        <w:t xml:space="preserve">. Position statement. Available at: </w:t>
      </w:r>
      <w:hyperlink r:id="rId12" w:history="1">
        <w:r w:rsidRPr="00993826">
          <w:rPr>
            <w:rStyle w:val="Hyperlink"/>
            <w:color w:val="auto"/>
          </w:rPr>
          <w:t>https://www.bgs.org.uk/virtualwards</w:t>
        </w:r>
      </w:hyperlink>
      <w:r w:rsidRPr="00993826">
        <w:t xml:space="preserve">  (Accessed: 17 September 2026).</w:t>
      </w:r>
    </w:p>
    <w:p w14:paraId="6CD615FF" w14:textId="77777777" w:rsidR="00EE4204" w:rsidRPr="00993826" w:rsidRDefault="00EE4204" w:rsidP="00E84A66">
      <w:pPr>
        <w:jc w:val="left"/>
      </w:pPr>
      <w:r w:rsidRPr="00993826">
        <w:t xml:space="preserve">British Geriatrics Society, UK Hospital at Home Society and Royal College of Physicians (2024) </w:t>
      </w:r>
      <w:r w:rsidRPr="00993826">
        <w:rPr>
          <w:i/>
          <w:iCs/>
        </w:rPr>
        <w:t>Joint statement: 'Hospital at Home' not 'virtual wards'</w:t>
      </w:r>
      <w:r w:rsidRPr="00993826">
        <w:t xml:space="preserve">. Available at: </w:t>
      </w:r>
      <w:hyperlink r:id="rId13" w:history="1">
        <w:r w:rsidRPr="00993826">
          <w:rPr>
            <w:rStyle w:val="Hyperlink"/>
            <w:color w:val="auto"/>
          </w:rPr>
          <w:t>https://www.bgs.org.uk/policy-and-media/joint-statement-hospital-at-home-not-virtual-wards</w:t>
        </w:r>
      </w:hyperlink>
      <w:r w:rsidRPr="00993826">
        <w:t xml:space="preserve">  (Accessed: 17 September 2026).</w:t>
      </w:r>
    </w:p>
    <w:p w14:paraId="6C16DA89" w14:textId="77777777" w:rsidR="00EE4204" w:rsidRPr="00993826" w:rsidRDefault="00EE4204" w:rsidP="00E84A66">
      <w:pPr>
        <w:jc w:val="left"/>
      </w:pPr>
      <w:r w:rsidRPr="00993826">
        <w:t xml:space="preserve">Chappell, P., Co, M., Hardie, T., Lloyd, T., </w:t>
      </w:r>
      <w:proofErr w:type="spellStart"/>
      <w:r w:rsidRPr="00993826">
        <w:t>Tallack</w:t>
      </w:r>
      <w:proofErr w:type="spellEnd"/>
      <w:r w:rsidRPr="00993826">
        <w:t>, C., Gerhold, M. and Mayers, C. (2024) ‘</w:t>
      </w:r>
      <w:r w:rsidRPr="00993826">
        <w:rPr>
          <w:iCs/>
        </w:rPr>
        <w:t>What do virtual wards look like in England?'</w:t>
      </w:r>
      <w:r w:rsidRPr="00993826">
        <w:t xml:space="preserve"> (Working Paper</w:t>
      </w:r>
      <w:r w:rsidRPr="00993826">
        <w:rPr>
          <w:i/>
        </w:rPr>
        <w:t>). The Health Foundation</w:t>
      </w:r>
      <w:r w:rsidRPr="00993826">
        <w:t xml:space="preserve">. Available at: </w:t>
      </w:r>
      <w:hyperlink r:id="rId14" w:history="1">
        <w:r w:rsidRPr="00993826">
          <w:rPr>
            <w:rStyle w:val="Hyperlink"/>
            <w:color w:val="auto"/>
          </w:rPr>
          <w:t>https://www.health.org.uk/reports-and-analysis/working-papers/what-do-virtual-wards-look-like-in-england</w:t>
        </w:r>
      </w:hyperlink>
      <w:r w:rsidRPr="00993826">
        <w:t xml:space="preserve"> </w:t>
      </w:r>
    </w:p>
    <w:p w14:paraId="43CAA032" w14:textId="77777777" w:rsidR="00EE4204" w:rsidRPr="00993826" w:rsidRDefault="00EE4204" w:rsidP="00E84A66">
      <w:pPr>
        <w:jc w:val="left"/>
      </w:pPr>
      <w:r w:rsidRPr="00993826">
        <w:t xml:space="preserve">Department of Health and Social Care (2025) </w:t>
      </w:r>
      <w:r w:rsidRPr="00993826">
        <w:rPr>
          <w:i/>
          <w:iCs/>
        </w:rPr>
        <w:t>Fit for the future: 10 Year Health Plan for England</w:t>
      </w:r>
      <w:r w:rsidRPr="00993826">
        <w:t xml:space="preserve">. CP 1350. Available at: </w:t>
      </w:r>
      <w:hyperlink r:id="rId15" w:history="1">
        <w:r w:rsidRPr="00993826">
          <w:rPr>
            <w:rStyle w:val="Hyperlink"/>
            <w:color w:val="auto"/>
          </w:rPr>
          <w:t>https://www.gov.uk/government/publications/10-year-health-plan-for-england-fit-for-the-future</w:t>
        </w:r>
      </w:hyperlink>
      <w:r w:rsidRPr="00993826">
        <w:t xml:space="preserve"> (Accessed: 17 September 2026).</w:t>
      </w:r>
    </w:p>
    <w:p w14:paraId="4F7083B1" w14:textId="77777777" w:rsidR="00EE4204" w:rsidRPr="00993826" w:rsidRDefault="00EE4204" w:rsidP="00E84A66">
      <w:pPr>
        <w:jc w:val="left"/>
      </w:pPr>
      <w:r w:rsidRPr="00993826">
        <w:t xml:space="preserve">McGowan, L.J., Graham, F., </w:t>
      </w:r>
      <w:proofErr w:type="spellStart"/>
      <w:r w:rsidRPr="00993826">
        <w:t>Lecouturier</w:t>
      </w:r>
      <w:proofErr w:type="spellEnd"/>
      <w:r w:rsidRPr="00993826">
        <w:t xml:space="preserve">, J., Goffe, L., Echevarria, C., Kelly, M.P. and Sniehotta, F.F. (2024) 'The views and experiences of integrated care system commissioners about the adoption and implementation of virtual wards in England: qualitative exploration study', </w:t>
      </w:r>
      <w:r w:rsidRPr="00993826">
        <w:rPr>
          <w:i/>
          <w:iCs/>
        </w:rPr>
        <w:t>Journal of Medical Internet Research</w:t>
      </w:r>
      <w:r w:rsidRPr="00993826">
        <w:t xml:space="preserve">, 26, e56494. Available at: </w:t>
      </w:r>
      <w:hyperlink r:id="rId16" w:history="1">
        <w:r w:rsidRPr="00993826">
          <w:rPr>
            <w:rStyle w:val="Hyperlink"/>
            <w:color w:val="auto"/>
          </w:rPr>
          <w:t>https://www.jmir.org/2024/1/e56494/</w:t>
        </w:r>
      </w:hyperlink>
      <w:r w:rsidRPr="00993826">
        <w:t xml:space="preserve"> </w:t>
      </w:r>
    </w:p>
    <w:p w14:paraId="2A78FBDD" w14:textId="77777777" w:rsidR="00EE4204" w:rsidRPr="00993826" w:rsidRDefault="00EE4204" w:rsidP="00E84A66">
      <w:pPr>
        <w:jc w:val="left"/>
      </w:pPr>
      <w:r w:rsidRPr="00993826">
        <w:t xml:space="preserve">NHS England (2022) </w:t>
      </w:r>
      <w:r w:rsidRPr="00993826">
        <w:rPr>
          <w:i/>
          <w:iCs/>
        </w:rPr>
        <w:t>Supporting guidance: virtual ward including hospital at home</w:t>
      </w:r>
      <w:r w:rsidRPr="00993826">
        <w:t xml:space="preserve">. Available at: </w:t>
      </w:r>
      <w:hyperlink r:id="rId17" w:history="1">
        <w:r w:rsidRPr="00993826">
          <w:rPr>
            <w:rStyle w:val="Hyperlink"/>
            <w:color w:val="auto"/>
          </w:rPr>
          <w:t>https://www.england.nhs.uk/wp-content/uploads/2021/12/B1478-supporting-guidance-virtual-ward-including-hospital-at-home-march-2022-update.pdf</w:t>
        </w:r>
      </w:hyperlink>
      <w:r w:rsidRPr="00993826">
        <w:t xml:space="preserve"> (Accessed: 18 September 2026).</w:t>
      </w:r>
    </w:p>
    <w:p w14:paraId="7E630999" w14:textId="77777777" w:rsidR="00EE4204" w:rsidRPr="00993826" w:rsidRDefault="00EE4204" w:rsidP="00E84A66">
      <w:pPr>
        <w:jc w:val="left"/>
      </w:pPr>
      <w:r w:rsidRPr="00993826">
        <w:t xml:space="preserve">NHS England (2023a) </w:t>
      </w:r>
      <w:r w:rsidRPr="00993826">
        <w:rPr>
          <w:i/>
        </w:rPr>
        <w:t>Virtual wards enabled by technology: Guidance on selecting and procuring a technology platform</w:t>
      </w:r>
      <w:r w:rsidRPr="00993826">
        <w:t xml:space="preserve">. Available at: </w:t>
      </w:r>
      <w:hyperlink r:id="rId18" w:history="1">
        <w:r w:rsidRPr="00993826">
          <w:rPr>
            <w:rStyle w:val="Hyperlink"/>
            <w:color w:val="auto"/>
          </w:rPr>
          <w:t>https://www.england.nhs.uk/long-read/virtual-wards-enabled-by-technology-guidance-on-selecting-and-procuring-a-technology-platform/</w:t>
        </w:r>
      </w:hyperlink>
      <w:r w:rsidRPr="00993826">
        <w:t xml:space="preserve"> (Accessed: 17 September 2026).</w:t>
      </w:r>
    </w:p>
    <w:p w14:paraId="38743B41" w14:textId="77777777" w:rsidR="00EE4204" w:rsidRPr="00993826" w:rsidRDefault="00EE4204" w:rsidP="00E84A66">
      <w:pPr>
        <w:jc w:val="left"/>
      </w:pPr>
      <w:r w:rsidRPr="00993826">
        <w:t xml:space="preserve">NHS England (2023b) Guidance note: virtual ward care for people with heart failure. Available at: </w:t>
      </w:r>
      <w:hyperlink r:id="rId19" w:history="1">
        <w:r w:rsidRPr="00993826">
          <w:rPr>
            <w:rStyle w:val="Hyperlink"/>
            <w:color w:val="auto"/>
          </w:rPr>
          <w:t>https://www.england.nhs.uk/long-read/guidance-note-virtual-ward-care-for-people-with-heart-failure/</w:t>
        </w:r>
      </w:hyperlink>
      <w:r w:rsidRPr="00993826">
        <w:t xml:space="preserve"> (Accessed: 17 September 2026).</w:t>
      </w:r>
    </w:p>
    <w:p w14:paraId="5E11EC13" w14:textId="77777777" w:rsidR="00EE4204" w:rsidRPr="00993826" w:rsidRDefault="00EE4204" w:rsidP="00E84A66">
      <w:pPr>
        <w:jc w:val="left"/>
      </w:pPr>
      <w:r w:rsidRPr="00993826">
        <w:t xml:space="preserve">NHS England (2024a) </w:t>
      </w:r>
      <w:r w:rsidRPr="00993826">
        <w:rPr>
          <w:i/>
          <w:iCs/>
        </w:rPr>
        <w:t>Summary of South East region virtual wards evaluation</w:t>
      </w:r>
      <w:r w:rsidRPr="00993826">
        <w:t xml:space="preserve">. Publication reference PRN01291. Evaluation conducted by PPL on behalf of NHS England South East region. Available at: </w:t>
      </w:r>
      <w:hyperlink r:id="rId20" w:history="1">
        <w:r w:rsidRPr="00993826">
          <w:rPr>
            <w:rStyle w:val="Hyperlink"/>
            <w:color w:val="auto"/>
          </w:rPr>
          <w:t>https://www.england.nhs.uk/long-read/summary-of-south-east-region-virtual-wards-evaluation/</w:t>
        </w:r>
      </w:hyperlink>
      <w:r w:rsidRPr="00993826">
        <w:t xml:space="preserve">  (Accessed: 17 September 2026).</w:t>
      </w:r>
      <w:r>
        <w:t xml:space="preserve"> </w:t>
      </w:r>
    </w:p>
    <w:p w14:paraId="709A8F55" w14:textId="77777777" w:rsidR="00EE4204" w:rsidRPr="00993826" w:rsidRDefault="00EE4204" w:rsidP="00E84A66">
      <w:pPr>
        <w:jc w:val="left"/>
      </w:pPr>
      <w:r w:rsidRPr="00993826">
        <w:t xml:space="preserve">NHS England (2024b) </w:t>
      </w:r>
      <w:r w:rsidRPr="00993826">
        <w:rPr>
          <w:i/>
          <w:iCs/>
        </w:rPr>
        <w:t>Virtual wards operational framework</w:t>
      </w:r>
      <w:r w:rsidRPr="00993826">
        <w:t xml:space="preserve">. Available at: </w:t>
      </w:r>
      <w:hyperlink r:id="rId21" w:history="1">
        <w:r w:rsidRPr="00993826">
          <w:rPr>
            <w:rStyle w:val="Hyperlink"/>
            <w:color w:val="auto"/>
          </w:rPr>
          <w:t>https://www.england.nhs.uk/long-read/virtual-wards-operational-framework/</w:t>
        </w:r>
      </w:hyperlink>
      <w:r w:rsidRPr="00993826">
        <w:t xml:space="preserve"> (Accessed: 17 September 2026).</w:t>
      </w:r>
    </w:p>
    <w:p w14:paraId="7479A870" w14:textId="77777777" w:rsidR="00EE4204" w:rsidRPr="00993826" w:rsidRDefault="00EE4204" w:rsidP="00E84A66">
      <w:pPr>
        <w:jc w:val="left"/>
      </w:pPr>
      <w:r w:rsidRPr="00993826">
        <w:t xml:space="preserve">Norman, G., Bennett, P. and Vardy, E.R.L.C. (2023) 'Virtual wards: a rapid evidence synthesis and implications for the care of older people', </w:t>
      </w:r>
      <w:r w:rsidRPr="00993826">
        <w:rPr>
          <w:i/>
          <w:iCs/>
        </w:rPr>
        <w:t>Age and Ageing</w:t>
      </w:r>
      <w:r w:rsidRPr="00993826">
        <w:t xml:space="preserve">, 52(1), afac319. Available at: </w:t>
      </w:r>
      <w:hyperlink r:id="rId22" w:history="1">
        <w:r w:rsidRPr="00993826">
          <w:rPr>
            <w:rStyle w:val="Hyperlink"/>
            <w:color w:val="auto"/>
          </w:rPr>
          <w:t>https://academic.oup.com/ageing/article/52/1/afac319/6974849</w:t>
        </w:r>
      </w:hyperlink>
      <w:r w:rsidRPr="00993826">
        <w:t xml:space="preserve"> </w:t>
      </w:r>
    </w:p>
    <w:p w14:paraId="7A3FB490" w14:textId="77777777" w:rsidR="00EE4204" w:rsidRPr="00993826" w:rsidRDefault="00EE4204" w:rsidP="00E84A66">
      <w:pPr>
        <w:jc w:val="left"/>
      </w:pPr>
      <w:r w:rsidRPr="00993826">
        <w:t xml:space="preserve">Royal College of Physicians of Edinburgh (2023) </w:t>
      </w:r>
      <w:r w:rsidRPr="00993826">
        <w:rPr>
          <w:i/>
          <w:iCs/>
        </w:rPr>
        <w:t>Statement on increased use of virtual wards and Hospital at Home for older people</w:t>
      </w:r>
      <w:r w:rsidRPr="00993826">
        <w:t xml:space="preserve">. Available at: </w:t>
      </w:r>
      <w:hyperlink r:id="rId23" w:history="1">
        <w:r w:rsidRPr="00993826">
          <w:rPr>
            <w:rStyle w:val="Hyperlink"/>
            <w:color w:val="auto"/>
          </w:rPr>
          <w:t>https://www.rcpe.ac.uk/news/statement-increased-use-virtual-wards-and-hospital-home-older-people</w:t>
        </w:r>
      </w:hyperlink>
      <w:r w:rsidRPr="00993826">
        <w:t xml:space="preserve">  (Accessed: 17 September 2026).</w:t>
      </w:r>
    </w:p>
    <w:p w14:paraId="78FEFD75" w14:textId="77777777" w:rsidR="00EE4204" w:rsidRPr="00993826" w:rsidRDefault="00EE4204" w:rsidP="00E84A66">
      <w:pPr>
        <w:jc w:val="left"/>
      </w:pPr>
      <w:r w:rsidRPr="00993826">
        <w:t xml:space="preserve">Shi, C., </w:t>
      </w:r>
      <w:proofErr w:type="spellStart"/>
      <w:r w:rsidRPr="00993826">
        <w:t>Dumville</w:t>
      </w:r>
      <w:proofErr w:type="spellEnd"/>
      <w:r w:rsidRPr="00993826">
        <w:t xml:space="preserve">, J., Rubinstein, F., Norman, G., Ullah, A., Bashir, S., Bower, P. and Vardy, E.R.L.C. (2024) 'Inpatient-level care at home delivered by virtual wards and hospital at home: a systematic review and meta-analysis of complex interventions and their components', </w:t>
      </w:r>
      <w:r w:rsidRPr="00993826">
        <w:rPr>
          <w:i/>
          <w:iCs/>
        </w:rPr>
        <w:t>BMC Medicine</w:t>
      </w:r>
      <w:r w:rsidRPr="00993826">
        <w:t xml:space="preserve">, 22(1), 145. Available at: </w:t>
      </w:r>
      <w:hyperlink r:id="rId24" w:history="1">
        <w:r w:rsidRPr="00993826">
          <w:rPr>
            <w:rStyle w:val="Hyperlink"/>
            <w:color w:val="auto"/>
          </w:rPr>
          <w:t>https://link.springer.com/article/10.1186/s12916-024-03312-3</w:t>
        </w:r>
      </w:hyperlink>
      <w:bookmarkEnd w:id="8"/>
      <w:r w:rsidRPr="00993826">
        <w:t xml:space="preserve"> </w:t>
      </w:r>
    </w:p>
    <w:p w14:paraId="4AE6E40B" w14:textId="77777777" w:rsidR="001573FA" w:rsidRPr="00BC7E2B" w:rsidRDefault="001573FA" w:rsidP="00E84A66">
      <w:r w:rsidRPr="00BC7E2B">
        <w:br w:type="page"/>
      </w:r>
    </w:p>
    <w:p w14:paraId="2B644E76" w14:textId="1F2CA5DE" w:rsidR="00DA39D1" w:rsidRPr="00BC7E2B" w:rsidRDefault="001573FA" w:rsidP="00E84A66">
      <w:pPr>
        <w:pStyle w:val="Heading1"/>
      </w:pPr>
      <w:bookmarkStart w:id="9" w:name="_Toc240982815"/>
      <w:r w:rsidRPr="00BC7E2B">
        <w:t>Appendix</w:t>
      </w:r>
      <w:bookmarkEnd w:id="9"/>
      <w:r w:rsidRPr="00BC7E2B">
        <w:t xml:space="preserve"> </w:t>
      </w:r>
    </w:p>
    <w:p w14:paraId="623F8C82" w14:textId="5A1C7843" w:rsidR="00395075" w:rsidRPr="00BC7E2B" w:rsidRDefault="00395075" w:rsidP="00E84A66">
      <w:pPr>
        <w:spacing w:after="240"/>
        <w:ind w:left="720" w:hanging="720"/>
        <w:rPr>
          <w:b/>
          <w:bCs/>
        </w:rPr>
      </w:pPr>
      <w:r w:rsidRPr="00BC7E2B">
        <w:rPr>
          <w:b/>
          <w:bCs/>
        </w:rPr>
        <w:t>Virtual Ward Example:</w:t>
      </w:r>
      <w:r w:rsidR="005F6DFC" w:rsidRPr="00BC7E2B">
        <w:rPr>
          <w:b/>
          <w:bCs/>
        </w:rPr>
        <w:t xml:space="preserve"> </w:t>
      </w:r>
      <w:r w:rsidR="00636F7C">
        <w:rPr>
          <w:b/>
          <w:bCs/>
        </w:rPr>
        <w:t xml:space="preserve"> </w:t>
      </w:r>
      <w:r w:rsidR="00EE4204">
        <w:rPr>
          <w:b/>
          <w:bCs/>
        </w:rPr>
        <w:t xml:space="preserve"> </w:t>
      </w:r>
    </w:p>
    <w:p w14:paraId="5817466F" w14:textId="79CA6B33" w:rsidR="001573FA" w:rsidRPr="00BC7E2B" w:rsidRDefault="001573FA" w:rsidP="00E84A66">
      <w:pPr>
        <w:spacing w:after="240"/>
        <w:ind w:left="720" w:hanging="720"/>
      </w:pPr>
      <w:r w:rsidRPr="00BC7E2B">
        <w:rPr>
          <w:noProof/>
        </w:rPr>
        <w:drawing>
          <wp:inline distT="0" distB="0" distL="0" distR="0" wp14:anchorId="32FC28EA" wp14:editId="1CC1A4FD">
            <wp:extent cx="5731510" cy="3820795"/>
            <wp:effectExtent l="0" t="0" r="2540" b="8255"/>
            <wp:docPr id="1143040224" name="Picture 1" descr="Virtual w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rtual ward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C00FB3F" w14:textId="63C45503" w:rsidR="00093160" w:rsidRPr="00BC7E2B" w:rsidRDefault="00093160" w:rsidP="00E84A66">
      <w:pPr>
        <w:spacing w:after="240"/>
        <w:ind w:left="720" w:hanging="720"/>
      </w:pPr>
      <w:hyperlink r:id="rId26" w:history="1">
        <w:r w:rsidRPr="00BC7E2B">
          <w:rPr>
            <w:rStyle w:val="Hyperlink"/>
            <w:color w:val="auto"/>
          </w:rPr>
          <w:t>https://visionable.com/how-virtual-wards-deliver-hospital-level-care-at-home/</w:t>
        </w:r>
      </w:hyperlink>
      <w:r w:rsidRPr="00BC7E2B">
        <w:t xml:space="preserve"> </w:t>
      </w:r>
    </w:p>
    <w:sectPr w:rsidR="00093160" w:rsidRPr="00BC7E2B">
      <w:headerReference w:type="default" r:id="rId27"/>
      <w:footerReference w:type="default" r:id="rId2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E93AE6A" w14:textId="77777777" w:rsidR="007A298F" w:rsidRDefault="007A298F">
      <w:pPr>
        <w:spacing w:line="240" w:lineRule="auto"/>
      </w:pPr>
      <w:r>
        <w:separator/>
      </w:r>
    </w:p>
  </w:endnote>
  <w:endnote w:type="continuationSeparator" w:id="0">
    <w:p w14:paraId="22E4DD21" w14:textId="77777777" w:rsidR="007A298F" w:rsidRDefault="007A29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EA47350" w14:textId="77777777" w:rsidR="00DA39D1" w:rsidRDefault="00DA39D1">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3415D3B" w14:textId="77777777" w:rsidR="007A298F" w:rsidRDefault="007A298F">
      <w:pPr>
        <w:spacing w:line="240" w:lineRule="auto"/>
      </w:pPr>
      <w:r>
        <w:separator/>
      </w:r>
    </w:p>
  </w:footnote>
  <w:footnote w:type="continuationSeparator" w:id="0">
    <w:p w14:paraId="661B3318" w14:textId="77777777" w:rsidR="007A298F" w:rsidRDefault="007A298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119907506"/>
      <w:docPartObj>
        <w:docPartGallery w:val="Page Numbers (Top of Page)"/>
        <w:docPartUnique/>
      </w:docPartObj>
    </w:sdtPr>
    <w:sdtEndPr>
      <w:rPr>
        <w:noProof/>
      </w:rPr>
    </w:sdtEndPr>
    <w:sdtContent>
      <w:p w14:paraId="34F552D0" w14:textId="77777777" w:rsidR="00843A13" w:rsidRDefault="00843A1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276B866" w14:textId="77777777" w:rsidR="00843A13" w:rsidRDefault="00843A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D106F34"/>
    <w:multiLevelType w:val="hybridMultilevel"/>
    <w:tmpl w:val="C2A021D4"/>
    <w:lvl w:ilvl="0" w:tplc="3280B7CE">
      <w:start w:val="1"/>
      <w:numFmt w:val="bullet"/>
      <w:lvlText w:val="●"/>
      <w:lvlJc w:val="left"/>
      <w:pPr>
        <w:ind w:left="8788" w:hanging="360"/>
      </w:pPr>
    </w:lvl>
    <w:lvl w:ilvl="1" w:tplc="FF029634">
      <w:start w:val="1"/>
      <w:numFmt w:val="bullet"/>
      <w:lvlText w:val="○"/>
      <w:lvlJc w:val="left"/>
      <w:pPr>
        <w:ind w:left="9508" w:hanging="360"/>
      </w:pPr>
    </w:lvl>
    <w:lvl w:ilvl="2" w:tplc="F0DE1126">
      <w:start w:val="1"/>
      <w:numFmt w:val="bullet"/>
      <w:lvlText w:val="■"/>
      <w:lvlJc w:val="left"/>
      <w:pPr>
        <w:ind w:left="10228" w:hanging="360"/>
      </w:pPr>
    </w:lvl>
    <w:lvl w:ilvl="3" w:tplc="4ABA3D42">
      <w:start w:val="1"/>
      <w:numFmt w:val="bullet"/>
      <w:lvlText w:val="●"/>
      <w:lvlJc w:val="left"/>
      <w:pPr>
        <w:ind w:left="10948" w:hanging="360"/>
      </w:pPr>
    </w:lvl>
    <w:lvl w:ilvl="4" w:tplc="7626F7AA">
      <w:start w:val="1"/>
      <w:numFmt w:val="bullet"/>
      <w:lvlText w:val="○"/>
      <w:lvlJc w:val="left"/>
      <w:pPr>
        <w:ind w:left="11668" w:hanging="360"/>
      </w:pPr>
    </w:lvl>
    <w:lvl w:ilvl="5" w:tplc="D72EB738">
      <w:start w:val="1"/>
      <w:numFmt w:val="bullet"/>
      <w:lvlText w:val="■"/>
      <w:lvlJc w:val="left"/>
      <w:pPr>
        <w:ind w:left="12388" w:hanging="360"/>
      </w:pPr>
    </w:lvl>
    <w:lvl w:ilvl="6" w:tplc="7768555C">
      <w:start w:val="1"/>
      <w:numFmt w:val="bullet"/>
      <w:lvlText w:val="●"/>
      <w:lvlJc w:val="left"/>
      <w:pPr>
        <w:ind w:left="13108" w:hanging="360"/>
      </w:pPr>
    </w:lvl>
    <w:lvl w:ilvl="7" w:tplc="345028D0">
      <w:start w:val="1"/>
      <w:numFmt w:val="bullet"/>
      <w:lvlText w:val="●"/>
      <w:lvlJc w:val="left"/>
      <w:pPr>
        <w:ind w:left="13828" w:hanging="360"/>
      </w:pPr>
    </w:lvl>
    <w:lvl w:ilvl="8" w:tplc="F6663784">
      <w:start w:val="1"/>
      <w:numFmt w:val="bullet"/>
      <w:lvlText w:val="●"/>
      <w:lvlJc w:val="left"/>
      <w:pPr>
        <w:ind w:left="14548" w:hanging="360"/>
      </w:pPr>
    </w:lvl>
  </w:abstractNum>
  <w:abstractNum w:abstractNumId="1" w15:restartNumberingAfterBreak="0">
    <w:nsid w:val="44425CD0"/>
    <w:multiLevelType w:val="hybridMultilevel"/>
    <w:tmpl w:val="7508179E"/>
    <w:lvl w:ilvl="0" w:tplc="48569F5E">
      <w:start w:val="4"/>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4437EA3"/>
    <w:multiLevelType w:val="hybridMultilevel"/>
    <w:tmpl w:val="90242858"/>
    <w:lvl w:ilvl="0" w:tplc="8E04B66A">
      <w:start w:val="1"/>
      <w:numFmt w:val="lowerLetter"/>
      <w:lvlText w:val="%1)"/>
      <w:lvlJc w:val="left"/>
      <w:pPr>
        <w:ind w:left="720" w:hanging="360"/>
      </w:pPr>
      <w:rPr>
        <w:rFonts w:hint="default"/>
        <w:b/>
        <w:color w:val="00000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56460576">
    <w:abstractNumId w:val="0"/>
    <w:lvlOverride w:ilvl="0">
      <w:startOverride w:val="1"/>
    </w:lvlOverride>
  </w:num>
  <w:num w:numId="2" w16cid:durableId="767702044">
    <w:abstractNumId w:val="2"/>
  </w:num>
  <w:num w:numId="3" w16cid:durableId="2106144039">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39D1"/>
    <w:rsid w:val="00000995"/>
    <w:rsid w:val="0006597B"/>
    <w:rsid w:val="00093160"/>
    <w:rsid w:val="000C4AA7"/>
    <w:rsid w:val="000D6E8E"/>
    <w:rsid w:val="001573FA"/>
    <w:rsid w:val="001F3780"/>
    <w:rsid w:val="00242686"/>
    <w:rsid w:val="00266BF6"/>
    <w:rsid w:val="002709DA"/>
    <w:rsid w:val="002D690D"/>
    <w:rsid w:val="003622FA"/>
    <w:rsid w:val="00364D86"/>
    <w:rsid w:val="00395075"/>
    <w:rsid w:val="0039555E"/>
    <w:rsid w:val="003A016B"/>
    <w:rsid w:val="003C0966"/>
    <w:rsid w:val="004176F1"/>
    <w:rsid w:val="00442488"/>
    <w:rsid w:val="00450408"/>
    <w:rsid w:val="004C10A8"/>
    <w:rsid w:val="004D4063"/>
    <w:rsid w:val="00563661"/>
    <w:rsid w:val="005A5CA9"/>
    <w:rsid w:val="005E7DDD"/>
    <w:rsid w:val="005F6DFC"/>
    <w:rsid w:val="00636F7C"/>
    <w:rsid w:val="00666390"/>
    <w:rsid w:val="007069A4"/>
    <w:rsid w:val="0073524F"/>
    <w:rsid w:val="007A298F"/>
    <w:rsid w:val="007E2A8A"/>
    <w:rsid w:val="007E429B"/>
    <w:rsid w:val="0080066B"/>
    <w:rsid w:val="00843A13"/>
    <w:rsid w:val="00860DF6"/>
    <w:rsid w:val="008A0C3E"/>
    <w:rsid w:val="008C6CF7"/>
    <w:rsid w:val="008D1A43"/>
    <w:rsid w:val="00906525"/>
    <w:rsid w:val="0091035D"/>
    <w:rsid w:val="00915EE4"/>
    <w:rsid w:val="00964627"/>
    <w:rsid w:val="00992885"/>
    <w:rsid w:val="00993826"/>
    <w:rsid w:val="009C5814"/>
    <w:rsid w:val="009D5692"/>
    <w:rsid w:val="009D6344"/>
    <w:rsid w:val="00A87D8A"/>
    <w:rsid w:val="00AA1B16"/>
    <w:rsid w:val="00AA7F51"/>
    <w:rsid w:val="00AF43AB"/>
    <w:rsid w:val="00AF65A6"/>
    <w:rsid w:val="00B32B1C"/>
    <w:rsid w:val="00BC7E2B"/>
    <w:rsid w:val="00BD0101"/>
    <w:rsid w:val="00BD039D"/>
    <w:rsid w:val="00BD22E8"/>
    <w:rsid w:val="00BD7DFA"/>
    <w:rsid w:val="00C067D7"/>
    <w:rsid w:val="00C45F43"/>
    <w:rsid w:val="00C70FD7"/>
    <w:rsid w:val="00DA39D1"/>
    <w:rsid w:val="00E33438"/>
    <w:rsid w:val="00E84A66"/>
    <w:rsid w:val="00EB06D6"/>
    <w:rsid w:val="00EE4204"/>
    <w:rsid w:val="00FE12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06E7F"/>
  <w15:docId w15:val="{4203E028-BB60-4DE1-B0F1-AB1B6FC84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IN" w:eastAsia="en-IN"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826"/>
    <w:pPr>
      <w:jc w:val="both"/>
    </w:pPr>
  </w:style>
  <w:style w:type="paragraph" w:styleId="Heading1">
    <w:name w:val="heading 1"/>
    <w:uiPriority w:val="9"/>
    <w:qFormat/>
    <w:rsid w:val="00BD0101"/>
    <w:pPr>
      <w:jc w:val="both"/>
      <w:outlineLvl w:val="0"/>
    </w:pPr>
    <w:rPr>
      <w:b/>
      <w:sz w:val="28"/>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2D690D"/>
    <w:rPr>
      <w:color w:val="605E5C"/>
      <w:shd w:val="clear" w:color="auto" w:fill="E1DFDD"/>
    </w:rPr>
  </w:style>
  <w:style w:type="paragraph" w:styleId="Header">
    <w:name w:val="header"/>
    <w:basedOn w:val="Normal"/>
    <w:link w:val="HeaderChar"/>
    <w:uiPriority w:val="99"/>
    <w:unhideWhenUsed/>
    <w:rsid w:val="00843A13"/>
    <w:pPr>
      <w:tabs>
        <w:tab w:val="center" w:pos="4513"/>
        <w:tab w:val="right" w:pos="9026"/>
      </w:tabs>
      <w:spacing w:line="240" w:lineRule="auto"/>
    </w:pPr>
  </w:style>
  <w:style w:type="character" w:customStyle="1" w:styleId="HeaderChar">
    <w:name w:val="Header Char"/>
    <w:basedOn w:val="DefaultParagraphFont"/>
    <w:link w:val="Header"/>
    <w:uiPriority w:val="99"/>
    <w:rsid w:val="00843A13"/>
  </w:style>
  <w:style w:type="paragraph" w:styleId="Footer">
    <w:name w:val="footer"/>
    <w:basedOn w:val="Normal"/>
    <w:link w:val="FooterChar"/>
    <w:uiPriority w:val="99"/>
    <w:unhideWhenUsed/>
    <w:rsid w:val="00843A13"/>
    <w:pPr>
      <w:tabs>
        <w:tab w:val="center" w:pos="4513"/>
        <w:tab w:val="right" w:pos="9026"/>
      </w:tabs>
      <w:spacing w:line="240" w:lineRule="auto"/>
    </w:pPr>
  </w:style>
  <w:style w:type="character" w:customStyle="1" w:styleId="FooterChar">
    <w:name w:val="Footer Char"/>
    <w:basedOn w:val="DefaultParagraphFont"/>
    <w:link w:val="Footer"/>
    <w:uiPriority w:val="99"/>
    <w:rsid w:val="00843A13"/>
  </w:style>
  <w:style w:type="paragraph" w:styleId="Caption">
    <w:name w:val="caption"/>
    <w:basedOn w:val="Normal"/>
    <w:next w:val="Normal"/>
    <w:uiPriority w:val="35"/>
    <w:unhideWhenUsed/>
    <w:qFormat/>
    <w:rsid w:val="0080066B"/>
    <w:pPr>
      <w:spacing w:after="200" w:line="240" w:lineRule="auto"/>
    </w:pPr>
    <w:rPr>
      <w:i/>
      <w:iCs/>
      <w:color w:val="44546A" w:themeColor="text2"/>
      <w:sz w:val="18"/>
      <w:szCs w:val="18"/>
    </w:rPr>
  </w:style>
  <w:style w:type="character" w:styleId="Emphasis">
    <w:name w:val="Emphasis"/>
    <w:basedOn w:val="DefaultParagraphFont"/>
    <w:uiPriority w:val="20"/>
    <w:qFormat/>
    <w:rsid w:val="00AF43AB"/>
    <w:rPr>
      <w:i/>
      <w:iCs/>
    </w:rPr>
  </w:style>
  <w:style w:type="paragraph" w:styleId="TOCHeading">
    <w:name w:val="TOC Heading"/>
    <w:basedOn w:val="Heading1"/>
    <w:next w:val="Normal"/>
    <w:uiPriority w:val="39"/>
    <w:unhideWhenUsed/>
    <w:qFormat/>
    <w:rsid w:val="00BC7E2B"/>
    <w:pPr>
      <w:keepNext/>
      <w:keepLines/>
      <w:spacing w:before="240" w:line="259" w:lineRule="auto"/>
      <w:jc w:val="left"/>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BC7E2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429846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bgs.org.uk/policy-and-media/joint-statement-hospital-at-home-not-virtual-wards" TargetMode="External"/><Relationship Id="rId18" Type="http://schemas.openxmlformats.org/officeDocument/2006/relationships/hyperlink" Target="https://www.england.nhs.uk/long-read/virtual-wards-enabled-by-technology-guidance-on-selecting-and-procuring-a-technology-platform/" TargetMode="External"/><Relationship Id="rId26" Type="http://schemas.openxmlformats.org/officeDocument/2006/relationships/hyperlink" Target="https://visionable.com/how-virtual-wards-deliver-hospital-level-care-at-home/" TargetMode="External"/><Relationship Id="rId3" Type="http://schemas.openxmlformats.org/officeDocument/2006/relationships/styles" Target="styles.xml"/><Relationship Id="rId21" Type="http://schemas.openxmlformats.org/officeDocument/2006/relationships/hyperlink" Target="https://www.england.nhs.uk/long-read/virtual-wards-operational-framework/" TargetMode="External"/><Relationship Id="rId7" Type="http://schemas.openxmlformats.org/officeDocument/2006/relationships/endnotes" Target="endnotes.xml"/><Relationship Id="rId12" Type="http://schemas.openxmlformats.org/officeDocument/2006/relationships/hyperlink" Target="https://www.bgs.org.uk/virtualwards" TargetMode="External"/><Relationship Id="rId17" Type="http://schemas.openxmlformats.org/officeDocument/2006/relationships/hyperlink" Target="https://www.england.nhs.uk/wp-content/uploads/2021/12/B1478-supporting-guidance-virtual-ward-including-hospital-at-home-march-2022-update.pdf" TargetMode="External"/><Relationship Id="rId25"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www.jmir.org/2024/1/e56494/" TargetMode="External"/><Relationship Id="rId20" Type="http://schemas.openxmlformats.org/officeDocument/2006/relationships/hyperlink" Target="https://www.england.nhs.uk/long-read/summary-of-south-east-region-virtual-wards-evaluatio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latest-press/articles/age-uk-warns-22.4-million-digitally-excluded-older-people-are-at-risk-of-being-left-behind-in-an-increasingly-digital-world/" TargetMode="External"/><Relationship Id="rId24" Type="http://schemas.openxmlformats.org/officeDocument/2006/relationships/hyperlink" Target="https://link.springer.com/article/10.1186/s12916-024-03312-3" TargetMode="External"/><Relationship Id="rId5" Type="http://schemas.openxmlformats.org/officeDocument/2006/relationships/webSettings" Target="webSettings.xml"/><Relationship Id="rId15" Type="http://schemas.openxmlformats.org/officeDocument/2006/relationships/hyperlink" Target="https://www.gov.uk/government/publications/10-year-health-plan-for-england-fit-for-the-future" TargetMode="External"/><Relationship Id="rId23" Type="http://schemas.openxmlformats.org/officeDocument/2006/relationships/hyperlink" Target="https://www.rcpe.ac.uk/news/statement-increased-use-virtual-wards-and-hospital-home-older-people" TargetMode="External"/><Relationship Id="rId28"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hyperlink" Target="https://www.england.nhs.uk/long-read/guidance-note-virtual-ward-care-for-people-with-heart-failure/"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health.org.uk/reports-and-analysis/working-papers/what-do-virtual-wards-look-like-in-england" TargetMode="External"/><Relationship Id="rId22" Type="http://schemas.openxmlformats.org/officeDocument/2006/relationships/hyperlink" Target="https://academic.oup.com/ageing/article/52/1/afac319/6974849" TargetMode="External"/><Relationship Id="rId27" Type="http://schemas.openxmlformats.org/officeDocument/2006/relationships/header" Target="head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Reported</a:t>
            </a:r>
            <a:r>
              <a:rPr lang="en-IN" baseline="0"/>
              <a:t> virtual ward capacity vs national ambition</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bar"/>
        <c:grouping val="clustered"/>
        <c:varyColors val="0"/>
        <c:ser>
          <c:idx val="0"/>
          <c:order val="0"/>
          <c:tx>
            <c:strRef>
              <c:f>Sheet1!$B$1</c:f>
              <c:strCache>
                <c:ptCount val="1"/>
                <c:pt idx="0">
                  <c:v>Value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National Capacity Ambition</c:v>
                </c:pt>
                <c:pt idx="1">
                  <c:v>Reported Capacity (Dec 2023)</c:v>
                </c:pt>
              </c:strCache>
            </c:strRef>
          </c:cat>
          <c:val>
            <c:numRef>
              <c:f>Sheet1!$B$2:$B$5</c:f>
              <c:numCache>
                <c:formatCode>General</c:formatCode>
                <c:ptCount val="4"/>
                <c:pt idx="0">
                  <c:v>24000</c:v>
                </c:pt>
                <c:pt idx="1">
                  <c:v>11800</c:v>
                </c:pt>
              </c:numCache>
            </c:numRef>
          </c:val>
          <c:extLst>
            <c:ext xmlns:c16="http://schemas.microsoft.com/office/drawing/2014/chart" uri="{C3380CC4-5D6E-409C-BE32-E72D297353CC}">
              <c16:uniqueId val="{00000000-12A7-4332-B276-9F16E4D04A6C}"/>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National Capacity Ambition</c:v>
                </c:pt>
                <c:pt idx="1">
                  <c:v>Reported Capacity (Dec 2023)</c:v>
                </c:pt>
              </c:strCache>
            </c:strRef>
          </c:cat>
          <c:val>
            <c:numRef>
              <c:f>Sheet1!$C$2:$C$5</c:f>
              <c:numCache>
                <c:formatCode>General</c:formatCode>
                <c:ptCount val="4"/>
                <c:pt idx="0">
                  <c:v>2.4</c:v>
                </c:pt>
                <c:pt idx="1">
                  <c:v>4.4000000000000004</c:v>
                </c:pt>
              </c:numCache>
            </c:numRef>
          </c:val>
          <c:extLst>
            <c:ext xmlns:c16="http://schemas.microsoft.com/office/drawing/2014/chart" uri="{C3380CC4-5D6E-409C-BE32-E72D297353CC}">
              <c16:uniqueId val="{00000001-12A7-4332-B276-9F16E4D04A6C}"/>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National Capacity Ambition</c:v>
                </c:pt>
                <c:pt idx="1">
                  <c:v>Reported Capacity (Dec 2023)</c:v>
                </c:pt>
              </c:strCache>
            </c:strRef>
          </c:cat>
          <c:val>
            <c:numRef>
              <c:f>Sheet1!$D$2:$D$5</c:f>
              <c:numCache>
                <c:formatCode>General</c:formatCode>
                <c:ptCount val="4"/>
                <c:pt idx="0">
                  <c:v>2</c:v>
                </c:pt>
                <c:pt idx="1">
                  <c:v>2</c:v>
                </c:pt>
              </c:numCache>
            </c:numRef>
          </c:val>
          <c:extLst>
            <c:ext xmlns:c16="http://schemas.microsoft.com/office/drawing/2014/chart" uri="{C3380CC4-5D6E-409C-BE32-E72D297353CC}">
              <c16:uniqueId val="{00000002-12A7-4332-B276-9F16E4D04A6C}"/>
            </c:ext>
          </c:extLst>
        </c:ser>
        <c:dLbls>
          <c:dLblPos val="outEnd"/>
          <c:showLegendKey val="0"/>
          <c:showVal val="1"/>
          <c:showCatName val="0"/>
          <c:showSerName val="0"/>
          <c:showPercent val="0"/>
          <c:showBubbleSize val="0"/>
        </c:dLbls>
        <c:gapWidth val="182"/>
        <c:axId val="904530128"/>
        <c:axId val="1133720736"/>
      </c:barChart>
      <c:catAx>
        <c:axId val="9045301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720736"/>
        <c:crosses val="autoZero"/>
        <c:auto val="1"/>
        <c:lblAlgn val="ctr"/>
        <c:lblOffset val="100"/>
        <c:noMultiLvlLbl val="0"/>
      </c:catAx>
      <c:valAx>
        <c:axId val="1133720736"/>
        <c:scaling>
          <c:orientation val="minMax"/>
          <c:max val="25000"/>
          <c:min val="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453012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Virtual</a:t>
            </a:r>
            <a:r>
              <a:rPr lang="en-IN" baseline="0"/>
              <a:t> ward activity and estimated avoided hospital admissions</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Virtual ward admission-avoidance activity</c:v>
                </c:pt>
                <c:pt idx="1">
                  <c:v>Estimated avoided non-elective admissions</c:v>
                </c:pt>
              </c:strCache>
            </c:strRef>
          </c:cat>
          <c:val>
            <c:numRef>
              <c:f>Sheet1!$B$2:$B$5</c:f>
              <c:numCache>
                <c:formatCode>General</c:formatCode>
                <c:ptCount val="4"/>
                <c:pt idx="0">
                  <c:v>22794</c:v>
                </c:pt>
                <c:pt idx="1">
                  <c:v>9165</c:v>
                </c:pt>
              </c:numCache>
            </c:numRef>
          </c:val>
          <c:extLst>
            <c:ext xmlns:c16="http://schemas.microsoft.com/office/drawing/2014/chart" uri="{C3380CC4-5D6E-409C-BE32-E72D297353CC}">
              <c16:uniqueId val="{00000000-B096-4E88-AB14-818A54C58D75}"/>
            </c:ext>
          </c:extLst>
        </c:ser>
        <c:ser>
          <c:idx val="1"/>
          <c:order val="1"/>
          <c:tx>
            <c:strRef>
              <c:f>Sheet1!$C$1</c:f>
              <c:strCache>
                <c:ptCount val="1"/>
                <c:pt idx="0">
                  <c:v>Column2</c:v>
                </c:pt>
              </c:strCache>
            </c:strRef>
          </c:tx>
          <c:spPr>
            <a:solidFill>
              <a:schemeClr val="accent2"/>
            </a:solidFill>
            <a:ln>
              <a:noFill/>
            </a:ln>
            <a:effectLst/>
          </c:spPr>
          <c:invertIfNegative val="0"/>
          <c:cat>
            <c:strRef>
              <c:f>Sheet1!$A$2:$A$5</c:f>
              <c:strCache>
                <c:ptCount val="2"/>
                <c:pt idx="0">
                  <c:v>Virtual ward admission-avoidance activity</c:v>
                </c:pt>
                <c:pt idx="1">
                  <c:v>Estimated avoided non-elective admissions</c:v>
                </c:pt>
              </c:strCache>
            </c:strRef>
          </c:cat>
          <c:val>
            <c:numRef>
              <c:f>Sheet1!$C$2:$C$5</c:f>
              <c:numCache>
                <c:formatCode>General</c:formatCode>
                <c:ptCount val="4"/>
              </c:numCache>
            </c:numRef>
          </c:val>
          <c:extLst>
            <c:ext xmlns:c16="http://schemas.microsoft.com/office/drawing/2014/chart" uri="{C3380CC4-5D6E-409C-BE32-E72D297353CC}">
              <c16:uniqueId val="{00000001-B096-4E88-AB14-818A54C58D75}"/>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2"/>
                <c:pt idx="0">
                  <c:v>Virtual ward admission-avoidance activity</c:v>
                </c:pt>
                <c:pt idx="1">
                  <c:v>Estimated avoided non-elective admissions</c:v>
                </c:pt>
              </c:strCache>
            </c:strRef>
          </c:cat>
          <c:val>
            <c:numRef>
              <c:f>Sheet1!$D$2:$D$5</c:f>
              <c:numCache>
                <c:formatCode>General</c:formatCode>
                <c:ptCount val="4"/>
              </c:numCache>
            </c:numRef>
          </c:val>
          <c:extLst>
            <c:ext xmlns:c16="http://schemas.microsoft.com/office/drawing/2014/chart" uri="{C3380CC4-5D6E-409C-BE32-E72D297353CC}">
              <c16:uniqueId val="{00000002-B096-4E88-AB14-818A54C58D75}"/>
            </c:ext>
          </c:extLst>
        </c:ser>
        <c:dLbls>
          <c:showLegendKey val="0"/>
          <c:showVal val="0"/>
          <c:showCatName val="0"/>
          <c:showSerName val="0"/>
          <c:showPercent val="0"/>
          <c:showBubbleSize val="0"/>
        </c:dLbls>
        <c:gapWidth val="182"/>
        <c:axId val="1124780607"/>
        <c:axId val="1239969679"/>
      </c:barChart>
      <c:catAx>
        <c:axId val="112478060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9969679"/>
        <c:crosses val="autoZero"/>
        <c:auto val="1"/>
        <c:lblAlgn val="ctr"/>
        <c:lblOffset val="100"/>
        <c:noMultiLvlLbl val="0"/>
      </c:catAx>
      <c:valAx>
        <c:axId val="123996967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478060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AAB735-9C50-458B-A9DA-B29F12ADB2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Pages>
  <Words>3494</Words>
  <Characters>19920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Elena Galiceanu (2330542)</cp:lastModifiedBy>
  <cp:revision>2</cp:revision>
  <dcterms:created xsi:type="dcterms:W3CDTF">2026-09-17T12:05:00Z</dcterms:created>
  <dcterms:modified xsi:type="dcterms:W3CDTF">2026-10-14T09:11:00Z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8ae0a818-f79d-49d6-8b56-487129481ddc</vt:lpwstr>
  </property>
</Properties>
</file>