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56BA" w:rsidRDefault="00C527C9">
      <w:r>
        <w:t xml:space="preserve">NAME: VICTORIA SARAH JONES </w:t>
      </w:r>
    </w:p>
    <w:p w:rsidR="00C527C9" w:rsidRDefault="00C527C9">
      <w:r>
        <w:t>COLLAR NUMBER: 6863</w:t>
      </w:r>
      <w:r w:rsidR="004556BA">
        <w:t xml:space="preserve"> SOUTH WALES POLICE</w:t>
      </w:r>
    </w:p>
    <w:p w:rsidR="00C527C9" w:rsidRDefault="00C527C9">
      <w:r>
        <w:t>CLASS: 1-21</w:t>
      </w:r>
    </w:p>
    <w:p w:rsidR="00C527C9" w:rsidRDefault="00C527C9">
      <w:r>
        <w:t>STUDENT NUMBER: 2023716</w:t>
      </w:r>
    </w:p>
    <w:p w:rsidR="004556BA" w:rsidRDefault="004556BA">
      <w:r>
        <w:t xml:space="preserve">DATE: 01/06/2021 </w:t>
      </w:r>
    </w:p>
    <w:p w:rsidR="004556BA" w:rsidRDefault="004556BA"/>
    <w:p w:rsidR="009B049D" w:rsidRDefault="009B049D">
      <w:r>
        <w:t>Q1 – Any person in a mechanically propelled vehicle or pedal vehicle on any road or public place has to stop when told to so do by a constable in</w:t>
      </w:r>
      <w:bookmarkStart w:id="0" w:name="_GoBack"/>
      <w:bookmarkEnd w:id="0"/>
      <w:r>
        <w:t xml:space="preserve"> uniform. It is an offence to fail to stop.</w:t>
      </w:r>
    </w:p>
    <w:p w:rsidR="007C3D4A" w:rsidRDefault="007C3D4A"/>
    <w:p w:rsidR="009B049D" w:rsidRDefault="009B049D">
      <w:r>
        <w:t xml:space="preserve">Q2 – </w:t>
      </w:r>
      <w:r w:rsidR="0031589B">
        <w:t xml:space="preserve">Section 6(4) allows a constable to have reasonable grounds to pull over a driver if they believe they have committed an offence whilst driving whilst unfit through drink or drugs. </w:t>
      </w:r>
    </w:p>
    <w:p w:rsidR="007C3D4A" w:rsidRDefault="007C3D4A"/>
    <w:p w:rsidR="009B049D" w:rsidRDefault="009B049D">
      <w:r>
        <w:t xml:space="preserve">Q3 – It is an offence when driving a mechanically propelled vehicle without due care or without reasonable consideration for other road users </w:t>
      </w:r>
      <w:r w:rsidR="009130F5">
        <w:t xml:space="preserve">safety </w:t>
      </w:r>
      <w:r>
        <w:t xml:space="preserve">on any public road or place. </w:t>
      </w:r>
    </w:p>
    <w:p w:rsidR="007C3D4A" w:rsidRDefault="007C3D4A"/>
    <w:p w:rsidR="007B2D4F" w:rsidRDefault="009B049D">
      <w:r>
        <w:t>Q4</w:t>
      </w:r>
      <w:r w:rsidR="0031589B">
        <w:t xml:space="preserve"> – Effective use of the roads policing powers can help reduce unlawful activity by using them correctly when necessary. For example, more speed cameras in rural areas. Using arrest powers when needed but also when it is not necessary to arrest, issue a NIP or a TOR to reduce smaller offences being thrown out in court and having them dealt with via a NIP, TOR or fine. </w:t>
      </w:r>
    </w:p>
    <w:p w:rsidR="007C3D4A" w:rsidRDefault="007C3D4A"/>
    <w:p w:rsidR="009B049D" w:rsidRDefault="009B049D">
      <w:r>
        <w:t>Q5 – Any constable can seize a</w:t>
      </w:r>
      <w:r w:rsidR="009130F5">
        <w:t xml:space="preserve"> mechanically propelled vehicle or motorcycle</w:t>
      </w:r>
      <w:r w:rsidR="007C3D4A">
        <w:t xml:space="preserve"> </w:t>
      </w:r>
      <w:r>
        <w:t xml:space="preserve">when the driver is not insured, has a driving licence or the constable has reasonable grounds to believe they have failed to stop due to the reasons above. </w:t>
      </w:r>
    </w:p>
    <w:p w:rsidR="007C3D4A" w:rsidRDefault="007C3D4A"/>
    <w:p w:rsidR="009B049D" w:rsidRDefault="009B049D">
      <w:r>
        <w:t xml:space="preserve">Q6 – Owing the presence of a mechanically propelled vehicle, the driver has caused serious injury to any persons other than the driver, caused damage to any other vehicle, caused damage to any animal under section 170(8) RTA and any such property including public, farm property or land. </w:t>
      </w:r>
    </w:p>
    <w:p w:rsidR="007C3D4A" w:rsidRDefault="007C3D4A"/>
    <w:p w:rsidR="009B049D" w:rsidRDefault="009B049D">
      <w:r>
        <w:t>Q7 – The family liaison officer is there to support the families and victims</w:t>
      </w:r>
      <w:r w:rsidR="007C3D4A">
        <w:t xml:space="preserve"> of the fatalities</w:t>
      </w:r>
      <w:r>
        <w:t xml:space="preserve"> in a road traffic accident. </w:t>
      </w:r>
      <w:r w:rsidR="007C3D4A">
        <w:t xml:space="preserve">FLO’s can be present when the awful news of a family member has died in a result if a road traffic collision. They are there for the extra support and guidance for the victims’ families. </w:t>
      </w:r>
      <w:r>
        <w:t xml:space="preserve">FLO’s can be there to refer victims and their families to the appropriate services provided in order to support them. </w:t>
      </w:r>
      <w:r w:rsidR="008F164C">
        <w:t>FLO’s are also a link between the family and the police of any information needed to either help with their investigation and to be a support mechanism for the family involved. An FLO can arrange extra meetings with the victims and their families if they want to fur</w:t>
      </w:r>
      <w:r w:rsidR="007C3D4A">
        <w:t xml:space="preserve">ther discuss what has happened and what the process on what will happen next will be. </w:t>
      </w:r>
    </w:p>
    <w:p w:rsidR="009B049D" w:rsidRDefault="009B049D">
      <w:r>
        <w:lastRenderedPageBreak/>
        <w:t xml:space="preserve">Q8 – When a driver is involved in a road traffic collision, it is the law for the drivers to stay where they are </w:t>
      </w:r>
      <w:r w:rsidR="007C3D4A">
        <w:t xml:space="preserve">at the scene </w:t>
      </w:r>
      <w:r>
        <w:t xml:space="preserve">and not to drive away. </w:t>
      </w:r>
    </w:p>
    <w:p w:rsidR="007C3D4A" w:rsidRDefault="007C3D4A"/>
    <w:p w:rsidR="009B049D" w:rsidRDefault="009B049D">
      <w:r>
        <w:t xml:space="preserve">Q9 </w:t>
      </w:r>
      <w:r w:rsidR="00A8058E">
        <w:t>–</w:t>
      </w:r>
      <w:r>
        <w:t xml:space="preserve"> </w:t>
      </w:r>
      <w:r w:rsidR="00A8058E">
        <w:t xml:space="preserve">6E RTA is the power of entry used when a constable has reasonable grounds to suspect a driver has been driving whilst over the limit </w:t>
      </w:r>
      <w:r w:rsidR="007C3D4A">
        <w:t xml:space="preserve">of drink and drugs </w:t>
      </w:r>
      <w:r w:rsidR="00A8058E">
        <w:t>and they are in a house and no longer in the car</w:t>
      </w:r>
      <w:r w:rsidR="007C3D4A">
        <w:t xml:space="preserve"> to make an arrest</w:t>
      </w:r>
      <w:r w:rsidR="00A8058E">
        <w:t xml:space="preserve">. It also gives constables grounds to take any evidence in relation to the offence. For example, the driver tells the constable they have drank at home after they had driven and not before. This then will allow the officer to seize any bottles of alcohol. The offender with then have to provide a sample with a preliminary test in order for the constables to make a reasonable judgement on how much over the limit they are in relation to the time driven. </w:t>
      </w:r>
    </w:p>
    <w:p w:rsidR="007C3D4A" w:rsidRDefault="007C3D4A"/>
    <w:p w:rsidR="00A8058E" w:rsidRDefault="00A8058E">
      <w:r>
        <w:t xml:space="preserve">Q10 – Any person driving a mechanically propelled vehicle on any road or public place, causes death of another person by driving dangerously is guilty of the offence. </w:t>
      </w:r>
    </w:p>
    <w:p w:rsidR="007C3D4A" w:rsidRDefault="007C3D4A"/>
    <w:p w:rsidR="00A8058E" w:rsidRDefault="00A8058E">
      <w:r>
        <w:t xml:space="preserve">Q11 – 35 micrograms of alcohol in every 100 millilitres of breath </w:t>
      </w:r>
    </w:p>
    <w:p w:rsidR="00A8058E" w:rsidRDefault="00A8058E">
      <w:r>
        <w:t>80 milligrams of alcohol in every 100 millilitres of blood</w:t>
      </w:r>
    </w:p>
    <w:p w:rsidR="007136B0" w:rsidRDefault="00A8058E">
      <w:r>
        <w:t xml:space="preserve">107 </w:t>
      </w:r>
      <w:r w:rsidR="00B87EB1">
        <w:t>milligrams</w:t>
      </w:r>
      <w:r>
        <w:t xml:space="preserve"> of alcohol in every 100 millilitres of urine. </w:t>
      </w:r>
    </w:p>
    <w:p w:rsidR="007C3D4A" w:rsidRDefault="007C3D4A"/>
    <w:p w:rsidR="00B87EB1" w:rsidRDefault="00B87EB1">
      <w:r>
        <w:t>Q12 – During a suspect interview, there are a few roles of a relevant other. For example, one role for the suspect could be a solicitor. A solicitor is there to give the suspect legal advice and to ensure the interview is done correctly and legally under PACE. A solicitor is not to answer for the suspect in any way, they are simply there for legal support. Another role would be an appropriate adult. An appropriate adult can be present if the suspect is vulnerable, under the age of 18 or has additional need</w:t>
      </w:r>
      <w:r w:rsidR="00A446BF">
        <w:t xml:space="preserve">s such as a learning disability or physical disability. An appropriate adult must be over the age of 18 and must not be related to the offence the suspect is being interviewed for. The appropriate adult can be related to the suspect but is only there for support and to help the suspect to understand questions being asked and to make the constables interviewing the suspect know of any additional difficulties they might be having and to explain why they might need a question reworded differently. Another person relevant could be an interpreter. An interpreter is present when there are language barriers. An interpreter cannot be known personally to the suspect. This can cause an inaccurate interview due to the interpreter helping the suspect answer questions. </w:t>
      </w:r>
    </w:p>
    <w:p w:rsidR="00B708F4" w:rsidRDefault="00B708F4"/>
    <w:p w:rsidR="00A446BF" w:rsidRDefault="00A446BF">
      <w:r>
        <w:t xml:space="preserve">Q13 – The national police interviewing model used is PEACE. PEACE stands for planning and preparing, explain and encourage, account, clarify and challenge, Closure and Evaluate. </w:t>
      </w:r>
    </w:p>
    <w:p w:rsidR="00A446BF" w:rsidRDefault="00A446BF">
      <w:r>
        <w:t xml:space="preserve">Planning and preparing – It is vitally important to plan for an interview. The interviewer must know the interviewee. The interviewer must consider the following – who they are interviewing? Have they been interviewed before? Do they have any warning markers? Have they got any learning or physical disabilities? The age of the interviewee. Are they vulnerable? It is also important to plan and prepare the questions surrounding the offence. The questions prepared for a suspect will be for a no </w:t>
      </w:r>
      <w:r>
        <w:lastRenderedPageBreak/>
        <w:t xml:space="preserve">comment interview. Then the constable can branch off if the suspect decides to give their account of the incident. </w:t>
      </w:r>
    </w:p>
    <w:p w:rsidR="00A446BF" w:rsidRDefault="00A446BF">
      <w:r>
        <w:t xml:space="preserve">Encourage and </w:t>
      </w:r>
      <w:r w:rsidR="00FE2A72">
        <w:t>explain</w:t>
      </w:r>
      <w:r>
        <w:t xml:space="preserve"> – The interviewer will greet the </w:t>
      </w:r>
      <w:r w:rsidR="00FE2A72">
        <w:t>interviewee and build a rapport with t</w:t>
      </w:r>
      <w:r>
        <w:t>hem. The person interview will explain what w</w:t>
      </w:r>
      <w:r w:rsidR="00FE2A72">
        <w:t>ill happen during the interview and what route will be taken during the course of it. The interviewer will exercise active listening during and making sure the interviewee is aware of what is happening. This can be eye contact, nodding of the head and making verbal noises such as “</w:t>
      </w:r>
      <w:proofErr w:type="spellStart"/>
      <w:r w:rsidR="00FE2A72">
        <w:t>mmhm</w:t>
      </w:r>
      <w:proofErr w:type="spellEnd"/>
      <w:r w:rsidR="00FE2A72">
        <w:t xml:space="preserve">” to ensure the victim/ suspect is being listened to. </w:t>
      </w:r>
    </w:p>
    <w:p w:rsidR="00A446BF" w:rsidRDefault="00A446BF">
      <w:r>
        <w:t>Account, Clarify and Challenge. –</w:t>
      </w:r>
      <w:r w:rsidR="00FE2A72">
        <w:t xml:space="preserve"> When interviewing is it important to give the suspect/ witness free speech to explain their version of events. The interviewer will then clarify what the suspect/ witness has said and ask them questions based on the topics the interviewer has identified via the spider diagram method. The interviewer can then then use the evidence gathered from the suspect to challenge any discrepancies in their account of events. </w:t>
      </w:r>
    </w:p>
    <w:p w:rsidR="00FE2A72" w:rsidRDefault="00FE2A72">
      <w:r>
        <w:t xml:space="preserve">Closure – The closure part of the interview gives the interviewer a chance to discuss with the suspect/witness what will happen next. They will explain the process on what will happen to the interview as evidence and evidence in court. They will also explain the further support services that are provided if the suspect/ witness may need or want after the interview. </w:t>
      </w:r>
    </w:p>
    <w:p w:rsidR="00A8058E" w:rsidRDefault="00FE2A72">
      <w:r>
        <w:t>Evaluate – This gives the investigating officer/ interviewer chance to review and look over evidence that may have been given to them during the interview. This will also give constables chance to contact the relevant people such as CSI/ Forensics if needed. It may mean that</w:t>
      </w:r>
      <w:r w:rsidR="00B708F4">
        <w:t xml:space="preserve"> constables may have to revisit the scene of crime to marry up information given in the interview. New names of people may have been mentioned to which will also need to be chased up and investigated. </w:t>
      </w:r>
    </w:p>
    <w:p w:rsidR="00B708F4" w:rsidRDefault="00B708F4"/>
    <w:p w:rsidR="00B708F4" w:rsidRDefault="00B708F4">
      <w:r>
        <w:t>Q14 – Coercive b</w:t>
      </w:r>
      <w:r w:rsidR="00E41012">
        <w:t>ehaviour is when the offender repeatedly and continuously uses behaviour against a person</w:t>
      </w:r>
      <w:r w:rsidR="007C3D4A">
        <w:t xml:space="preserve"> who </w:t>
      </w:r>
      <w:r w:rsidR="007136B0">
        <w:t>is</w:t>
      </w:r>
      <w:r w:rsidR="007C3D4A">
        <w:t xml:space="preserve"> personally known to the offender</w:t>
      </w:r>
      <w:r w:rsidR="00E41012">
        <w:t xml:space="preserve"> that is controlling and coercive which causes serious harm on that person and the offender knows or ought </w:t>
      </w:r>
      <w:r w:rsidR="00E66E77">
        <w:t xml:space="preserve">to know it </w:t>
      </w:r>
      <w:r w:rsidR="007136B0">
        <w:t>is causing</w:t>
      </w:r>
      <w:r w:rsidR="00E66E77">
        <w:t xml:space="preserve"> serious harm. </w:t>
      </w:r>
    </w:p>
    <w:p w:rsidR="007C3D4A" w:rsidRDefault="007C3D4A"/>
    <w:p w:rsidR="00E66E77" w:rsidRDefault="00E66E77">
      <w:r>
        <w:t xml:space="preserve">Q15 – The new offence coercive control is so important due to it being recognised as a form of abuse and serious crime. The offence can become a defence to men and women experiencing coercion and allows them to seek help when this is happening. </w:t>
      </w:r>
    </w:p>
    <w:p w:rsidR="007C3D4A" w:rsidRDefault="007C3D4A"/>
    <w:p w:rsidR="00E66E77" w:rsidRDefault="00E66E77">
      <w:r>
        <w:t xml:space="preserve">Q16 – Section 46 allows a constable to remove a child from a parent/ guardian/ carers company. </w:t>
      </w:r>
      <w:r w:rsidR="008F164C">
        <w:t>A model that can be followed is</w:t>
      </w:r>
      <w:r>
        <w:t xml:space="preserve"> ASPHIRE</w:t>
      </w:r>
    </w:p>
    <w:p w:rsidR="00E66E77" w:rsidRDefault="00E66E77">
      <w:r>
        <w:t xml:space="preserve">A – Arrest. An arrest can be made to remove the suspect that is causing the child harm. </w:t>
      </w:r>
    </w:p>
    <w:p w:rsidR="00E66E77" w:rsidRDefault="00E66E77">
      <w:r>
        <w:t>S –</w:t>
      </w:r>
      <w:r w:rsidR="007C3D4A">
        <w:t xml:space="preserve"> Suspect to be interviewed immediately. </w:t>
      </w:r>
    </w:p>
    <w:p w:rsidR="00E66E77" w:rsidRDefault="00E66E77">
      <w:r>
        <w:t xml:space="preserve">P – Photographs – any photographs should be made of any injuries made to the child, the conditions the child is living in. The types of clothing they are wearing. What food is available? Photos of where the child sleeps. </w:t>
      </w:r>
    </w:p>
    <w:p w:rsidR="00E66E77" w:rsidRDefault="00E66E77">
      <w:r>
        <w:t xml:space="preserve">H – Highlight </w:t>
      </w:r>
      <w:r w:rsidR="008F164C">
        <w:t>the photographs taken with CSI.</w:t>
      </w:r>
    </w:p>
    <w:p w:rsidR="00E66E77" w:rsidRDefault="00E66E77">
      <w:r>
        <w:t>I – Interview</w:t>
      </w:r>
      <w:r w:rsidR="008F164C">
        <w:t xml:space="preserve"> – Interviewing the children, offender and family. </w:t>
      </w:r>
    </w:p>
    <w:p w:rsidR="00E66E77" w:rsidRDefault="00E66E77">
      <w:r>
        <w:lastRenderedPageBreak/>
        <w:t>R – Risk assessment</w:t>
      </w:r>
      <w:r w:rsidR="008F164C">
        <w:t xml:space="preserve"> – Risk asses if the child can be taken back into their parents/ guardians custody. </w:t>
      </w:r>
    </w:p>
    <w:p w:rsidR="00E66E77" w:rsidRDefault="00E66E77">
      <w:r>
        <w:t xml:space="preserve">E – </w:t>
      </w:r>
      <w:proofErr w:type="gramStart"/>
      <w:r>
        <w:t xml:space="preserve">Evaluate </w:t>
      </w:r>
      <w:r w:rsidR="008F164C">
        <w:t xml:space="preserve"> -</w:t>
      </w:r>
      <w:proofErr w:type="gramEnd"/>
      <w:r w:rsidR="008F164C">
        <w:t xml:space="preserve"> submit a PPN and disclose information to the relevant agencies. </w:t>
      </w:r>
    </w:p>
    <w:p w:rsidR="00E66E77" w:rsidRDefault="00E66E77"/>
    <w:p w:rsidR="00E66E77" w:rsidRDefault="00E66E77">
      <w:r>
        <w:t xml:space="preserve">Q17 – Section 1 of the Child and Young Persons Act – Anyone over the age of 16 that has the responsibility of a child under the age of 16, wilfully harms, neglects and causes serious harm to that child is guilty of the offence. </w:t>
      </w:r>
    </w:p>
    <w:p w:rsidR="00E66E77" w:rsidRDefault="00E66E77"/>
    <w:p w:rsidR="00E66E77" w:rsidRDefault="00E66E77">
      <w:r>
        <w:t xml:space="preserve">Q18 – </w:t>
      </w:r>
      <w:r w:rsidR="008F164C">
        <w:t xml:space="preserve">During domestic abuse, the problem will need to be identified. Who is the offender and who is the victim. The officer investigating will need to </w:t>
      </w:r>
      <w:r w:rsidR="0023293D">
        <w:t xml:space="preserve">identify why the domestic abuse is happening and the issues surrounding it. This will then need to be assessed. The constable will need to assess the risk of the victims involved and rank it from low to high and submit a PPN. Questions will be asked to the victim and the offender. They will both need to be questioned in different rooms or area of the home. It will then be decided on how the situation will be managed. An officer will submit a PPN as well as a DVPN if needed or if the offender has committed a crime, they will be arrested and taken into custody. </w:t>
      </w:r>
    </w:p>
    <w:p w:rsidR="00E66E77" w:rsidRDefault="00E66E77"/>
    <w:p w:rsidR="00E66E77" w:rsidRDefault="00E66E77">
      <w:r>
        <w:t>Q19 – A PPN is issued when there is anyone who is vulnerable or a victim of domestic</w:t>
      </w:r>
      <w:r w:rsidR="00A21311">
        <w:t xml:space="preserve"> violence. A PPN is made up of 29 </w:t>
      </w:r>
      <w:r>
        <w:t>questions</w:t>
      </w:r>
      <w:r w:rsidR="00A21311">
        <w:t>, 18 of those being high risk questions</w:t>
      </w:r>
      <w:r>
        <w:t xml:space="preserve"> using the DASH model (Domestic Violence Stalking and Harassment). Anyone who you believe may be vulnerable, a PPN must be submitted. A PPN will automatically need to be submitted during any domestic violence incident. This will then deem the risk level of the victim/ vulnerable person. </w:t>
      </w:r>
      <w:r w:rsidR="00A21311">
        <w:t xml:space="preserve">This will then allow other agencies to become involved with the victim. </w:t>
      </w:r>
    </w:p>
    <w:p w:rsidR="007C3D4A" w:rsidRDefault="007C3D4A"/>
    <w:p w:rsidR="00A21311" w:rsidRDefault="00A21311">
      <w:r>
        <w:t>Q20 –</w:t>
      </w:r>
      <w:r w:rsidR="007136B0">
        <w:t xml:space="preserve"> A DVPN </w:t>
      </w:r>
      <w:r>
        <w:t xml:space="preserve">is a domestic violence protection notice. </w:t>
      </w:r>
      <w:r w:rsidR="007136B0">
        <w:t>In a domestic violence incident, and the offender cannot be arrested, a</w:t>
      </w:r>
      <w:r>
        <w:t xml:space="preserve"> constable</w:t>
      </w:r>
      <w:r w:rsidR="007136B0">
        <w:t xml:space="preserve"> can submit a DVPN </w:t>
      </w:r>
      <w:r>
        <w:t>which will keep an offender or possible offender away from the victim for 14 day which will give the victim a chance to decide what they would like to do next e.g. leave the offender etc. The offender does not have to live with the victim for a DVPN to be submitted. If the offender breaches the conditions of the DVPN they will be arrested and taken to custody. During this time, the constable can submit a DVPO which is a domestic violence protection order which will then be sent to the magistrate’s court. They will then make the decision on the DVPO and the period can extend from 14</w:t>
      </w:r>
      <w:r w:rsidR="007136B0">
        <w:t xml:space="preserve"> </w:t>
      </w:r>
      <w:r>
        <w:t xml:space="preserve">days to 28 days. </w:t>
      </w:r>
    </w:p>
    <w:p w:rsidR="007C3D4A" w:rsidRDefault="007C3D4A"/>
    <w:p w:rsidR="00A21311" w:rsidRDefault="00A21311">
      <w:r>
        <w:t xml:space="preserve">Q21 – Child sexual exploitation or CSE is a form of </w:t>
      </w:r>
      <w:r w:rsidR="009C4F10">
        <w:t xml:space="preserve">control, </w:t>
      </w:r>
      <w:r>
        <w:t>coercion</w:t>
      </w:r>
      <w:r w:rsidR="009C4F10">
        <w:t xml:space="preserve"> and child abuse</w:t>
      </w:r>
      <w:r>
        <w:t>. An individual or group of people that take advantage of a child with their size, power and status and groom</w:t>
      </w:r>
      <w:r w:rsidR="009C4F10">
        <w:t xml:space="preserve"> and coerce </w:t>
      </w:r>
      <w:r>
        <w:t xml:space="preserve">the child with items they </w:t>
      </w:r>
      <w:r w:rsidR="009C4F10">
        <w:t xml:space="preserve">think they </w:t>
      </w:r>
      <w:r>
        <w:t xml:space="preserve">“need” in return for sexual gratification. These groups or individuals take advantage on children who are vulnerable whether they have learning disabilities, from a working class background, are victims of abuse and give these children what they “want” or “need”. These needs and wants could be alcohol, money, free food, drugs or cigarettes, and these are used groom these children in order for the offender to have sex with them in return for these items. </w:t>
      </w:r>
    </w:p>
    <w:p w:rsidR="0031589B" w:rsidRDefault="0031589B"/>
    <w:p w:rsidR="0031589B" w:rsidRDefault="0031589B">
      <w:r>
        <w:lastRenderedPageBreak/>
        <w:t>Q22 – Sarah’s law was created after the tragic death of Sarah Payne. The law allows parents, grandparents, carers, guardians and schools to be able to obtain information on people who could be possible sex offender</w:t>
      </w:r>
      <w:r w:rsidR="007C3D4A">
        <w:t>s</w:t>
      </w:r>
      <w:r>
        <w:t xml:space="preserve"> and about the background of the offenders. This prevents these offenders from being employed by employers based around children such as schools or youth clubs and also for families to feel safer of who their children are around. This is to help prevent the tragic events that happened to Sarah Payne happen to another child. </w:t>
      </w:r>
    </w:p>
    <w:p w:rsidR="007C3D4A" w:rsidRDefault="007C3D4A"/>
    <w:p w:rsidR="0031589B" w:rsidRDefault="0031589B">
      <w:r>
        <w:t xml:space="preserve">Q23 – </w:t>
      </w:r>
      <w:r w:rsidR="005E58B8">
        <w:t>Evidential presumptions that can be made in court is that children under the age of 13 cannot give consent. Also, a person must have the capacity to give consent and know what consent is. Another presumption a court can make is that someone is able to give consent but they don’t have the capacity to understand what consent is</w:t>
      </w:r>
      <w:r w:rsidR="007C3D4A">
        <w:t>. The c</w:t>
      </w:r>
      <w:r w:rsidR="005E58B8">
        <w:t xml:space="preserve">ourt can also presume that the victim did give consent when they didn’t. </w:t>
      </w:r>
      <w:r w:rsidR="007C3D4A">
        <w:t>For example, a victim can freeze during rape, the c</w:t>
      </w:r>
      <w:r w:rsidR="005E58B8">
        <w:t>ourt can presume that they gave consent due to the victim not fighting back.</w:t>
      </w:r>
    </w:p>
    <w:p w:rsidR="007C3D4A" w:rsidRDefault="007C3D4A"/>
    <w:p w:rsidR="0031589B" w:rsidRDefault="0031589B">
      <w:r>
        <w:t xml:space="preserve">Q24 – </w:t>
      </w:r>
      <w:r w:rsidR="005E58B8">
        <w:t xml:space="preserve">The overriding objectives </w:t>
      </w:r>
    </w:p>
    <w:p w:rsidR="005E58B8" w:rsidRDefault="005E58B8" w:rsidP="005E58B8">
      <w:pPr>
        <w:pStyle w:val="ListParagraph"/>
        <w:numPr>
          <w:ilvl w:val="0"/>
          <w:numId w:val="1"/>
        </w:numPr>
      </w:pPr>
      <w:r>
        <w:t xml:space="preserve">Evidence </w:t>
      </w:r>
    </w:p>
    <w:p w:rsidR="005E58B8" w:rsidRDefault="005E58B8" w:rsidP="005E58B8">
      <w:pPr>
        <w:pStyle w:val="ListParagraph"/>
        <w:numPr>
          <w:ilvl w:val="0"/>
          <w:numId w:val="1"/>
        </w:numPr>
      </w:pPr>
      <w:r>
        <w:t xml:space="preserve">Victim statement </w:t>
      </w:r>
    </w:p>
    <w:p w:rsidR="005E58B8" w:rsidRDefault="005E58B8" w:rsidP="005E58B8">
      <w:pPr>
        <w:pStyle w:val="ListParagraph"/>
        <w:numPr>
          <w:ilvl w:val="0"/>
          <w:numId w:val="1"/>
        </w:numPr>
      </w:pPr>
      <w:r>
        <w:t xml:space="preserve">Suspect statement </w:t>
      </w:r>
    </w:p>
    <w:p w:rsidR="005E58B8" w:rsidRDefault="005E58B8" w:rsidP="005E58B8">
      <w:pPr>
        <w:pStyle w:val="ListParagraph"/>
        <w:numPr>
          <w:ilvl w:val="0"/>
          <w:numId w:val="1"/>
        </w:numPr>
      </w:pPr>
      <w:r>
        <w:t>Police statement</w:t>
      </w:r>
    </w:p>
    <w:p w:rsidR="005E58B8" w:rsidRDefault="005E58B8" w:rsidP="005E58B8">
      <w:pPr>
        <w:ind w:left="360"/>
      </w:pPr>
    </w:p>
    <w:p w:rsidR="0031589B" w:rsidRDefault="0031589B">
      <w:r>
        <w:t xml:space="preserve">Q25 </w:t>
      </w:r>
      <w:r w:rsidR="005E58B8">
        <w:t>–</w:t>
      </w:r>
      <w:r>
        <w:t xml:space="preserve"> </w:t>
      </w:r>
      <w:r w:rsidR="005E58B8">
        <w:t xml:space="preserve">The full code test is when all information and evidence gathered has passed all the points to prove. For example, there must be enough evidence for CPS to able to make a decision on whether someone can be prosecuted or need more evidence. </w:t>
      </w:r>
    </w:p>
    <w:p w:rsidR="00A21311" w:rsidRDefault="00A21311"/>
    <w:p w:rsidR="00A21311" w:rsidRDefault="00A21311"/>
    <w:p w:rsidR="00A8058E" w:rsidRDefault="00A8058E"/>
    <w:p w:rsidR="004556BA" w:rsidRDefault="004556BA"/>
    <w:sectPr w:rsidR="004556BA" w:rsidSect="00C33DC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30F5" w:rsidRDefault="009130F5" w:rsidP="00C33DCD">
      <w:pPr>
        <w:spacing w:after="0" w:line="240" w:lineRule="auto"/>
      </w:pPr>
      <w:r>
        <w:separator/>
      </w:r>
    </w:p>
  </w:endnote>
  <w:endnote w:type="continuationSeparator" w:id="0">
    <w:p w:rsidR="009130F5" w:rsidRDefault="009130F5" w:rsidP="00C33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30F5" w:rsidRDefault="007136B0" w:rsidP="007136B0">
    <w:pPr>
      <w:pStyle w:val="Footer"/>
      <w:rPr>
        <w:color w:val="000000"/>
        <w:sz w:val="17"/>
      </w:rPr>
    </w:pPr>
    <w:bookmarkStart w:id="3" w:name="TITUS1FooterEvenPages"/>
    <w:r>
      <w:rPr>
        <w:color w:val="000000"/>
        <w:sz w:val="17"/>
      </w:rPr>
      <w:t> </w:t>
    </w:r>
  </w:p>
  <w:bookmarkEnd w:id="3"/>
  <w:p w:rsidR="009130F5" w:rsidRDefault="009130F5" w:rsidP="00C33DCD">
    <w:pPr>
      <w:pStyle w:val="Footer"/>
    </w:pPr>
  </w:p>
  <w:p w:rsidR="009130F5" w:rsidRDefault="009130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30F5" w:rsidRDefault="007136B0" w:rsidP="007136B0">
    <w:pPr>
      <w:pStyle w:val="Footer"/>
      <w:rPr>
        <w:color w:val="000000"/>
        <w:sz w:val="17"/>
      </w:rPr>
    </w:pPr>
    <w:bookmarkStart w:id="4" w:name="TITUS1FooterPrimary"/>
    <w:r>
      <w:rPr>
        <w:color w:val="000000"/>
        <w:sz w:val="17"/>
      </w:rPr>
      <w:t> </w:t>
    </w:r>
  </w:p>
  <w:bookmarkEnd w:id="4"/>
  <w:p w:rsidR="009130F5" w:rsidRDefault="009130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30F5" w:rsidRDefault="007136B0" w:rsidP="007136B0">
    <w:pPr>
      <w:pStyle w:val="Footer"/>
      <w:rPr>
        <w:color w:val="000000"/>
        <w:sz w:val="17"/>
      </w:rPr>
    </w:pPr>
    <w:bookmarkStart w:id="6" w:name="TITUS1FooterFirstPage"/>
    <w:r>
      <w:rPr>
        <w:color w:val="000000"/>
        <w:sz w:val="17"/>
      </w:rPr>
      <w:t> </w:t>
    </w:r>
  </w:p>
  <w:bookmarkEnd w:id="6"/>
  <w:p w:rsidR="009130F5" w:rsidRDefault="00913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30F5" w:rsidRDefault="009130F5" w:rsidP="00C33DCD">
      <w:pPr>
        <w:spacing w:after="0" w:line="240" w:lineRule="auto"/>
      </w:pPr>
      <w:r>
        <w:separator/>
      </w:r>
    </w:p>
  </w:footnote>
  <w:footnote w:type="continuationSeparator" w:id="0">
    <w:p w:rsidR="009130F5" w:rsidRDefault="009130F5" w:rsidP="00C33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30F5" w:rsidRDefault="007136B0" w:rsidP="007136B0">
    <w:pPr>
      <w:pStyle w:val="Header"/>
      <w:rPr>
        <w:color w:val="000000"/>
        <w:sz w:val="17"/>
      </w:rPr>
    </w:pPr>
    <w:bookmarkStart w:id="1" w:name="TITUS1HeaderEvenPages"/>
    <w:r>
      <w:rPr>
        <w:color w:val="000000"/>
        <w:sz w:val="17"/>
      </w:rPr>
      <w:t> </w:t>
    </w:r>
  </w:p>
  <w:bookmarkEnd w:id="1"/>
  <w:p w:rsidR="009130F5" w:rsidRDefault="009130F5" w:rsidP="00C33DCD">
    <w:pPr>
      <w:pStyle w:val="Header"/>
    </w:pPr>
  </w:p>
  <w:p w:rsidR="009130F5" w:rsidRDefault="009130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30F5" w:rsidRDefault="007136B0" w:rsidP="007136B0">
    <w:pPr>
      <w:pStyle w:val="Header"/>
      <w:rPr>
        <w:color w:val="000000"/>
        <w:sz w:val="17"/>
      </w:rPr>
    </w:pPr>
    <w:bookmarkStart w:id="2" w:name="TITUS1HeaderPrimary"/>
    <w:r>
      <w:rPr>
        <w:color w:val="000000"/>
        <w:sz w:val="17"/>
      </w:rPr>
      <w:t> </w:t>
    </w:r>
  </w:p>
  <w:bookmarkEnd w:id="2"/>
  <w:p w:rsidR="009130F5" w:rsidRDefault="009130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30F5" w:rsidRDefault="007136B0" w:rsidP="007136B0">
    <w:pPr>
      <w:pStyle w:val="Header"/>
      <w:rPr>
        <w:color w:val="000000"/>
        <w:sz w:val="17"/>
      </w:rPr>
    </w:pPr>
    <w:bookmarkStart w:id="5" w:name="TITUS1HeaderFirstPage"/>
    <w:r>
      <w:rPr>
        <w:color w:val="000000"/>
        <w:sz w:val="17"/>
      </w:rPr>
      <w:t> </w:t>
    </w:r>
  </w:p>
  <w:bookmarkEnd w:id="5"/>
  <w:p w:rsidR="009130F5" w:rsidRDefault="009130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E65160"/>
    <w:multiLevelType w:val="hybridMultilevel"/>
    <w:tmpl w:val="104CB882"/>
    <w:lvl w:ilvl="0" w:tplc="99B8B8B2">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DCD"/>
    <w:rsid w:val="0023293D"/>
    <w:rsid w:val="002979FA"/>
    <w:rsid w:val="0031589B"/>
    <w:rsid w:val="004556BA"/>
    <w:rsid w:val="004D5899"/>
    <w:rsid w:val="005E58B8"/>
    <w:rsid w:val="007136B0"/>
    <w:rsid w:val="007B2D4F"/>
    <w:rsid w:val="007C3D4A"/>
    <w:rsid w:val="008F164C"/>
    <w:rsid w:val="009130F5"/>
    <w:rsid w:val="00977CE4"/>
    <w:rsid w:val="009B049D"/>
    <w:rsid w:val="009C4F10"/>
    <w:rsid w:val="00A21311"/>
    <w:rsid w:val="00A446BF"/>
    <w:rsid w:val="00A8058E"/>
    <w:rsid w:val="00B708F4"/>
    <w:rsid w:val="00B87EB1"/>
    <w:rsid w:val="00C33DCD"/>
    <w:rsid w:val="00C527C9"/>
    <w:rsid w:val="00CB3189"/>
    <w:rsid w:val="00E41012"/>
    <w:rsid w:val="00E66E77"/>
    <w:rsid w:val="00FE2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49C0E"/>
  <w15:chartTrackingRefBased/>
  <w15:docId w15:val="{58281D23-2712-4372-9BDD-19E056ACE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3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DCD"/>
  </w:style>
  <w:style w:type="paragraph" w:styleId="Footer">
    <w:name w:val="footer"/>
    <w:basedOn w:val="Normal"/>
    <w:link w:val="FooterChar"/>
    <w:uiPriority w:val="99"/>
    <w:unhideWhenUsed/>
    <w:rsid w:val="00C33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DCD"/>
  </w:style>
  <w:style w:type="paragraph" w:styleId="ListParagraph">
    <w:name w:val="List Paragraph"/>
    <w:basedOn w:val="Normal"/>
    <w:uiPriority w:val="34"/>
    <w:qFormat/>
    <w:rsid w:val="005E58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1954</Words>
  <Characters>11142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Jones,Victoria swp6863</dc:creator>
  <cp:keywords/>
  <dc:description/>
  <cp:lastModifiedBy>Jones,Victoria swp6863</cp:lastModifiedBy>
  <cp:revision>2</cp:revision>
  <dcterms:created xsi:type="dcterms:W3CDTF">2021-06-01T10:04:00Z</dcterms:created>
  <dcterms:modified xsi:type="dcterms:W3CDTF">2021-06-01T10:04:00Z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098018ad-41e1-4889-8e05-ddcacd1dcd5e</vt:lpwstr>
  </property>
  <property fmtid="{D5CDD505-2E9C-101B-9397-08002B2CF9AE}" pid="3" name="Classification">
    <vt:lpwstr>OFFICIAL</vt:lpwstr>
  </property>
  <property fmtid="{D5CDD505-2E9C-101B-9397-08002B2CF9AE}" pid="4" name="Visibility">
    <vt:lpwstr>NOT VISIBLE</vt:lpwstr>
  </property>
</Properties>
</file>