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E5566" w14:textId="77777777" w:rsidR="00951FC0" w:rsidRPr="00951FC0" w:rsidRDefault="00951FC0" w:rsidP="00951FC0">
      <w:pPr>
        <w:rPr>
          <w:szCs w:val="24"/>
        </w:rPr>
      </w:pPr>
    </w:p>
    <w:p w14:paraId="2BAF14E7" w14:textId="77777777" w:rsidR="00951FC0" w:rsidRPr="00951FC0" w:rsidRDefault="00951FC0" w:rsidP="00951FC0">
      <w:pPr>
        <w:rPr>
          <w:szCs w:val="24"/>
        </w:rPr>
      </w:pPr>
    </w:p>
    <w:p w14:paraId="76C1BC81" w14:textId="77777777" w:rsidR="00951FC0" w:rsidRPr="00951FC0" w:rsidRDefault="00951FC0" w:rsidP="00951FC0">
      <w:pPr>
        <w:rPr>
          <w:szCs w:val="24"/>
        </w:rPr>
      </w:pPr>
    </w:p>
    <w:p w14:paraId="016991DC" w14:textId="77777777" w:rsidR="00951FC0" w:rsidRPr="00951FC0" w:rsidRDefault="00951FC0" w:rsidP="00951FC0">
      <w:pPr>
        <w:rPr>
          <w:szCs w:val="24"/>
        </w:rPr>
      </w:pPr>
    </w:p>
    <w:p w14:paraId="4A0D551A" w14:textId="77777777" w:rsidR="00951FC0" w:rsidRDefault="00951FC0" w:rsidP="00951FC0">
      <w:pPr>
        <w:rPr>
          <w:szCs w:val="24"/>
        </w:rPr>
      </w:pPr>
    </w:p>
    <w:p w14:paraId="2F38EBFC" w14:textId="77777777" w:rsidR="00230B12" w:rsidRPr="00951FC0" w:rsidRDefault="00230B12" w:rsidP="00951FC0">
      <w:pPr>
        <w:rPr>
          <w:szCs w:val="24"/>
        </w:rPr>
      </w:pPr>
    </w:p>
    <w:p w14:paraId="7C86986A" w14:textId="3FFDF3A1" w:rsidR="00951FC0" w:rsidRPr="00951FC0" w:rsidRDefault="00951FC0" w:rsidP="00951FC0">
      <w:pPr>
        <w:rPr>
          <w:szCs w:val="24"/>
        </w:rPr>
      </w:pPr>
    </w:p>
    <w:p w14:paraId="52921B3C" w14:textId="565A0065" w:rsidR="00951FC0" w:rsidRPr="00951FC0" w:rsidRDefault="00951FC0" w:rsidP="00951FC0">
      <w:pPr>
        <w:rPr>
          <w:b/>
          <w:bCs/>
          <w:sz w:val="24"/>
          <w:szCs w:val="24"/>
          <w:lang w:val="en-US"/>
        </w:rPr>
      </w:pPr>
      <w:r w:rsidRPr="00951FC0">
        <w:rPr>
          <w:b/>
          <w:bCs/>
          <w:sz w:val="24"/>
          <w:szCs w:val="24"/>
        </w:rPr>
        <w:t>Module:</w:t>
      </w:r>
      <w:r>
        <w:rPr>
          <w:b/>
          <w:bCs/>
          <w:sz w:val="24"/>
          <w:szCs w:val="24"/>
        </w:rPr>
        <w:t xml:space="preserve"> </w:t>
      </w:r>
      <w:r>
        <w:rPr>
          <w:b/>
          <w:bCs/>
          <w:sz w:val="24"/>
          <w:szCs w:val="24"/>
        </w:rPr>
        <w:tab/>
      </w:r>
      <w:r>
        <w:rPr>
          <w:b/>
          <w:bCs/>
          <w:sz w:val="24"/>
          <w:szCs w:val="24"/>
        </w:rPr>
        <w:tab/>
      </w:r>
      <w:r w:rsidRPr="00951FC0">
        <w:rPr>
          <w:i/>
          <w:iCs/>
          <w:sz w:val="24"/>
          <w:szCs w:val="24"/>
          <w:lang w:val="en-US"/>
        </w:rPr>
        <w:t>Strategic Management for Business</w:t>
      </w:r>
    </w:p>
    <w:p w14:paraId="79194B98" w14:textId="55CDF4BD" w:rsidR="00951FC0" w:rsidRPr="00951FC0" w:rsidRDefault="00951FC0" w:rsidP="00951FC0">
      <w:pPr>
        <w:rPr>
          <w:b/>
          <w:bCs/>
          <w:sz w:val="24"/>
          <w:szCs w:val="24"/>
        </w:rPr>
      </w:pPr>
      <w:r w:rsidRPr="00951FC0">
        <w:rPr>
          <w:b/>
          <w:bCs/>
          <w:sz w:val="24"/>
          <w:szCs w:val="24"/>
        </w:rPr>
        <w:t>Module code:</w:t>
      </w:r>
      <w:r w:rsidRPr="00951FC0">
        <w:rPr>
          <w:i/>
          <w:iCs/>
          <w:sz w:val="24"/>
          <w:szCs w:val="24"/>
        </w:rPr>
        <w:t xml:space="preserve"> </w:t>
      </w:r>
      <w:r>
        <w:rPr>
          <w:i/>
          <w:iCs/>
          <w:sz w:val="24"/>
          <w:szCs w:val="24"/>
        </w:rPr>
        <w:tab/>
      </w:r>
      <w:r w:rsidRPr="00951FC0">
        <w:rPr>
          <w:i/>
          <w:iCs/>
          <w:sz w:val="24"/>
          <w:szCs w:val="24"/>
        </w:rPr>
        <w:t>LCLM6001</w:t>
      </w:r>
    </w:p>
    <w:p w14:paraId="62710A58" w14:textId="5932CC87" w:rsidR="00951FC0" w:rsidRPr="00951FC0" w:rsidRDefault="00951FC0" w:rsidP="00951FC0">
      <w:pPr>
        <w:rPr>
          <w:b/>
          <w:bCs/>
          <w:sz w:val="24"/>
          <w:szCs w:val="24"/>
        </w:rPr>
      </w:pPr>
      <w:r w:rsidRPr="00951FC0">
        <w:rPr>
          <w:b/>
          <w:bCs/>
          <w:sz w:val="24"/>
          <w:szCs w:val="24"/>
        </w:rPr>
        <w:t>Student Name:</w:t>
      </w:r>
      <w:r>
        <w:rPr>
          <w:b/>
          <w:bCs/>
          <w:sz w:val="24"/>
          <w:szCs w:val="24"/>
        </w:rPr>
        <w:t xml:space="preserve"> </w:t>
      </w:r>
      <w:r>
        <w:rPr>
          <w:b/>
          <w:bCs/>
          <w:sz w:val="24"/>
          <w:szCs w:val="24"/>
        </w:rPr>
        <w:tab/>
      </w:r>
      <w:r w:rsidRPr="00951FC0">
        <w:rPr>
          <w:sz w:val="24"/>
          <w:szCs w:val="24"/>
        </w:rPr>
        <w:t>Daniel Calin</w:t>
      </w:r>
    </w:p>
    <w:p w14:paraId="4A2BA909" w14:textId="1D94D52C" w:rsidR="00951FC0" w:rsidRPr="00951FC0" w:rsidRDefault="00951FC0" w:rsidP="00951FC0">
      <w:pPr>
        <w:rPr>
          <w:b/>
          <w:bCs/>
          <w:sz w:val="24"/>
          <w:szCs w:val="24"/>
        </w:rPr>
      </w:pPr>
      <w:r w:rsidRPr="00951FC0">
        <w:rPr>
          <w:b/>
          <w:bCs/>
          <w:sz w:val="24"/>
          <w:szCs w:val="24"/>
        </w:rPr>
        <w:t>Student Id</w:t>
      </w:r>
      <w:r>
        <w:rPr>
          <w:b/>
          <w:bCs/>
          <w:sz w:val="24"/>
          <w:szCs w:val="24"/>
        </w:rPr>
        <w:t xml:space="preserve">: </w:t>
      </w:r>
      <w:r>
        <w:rPr>
          <w:b/>
          <w:bCs/>
          <w:sz w:val="24"/>
          <w:szCs w:val="24"/>
        </w:rPr>
        <w:tab/>
      </w:r>
      <w:r>
        <w:rPr>
          <w:b/>
          <w:bCs/>
          <w:sz w:val="24"/>
          <w:szCs w:val="24"/>
        </w:rPr>
        <w:tab/>
      </w:r>
      <w:r w:rsidRPr="00951FC0">
        <w:rPr>
          <w:sz w:val="24"/>
          <w:szCs w:val="24"/>
        </w:rPr>
        <w:t>2231912</w:t>
      </w:r>
    </w:p>
    <w:p w14:paraId="080088C1" w14:textId="71C2B35A" w:rsidR="00951FC0" w:rsidRPr="00951FC0" w:rsidRDefault="00951FC0" w:rsidP="00951FC0">
      <w:pPr>
        <w:rPr>
          <w:b/>
          <w:bCs/>
          <w:sz w:val="24"/>
          <w:szCs w:val="24"/>
        </w:rPr>
      </w:pPr>
      <w:r w:rsidRPr="00951FC0">
        <w:rPr>
          <w:b/>
          <w:bCs/>
          <w:sz w:val="24"/>
          <w:szCs w:val="24"/>
        </w:rPr>
        <w:t>Module Leaders:</w:t>
      </w:r>
      <w:r>
        <w:rPr>
          <w:b/>
          <w:bCs/>
          <w:sz w:val="24"/>
          <w:szCs w:val="24"/>
        </w:rPr>
        <w:t xml:space="preserve"> </w:t>
      </w:r>
      <w:r>
        <w:rPr>
          <w:b/>
          <w:bCs/>
          <w:sz w:val="24"/>
          <w:szCs w:val="24"/>
        </w:rPr>
        <w:tab/>
      </w:r>
      <w:r w:rsidRPr="00951FC0">
        <w:rPr>
          <w:sz w:val="24"/>
          <w:szCs w:val="24"/>
        </w:rPr>
        <w:t>Ibrahim Rufai</w:t>
      </w:r>
      <w:r w:rsidRPr="00951FC0">
        <w:rPr>
          <w:b/>
          <w:bCs/>
          <w:sz w:val="24"/>
          <w:szCs w:val="24"/>
        </w:rPr>
        <w:t> </w:t>
      </w:r>
    </w:p>
    <w:p w14:paraId="178AF65C" w14:textId="556770A4" w:rsidR="00951FC0" w:rsidRPr="00951FC0" w:rsidRDefault="00951FC0" w:rsidP="00951FC0">
      <w:pPr>
        <w:rPr>
          <w:b/>
          <w:bCs/>
          <w:sz w:val="24"/>
          <w:szCs w:val="24"/>
        </w:rPr>
      </w:pPr>
      <w:r w:rsidRPr="00951FC0">
        <w:rPr>
          <w:b/>
          <w:bCs/>
          <w:sz w:val="24"/>
          <w:szCs w:val="24"/>
        </w:rPr>
        <w:t>Assignment Title:</w:t>
      </w:r>
      <w:r w:rsidRPr="00951FC0">
        <w:rPr>
          <w:b/>
          <w:bCs/>
          <w:szCs w:val="24"/>
        </w:rPr>
        <w:t xml:space="preserve"> </w:t>
      </w:r>
      <w:r>
        <w:rPr>
          <w:b/>
          <w:bCs/>
          <w:szCs w:val="24"/>
        </w:rPr>
        <w:tab/>
      </w:r>
      <w:r w:rsidRPr="00951FC0">
        <w:rPr>
          <w:sz w:val="24"/>
          <w:szCs w:val="24"/>
        </w:rPr>
        <w:t>Individual Report</w:t>
      </w:r>
    </w:p>
    <w:p w14:paraId="7FFDDA94" w14:textId="77777777" w:rsidR="00951FC0" w:rsidRPr="00951FC0" w:rsidRDefault="00951FC0" w:rsidP="00951FC0">
      <w:pPr>
        <w:spacing w:line="259" w:lineRule="auto"/>
        <w:jc w:val="left"/>
        <w:rPr>
          <w:b/>
          <w:bCs/>
          <w:sz w:val="24"/>
          <w:szCs w:val="24"/>
        </w:rPr>
      </w:pPr>
      <w:r w:rsidRPr="00951FC0">
        <w:rPr>
          <w:b/>
          <w:bCs/>
          <w:sz w:val="24"/>
          <w:szCs w:val="24"/>
        </w:rPr>
        <w:br w:type="page"/>
      </w:r>
    </w:p>
    <w:sdt>
      <w:sdtPr>
        <w:rPr>
          <w:rFonts w:ascii="Arial" w:eastAsiaTheme="minorHAnsi" w:hAnsi="Arial" w:cstheme="minorBidi"/>
          <w:color w:val="auto"/>
          <w:sz w:val="22"/>
          <w:szCs w:val="22"/>
          <w:lang w:val="en-GB"/>
        </w:rPr>
        <w:id w:val="1389529141"/>
        <w:docPartObj>
          <w:docPartGallery w:val="Table of Contents"/>
          <w:docPartUnique/>
        </w:docPartObj>
      </w:sdtPr>
      <w:sdtEndPr>
        <w:rPr>
          <w:b/>
          <w:bCs/>
        </w:rPr>
      </w:sdtEndPr>
      <w:sdtContent>
        <w:p w14:paraId="48B74AEA" w14:textId="77777777" w:rsidR="00951FC0" w:rsidRPr="00951FC0" w:rsidRDefault="00951FC0" w:rsidP="00951FC0">
          <w:pPr>
            <w:pStyle w:val="Titolosommario"/>
            <w:jc w:val="center"/>
            <w:rPr>
              <w:rFonts w:ascii="Arial" w:hAnsi="Arial" w:cs="Arial"/>
              <w:b/>
              <w:bCs/>
              <w:color w:val="000000" w:themeColor="text1"/>
              <w:sz w:val="22"/>
              <w:szCs w:val="22"/>
              <w:lang w:val="en-GB"/>
            </w:rPr>
          </w:pPr>
          <w:r w:rsidRPr="00951FC0">
            <w:rPr>
              <w:rFonts w:ascii="Arial" w:hAnsi="Arial" w:cs="Arial"/>
              <w:b/>
              <w:bCs/>
              <w:color w:val="000000" w:themeColor="text1"/>
              <w:sz w:val="22"/>
              <w:szCs w:val="22"/>
              <w:lang w:val="en-GB"/>
            </w:rPr>
            <w:t>Table of Contents</w:t>
          </w:r>
        </w:p>
        <w:p w14:paraId="3AC1C342"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r w:rsidRPr="00951FC0">
            <w:fldChar w:fldCharType="begin"/>
          </w:r>
          <w:r w:rsidRPr="00951FC0">
            <w:instrText xml:space="preserve"> TOC \o "1-3" \h \z \u </w:instrText>
          </w:r>
          <w:r w:rsidRPr="00951FC0">
            <w:fldChar w:fldCharType="separate"/>
          </w:r>
          <w:hyperlink w:anchor="_Toc211439834" w:history="1">
            <w:r w:rsidRPr="00951FC0">
              <w:rPr>
                <w:rStyle w:val="Collegamentoipertestuale"/>
              </w:rPr>
              <w:t>1. Executive Summary</w:t>
            </w:r>
            <w:r w:rsidRPr="00951FC0">
              <w:rPr>
                <w:webHidden/>
              </w:rPr>
              <w:tab/>
            </w:r>
            <w:r w:rsidRPr="00951FC0">
              <w:rPr>
                <w:webHidden/>
              </w:rPr>
              <w:fldChar w:fldCharType="begin"/>
            </w:r>
            <w:r w:rsidRPr="00951FC0">
              <w:rPr>
                <w:webHidden/>
              </w:rPr>
              <w:instrText xml:space="preserve"> PAGEREF _Toc211439834 \h </w:instrText>
            </w:r>
            <w:r w:rsidRPr="00951FC0">
              <w:rPr>
                <w:webHidden/>
              </w:rPr>
            </w:r>
            <w:r w:rsidRPr="00951FC0">
              <w:rPr>
                <w:webHidden/>
              </w:rPr>
              <w:fldChar w:fldCharType="separate"/>
            </w:r>
            <w:r w:rsidRPr="00951FC0">
              <w:rPr>
                <w:webHidden/>
              </w:rPr>
              <w:t>3</w:t>
            </w:r>
            <w:r w:rsidRPr="00951FC0">
              <w:rPr>
                <w:webHidden/>
              </w:rPr>
              <w:fldChar w:fldCharType="end"/>
            </w:r>
          </w:hyperlink>
        </w:p>
        <w:p w14:paraId="366C830F"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35" w:history="1">
            <w:r w:rsidRPr="00951FC0">
              <w:rPr>
                <w:rStyle w:val="Collegamentoipertestuale"/>
              </w:rPr>
              <w:t>2. Brief Introduction</w:t>
            </w:r>
            <w:r w:rsidRPr="00951FC0">
              <w:rPr>
                <w:webHidden/>
              </w:rPr>
              <w:tab/>
            </w:r>
            <w:r w:rsidRPr="00951FC0">
              <w:rPr>
                <w:webHidden/>
              </w:rPr>
              <w:fldChar w:fldCharType="begin"/>
            </w:r>
            <w:r w:rsidRPr="00951FC0">
              <w:rPr>
                <w:webHidden/>
              </w:rPr>
              <w:instrText xml:space="preserve"> PAGEREF _Toc211439835 \h </w:instrText>
            </w:r>
            <w:r w:rsidRPr="00951FC0">
              <w:rPr>
                <w:webHidden/>
              </w:rPr>
            </w:r>
            <w:r w:rsidRPr="00951FC0">
              <w:rPr>
                <w:webHidden/>
              </w:rPr>
              <w:fldChar w:fldCharType="separate"/>
            </w:r>
            <w:r w:rsidRPr="00951FC0">
              <w:rPr>
                <w:webHidden/>
              </w:rPr>
              <w:t>3</w:t>
            </w:r>
            <w:r w:rsidRPr="00951FC0">
              <w:rPr>
                <w:webHidden/>
              </w:rPr>
              <w:fldChar w:fldCharType="end"/>
            </w:r>
          </w:hyperlink>
        </w:p>
        <w:p w14:paraId="7BECA63F"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36" w:history="1">
            <w:r w:rsidRPr="00951FC0">
              <w:rPr>
                <w:rStyle w:val="Collegamentoipertestuale"/>
              </w:rPr>
              <w:t>3. Current Strategic Direction and Goals</w:t>
            </w:r>
            <w:r w:rsidRPr="00951FC0">
              <w:rPr>
                <w:webHidden/>
              </w:rPr>
              <w:tab/>
            </w:r>
            <w:r w:rsidRPr="00951FC0">
              <w:rPr>
                <w:webHidden/>
              </w:rPr>
              <w:fldChar w:fldCharType="begin"/>
            </w:r>
            <w:r w:rsidRPr="00951FC0">
              <w:rPr>
                <w:webHidden/>
              </w:rPr>
              <w:instrText xml:space="preserve"> PAGEREF _Toc211439836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40B2A9E2"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37" w:history="1">
            <w:r w:rsidRPr="00951FC0">
              <w:rPr>
                <w:rStyle w:val="Collegamentoipertestuale"/>
              </w:rPr>
              <w:t>4. Environmental Scan and Competitive Positioning Analysis</w:t>
            </w:r>
            <w:r w:rsidRPr="00951FC0">
              <w:rPr>
                <w:webHidden/>
              </w:rPr>
              <w:tab/>
            </w:r>
            <w:r w:rsidRPr="00951FC0">
              <w:rPr>
                <w:webHidden/>
              </w:rPr>
              <w:fldChar w:fldCharType="begin"/>
            </w:r>
            <w:r w:rsidRPr="00951FC0">
              <w:rPr>
                <w:webHidden/>
              </w:rPr>
              <w:instrText xml:space="preserve"> PAGEREF _Toc211439837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212C2BA1"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38" w:history="1">
            <w:r w:rsidRPr="00951FC0">
              <w:rPr>
                <w:rStyle w:val="Collegamentoipertestuale"/>
              </w:rPr>
              <w:t>Internal environment</w:t>
            </w:r>
            <w:r w:rsidRPr="00951FC0">
              <w:rPr>
                <w:webHidden/>
              </w:rPr>
              <w:tab/>
            </w:r>
            <w:r w:rsidRPr="00951FC0">
              <w:rPr>
                <w:webHidden/>
              </w:rPr>
              <w:fldChar w:fldCharType="begin"/>
            </w:r>
            <w:r w:rsidRPr="00951FC0">
              <w:rPr>
                <w:webHidden/>
              </w:rPr>
              <w:instrText xml:space="preserve"> PAGEREF _Toc211439838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369281E0"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39" w:history="1">
            <w:r w:rsidRPr="00951FC0">
              <w:rPr>
                <w:rStyle w:val="Collegamentoipertestuale"/>
              </w:rPr>
              <w:t>SWOT</w:t>
            </w:r>
            <w:r w:rsidRPr="00951FC0">
              <w:rPr>
                <w:webHidden/>
              </w:rPr>
              <w:tab/>
            </w:r>
            <w:r w:rsidRPr="00951FC0">
              <w:rPr>
                <w:webHidden/>
              </w:rPr>
              <w:fldChar w:fldCharType="begin"/>
            </w:r>
            <w:r w:rsidRPr="00951FC0">
              <w:rPr>
                <w:webHidden/>
              </w:rPr>
              <w:instrText xml:space="preserve"> PAGEREF _Toc211439839 \h </w:instrText>
            </w:r>
            <w:r w:rsidRPr="00951FC0">
              <w:rPr>
                <w:webHidden/>
              </w:rPr>
            </w:r>
            <w:r w:rsidRPr="00951FC0">
              <w:rPr>
                <w:webHidden/>
              </w:rPr>
              <w:fldChar w:fldCharType="separate"/>
            </w:r>
            <w:r w:rsidRPr="00951FC0">
              <w:rPr>
                <w:webHidden/>
              </w:rPr>
              <w:t>4</w:t>
            </w:r>
            <w:r w:rsidRPr="00951FC0">
              <w:rPr>
                <w:webHidden/>
              </w:rPr>
              <w:fldChar w:fldCharType="end"/>
            </w:r>
          </w:hyperlink>
        </w:p>
        <w:p w14:paraId="2D8D45AB"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40" w:history="1">
            <w:r w:rsidRPr="00951FC0">
              <w:rPr>
                <w:rStyle w:val="Collegamentoipertestuale"/>
              </w:rPr>
              <w:t>Value Chain Analysis</w:t>
            </w:r>
            <w:r w:rsidRPr="00951FC0">
              <w:rPr>
                <w:webHidden/>
              </w:rPr>
              <w:tab/>
            </w:r>
            <w:r w:rsidRPr="00951FC0">
              <w:rPr>
                <w:webHidden/>
              </w:rPr>
              <w:fldChar w:fldCharType="begin"/>
            </w:r>
            <w:r w:rsidRPr="00951FC0">
              <w:rPr>
                <w:webHidden/>
              </w:rPr>
              <w:instrText xml:space="preserve"> PAGEREF _Toc211439840 \h </w:instrText>
            </w:r>
            <w:r w:rsidRPr="00951FC0">
              <w:rPr>
                <w:webHidden/>
              </w:rPr>
            </w:r>
            <w:r w:rsidRPr="00951FC0">
              <w:rPr>
                <w:webHidden/>
              </w:rPr>
              <w:fldChar w:fldCharType="separate"/>
            </w:r>
            <w:r w:rsidRPr="00951FC0">
              <w:rPr>
                <w:webHidden/>
              </w:rPr>
              <w:t>5</w:t>
            </w:r>
            <w:r w:rsidRPr="00951FC0">
              <w:rPr>
                <w:webHidden/>
              </w:rPr>
              <w:fldChar w:fldCharType="end"/>
            </w:r>
          </w:hyperlink>
        </w:p>
        <w:p w14:paraId="1FB67C0D"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1" w:history="1">
            <w:r w:rsidRPr="00951FC0">
              <w:rPr>
                <w:rStyle w:val="Collegamentoipertestuale"/>
              </w:rPr>
              <w:t>External environment</w:t>
            </w:r>
            <w:r w:rsidRPr="00951FC0">
              <w:rPr>
                <w:webHidden/>
              </w:rPr>
              <w:tab/>
            </w:r>
            <w:r w:rsidRPr="00951FC0">
              <w:rPr>
                <w:webHidden/>
              </w:rPr>
              <w:fldChar w:fldCharType="begin"/>
            </w:r>
            <w:r w:rsidRPr="00951FC0">
              <w:rPr>
                <w:webHidden/>
              </w:rPr>
              <w:instrText xml:space="preserve"> PAGEREF _Toc211439841 \h </w:instrText>
            </w:r>
            <w:r w:rsidRPr="00951FC0">
              <w:rPr>
                <w:webHidden/>
              </w:rPr>
            </w:r>
            <w:r w:rsidRPr="00951FC0">
              <w:rPr>
                <w:webHidden/>
              </w:rPr>
              <w:fldChar w:fldCharType="separate"/>
            </w:r>
            <w:r w:rsidRPr="00951FC0">
              <w:rPr>
                <w:webHidden/>
              </w:rPr>
              <w:t>6</w:t>
            </w:r>
            <w:r w:rsidRPr="00951FC0">
              <w:rPr>
                <w:webHidden/>
              </w:rPr>
              <w:fldChar w:fldCharType="end"/>
            </w:r>
          </w:hyperlink>
        </w:p>
        <w:p w14:paraId="36C1CAC7"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42" w:history="1">
            <w:r w:rsidRPr="00951FC0">
              <w:rPr>
                <w:rStyle w:val="Collegamentoipertestuale"/>
              </w:rPr>
              <w:t>PESTEL</w:t>
            </w:r>
            <w:r w:rsidRPr="00951FC0">
              <w:rPr>
                <w:webHidden/>
              </w:rPr>
              <w:tab/>
            </w:r>
            <w:r w:rsidRPr="00951FC0">
              <w:rPr>
                <w:webHidden/>
              </w:rPr>
              <w:fldChar w:fldCharType="begin"/>
            </w:r>
            <w:r w:rsidRPr="00951FC0">
              <w:rPr>
                <w:webHidden/>
              </w:rPr>
              <w:instrText xml:space="preserve"> PAGEREF _Toc211439842 \h </w:instrText>
            </w:r>
            <w:r w:rsidRPr="00951FC0">
              <w:rPr>
                <w:webHidden/>
              </w:rPr>
            </w:r>
            <w:r w:rsidRPr="00951FC0">
              <w:rPr>
                <w:webHidden/>
              </w:rPr>
              <w:fldChar w:fldCharType="separate"/>
            </w:r>
            <w:r w:rsidRPr="00951FC0">
              <w:rPr>
                <w:webHidden/>
              </w:rPr>
              <w:t>6</w:t>
            </w:r>
            <w:r w:rsidRPr="00951FC0">
              <w:rPr>
                <w:webHidden/>
              </w:rPr>
              <w:fldChar w:fldCharType="end"/>
            </w:r>
          </w:hyperlink>
        </w:p>
        <w:p w14:paraId="438CF5C8" w14:textId="77777777" w:rsidR="00951FC0" w:rsidRPr="00951FC0" w:rsidRDefault="00951FC0" w:rsidP="00951FC0">
          <w:pPr>
            <w:pStyle w:val="Sommario3"/>
            <w:tabs>
              <w:tab w:val="right" w:leader="dot" w:pos="9016"/>
            </w:tabs>
            <w:rPr>
              <w:rFonts w:asciiTheme="minorHAnsi" w:eastAsiaTheme="minorEastAsia" w:hAnsiTheme="minorHAnsi" w:cs="Mangal"/>
              <w:sz w:val="24"/>
              <w:szCs w:val="21"/>
              <w:lang w:bidi="hi-IN"/>
            </w:rPr>
          </w:pPr>
          <w:hyperlink w:anchor="_Toc211439843" w:history="1">
            <w:r w:rsidRPr="00951FC0">
              <w:rPr>
                <w:rStyle w:val="Collegamentoipertestuale"/>
              </w:rPr>
              <w:t>Porter’s Five Forces Analysis</w:t>
            </w:r>
            <w:r w:rsidRPr="00951FC0">
              <w:rPr>
                <w:webHidden/>
              </w:rPr>
              <w:tab/>
            </w:r>
            <w:r w:rsidRPr="00951FC0">
              <w:rPr>
                <w:webHidden/>
              </w:rPr>
              <w:fldChar w:fldCharType="begin"/>
            </w:r>
            <w:r w:rsidRPr="00951FC0">
              <w:rPr>
                <w:webHidden/>
              </w:rPr>
              <w:instrText xml:space="preserve"> PAGEREF _Toc211439843 \h </w:instrText>
            </w:r>
            <w:r w:rsidRPr="00951FC0">
              <w:rPr>
                <w:webHidden/>
              </w:rPr>
            </w:r>
            <w:r w:rsidRPr="00951FC0">
              <w:rPr>
                <w:webHidden/>
              </w:rPr>
              <w:fldChar w:fldCharType="separate"/>
            </w:r>
            <w:r w:rsidRPr="00951FC0">
              <w:rPr>
                <w:webHidden/>
              </w:rPr>
              <w:t>7</w:t>
            </w:r>
            <w:r w:rsidRPr="00951FC0">
              <w:rPr>
                <w:webHidden/>
              </w:rPr>
              <w:fldChar w:fldCharType="end"/>
            </w:r>
          </w:hyperlink>
        </w:p>
        <w:p w14:paraId="11BDCA0F"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44" w:history="1">
            <w:r w:rsidRPr="00951FC0">
              <w:rPr>
                <w:rStyle w:val="Collegamentoipertestuale"/>
              </w:rPr>
              <w:t>5. Available Strategic Growth Choices and Long-Term Strategy Proposal</w:t>
            </w:r>
            <w:r w:rsidRPr="00951FC0">
              <w:rPr>
                <w:webHidden/>
              </w:rPr>
              <w:tab/>
            </w:r>
            <w:r w:rsidRPr="00951FC0">
              <w:rPr>
                <w:webHidden/>
              </w:rPr>
              <w:fldChar w:fldCharType="begin"/>
            </w:r>
            <w:r w:rsidRPr="00951FC0">
              <w:rPr>
                <w:webHidden/>
              </w:rPr>
              <w:instrText xml:space="preserve"> PAGEREF _Toc211439844 \h </w:instrText>
            </w:r>
            <w:r w:rsidRPr="00951FC0">
              <w:rPr>
                <w:webHidden/>
              </w:rPr>
            </w:r>
            <w:r w:rsidRPr="00951FC0">
              <w:rPr>
                <w:webHidden/>
              </w:rPr>
              <w:fldChar w:fldCharType="separate"/>
            </w:r>
            <w:r w:rsidRPr="00951FC0">
              <w:rPr>
                <w:webHidden/>
              </w:rPr>
              <w:t>8</w:t>
            </w:r>
            <w:r w:rsidRPr="00951FC0">
              <w:rPr>
                <w:webHidden/>
              </w:rPr>
              <w:fldChar w:fldCharType="end"/>
            </w:r>
          </w:hyperlink>
        </w:p>
        <w:p w14:paraId="38FD511B"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5" w:history="1">
            <w:r w:rsidRPr="00951FC0">
              <w:rPr>
                <w:rStyle w:val="Collegamentoipertestuale"/>
              </w:rPr>
              <w:t>Porter’s Generic Strategies</w:t>
            </w:r>
            <w:r w:rsidRPr="00951FC0">
              <w:rPr>
                <w:webHidden/>
              </w:rPr>
              <w:tab/>
            </w:r>
            <w:r w:rsidRPr="00951FC0">
              <w:rPr>
                <w:webHidden/>
              </w:rPr>
              <w:fldChar w:fldCharType="begin"/>
            </w:r>
            <w:r w:rsidRPr="00951FC0">
              <w:rPr>
                <w:webHidden/>
              </w:rPr>
              <w:instrText xml:space="preserve"> PAGEREF _Toc211439845 \h </w:instrText>
            </w:r>
            <w:r w:rsidRPr="00951FC0">
              <w:rPr>
                <w:webHidden/>
              </w:rPr>
            </w:r>
            <w:r w:rsidRPr="00951FC0">
              <w:rPr>
                <w:webHidden/>
              </w:rPr>
              <w:fldChar w:fldCharType="separate"/>
            </w:r>
            <w:r w:rsidRPr="00951FC0">
              <w:rPr>
                <w:webHidden/>
              </w:rPr>
              <w:t>8</w:t>
            </w:r>
            <w:r w:rsidRPr="00951FC0">
              <w:rPr>
                <w:webHidden/>
              </w:rPr>
              <w:fldChar w:fldCharType="end"/>
            </w:r>
          </w:hyperlink>
        </w:p>
        <w:p w14:paraId="691D405D"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6" w:history="1">
            <w:r w:rsidRPr="00951FC0">
              <w:rPr>
                <w:rStyle w:val="Collegamentoipertestuale"/>
              </w:rPr>
              <w:t>Ansoff Matrix</w:t>
            </w:r>
            <w:r w:rsidRPr="00951FC0">
              <w:rPr>
                <w:webHidden/>
              </w:rPr>
              <w:tab/>
            </w:r>
            <w:r w:rsidRPr="00951FC0">
              <w:rPr>
                <w:webHidden/>
              </w:rPr>
              <w:fldChar w:fldCharType="begin"/>
            </w:r>
            <w:r w:rsidRPr="00951FC0">
              <w:rPr>
                <w:webHidden/>
              </w:rPr>
              <w:instrText xml:space="preserve"> PAGEREF _Toc211439846 \h </w:instrText>
            </w:r>
            <w:r w:rsidRPr="00951FC0">
              <w:rPr>
                <w:webHidden/>
              </w:rPr>
            </w:r>
            <w:r w:rsidRPr="00951FC0">
              <w:rPr>
                <w:webHidden/>
              </w:rPr>
              <w:fldChar w:fldCharType="separate"/>
            </w:r>
            <w:r w:rsidRPr="00951FC0">
              <w:rPr>
                <w:webHidden/>
              </w:rPr>
              <w:t>9</w:t>
            </w:r>
            <w:r w:rsidRPr="00951FC0">
              <w:rPr>
                <w:webHidden/>
              </w:rPr>
              <w:fldChar w:fldCharType="end"/>
            </w:r>
          </w:hyperlink>
        </w:p>
        <w:p w14:paraId="223B1B89"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7" w:history="1">
            <w:r w:rsidRPr="00951FC0">
              <w:rPr>
                <w:rStyle w:val="Collegamentoipertestuale"/>
              </w:rPr>
              <w:t>Bowman’s Strategic Clock</w:t>
            </w:r>
            <w:r w:rsidRPr="00951FC0">
              <w:rPr>
                <w:webHidden/>
              </w:rPr>
              <w:tab/>
            </w:r>
            <w:r w:rsidRPr="00951FC0">
              <w:rPr>
                <w:webHidden/>
              </w:rPr>
              <w:fldChar w:fldCharType="begin"/>
            </w:r>
            <w:r w:rsidRPr="00951FC0">
              <w:rPr>
                <w:webHidden/>
              </w:rPr>
              <w:instrText xml:space="preserve"> PAGEREF _Toc211439847 \h </w:instrText>
            </w:r>
            <w:r w:rsidRPr="00951FC0">
              <w:rPr>
                <w:webHidden/>
              </w:rPr>
            </w:r>
            <w:r w:rsidRPr="00951FC0">
              <w:rPr>
                <w:webHidden/>
              </w:rPr>
              <w:fldChar w:fldCharType="separate"/>
            </w:r>
            <w:r w:rsidRPr="00951FC0">
              <w:rPr>
                <w:webHidden/>
              </w:rPr>
              <w:t>9</w:t>
            </w:r>
            <w:r w:rsidRPr="00951FC0">
              <w:rPr>
                <w:webHidden/>
              </w:rPr>
              <w:fldChar w:fldCharType="end"/>
            </w:r>
          </w:hyperlink>
        </w:p>
        <w:p w14:paraId="509C11E3"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48" w:history="1">
            <w:r w:rsidRPr="00951FC0">
              <w:rPr>
                <w:rStyle w:val="Collegamentoipertestuale"/>
              </w:rPr>
              <w:t>6. Stakeholder Analysis</w:t>
            </w:r>
            <w:r w:rsidRPr="00951FC0">
              <w:rPr>
                <w:webHidden/>
              </w:rPr>
              <w:tab/>
            </w:r>
            <w:r w:rsidRPr="00951FC0">
              <w:rPr>
                <w:webHidden/>
              </w:rPr>
              <w:fldChar w:fldCharType="begin"/>
            </w:r>
            <w:r w:rsidRPr="00951FC0">
              <w:rPr>
                <w:webHidden/>
              </w:rPr>
              <w:instrText xml:space="preserve"> PAGEREF _Toc211439848 \h </w:instrText>
            </w:r>
            <w:r w:rsidRPr="00951FC0">
              <w:rPr>
                <w:webHidden/>
              </w:rPr>
            </w:r>
            <w:r w:rsidRPr="00951FC0">
              <w:rPr>
                <w:webHidden/>
              </w:rPr>
              <w:fldChar w:fldCharType="separate"/>
            </w:r>
            <w:r w:rsidRPr="00951FC0">
              <w:rPr>
                <w:webHidden/>
              </w:rPr>
              <w:t>10</w:t>
            </w:r>
            <w:r w:rsidRPr="00951FC0">
              <w:rPr>
                <w:webHidden/>
              </w:rPr>
              <w:fldChar w:fldCharType="end"/>
            </w:r>
          </w:hyperlink>
        </w:p>
        <w:p w14:paraId="0E67175F"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49" w:history="1">
            <w:r w:rsidRPr="00951FC0">
              <w:rPr>
                <w:rStyle w:val="Collegamentoipertestuale"/>
              </w:rPr>
              <w:t>Mendelow’s Matrix</w:t>
            </w:r>
            <w:r w:rsidRPr="00951FC0">
              <w:rPr>
                <w:webHidden/>
              </w:rPr>
              <w:tab/>
            </w:r>
            <w:r w:rsidRPr="00951FC0">
              <w:rPr>
                <w:webHidden/>
              </w:rPr>
              <w:fldChar w:fldCharType="begin"/>
            </w:r>
            <w:r w:rsidRPr="00951FC0">
              <w:rPr>
                <w:webHidden/>
              </w:rPr>
              <w:instrText xml:space="preserve"> PAGEREF _Toc211439849 \h </w:instrText>
            </w:r>
            <w:r w:rsidRPr="00951FC0">
              <w:rPr>
                <w:webHidden/>
              </w:rPr>
            </w:r>
            <w:r w:rsidRPr="00951FC0">
              <w:rPr>
                <w:webHidden/>
              </w:rPr>
              <w:fldChar w:fldCharType="separate"/>
            </w:r>
            <w:r w:rsidRPr="00951FC0">
              <w:rPr>
                <w:webHidden/>
              </w:rPr>
              <w:t>10</w:t>
            </w:r>
            <w:r w:rsidRPr="00951FC0">
              <w:rPr>
                <w:webHidden/>
              </w:rPr>
              <w:fldChar w:fldCharType="end"/>
            </w:r>
          </w:hyperlink>
        </w:p>
        <w:p w14:paraId="23F84C30"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50" w:history="1">
            <w:r w:rsidRPr="00951FC0">
              <w:rPr>
                <w:rStyle w:val="Collegamentoipertestuale"/>
              </w:rPr>
              <w:t>RACI Framework</w:t>
            </w:r>
            <w:r w:rsidRPr="00951FC0">
              <w:rPr>
                <w:webHidden/>
              </w:rPr>
              <w:tab/>
            </w:r>
            <w:r w:rsidRPr="00951FC0">
              <w:rPr>
                <w:webHidden/>
              </w:rPr>
              <w:fldChar w:fldCharType="begin"/>
            </w:r>
            <w:r w:rsidRPr="00951FC0">
              <w:rPr>
                <w:webHidden/>
              </w:rPr>
              <w:instrText xml:space="preserve"> PAGEREF _Toc211439850 \h </w:instrText>
            </w:r>
            <w:r w:rsidRPr="00951FC0">
              <w:rPr>
                <w:webHidden/>
              </w:rPr>
            </w:r>
            <w:r w:rsidRPr="00951FC0">
              <w:rPr>
                <w:webHidden/>
              </w:rPr>
              <w:fldChar w:fldCharType="separate"/>
            </w:r>
            <w:r w:rsidRPr="00951FC0">
              <w:rPr>
                <w:webHidden/>
              </w:rPr>
              <w:t>11</w:t>
            </w:r>
            <w:r w:rsidRPr="00951FC0">
              <w:rPr>
                <w:webHidden/>
              </w:rPr>
              <w:fldChar w:fldCharType="end"/>
            </w:r>
          </w:hyperlink>
        </w:p>
        <w:p w14:paraId="078F9B84" w14:textId="77777777" w:rsidR="00951FC0" w:rsidRPr="00951FC0" w:rsidRDefault="00951FC0" w:rsidP="00951FC0">
          <w:pPr>
            <w:pStyle w:val="Sommario2"/>
            <w:tabs>
              <w:tab w:val="right" w:leader="dot" w:pos="9016"/>
            </w:tabs>
            <w:rPr>
              <w:rFonts w:asciiTheme="minorHAnsi" w:eastAsiaTheme="minorEastAsia" w:hAnsiTheme="minorHAnsi" w:cs="Mangal"/>
              <w:sz w:val="24"/>
              <w:szCs w:val="21"/>
              <w:lang w:bidi="hi-IN"/>
            </w:rPr>
          </w:pPr>
          <w:hyperlink w:anchor="_Toc211439851" w:history="1">
            <w:r w:rsidRPr="00951FC0">
              <w:rPr>
                <w:rStyle w:val="Collegamentoipertestuale"/>
              </w:rPr>
              <w:t>Comparative discussion</w:t>
            </w:r>
            <w:r w:rsidRPr="00951FC0">
              <w:rPr>
                <w:webHidden/>
              </w:rPr>
              <w:tab/>
            </w:r>
            <w:r w:rsidRPr="00951FC0">
              <w:rPr>
                <w:webHidden/>
              </w:rPr>
              <w:fldChar w:fldCharType="begin"/>
            </w:r>
            <w:r w:rsidRPr="00951FC0">
              <w:rPr>
                <w:webHidden/>
              </w:rPr>
              <w:instrText xml:space="preserve"> PAGEREF _Toc211439851 \h </w:instrText>
            </w:r>
            <w:r w:rsidRPr="00951FC0">
              <w:rPr>
                <w:webHidden/>
              </w:rPr>
            </w:r>
            <w:r w:rsidRPr="00951FC0">
              <w:rPr>
                <w:webHidden/>
              </w:rPr>
              <w:fldChar w:fldCharType="separate"/>
            </w:r>
            <w:r w:rsidRPr="00951FC0">
              <w:rPr>
                <w:webHidden/>
              </w:rPr>
              <w:t>12</w:t>
            </w:r>
            <w:r w:rsidRPr="00951FC0">
              <w:rPr>
                <w:webHidden/>
              </w:rPr>
              <w:fldChar w:fldCharType="end"/>
            </w:r>
          </w:hyperlink>
        </w:p>
        <w:p w14:paraId="2B4DD4C5"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52" w:history="1">
            <w:r w:rsidRPr="00951FC0">
              <w:rPr>
                <w:rStyle w:val="Collegamentoipertestuale"/>
              </w:rPr>
              <w:t>7. Strategic Recommendations</w:t>
            </w:r>
            <w:r w:rsidRPr="00951FC0">
              <w:rPr>
                <w:webHidden/>
              </w:rPr>
              <w:tab/>
            </w:r>
            <w:r w:rsidRPr="00951FC0">
              <w:rPr>
                <w:webHidden/>
              </w:rPr>
              <w:fldChar w:fldCharType="begin"/>
            </w:r>
            <w:r w:rsidRPr="00951FC0">
              <w:rPr>
                <w:webHidden/>
              </w:rPr>
              <w:instrText xml:space="preserve"> PAGEREF _Toc211439852 \h </w:instrText>
            </w:r>
            <w:r w:rsidRPr="00951FC0">
              <w:rPr>
                <w:webHidden/>
              </w:rPr>
            </w:r>
            <w:r w:rsidRPr="00951FC0">
              <w:rPr>
                <w:webHidden/>
              </w:rPr>
              <w:fldChar w:fldCharType="separate"/>
            </w:r>
            <w:r w:rsidRPr="00951FC0">
              <w:rPr>
                <w:webHidden/>
              </w:rPr>
              <w:t>13</w:t>
            </w:r>
            <w:r w:rsidRPr="00951FC0">
              <w:rPr>
                <w:webHidden/>
              </w:rPr>
              <w:fldChar w:fldCharType="end"/>
            </w:r>
          </w:hyperlink>
        </w:p>
        <w:p w14:paraId="63E85DC9"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53" w:history="1">
            <w:r w:rsidRPr="00951FC0">
              <w:rPr>
                <w:rStyle w:val="Collegamentoipertestuale"/>
              </w:rPr>
              <w:t>8. Conclusion</w:t>
            </w:r>
            <w:r w:rsidRPr="00951FC0">
              <w:rPr>
                <w:webHidden/>
              </w:rPr>
              <w:tab/>
            </w:r>
            <w:r w:rsidRPr="00951FC0">
              <w:rPr>
                <w:webHidden/>
              </w:rPr>
              <w:fldChar w:fldCharType="begin"/>
            </w:r>
            <w:r w:rsidRPr="00951FC0">
              <w:rPr>
                <w:webHidden/>
              </w:rPr>
              <w:instrText xml:space="preserve"> PAGEREF _Toc211439853 \h </w:instrText>
            </w:r>
            <w:r w:rsidRPr="00951FC0">
              <w:rPr>
                <w:webHidden/>
              </w:rPr>
            </w:r>
            <w:r w:rsidRPr="00951FC0">
              <w:rPr>
                <w:webHidden/>
              </w:rPr>
              <w:fldChar w:fldCharType="separate"/>
            </w:r>
            <w:r w:rsidRPr="00951FC0">
              <w:rPr>
                <w:webHidden/>
              </w:rPr>
              <w:t>13</w:t>
            </w:r>
            <w:r w:rsidRPr="00951FC0">
              <w:rPr>
                <w:webHidden/>
              </w:rPr>
              <w:fldChar w:fldCharType="end"/>
            </w:r>
          </w:hyperlink>
        </w:p>
        <w:p w14:paraId="6462C827" w14:textId="77777777" w:rsidR="00951FC0" w:rsidRPr="00951FC0" w:rsidRDefault="00951FC0" w:rsidP="00951FC0">
          <w:pPr>
            <w:pStyle w:val="Sommario1"/>
            <w:tabs>
              <w:tab w:val="right" w:leader="dot" w:pos="9016"/>
            </w:tabs>
            <w:rPr>
              <w:rFonts w:asciiTheme="minorHAnsi" w:eastAsiaTheme="minorEastAsia" w:hAnsiTheme="minorHAnsi" w:cs="Mangal"/>
              <w:sz w:val="24"/>
              <w:szCs w:val="21"/>
              <w:lang w:bidi="hi-IN"/>
            </w:rPr>
          </w:pPr>
          <w:hyperlink w:anchor="_Toc211439854" w:history="1">
            <w:r w:rsidRPr="00951FC0">
              <w:rPr>
                <w:rStyle w:val="Collegamentoipertestuale"/>
              </w:rPr>
              <w:t>References</w:t>
            </w:r>
            <w:r w:rsidRPr="00951FC0">
              <w:rPr>
                <w:webHidden/>
              </w:rPr>
              <w:tab/>
            </w:r>
            <w:r w:rsidRPr="00951FC0">
              <w:rPr>
                <w:webHidden/>
              </w:rPr>
              <w:fldChar w:fldCharType="begin"/>
            </w:r>
            <w:r w:rsidRPr="00951FC0">
              <w:rPr>
                <w:webHidden/>
              </w:rPr>
              <w:instrText xml:space="preserve"> PAGEREF _Toc211439854 \h </w:instrText>
            </w:r>
            <w:r w:rsidRPr="00951FC0">
              <w:rPr>
                <w:webHidden/>
              </w:rPr>
            </w:r>
            <w:r w:rsidRPr="00951FC0">
              <w:rPr>
                <w:webHidden/>
              </w:rPr>
              <w:fldChar w:fldCharType="separate"/>
            </w:r>
            <w:r w:rsidRPr="00951FC0">
              <w:rPr>
                <w:webHidden/>
              </w:rPr>
              <w:t>15</w:t>
            </w:r>
            <w:r w:rsidRPr="00951FC0">
              <w:rPr>
                <w:webHidden/>
              </w:rPr>
              <w:fldChar w:fldCharType="end"/>
            </w:r>
          </w:hyperlink>
        </w:p>
        <w:p w14:paraId="3CA55BBB" w14:textId="77777777" w:rsidR="00951FC0" w:rsidRPr="00951FC0" w:rsidRDefault="00951FC0" w:rsidP="00951FC0">
          <w:r w:rsidRPr="00951FC0">
            <w:rPr>
              <w:b/>
              <w:bCs/>
            </w:rPr>
            <w:fldChar w:fldCharType="end"/>
          </w:r>
        </w:p>
      </w:sdtContent>
    </w:sdt>
    <w:p w14:paraId="2EBCED6D" w14:textId="77777777" w:rsidR="00951FC0" w:rsidRPr="00951FC0" w:rsidRDefault="00951FC0" w:rsidP="00951FC0"/>
    <w:p w14:paraId="20ED35EE" w14:textId="77777777" w:rsidR="00951FC0" w:rsidRPr="00951FC0" w:rsidRDefault="00951FC0" w:rsidP="00951FC0">
      <w:pPr>
        <w:rPr>
          <w:b/>
          <w:bCs/>
          <w:sz w:val="24"/>
          <w:szCs w:val="24"/>
        </w:rPr>
      </w:pPr>
      <w:r w:rsidRPr="00951FC0">
        <w:rPr>
          <w:b/>
          <w:bCs/>
          <w:sz w:val="24"/>
          <w:szCs w:val="24"/>
        </w:rPr>
        <w:br w:type="page"/>
      </w:r>
    </w:p>
    <w:p w14:paraId="473AC24D" w14:textId="77777777" w:rsidR="00951FC0" w:rsidRPr="006B3042" w:rsidRDefault="00951FC0" w:rsidP="00951FC0">
      <w:pPr>
        <w:pStyle w:val="Titolo1"/>
        <w:rPr>
          <w:rFonts w:ascii="Arial" w:hAnsi="Arial" w:cs="Arial"/>
          <w:sz w:val="36"/>
          <w:szCs w:val="36"/>
        </w:rPr>
      </w:pPr>
      <w:bookmarkStart w:id="0" w:name="_Toc211439834"/>
      <w:r w:rsidRPr="006B3042">
        <w:rPr>
          <w:rFonts w:ascii="Arial" w:hAnsi="Arial" w:cs="Arial"/>
          <w:sz w:val="36"/>
          <w:szCs w:val="36"/>
        </w:rPr>
        <w:lastRenderedPageBreak/>
        <w:t>1. Executive Summary</w:t>
      </w:r>
      <w:bookmarkEnd w:id="0"/>
      <w:r w:rsidRPr="006B3042">
        <w:rPr>
          <w:rFonts w:ascii="Arial" w:hAnsi="Arial" w:cs="Arial"/>
          <w:sz w:val="36"/>
          <w:szCs w:val="36"/>
        </w:rPr>
        <w:t xml:space="preserve"> </w:t>
      </w:r>
    </w:p>
    <w:p w14:paraId="343CF1D2" w14:textId="77777777" w:rsidR="00951FC0" w:rsidRPr="00951FC0" w:rsidRDefault="00951FC0" w:rsidP="00951FC0">
      <w:r w:rsidRPr="00951FC0">
        <w:t>The report carries out a strategic analysis of a UK-based sustainable brand-named Lucy &amp; Yak, which offers colourful, eco-friendly and inclusive clothing products to customers. Its strategic direction displays strong commitment towards circular initiatives (such as Re: Yak), ethical sourcing and transparent supply chain practices, which helped develop its brand identity in the UK market. Although environmental and competitive analyses suggest strengths in its sustainability leadership and brand loyalty, the brand still faces struggles due to high production costs, over-dependency on limited ethical suppliers and supply chain scalability. From the stakeholder analysis, regulatory bodies, suppliers and customers are identified as primary influencers, thus highlighting the importance of transparent communication and co-governance. Two strategic recommendations proposed to improve Lucy &amp; Yak’s resilience and sustainable competitiveness are: digital supply chain integration by adopting AI and blockchain, and circular product innovation and localised production to ensure zero-waste and recycled materials. Through these strategies, the firm can ensure its ethical growth, global expansion and operational flexibility.</w:t>
      </w:r>
    </w:p>
    <w:p w14:paraId="2115C3B5" w14:textId="77777777" w:rsidR="00951FC0" w:rsidRPr="006B3042" w:rsidRDefault="00951FC0" w:rsidP="00951FC0">
      <w:pPr>
        <w:pStyle w:val="Titolo1"/>
        <w:rPr>
          <w:rFonts w:ascii="Arial" w:hAnsi="Arial" w:cs="Arial"/>
          <w:sz w:val="36"/>
          <w:szCs w:val="36"/>
        </w:rPr>
      </w:pPr>
      <w:bookmarkStart w:id="1" w:name="_Toc211439835"/>
      <w:r w:rsidRPr="006B3042">
        <w:rPr>
          <w:rFonts w:ascii="Arial" w:hAnsi="Arial" w:cs="Arial"/>
          <w:sz w:val="36"/>
          <w:szCs w:val="36"/>
        </w:rPr>
        <w:t>2. Brief Introduction</w:t>
      </w:r>
      <w:bookmarkEnd w:id="1"/>
      <w:r w:rsidRPr="006B3042">
        <w:rPr>
          <w:rFonts w:ascii="Arial" w:hAnsi="Arial" w:cs="Arial"/>
          <w:sz w:val="36"/>
          <w:szCs w:val="36"/>
        </w:rPr>
        <w:t xml:space="preserve"> </w:t>
      </w:r>
    </w:p>
    <w:p w14:paraId="6BAFB6CD" w14:textId="075B7A70" w:rsidR="00951FC0" w:rsidRPr="00951FC0" w:rsidRDefault="00951FC0" w:rsidP="004672C8">
      <w:r w:rsidRPr="00951FC0">
        <w:t>Founded in 2017, Lucy &amp; Yak is a UK-based sustainable brand which focuses on offering ethical, colourful and comfortable clothing products, especially dungarees and casual wear for young, eco-conscious customers (Lucy &amp; Yak, 2025a). The stores are located across Bristol, Cambridge, Brighton, Norwich, Cardiff, Nottingham, Castleford and Exeter. Headquartered in Barnsley, UK, the brand caters to numerous customers through its 11 stores. Lucy &amp;Yak has gained a strong brand position in the sustainable fashion market in the UK. It has built its brand visibility and identity through digital platforms, circular initiatives and an ethical business model (Lucy &amp; Yak, 2025b). As a result, eco-conscious and ethical consumers display strong loyalty towards this brand.</w:t>
      </w:r>
      <w:r w:rsidR="004672C8">
        <w:t xml:space="preserve"> L</w:t>
      </w:r>
      <w:r w:rsidRPr="00951FC0">
        <w:t>ucy &amp; Yak depends on ethical sourcing to utilise recycled polyester, organic cotton, and eco-friendly viscose to manufacture its clothing products, such as dungarees, jumpsuits, bottoms and tops, outerwear and accessories (Lucy &amp; Yak, 2025a). It has a sustainable business model with various circular initiatives such as Re: Yak, which encourages customers to return their old clothes and avail discounts on new purchases. The brand’s strong commitment towards sustainability and inclusivity, alongside playful designs, has strengthened its identity in the UK market (Lucy &amp; Yak, 2025b). Additionally, it depends extensively on social media platforms, influencer marketing and collaborations with artists to encourage consumers to adopt ethical fashion.</w:t>
      </w:r>
    </w:p>
    <w:p w14:paraId="4F04B508" w14:textId="77777777" w:rsidR="00951FC0" w:rsidRPr="006B3042" w:rsidRDefault="00951FC0" w:rsidP="00951FC0">
      <w:pPr>
        <w:pStyle w:val="Titolo1"/>
        <w:rPr>
          <w:rFonts w:ascii="Arial" w:hAnsi="Arial" w:cs="Arial"/>
          <w:sz w:val="36"/>
          <w:szCs w:val="36"/>
        </w:rPr>
      </w:pPr>
      <w:bookmarkStart w:id="2" w:name="_Toc211439836"/>
      <w:r w:rsidRPr="006B3042">
        <w:rPr>
          <w:rFonts w:ascii="Arial" w:hAnsi="Arial" w:cs="Arial"/>
          <w:sz w:val="36"/>
          <w:szCs w:val="36"/>
        </w:rPr>
        <w:lastRenderedPageBreak/>
        <w:t>3. Current Strategic Direction and Goals</w:t>
      </w:r>
      <w:bookmarkEnd w:id="2"/>
      <w:r w:rsidRPr="006B3042">
        <w:rPr>
          <w:rFonts w:ascii="Arial" w:hAnsi="Arial" w:cs="Arial"/>
          <w:sz w:val="36"/>
          <w:szCs w:val="36"/>
        </w:rPr>
        <w:t xml:space="preserve"> </w:t>
      </w:r>
    </w:p>
    <w:p w14:paraId="604627AA" w14:textId="56AB6BC2" w:rsidR="00951FC0" w:rsidRDefault="00951FC0" w:rsidP="00951FC0">
      <w:r w:rsidRPr="00951FC0">
        <w:t xml:space="preserve">The strategic direction of Lucy &amp; Yak focuses on applying ethical and sustainable practices, which not only helps increase community engagement but also reduces the potential harmful impact on the environment. In this regard, it offers fashionable and comfortable clothing items made from eco-friendly and organic materials, which are sourced from ethical and sustainable suppliers in the market (Lucy &amp; Yak, 2025c). This strategy helps attract eco-conscious customers willing to engage in sustainable </w:t>
      </w:r>
      <w:proofErr w:type="spellStart"/>
      <w:proofErr w:type="gramStart"/>
      <w:r w:rsidRPr="00951FC0">
        <w:t>consumption.Since</w:t>
      </w:r>
      <w:proofErr w:type="spellEnd"/>
      <w:proofErr w:type="gramEnd"/>
      <w:r w:rsidRPr="00951FC0">
        <w:t xml:space="preserve"> the core values of the brand focus on developing a sustainable community, enhancing consumers’ confidence and manufacturing comfortable clothes, it utilises three strategies of “responsibly new”, “recycling old items” and “reinvest for good”. These values are embedded within the strategic direction of the firm, which helps in delivering high-quality and premium sustainable clothing.</w:t>
      </w:r>
      <w:r w:rsidR="004672C8">
        <w:t xml:space="preserve"> </w:t>
      </w:r>
      <w:r w:rsidRPr="00951FC0">
        <w:t>Lucy &amp; Yak expands its presence through both offline stores and digital platforms by focusing on eco-conscious consumers through its recycled fabrics, circular initiatives and strong ethical commitment (Lucy &amp; Yak, 2025c).</w:t>
      </w:r>
      <w:r w:rsidR="004672C8">
        <w:t xml:space="preserve"> </w:t>
      </w:r>
      <w:r w:rsidRPr="00951FC0">
        <w:t>Applying this strategic direction aligned with its core values and objectives, the brand ensures its long-term competitive advantage and sustainable growth, which can provide numerous opportunities to expand into new markets.</w:t>
      </w:r>
    </w:p>
    <w:p w14:paraId="21259D48" w14:textId="77777777" w:rsidR="004672C8" w:rsidRPr="00951FC0" w:rsidRDefault="004672C8" w:rsidP="00951FC0"/>
    <w:p w14:paraId="7E6C8D34" w14:textId="77777777" w:rsidR="00951FC0" w:rsidRPr="006B3042" w:rsidRDefault="00951FC0" w:rsidP="00951FC0">
      <w:pPr>
        <w:pStyle w:val="Titolo1"/>
        <w:rPr>
          <w:rFonts w:ascii="Arial" w:hAnsi="Arial" w:cs="Arial"/>
          <w:sz w:val="36"/>
          <w:szCs w:val="36"/>
        </w:rPr>
      </w:pPr>
      <w:bookmarkStart w:id="3" w:name="_Toc211439837"/>
      <w:r w:rsidRPr="006B3042">
        <w:rPr>
          <w:rFonts w:ascii="Arial" w:hAnsi="Arial" w:cs="Arial"/>
          <w:sz w:val="36"/>
          <w:szCs w:val="36"/>
        </w:rPr>
        <w:t>4. Environmental Scan and Competitive Positioning Analysis</w:t>
      </w:r>
      <w:bookmarkEnd w:id="3"/>
    </w:p>
    <w:p w14:paraId="25720C0A" w14:textId="77777777" w:rsidR="00951FC0" w:rsidRPr="006B3042" w:rsidRDefault="00951FC0" w:rsidP="00951FC0">
      <w:pPr>
        <w:pStyle w:val="Titolo2"/>
        <w:rPr>
          <w:rFonts w:ascii="Arial" w:hAnsi="Arial" w:cs="Arial"/>
          <w:sz w:val="36"/>
          <w:szCs w:val="36"/>
        </w:rPr>
      </w:pPr>
      <w:bookmarkStart w:id="4" w:name="_Toc211439838"/>
      <w:r w:rsidRPr="006B3042">
        <w:rPr>
          <w:rFonts w:ascii="Arial" w:hAnsi="Arial" w:cs="Arial"/>
          <w:sz w:val="36"/>
          <w:szCs w:val="36"/>
        </w:rPr>
        <w:t>Internal environment</w:t>
      </w:r>
      <w:bookmarkEnd w:id="4"/>
      <w:r w:rsidRPr="006B3042">
        <w:rPr>
          <w:rFonts w:ascii="Arial" w:hAnsi="Arial" w:cs="Arial"/>
          <w:sz w:val="36"/>
          <w:szCs w:val="36"/>
        </w:rPr>
        <w:t xml:space="preserve"> </w:t>
      </w:r>
    </w:p>
    <w:p w14:paraId="234490C2" w14:textId="77777777" w:rsidR="00951FC0" w:rsidRPr="00230B12" w:rsidRDefault="00951FC0" w:rsidP="00951FC0">
      <w:pPr>
        <w:pStyle w:val="Titolo3"/>
        <w:rPr>
          <w:rFonts w:ascii="Arial" w:hAnsi="Arial" w:cs="Arial"/>
        </w:rPr>
      </w:pPr>
      <w:bookmarkStart w:id="5" w:name="_Toc211439839"/>
      <w:r w:rsidRPr="00230B12">
        <w:rPr>
          <w:rFonts w:ascii="Arial" w:hAnsi="Arial" w:cs="Arial"/>
        </w:rPr>
        <w:t>SWOT</w:t>
      </w:r>
      <w:bookmarkEnd w:id="5"/>
    </w:p>
    <w:p w14:paraId="7041AF73" w14:textId="77B77D6F" w:rsidR="00951FC0" w:rsidRDefault="00951FC0" w:rsidP="00951FC0">
      <w:r w:rsidRPr="00951FC0">
        <w:t>This strategic model focuses on analysing internal strengths and weaknesses and identifying external threats and opportunities affecting the business operations of a firm (</w:t>
      </w:r>
      <w:proofErr w:type="spellStart"/>
      <w:r w:rsidRPr="00951FC0">
        <w:t>Benzaghta</w:t>
      </w:r>
      <w:proofErr w:type="spellEnd"/>
      <w:r w:rsidRPr="00951FC0">
        <w:t xml:space="preserve"> et al., 2021).</w:t>
      </w:r>
      <w:r w:rsidR="004672C8">
        <w:t xml:space="preserve"> </w:t>
      </w:r>
      <w:r w:rsidRPr="00951FC0">
        <w:t>Table 1 demonstrates the application of the SWOT model in the case of Lucy &amp; Yak.</w:t>
      </w:r>
    </w:p>
    <w:p w14:paraId="1073F806" w14:textId="77777777" w:rsidR="004672C8" w:rsidRPr="00951FC0" w:rsidRDefault="004672C8" w:rsidP="00951FC0"/>
    <w:p w14:paraId="22F4CB9C" w14:textId="77777777" w:rsidR="00951FC0" w:rsidRPr="004672C8" w:rsidRDefault="00951FC0" w:rsidP="00951FC0">
      <w:pPr>
        <w:jc w:val="center"/>
        <w:rPr>
          <w:i/>
          <w:iCs/>
          <w:u w:val="single"/>
        </w:rPr>
      </w:pPr>
      <w:r w:rsidRPr="004672C8">
        <w:rPr>
          <w:i/>
          <w:iCs/>
          <w:u w:val="single"/>
        </w:rPr>
        <w:t>Table 1: SWOT Analysis</w:t>
      </w:r>
    </w:p>
    <w:tbl>
      <w:tblPr>
        <w:tblStyle w:val="Tabellagriglia6acolori-colore1"/>
        <w:tblW w:w="0" w:type="auto"/>
        <w:tblLook w:val="04A0" w:firstRow="1" w:lastRow="0" w:firstColumn="1" w:lastColumn="0" w:noHBand="0" w:noVBand="1"/>
      </w:tblPr>
      <w:tblGrid>
        <w:gridCol w:w="4077"/>
        <w:gridCol w:w="5165"/>
      </w:tblGrid>
      <w:tr w:rsidR="00951FC0" w:rsidRPr="00951FC0" w14:paraId="6BAD1928"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Pr>
          <w:p w14:paraId="2433EAD4" w14:textId="77777777" w:rsidR="00951FC0" w:rsidRPr="00951FC0" w:rsidRDefault="00951FC0" w:rsidP="007B6F88">
            <w:pPr>
              <w:rPr>
                <w:color w:val="000000" w:themeColor="text1"/>
              </w:rPr>
            </w:pPr>
            <w:r w:rsidRPr="00951FC0">
              <w:rPr>
                <w:color w:val="000000" w:themeColor="text1"/>
              </w:rPr>
              <w:t>Strengths</w:t>
            </w:r>
          </w:p>
        </w:tc>
        <w:tc>
          <w:tcPr>
            <w:tcW w:w="5165" w:type="dxa"/>
          </w:tcPr>
          <w:p w14:paraId="76C4819B"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color w:val="000000" w:themeColor="text1"/>
              </w:rPr>
            </w:pPr>
            <w:r w:rsidRPr="00951FC0">
              <w:rPr>
                <w:color w:val="000000" w:themeColor="text1"/>
              </w:rPr>
              <w:t>Weaknesses</w:t>
            </w:r>
          </w:p>
        </w:tc>
      </w:tr>
      <w:tr w:rsidR="00951FC0" w:rsidRPr="00951FC0" w14:paraId="19684272"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Pr>
          <w:p w14:paraId="6AAB0B7D" w14:textId="77777777" w:rsidR="00951FC0" w:rsidRPr="00951FC0" w:rsidRDefault="00951FC0" w:rsidP="00951FC0">
            <w:pPr>
              <w:pStyle w:val="Paragrafoelenco"/>
              <w:numPr>
                <w:ilvl w:val="0"/>
                <w:numId w:val="1"/>
              </w:numPr>
              <w:rPr>
                <w:b w:val="0"/>
                <w:bCs w:val="0"/>
                <w:color w:val="000000" w:themeColor="text1"/>
              </w:rPr>
            </w:pPr>
            <w:r w:rsidRPr="00951FC0">
              <w:rPr>
                <w:b w:val="0"/>
                <w:bCs w:val="0"/>
                <w:color w:val="000000" w:themeColor="text1"/>
              </w:rPr>
              <w:t>A sustainable and ethical brand image is attractive to eco-conscious consumers.; this is primary asset.</w:t>
            </w:r>
          </w:p>
          <w:p w14:paraId="3EE4B345" w14:textId="1F61A0EC" w:rsidR="00951FC0" w:rsidRPr="00951FC0" w:rsidRDefault="00951FC0" w:rsidP="00951FC0">
            <w:pPr>
              <w:pStyle w:val="Paragrafoelenco"/>
              <w:numPr>
                <w:ilvl w:val="0"/>
                <w:numId w:val="1"/>
              </w:numPr>
              <w:rPr>
                <w:b w:val="0"/>
                <w:bCs w:val="0"/>
                <w:color w:val="000000" w:themeColor="text1"/>
              </w:rPr>
            </w:pPr>
            <w:r w:rsidRPr="00951FC0">
              <w:rPr>
                <w:b w:val="0"/>
                <w:bCs w:val="0"/>
                <w:color w:val="000000" w:themeColor="text1"/>
              </w:rPr>
              <w:lastRenderedPageBreak/>
              <w:t xml:space="preserve">It allows premium </w:t>
            </w:r>
            <w:r w:rsidR="004672C8" w:rsidRPr="00951FC0">
              <w:rPr>
                <w:b w:val="0"/>
                <w:bCs w:val="0"/>
                <w:color w:val="000000" w:themeColor="text1"/>
              </w:rPr>
              <w:t>pricing,</w:t>
            </w:r>
            <w:r w:rsidRPr="00951FC0">
              <w:rPr>
                <w:b w:val="0"/>
                <w:bCs w:val="0"/>
                <w:color w:val="000000" w:themeColor="text1"/>
              </w:rPr>
              <w:t xml:space="preserve"> but transparency must be ensured to prevent reputational damage.</w:t>
            </w:r>
          </w:p>
          <w:p w14:paraId="66BE3761" w14:textId="77777777" w:rsidR="00951FC0" w:rsidRPr="00951FC0" w:rsidRDefault="00951FC0" w:rsidP="00951FC0">
            <w:pPr>
              <w:pStyle w:val="Paragrafoelenco"/>
              <w:numPr>
                <w:ilvl w:val="0"/>
                <w:numId w:val="1"/>
              </w:numPr>
              <w:rPr>
                <w:b w:val="0"/>
                <w:bCs w:val="0"/>
                <w:color w:val="000000" w:themeColor="text1"/>
              </w:rPr>
            </w:pPr>
            <w:r w:rsidRPr="00951FC0">
              <w:rPr>
                <w:b w:val="0"/>
                <w:bCs w:val="0"/>
                <w:color w:val="000000" w:themeColor="text1"/>
              </w:rPr>
              <w:t>An inclusive sizing approach caters to various customers (Lucy &amp; Yak, 2025a).</w:t>
            </w:r>
          </w:p>
        </w:tc>
        <w:tc>
          <w:tcPr>
            <w:tcW w:w="5165" w:type="dxa"/>
          </w:tcPr>
          <w:p w14:paraId="2A5F71DC"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lastRenderedPageBreak/>
              <w:t>Focus on dungarees and casual wear limits product variety.</w:t>
            </w:r>
          </w:p>
          <w:p w14:paraId="2A9FD4CC"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lastRenderedPageBreak/>
              <w:t>High production costs with limited scalability (Lucy &amp; Yak, 2025a).</w:t>
            </w:r>
          </w:p>
          <w:p w14:paraId="50B361B6"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High costs show authenticity and decrease risks of overproduction.</w:t>
            </w:r>
          </w:p>
          <w:p w14:paraId="0CB86786" w14:textId="77777777" w:rsidR="00951FC0" w:rsidRPr="00951FC0" w:rsidRDefault="00951FC0" w:rsidP="00951FC0">
            <w:pPr>
              <w:pStyle w:val="Paragrafoelenco"/>
              <w:numPr>
                <w:ilvl w:val="0"/>
                <w:numId w:val="1"/>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Lowering unit costs with localised micro-factories and process efficiencies is essential.</w:t>
            </w:r>
          </w:p>
        </w:tc>
      </w:tr>
      <w:tr w:rsidR="00951FC0" w:rsidRPr="00951FC0" w14:paraId="67F564BE" w14:textId="77777777" w:rsidTr="007B6F88">
        <w:tc>
          <w:tcPr>
            <w:cnfStyle w:val="001000000000" w:firstRow="0" w:lastRow="0" w:firstColumn="1" w:lastColumn="0" w:oddVBand="0" w:evenVBand="0" w:oddHBand="0" w:evenHBand="0" w:firstRowFirstColumn="0" w:firstRowLastColumn="0" w:lastRowFirstColumn="0" w:lastRowLastColumn="0"/>
            <w:tcW w:w="4077" w:type="dxa"/>
          </w:tcPr>
          <w:p w14:paraId="4FC9BCD2" w14:textId="77777777" w:rsidR="00951FC0" w:rsidRPr="00951FC0" w:rsidRDefault="00951FC0" w:rsidP="007B6F88">
            <w:pPr>
              <w:rPr>
                <w:b w:val="0"/>
                <w:bCs w:val="0"/>
                <w:color w:val="000000" w:themeColor="text1"/>
              </w:rPr>
            </w:pPr>
            <w:r w:rsidRPr="00951FC0">
              <w:rPr>
                <w:color w:val="000000" w:themeColor="text1"/>
              </w:rPr>
              <w:lastRenderedPageBreak/>
              <w:t>Opportunities</w:t>
            </w:r>
          </w:p>
        </w:tc>
        <w:tc>
          <w:tcPr>
            <w:tcW w:w="5165" w:type="dxa"/>
          </w:tcPr>
          <w:p w14:paraId="095DA0FB"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b/>
                <w:bCs/>
                <w:color w:val="000000" w:themeColor="text1"/>
              </w:rPr>
            </w:pPr>
            <w:r w:rsidRPr="00951FC0">
              <w:rPr>
                <w:b/>
                <w:bCs/>
                <w:color w:val="000000" w:themeColor="text1"/>
              </w:rPr>
              <w:t>Threats</w:t>
            </w:r>
          </w:p>
        </w:tc>
      </w:tr>
      <w:tr w:rsidR="00951FC0" w:rsidRPr="00951FC0" w14:paraId="003E0032"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Pr>
          <w:p w14:paraId="4C26C9A1" w14:textId="77777777" w:rsidR="00951FC0" w:rsidRPr="00951FC0" w:rsidRDefault="00951FC0" w:rsidP="00951FC0">
            <w:pPr>
              <w:pStyle w:val="Paragrafoelenco"/>
              <w:numPr>
                <w:ilvl w:val="0"/>
                <w:numId w:val="2"/>
              </w:numPr>
              <w:rPr>
                <w:b w:val="0"/>
                <w:bCs w:val="0"/>
                <w:color w:val="000000" w:themeColor="text1"/>
              </w:rPr>
            </w:pPr>
            <w:r w:rsidRPr="00951FC0">
              <w:rPr>
                <w:b w:val="0"/>
                <w:bCs w:val="0"/>
                <w:color w:val="000000" w:themeColor="text1"/>
              </w:rPr>
              <w:t>Increasing consumer demand for ethical and sustainable fashion (</w:t>
            </w:r>
            <w:proofErr w:type="spellStart"/>
            <w:r w:rsidRPr="00951FC0">
              <w:rPr>
                <w:b w:val="0"/>
                <w:bCs w:val="0"/>
                <w:color w:val="000000" w:themeColor="text1"/>
              </w:rPr>
              <w:t>Bumin</w:t>
            </w:r>
            <w:proofErr w:type="spellEnd"/>
            <w:r w:rsidRPr="00951FC0">
              <w:rPr>
                <w:b w:val="0"/>
                <w:bCs w:val="0"/>
                <w:color w:val="000000" w:themeColor="text1"/>
              </w:rPr>
              <w:t xml:space="preserve"> and </w:t>
            </w:r>
            <w:proofErr w:type="spellStart"/>
            <w:r w:rsidRPr="00951FC0">
              <w:rPr>
                <w:b w:val="0"/>
                <w:bCs w:val="0"/>
                <w:color w:val="000000" w:themeColor="text1"/>
              </w:rPr>
              <w:t>Bumin</w:t>
            </w:r>
            <w:proofErr w:type="spellEnd"/>
            <w:r w:rsidRPr="00951FC0">
              <w:rPr>
                <w:b w:val="0"/>
                <w:bCs w:val="0"/>
                <w:color w:val="000000" w:themeColor="text1"/>
              </w:rPr>
              <w:t>, (2024).</w:t>
            </w:r>
          </w:p>
          <w:p w14:paraId="071201F4" w14:textId="77777777" w:rsidR="00951FC0" w:rsidRPr="00951FC0" w:rsidRDefault="00951FC0" w:rsidP="00951FC0">
            <w:pPr>
              <w:pStyle w:val="Paragrafoelenco"/>
              <w:numPr>
                <w:ilvl w:val="0"/>
                <w:numId w:val="2"/>
              </w:numPr>
              <w:rPr>
                <w:b w:val="0"/>
                <w:bCs w:val="0"/>
                <w:color w:val="000000" w:themeColor="text1"/>
              </w:rPr>
            </w:pPr>
            <w:r w:rsidRPr="00951FC0">
              <w:rPr>
                <w:b w:val="0"/>
                <w:bCs w:val="0"/>
                <w:color w:val="000000" w:themeColor="text1"/>
              </w:rPr>
              <w:t>High growth potential, thus product diversification is justified with targeted digital marketing for increased share.</w:t>
            </w:r>
          </w:p>
        </w:tc>
        <w:tc>
          <w:tcPr>
            <w:tcW w:w="5165" w:type="dxa"/>
          </w:tcPr>
          <w:p w14:paraId="58E1A6A9" w14:textId="77777777" w:rsidR="00951FC0" w:rsidRPr="00951FC0" w:rsidRDefault="00951FC0" w:rsidP="00951FC0">
            <w:pPr>
              <w:pStyle w:val="Paragrafoelenco"/>
              <w:numPr>
                <w:ilvl w:val="0"/>
                <w:numId w:val="2"/>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Intense competition and greenwashing strategy of rivals (McKinsey &amp; Company, 2025).</w:t>
            </w:r>
          </w:p>
          <w:p w14:paraId="63C38400" w14:textId="77777777" w:rsidR="00951FC0" w:rsidRPr="00951FC0" w:rsidRDefault="00951FC0" w:rsidP="00951FC0">
            <w:pPr>
              <w:pStyle w:val="Paragrafoelenco"/>
              <w:numPr>
                <w:ilvl w:val="0"/>
                <w:numId w:val="2"/>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This can reduce profit margins and confuse consumers; thus, the firm must focus on traceable supply chains and comparative transparency.</w:t>
            </w:r>
          </w:p>
          <w:p w14:paraId="5EABCF56" w14:textId="77777777" w:rsidR="00951FC0" w:rsidRPr="00951FC0" w:rsidRDefault="00951FC0" w:rsidP="00951FC0">
            <w:pPr>
              <w:pStyle w:val="Paragrafoelenco"/>
              <w:numPr>
                <w:ilvl w:val="0"/>
                <w:numId w:val="2"/>
              </w:numPr>
              <w:cnfStyle w:val="000000100000" w:firstRow="0" w:lastRow="0" w:firstColumn="0" w:lastColumn="0" w:oddVBand="0" w:evenVBand="0" w:oddHBand="1" w:evenHBand="0" w:firstRowFirstColumn="0" w:firstRowLastColumn="0" w:lastRowFirstColumn="0" w:lastRowLastColumn="0"/>
              <w:rPr>
                <w:color w:val="000000" w:themeColor="text1"/>
              </w:rPr>
            </w:pPr>
            <w:r w:rsidRPr="00951FC0">
              <w:rPr>
                <w:color w:val="000000" w:themeColor="text1"/>
              </w:rPr>
              <w:t xml:space="preserve">Supply chain challenges due to limited flexibility compared to fast-fashion brands (Perry and Wood, 2019). </w:t>
            </w:r>
          </w:p>
        </w:tc>
      </w:tr>
    </w:tbl>
    <w:p w14:paraId="659A2B7E" w14:textId="77777777" w:rsidR="00951FC0" w:rsidRDefault="00951FC0" w:rsidP="00951FC0"/>
    <w:p w14:paraId="1B839A65" w14:textId="77777777" w:rsidR="004672C8" w:rsidRPr="00951FC0" w:rsidRDefault="004672C8" w:rsidP="00951FC0"/>
    <w:p w14:paraId="66837CDB" w14:textId="77777777" w:rsidR="00951FC0" w:rsidRPr="00230B12" w:rsidRDefault="00951FC0" w:rsidP="00951FC0">
      <w:pPr>
        <w:pStyle w:val="Titolo3"/>
        <w:rPr>
          <w:rFonts w:ascii="Arial" w:hAnsi="Arial" w:cs="Arial"/>
        </w:rPr>
      </w:pPr>
      <w:bookmarkStart w:id="6" w:name="_Toc211439840"/>
      <w:r w:rsidRPr="00230B12">
        <w:rPr>
          <w:rFonts w:ascii="Arial" w:hAnsi="Arial" w:cs="Arial"/>
        </w:rPr>
        <w:t>Value Chain Analysis</w:t>
      </w:r>
      <w:bookmarkEnd w:id="6"/>
    </w:p>
    <w:p w14:paraId="56DA8A58" w14:textId="36366683" w:rsidR="00951FC0" w:rsidRDefault="00951FC0" w:rsidP="00951FC0">
      <w:r w:rsidRPr="00951FC0">
        <w:t>This analysis determines how a firm creates value for its stakeholders through sustainable and ethical practices (Lasserre and Monteiro, 2022).</w:t>
      </w:r>
      <w:r w:rsidR="004672C8">
        <w:t xml:space="preserve"> </w:t>
      </w:r>
      <w:r w:rsidRPr="00951FC0">
        <w:t>Table 2 shows the value chain analysis of operations undertaken in Lucy &amp; Yak.</w:t>
      </w:r>
    </w:p>
    <w:p w14:paraId="74B56D09" w14:textId="77777777" w:rsidR="003A3297" w:rsidRPr="00951FC0" w:rsidRDefault="003A3297" w:rsidP="00951FC0"/>
    <w:p w14:paraId="18FA4057" w14:textId="77777777" w:rsidR="00951FC0" w:rsidRPr="004672C8" w:rsidRDefault="00951FC0" w:rsidP="00951FC0">
      <w:pPr>
        <w:jc w:val="center"/>
        <w:rPr>
          <w:i/>
          <w:iCs/>
          <w:u w:val="single"/>
        </w:rPr>
      </w:pPr>
      <w:r w:rsidRPr="004672C8">
        <w:rPr>
          <w:i/>
          <w:iCs/>
          <w:u w:val="single"/>
        </w:rPr>
        <w:t>Table 2: Value Chain Analysis</w:t>
      </w:r>
    </w:p>
    <w:tbl>
      <w:tblPr>
        <w:tblStyle w:val="Tabellagriglia2-colore1"/>
        <w:tblW w:w="0" w:type="auto"/>
        <w:tblLook w:val="04A0" w:firstRow="1" w:lastRow="0" w:firstColumn="1" w:lastColumn="0" w:noHBand="0" w:noVBand="1"/>
      </w:tblPr>
      <w:tblGrid>
        <w:gridCol w:w="3369"/>
        <w:gridCol w:w="5873"/>
      </w:tblGrid>
      <w:tr w:rsidR="00951FC0" w:rsidRPr="00951FC0" w14:paraId="1C94A634"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5383126F" w14:textId="77777777" w:rsidR="00951FC0" w:rsidRPr="00951FC0" w:rsidRDefault="00951FC0" w:rsidP="007B6F88">
            <w:r w:rsidRPr="00951FC0">
              <w:t>Primary Activities</w:t>
            </w:r>
          </w:p>
        </w:tc>
        <w:tc>
          <w:tcPr>
            <w:tcW w:w="5873" w:type="dxa"/>
          </w:tcPr>
          <w:p w14:paraId="66671B71"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Analysis</w:t>
            </w:r>
          </w:p>
        </w:tc>
      </w:tr>
      <w:tr w:rsidR="00951FC0" w:rsidRPr="00951FC0" w14:paraId="529A29C8"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0DB8DECD" w14:textId="77777777" w:rsidR="00951FC0" w:rsidRPr="00951FC0" w:rsidRDefault="00951FC0" w:rsidP="007B6F88">
            <w:pPr>
              <w:rPr>
                <w:b w:val="0"/>
                <w:bCs w:val="0"/>
                <w:i/>
                <w:iCs/>
              </w:rPr>
            </w:pPr>
            <w:r w:rsidRPr="00951FC0">
              <w:rPr>
                <w:b w:val="0"/>
                <w:bCs w:val="0"/>
                <w:i/>
                <w:iCs/>
              </w:rPr>
              <w:t>Inbound Logistics</w:t>
            </w:r>
          </w:p>
        </w:tc>
        <w:tc>
          <w:tcPr>
            <w:tcW w:w="5873" w:type="dxa"/>
          </w:tcPr>
          <w:p w14:paraId="08482403"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Organic and recycled fabrics are sourced from ethical suppliers (Lucy &amp; Yak, 2025a). This enhances credibility, but there is an excessive dependency on these limited suppliers.</w:t>
            </w:r>
          </w:p>
        </w:tc>
      </w:tr>
      <w:tr w:rsidR="00951FC0" w:rsidRPr="00951FC0" w14:paraId="1FAE7B17"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7F41BB50" w14:textId="77777777" w:rsidR="00951FC0" w:rsidRPr="00951FC0" w:rsidRDefault="00951FC0" w:rsidP="007B6F88">
            <w:pPr>
              <w:rPr>
                <w:b w:val="0"/>
                <w:bCs w:val="0"/>
                <w:i/>
                <w:iCs/>
              </w:rPr>
            </w:pPr>
            <w:r w:rsidRPr="00951FC0">
              <w:rPr>
                <w:b w:val="0"/>
                <w:bCs w:val="0"/>
                <w:i/>
                <w:iCs/>
              </w:rPr>
              <w:t>Operations</w:t>
            </w:r>
          </w:p>
        </w:tc>
        <w:tc>
          <w:tcPr>
            <w:tcW w:w="5873" w:type="dxa"/>
          </w:tcPr>
          <w:p w14:paraId="17BBEE3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Quality and ethical compliance from small-batch and hand-made production, but limited scalability.</w:t>
            </w:r>
          </w:p>
        </w:tc>
      </w:tr>
      <w:tr w:rsidR="00951FC0" w:rsidRPr="00951FC0" w14:paraId="56F1BE02"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03B4E34C" w14:textId="77777777" w:rsidR="00951FC0" w:rsidRPr="00951FC0" w:rsidRDefault="00951FC0" w:rsidP="007B6F88">
            <w:pPr>
              <w:rPr>
                <w:b w:val="0"/>
                <w:bCs w:val="0"/>
                <w:i/>
                <w:iCs/>
              </w:rPr>
            </w:pPr>
            <w:r w:rsidRPr="00951FC0">
              <w:rPr>
                <w:b w:val="0"/>
                <w:bCs w:val="0"/>
                <w:i/>
                <w:iCs/>
              </w:rPr>
              <w:lastRenderedPageBreak/>
              <w:t>Outbound Logistics</w:t>
            </w:r>
          </w:p>
        </w:tc>
        <w:tc>
          <w:tcPr>
            <w:tcW w:w="5873" w:type="dxa"/>
          </w:tcPr>
          <w:p w14:paraId="4D808817"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Recyclable packaging is aligned with brand image, but sustainable materials cause premium pricing (Shao et al., 2022).</w:t>
            </w:r>
          </w:p>
        </w:tc>
      </w:tr>
      <w:tr w:rsidR="00951FC0" w:rsidRPr="00951FC0" w14:paraId="6AEFDB23"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131342E6" w14:textId="77777777" w:rsidR="00951FC0" w:rsidRPr="00951FC0" w:rsidRDefault="00951FC0" w:rsidP="007B6F88">
            <w:pPr>
              <w:rPr>
                <w:b w:val="0"/>
                <w:bCs w:val="0"/>
                <w:i/>
                <w:iCs/>
              </w:rPr>
            </w:pPr>
            <w:r w:rsidRPr="00951FC0">
              <w:rPr>
                <w:b w:val="0"/>
                <w:bCs w:val="0"/>
                <w:i/>
                <w:iCs/>
              </w:rPr>
              <w:t>Marketing and Sales</w:t>
            </w:r>
          </w:p>
        </w:tc>
        <w:tc>
          <w:tcPr>
            <w:tcW w:w="5873" w:type="dxa"/>
          </w:tcPr>
          <w:p w14:paraId="64FA21C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Influencer campaigns and storytelling enhance loyalty, but heavy reliance on digital channels is risky due to algorithm changes (Banker and Khetani, 2019).</w:t>
            </w:r>
          </w:p>
        </w:tc>
      </w:tr>
      <w:tr w:rsidR="00951FC0" w:rsidRPr="00951FC0" w14:paraId="7D74551A"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0EB6BEDC" w14:textId="77777777" w:rsidR="00951FC0" w:rsidRPr="00951FC0" w:rsidRDefault="00951FC0" w:rsidP="007B6F88">
            <w:pPr>
              <w:rPr>
                <w:b w:val="0"/>
                <w:bCs w:val="0"/>
                <w:i/>
                <w:iCs/>
              </w:rPr>
            </w:pPr>
            <w:r w:rsidRPr="00951FC0">
              <w:rPr>
                <w:b w:val="0"/>
                <w:bCs w:val="0"/>
                <w:i/>
                <w:iCs/>
              </w:rPr>
              <w:t>Service</w:t>
            </w:r>
          </w:p>
        </w:tc>
        <w:tc>
          <w:tcPr>
            <w:tcW w:w="5873" w:type="dxa"/>
          </w:tcPr>
          <w:p w14:paraId="13C4BC31"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Circular fashion and customer retention through repair and after-sales services, but increased resources are required.</w:t>
            </w:r>
          </w:p>
        </w:tc>
      </w:tr>
      <w:tr w:rsidR="00951FC0" w:rsidRPr="00951FC0" w14:paraId="1185320E"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72F1B436" w14:textId="77777777" w:rsidR="00951FC0" w:rsidRPr="00951FC0" w:rsidRDefault="00951FC0" w:rsidP="007B6F88">
            <w:r w:rsidRPr="00951FC0">
              <w:t>Support Activities</w:t>
            </w:r>
          </w:p>
        </w:tc>
        <w:tc>
          <w:tcPr>
            <w:tcW w:w="5873" w:type="dxa"/>
          </w:tcPr>
          <w:p w14:paraId="3D9B7FD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b/>
                <w:bCs/>
              </w:rPr>
            </w:pPr>
            <w:r w:rsidRPr="00951FC0">
              <w:rPr>
                <w:b/>
                <w:bCs/>
              </w:rPr>
              <w:t>Analysis</w:t>
            </w:r>
          </w:p>
        </w:tc>
      </w:tr>
      <w:tr w:rsidR="00951FC0" w:rsidRPr="00951FC0" w14:paraId="778FA14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3DDE04B9" w14:textId="77777777" w:rsidR="00951FC0" w:rsidRPr="00951FC0" w:rsidRDefault="00951FC0" w:rsidP="007B6F88">
            <w:pPr>
              <w:rPr>
                <w:b w:val="0"/>
                <w:bCs w:val="0"/>
                <w:i/>
                <w:iCs/>
              </w:rPr>
            </w:pPr>
            <w:r w:rsidRPr="00951FC0">
              <w:rPr>
                <w:b w:val="0"/>
                <w:bCs w:val="0"/>
                <w:i/>
                <w:iCs/>
              </w:rPr>
              <w:t>Procurement</w:t>
            </w:r>
          </w:p>
        </w:tc>
        <w:tc>
          <w:tcPr>
            <w:tcW w:w="5873" w:type="dxa"/>
          </w:tcPr>
          <w:p w14:paraId="09680B8C"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 xml:space="preserve">Brand integrity from ethical supplier selection and sustainable material sourcing, but it is complex in nature (Kim, </w:t>
            </w:r>
            <w:proofErr w:type="spellStart"/>
            <w:r w:rsidRPr="00951FC0">
              <w:t>Colicchia</w:t>
            </w:r>
            <w:proofErr w:type="spellEnd"/>
            <w:r w:rsidRPr="00951FC0">
              <w:t xml:space="preserve"> and </w:t>
            </w:r>
            <w:proofErr w:type="spellStart"/>
            <w:r w:rsidRPr="00951FC0">
              <w:t>Menachof</w:t>
            </w:r>
            <w:proofErr w:type="spellEnd"/>
            <w:r w:rsidRPr="00951FC0">
              <w:t>, 2018).</w:t>
            </w:r>
          </w:p>
        </w:tc>
      </w:tr>
      <w:tr w:rsidR="00951FC0" w:rsidRPr="00951FC0" w14:paraId="3E4D3D81"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5C2AC2BC" w14:textId="77777777" w:rsidR="00951FC0" w:rsidRPr="00951FC0" w:rsidRDefault="00951FC0" w:rsidP="007B6F88">
            <w:pPr>
              <w:rPr>
                <w:b w:val="0"/>
                <w:bCs w:val="0"/>
                <w:i/>
                <w:iCs/>
              </w:rPr>
            </w:pPr>
            <w:r w:rsidRPr="00951FC0">
              <w:rPr>
                <w:b w:val="0"/>
                <w:bCs w:val="0"/>
                <w:i/>
                <w:iCs/>
              </w:rPr>
              <w:t>Technology Development</w:t>
            </w:r>
          </w:p>
        </w:tc>
        <w:tc>
          <w:tcPr>
            <w:tcW w:w="5873" w:type="dxa"/>
          </w:tcPr>
          <w:p w14:paraId="6F7D8B13"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Digital marketing tools, e-commerce platforms, and supply chain tracking improve efficiency but require significant investment (Agus et al., 2020).</w:t>
            </w:r>
          </w:p>
        </w:tc>
      </w:tr>
      <w:tr w:rsidR="00951FC0" w:rsidRPr="00951FC0" w14:paraId="49F2D42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69" w:type="dxa"/>
          </w:tcPr>
          <w:p w14:paraId="343D6364" w14:textId="77777777" w:rsidR="00951FC0" w:rsidRPr="00951FC0" w:rsidRDefault="00951FC0" w:rsidP="007B6F88">
            <w:pPr>
              <w:rPr>
                <w:b w:val="0"/>
                <w:bCs w:val="0"/>
                <w:i/>
                <w:iCs/>
              </w:rPr>
            </w:pPr>
            <w:r w:rsidRPr="00951FC0">
              <w:rPr>
                <w:b w:val="0"/>
                <w:bCs w:val="0"/>
                <w:i/>
                <w:iCs/>
              </w:rPr>
              <w:t>Human Resource Management</w:t>
            </w:r>
          </w:p>
        </w:tc>
        <w:tc>
          <w:tcPr>
            <w:tcW w:w="5873" w:type="dxa"/>
          </w:tcPr>
          <w:p w14:paraId="321AD1E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Inclusive policies and employee engagement foster an ethical culture.</w:t>
            </w:r>
          </w:p>
        </w:tc>
      </w:tr>
      <w:tr w:rsidR="00951FC0" w:rsidRPr="00951FC0" w14:paraId="35371C0D" w14:textId="77777777" w:rsidTr="007B6F88">
        <w:tc>
          <w:tcPr>
            <w:cnfStyle w:val="001000000000" w:firstRow="0" w:lastRow="0" w:firstColumn="1" w:lastColumn="0" w:oddVBand="0" w:evenVBand="0" w:oddHBand="0" w:evenHBand="0" w:firstRowFirstColumn="0" w:firstRowLastColumn="0" w:lastRowFirstColumn="0" w:lastRowLastColumn="0"/>
            <w:tcW w:w="3369" w:type="dxa"/>
          </w:tcPr>
          <w:p w14:paraId="03C171C0" w14:textId="77777777" w:rsidR="00951FC0" w:rsidRPr="00951FC0" w:rsidRDefault="00951FC0" w:rsidP="007B6F88">
            <w:pPr>
              <w:rPr>
                <w:b w:val="0"/>
                <w:bCs w:val="0"/>
                <w:i/>
                <w:iCs/>
              </w:rPr>
            </w:pPr>
            <w:r w:rsidRPr="00951FC0">
              <w:rPr>
                <w:b w:val="0"/>
                <w:bCs w:val="0"/>
                <w:i/>
                <w:iCs/>
              </w:rPr>
              <w:t>Firm Infrastructure</w:t>
            </w:r>
          </w:p>
        </w:tc>
        <w:tc>
          <w:tcPr>
            <w:tcW w:w="5873" w:type="dxa"/>
          </w:tcPr>
          <w:p w14:paraId="2F35923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All activities are aligned with sustainability, but slower decision-making due to a limited hierarchy.</w:t>
            </w:r>
          </w:p>
        </w:tc>
      </w:tr>
    </w:tbl>
    <w:p w14:paraId="1E3BF0EC" w14:textId="77777777" w:rsidR="00951FC0" w:rsidRDefault="00951FC0" w:rsidP="00951FC0"/>
    <w:p w14:paraId="57DF13FD" w14:textId="77777777" w:rsidR="003A3297" w:rsidRPr="00951FC0" w:rsidRDefault="003A3297" w:rsidP="00951FC0"/>
    <w:p w14:paraId="7C964B2C" w14:textId="77777777" w:rsidR="00951FC0" w:rsidRPr="00230B12" w:rsidRDefault="00951FC0" w:rsidP="00951FC0">
      <w:pPr>
        <w:pStyle w:val="Titolo2"/>
        <w:rPr>
          <w:rFonts w:ascii="Arial" w:hAnsi="Arial" w:cs="Arial"/>
        </w:rPr>
      </w:pPr>
      <w:bookmarkStart w:id="7" w:name="_Toc211439841"/>
      <w:r w:rsidRPr="00230B12">
        <w:rPr>
          <w:rFonts w:ascii="Arial" w:hAnsi="Arial" w:cs="Arial"/>
        </w:rPr>
        <w:t>External environment</w:t>
      </w:r>
      <w:bookmarkEnd w:id="7"/>
      <w:r w:rsidRPr="00230B12">
        <w:rPr>
          <w:rFonts w:ascii="Arial" w:hAnsi="Arial" w:cs="Arial"/>
        </w:rPr>
        <w:t xml:space="preserve"> </w:t>
      </w:r>
    </w:p>
    <w:p w14:paraId="2CCED517" w14:textId="77777777" w:rsidR="00951FC0" w:rsidRPr="00230B12" w:rsidRDefault="00951FC0" w:rsidP="00951FC0">
      <w:pPr>
        <w:pStyle w:val="Titolo3"/>
        <w:rPr>
          <w:rFonts w:ascii="Arial" w:hAnsi="Arial" w:cs="Arial"/>
        </w:rPr>
      </w:pPr>
      <w:bookmarkStart w:id="8" w:name="_Toc211439842"/>
      <w:r w:rsidRPr="00230B12">
        <w:rPr>
          <w:rFonts w:ascii="Arial" w:hAnsi="Arial" w:cs="Arial"/>
        </w:rPr>
        <w:t>PESTEL</w:t>
      </w:r>
      <w:bookmarkEnd w:id="8"/>
    </w:p>
    <w:p w14:paraId="15D1A1CF" w14:textId="77777777" w:rsidR="00951FC0" w:rsidRPr="00951FC0" w:rsidRDefault="00951FC0" w:rsidP="00951FC0">
      <w:r w:rsidRPr="00951FC0">
        <w:t>This strategic model has been chosen to analyse various external forces affecting the operations of Lucy &amp; Yak.</w:t>
      </w:r>
    </w:p>
    <w:p w14:paraId="26393C7F" w14:textId="77777777" w:rsidR="00951FC0" w:rsidRPr="003A3297" w:rsidRDefault="00951FC0" w:rsidP="00951FC0">
      <w:pPr>
        <w:jc w:val="center"/>
        <w:rPr>
          <w:i/>
          <w:iCs/>
          <w:u w:val="single"/>
        </w:rPr>
      </w:pPr>
      <w:r w:rsidRPr="003A3297">
        <w:rPr>
          <w:i/>
          <w:iCs/>
          <w:u w:val="single"/>
        </w:rPr>
        <w:t>Table 3: PESTEL Analysis</w:t>
      </w:r>
    </w:p>
    <w:tbl>
      <w:tblPr>
        <w:tblStyle w:val="Tabellagriglia4-colore1"/>
        <w:tblW w:w="0" w:type="auto"/>
        <w:tblLook w:val="04A0" w:firstRow="1" w:lastRow="0" w:firstColumn="1" w:lastColumn="0" w:noHBand="0" w:noVBand="1"/>
      </w:tblPr>
      <w:tblGrid>
        <w:gridCol w:w="1745"/>
        <w:gridCol w:w="7497"/>
      </w:tblGrid>
      <w:tr w:rsidR="00951FC0" w:rsidRPr="00951FC0" w14:paraId="4CF1F26E"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7CD293BF" w14:textId="77777777" w:rsidR="00951FC0" w:rsidRPr="00951FC0" w:rsidRDefault="00951FC0" w:rsidP="007B6F88">
            <w:r w:rsidRPr="00951FC0">
              <w:t>Factors</w:t>
            </w:r>
          </w:p>
        </w:tc>
        <w:tc>
          <w:tcPr>
            <w:tcW w:w="7497" w:type="dxa"/>
          </w:tcPr>
          <w:p w14:paraId="357B0EC2"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Impact</w:t>
            </w:r>
          </w:p>
        </w:tc>
      </w:tr>
      <w:tr w:rsidR="00951FC0" w:rsidRPr="00951FC0" w14:paraId="6247244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78EE4A83" w14:textId="77777777" w:rsidR="00951FC0" w:rsidRPr="00951FC0" w:rsidRDefault="00951FC0" w:rsidP="007B6F88">
            <w:r w:rsidRPr="00951FC0">
              <w:t>Political (low to medium)</w:t>
            </w:r>
          </w:p>
        </w:tc>
        <w:tc>
          <w:tcPr>
            <w:tcW w:w="7497" w:type="dxa"/>
          </w:tcPr>
          <w:p w14:paraId="68AD7AA6"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International and UK regulations can disrupt ethical sourcing and contingency sourcing; thus, regional production is required to reduce exposure to these risks.</w:t>
            </w:r>
          </w:p>
        </w:tc>
      </w:tr>
      <w:tr w:rsidR="00951FC0" w:rsidRPr="00951FC0" w14:paraId="2789419E" w14:textId="77777777" w:rsidTr="007B6F88">
        <w:tc>
          <w:tcPr>
            <w:cnfStyle w:val="001000000000" w:firstRow="0" w:lastRow="0" w:firstColumn="1" w:lastColumn="0" w:oddVBand="0" w:evenVBand="0" w:oddHBand="0" w:evenHBand="0" w:firstRowFirstColumn="0" w:firstRowLastColumn="0" w:lastRowFirstColumn="0" w:lastRowLastColumn="0"/>
            <w:tcW w:w="1745" w:type="dxa"/>
          </w:tcPr>
          <w:p w14:paraId="5E474F78" w14:textId="77777777" w:rsidR="00951FC0" w:rsidRPr="00951FC0" w:rsidRDefault="00951FC0" w:rsidP="007B6F88">
            <w:r w:rsidRPr="00951FC0">
              <w:lastRenderedPageBreak/>
              <w:t>Economic (high)</w:t>
            </w:r>
          </w:p>
        </w:tc>
        <w:tc>
          <w:tcPr>
            <w:tcW w:w="7497" w:type="dxa"/>
          </w:tcPr>
          <w:p w14:paraId="70C097B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High inflation, currency exchange rates and increased shipping costs, leading to premium prices, thus need for localisation and inventory optimisation (Lasserre and Monteiro, 2022).</w:t>
            </w:r>
          </w:p>
        </w:tc>
      </w:tr>
      <w:tr w:rsidR="00951FC0" w:rsidRPr="00951FC0" w14:paraId="7680CD5F"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57A700DF" w14:textId="77777777" w:rsidR="00951FC0" w:rsidRPr="00951FC0" w:rsidRDefault="00951FC0" w:rsidP="007B6F88">
            <w:r w:rsidRPr="00951FC0">
              <w:t>Social (highest)</w:t>
            </w:r>
          </w:p>
        </w:tc>
        <w:tc>
          <w:tcPr>
            <w:tcW w:w="7497" w:type="dxa"/>
          </w:tcPr>
          <w:p w14:paraId="3CD946E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Increasing demand for ethical fashion ensures growth due to increased literacy, which drives circular offerings and product transparency (</w:t>
            </w:r>
            <w:proofErr w:type="spellStart"/>
            <w:r w:rsidRPr="00951FC0">
              <w:t>Bumin</w:t>
            </w:r>
            <w:proofErr w:type="spellEnd"/>
            <w:r w:rsidRPr="00951FC0">
              <w:t xml:space="preserve"> and </w:t>
            </w:r>
            <w:proofErr w:type="spellStart"/>
            <w:r w:rsidRPr="00951FC0">
              <w:t>Bumin</w:t>
            </w:r>
            <w:proofErr w:type="spellEnd"/>
            <w:r w:rsidRPr="00951FC0">
              <w:t>, 2024).</w:t>
            </w:r>
          </w:p>
        </w:tc>
      </w:tr>
      <w:tr w:rsidR="00951FC0" w:rsidRPr="00951FC0" w14:paraId="639FF1A3" w14:textId="77777777" w:rsidTr="007B6F88">
        <w:tc>
          <w:tcPr>
            <w:cnfStyle w:val="001000000000" w:firstRow="0" w:lastRow="0" w:firstColumn="1" w:lastColumn="0" w:oddVBand="0" w:evenVBand="0" w:oddHBand="0" w:evenHBand="0" w:firstRowFirstColumn="0" w:firstRowLastColumn="0" w:lastRowFirstColumn="0" w:lastRowLastColumn="0"/>
            <w:tcW w:w="1745" w:type="dxa"/>
          </w:tcPr>
          <w:p w14:paraId="4653B916" w14:textId="77777777" w:rsidR="00951FC0" w:rsidRPr="00951FC0" w:rsidRDefault="00951FC0" w:rsidP="007B6F88">
            <w:r w:rsidRPr="00951FC0">
              <w:t>Technological (medium to high)</w:t>
            </w:r>
          </w:p>
        </w:tc>
        <w:tc>
          <w:tcPr>
            <w:tcW w:w="7497" w:type="dxa"/>
          </w:tcPr>
          <w:p w14:paraId="14F05956"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Improved efficiency, brand visibility and increased customer engagement from the use of digital platforms and investment required to reduce supply chain risks (Agus et al., 2020).</w:t>
            </w:r>
          </w:p>
        </w:tc>
      </w:tr>
      <w:tr w:rsidR="00951FC0" w:rsidRPr="00951FC0" w14:paraId="25A95637"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5" w:type="dxa"/>
          </w:tcPr>
          <w:p w14:paraId="0A05D94D" w14:textId="77777777" w:rsidR="00951FC0" w:rsidRPr="00951FC0" w:rsidRDefault="00951FC0" w:rsidP="007B6F88">
            <w:r w:rsidRPr="00951FC0">
              <w:t>Environmental (medium)</w:t>
            </w:r>
          </w:p>
        </w:tc>
        <w:tc>
          <w:tcPr>
            <w:tcW w:w="7497" w:type="dxa"/>
          </w:tcPr>
          <w:p w14:paraId="1D6E25B5"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 xml:space="preserve">Sustainability goals are accomplished through recycled fabrics and stricter regulations increase costs but increase entry barriers, while production methods are affected by regulations (Kim, </w:t>
            </w:r>
            <w:proofErr w:type="spellStart"/>
            <w:r w:rsidRPr="00951FC0">
              <w:t>Colicchia</w:t>
            </w:r>
            <w:proofErr w:type="spellEnd"/>
            <w:r w:rsidRPr="00951FC0">
              <w:t xml:space="preserve"> and </w:t>
            </w:r>
            <w:proofErr w:type="spellStart"/>
            <w:r w:rsidRPr="00951FC0">
              <w:t>Menachof</w:t>
            </w:r>
            <w:proofErr w:type="spellEnd"/>
            <w:r w:rsidRPr="00951FC0">
              <w:t>, 2018).</w:t>
            </w:r>
          </w:p>
        </w:tc>
      </w:tr>
      <w:tr w:rsidR="00951FC0" w:rsidRPr="00951FC0" w14:paraId="67F5D97D" w14:textId="77777777" w:rsidTr="007B6F88">
        <w:tc>
          <w:tcPr>
            <w:cnfStyle w:val="001000000000" w:firstRow="0" w:lastRow="0" w:firstColumn="1" w:lastColumn="0" w:oddVBand="0" w:evenVBand="0" w:oddHBand="0" w:evenHBand="0" w:firstRowFirstColumn="0" w:firstRowLastColumn="0" w:lastRowFirstColumn="0" w:lastRowLastColumn="0"/>
            <w:tcW w:w="1745" w:type="dxa"/>
          </w:tcPr>
          <w:p w14:paraId="6C5D3E11" w14:textId="77777777" w:rsidR="00951FC0" w:rsidRPr="00951FC0" w:rsidRDefault="00951FC0" w:rsidP="007B6F88">
            <w:r w:rsidRPr="00951FC0">
              <w:t>Legal (low to medium)</w:t>
            </w:r>
          </w:p>
        </w:tc>
        <w:tc>
          <w:tcPr>
            <w:tcW w:w="7497" w:type="dxa"/>
          </w:tcPr>
          <w:p w14:paraId="5022F3F5"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Mandatory compliance with labour laws, product safety regulations and sustainability certifications, but non-adherence results in legal issues and damage to brand reputation.</w:t>
            </w:r>
          </w:p>
        </w:tc>
      </w:tr>
    </w:tbl>
    <w:p w14:paraId="5DA5884B" w14:textId="77777777" w:rsidR="00951FC0" w:rsidRDefault="00951FC0" w:rsidP="00951FC0"/>
    <w:p w14:paraId="60E782DC" w14:textId="77777777" w:rsidR="003A3297" w:rsidRPr="00951FC0" w:rsidRDefault="003A3297" w:rsidP="00951FC0"/>
    <w:p w14:paraId="326A9710" w14:textId="77777777" w:rsidR="00951FC0" w:rsidRPr="00230B12" w:rsidRDefault="00951FC0" w:rsidP="00951FC0">
      <w:pPr>
        <w:pStyle w:val="Titolo3"/>
        <w:rPr>
          <w:rFonts w:ascii="Arial" w:hAnsi="Arial" w:cs="Arial"/>
        </w:rPr>
      </w:pPr>
      <w:bookmarkStart w:id="9" w:name="_Toc211439843"/>
      <w:r w:rsidRPr="00230B12">
        <w:rPr>
          <w:rFonts w:ascii="Arial" w:hAnsi="Arial" w:cs="Arial"/>
        </w:rPr>
        <w:t>Porter’s Five Forces Analysis</w:t>
      </w:r>
      <w:bookmarkEnd w:id="9"/>
      <w:r w:rsidRPr="00230B12">
        <w:rPr>
          <w:rFonts w:ascii="Arial" w:hAnsi="Arial" w:cs="Arial"/>
        </w:rPr>
        <w:t xml:space="preserve"> </w:t>
      </w:r>
    </w:p>
    <w:p w14:paraId="3E321748" w14:textId="77777777" w:rsidR="00951FC0" w:rsidRPr="00951FC0" w:rsidRDefault="00951FC0" w:rsidP="00951FC0">
      <w:r w:rsidRPr="00951FC0">
        <w:t>This model has been used to analyse the competitive intensity in the market where Lucy &amp; Yak operates.</w:t>
      </w:r>
    </w:p>
    <w:p w14:paraId="22B3F029" w14:textId="77777777" w:rsidR="00951FC0" w:rsidRPr="003A3297" w:rsidRDefault="00951FC0" w:rsidP="00951FC0">
      <w:pPr>
        <w:jc w:val="center"/>
        <w:rPr>
          <w:i/>
          <w:iCs/>
          <w:u w:val="single"/>
        </w:rPr>
      </w:pPr>
      <w:r w:rsidRPr="003A3297">
        <w:rPr>
          <w:i/>
          <w:iCs/>
          <w:u w:val="single"/>
        </w:rPr>
        <w:t>Table 4: Porter’s Five Forces Analysis</w:t>
      </w:r>
    </w:p>
    <w:tbl>
      <w:tblPr>
        <w:tblStyle w:val="Tabellagriglia5scura-colore1"/>
        <w:tblW w:w="0" w:type="auto"/>
        <w:tblLook w:val="04A0" w:firstRow="1" w:lastRow="0" w:firstColumn="1" w:lastColumn="0" w:noHBand="0" w:noVBand="1"/>
      </w:tblPr>
      <w:tblGrid>
        <w:gridCol w:w="2802"/>
        <w:gridCol w:w="6440"/>
      </w:tblGrid>
      <w:tr w:rsidR="00951FC0" w:rsidRPr="00951FC0" w14:paraId="360F6682" w14:textId="77777777" w:rsidTr="007B6F88">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802" w:type="dxa"/>
          </w:tcPr>
          <w:p w14:paraId="6C1127EA" w14:textId="77777777" w:rsidR="00951FC0" w:rsidRPr="00951FC0" w:rsidRDefault="00951FC0" w:rsidP="007B6F88">
            <w:r w:rsidRPr="00951FC0">
              <w:t>Forces</w:t>
            </w:r>
          </w:p>
        </w:tc>
        <w:tc>
          <w:tcPr>
            <w:tcW w:w="6440" w:type="dxa"/>
          </w:tcPr>
          <w:p w14:paraId="69351FBC"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Analysis</w:t>
            </w:r>
          </w:p>
        </w:tc>
      </w:tr>
      <w:tr w:rsidR="00951FC0" w:rsidRPr="00951FC0" w14:paraId="4E50D0C5"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07DC62B2" w14:textId="77777777" w:rsidR="00951FC0" w:rsidRPr="00951FC0" w:rsidRDefault="00951FC0" w:rsidP="007B6F88">
            <w:r w:rsidRPr="00951FC0">
              <w:t>Buyers’ Power</w:t>
            </w:r>
          </w:p>
        </w:tc>
        <w:tc>
          <w:tcPr>
            <w:tcW w:w="6440" w:type="dxa"/>
          </w:tcPr>
          <w:p w14:paraId="2CC2F57F"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 xml:space="preserve">High bargaining power since consumers can switch to alternatives, thus loyalty programs, reuse services and circular initiatives must be undertaken (Lasserre and Monteiro, 2022). </w:t>
            </w:r>
          </w:p>
        </w:tc>
      </w:tr>
      <w:tr w:rsidR="00951FC0" w:rsidRPr="00951FC0" w14:paraId="39B2D936" w14:textId="77777777" w:rsidTr="007B6F88">
        <w:tc>
          <w:tcPr>
            <w:cnfStyle w:val="001000000000" w:firstRow="0" w:lastRow="0" w:firstColumn="1" w:lastColumn="0" w:oddVBand="0" w:evenVBand="0" w:oddHBand="0" w:evenHBand="0" w:firstRowFirstColumn="0" w:firstRowLastColumn="0" w:lastRowFirstColumn="0" w:lastRowLastColumn="0"/>
            <w:tcW w:w="2802" w:type="dxa"/>
          </w:tcPr>
          <w:p w14:paraId="0D65E1EC" w14:textId="77777777" w:rsidR="00951FC0" w:rsidRPr="00951FC0" w:rsidRDefault="00951FC0" w:rsidP="007B6F88">
            <w:r w:rsidRPr="00951FC0">
              <w:t>Suppliers’ Power</w:t>
            </w:r>
          </w:p>
        </w:tc>
        <w:tc>
          <w:tcPr>
            <w:tcW w:w="6440" w:type="dxa"/>
          </w:tcPr>
          <w:p w14:paraId="1898D1BC"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Moderate to high power due to over-reliance of Lucy &amp; Yak on limited ethical suppliers; thus, diversifying certified suppliers, investing in local partnerships and upskilling local production must be ensured.</w:t>
            </w:r>
          </w:p>
        </w:tc>
      </w:tr>
      <w:tr w:rsidR="00951FC0" w:rsidRPr="00951FC0" w14:paraId="5953ED20"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1D43C423" w14:textId="77777777" w:rsidR="00951FC0" w:rsidRPr="00951FC0" w:rsidRDefault="00951FC0" w:rsidP="007B6F88">
            <w:r w:rsidRPr="00951FC0">
              <w:t>Threat of Substitution</w:t>
            </w:r>
          </w:p>
        </w:tc>
        <w:tc>
          <w:tcPr>
            <w:tcW w:w="6440" w:type="dxa"/>
          </w:tcPr>
          <w:p w14:paraId="4BC82C2F"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Moderate threat from mainstream fashion retailers but high trust barriers. Thus, transparency reports can be used to enhance trust and prevent entry of substitutes (Heuer and Becker-Leifhold, 2018).</w:t>
            </w:r>
          </w:p>
        </w:tc>
      </w:tr>
      <w:tr w:rsidR="00951FC0" w:rsidRPr="00951FC0" w14:paraId="0EFC813A" w14:textId="77777777" w:rsidTr="007B6F88">
        <w:tc>
          <w:tcPr>
            <w:cnfStyle w:val="001000000000" w:firstRow="0" w:lastRow="0" w:firstColumn="1" w:lastColumn="0" w:oddVBand="0" w:evenVBand="0" w:oddHBand="0" w:evenHBand="0" w:firstRowFirstColumn="0" w:firstRowLastColumn="0" w:lastRowFirstColumn="0" w:lastRowLastColumn="0"/>
            <w:tcW w:w="2802" w:type="dxa"/>
          </w:tcPr>
          <w:p w14:paraId="03BCCD9B" w14:textId="77777777" w:rsidR="00951FC0" w:rsidRPr="00951FC0" w:rsidRDefault="00951FC0" w:rsidP="007B6F88">
            <w:r w:rsidRPr="00951FC0">
              <w:lastRenderedPageBreak/>
              <w:t>Threat of New Entrants</w:t>
            </w:r>
          </w:p>
        </w:tc>
        <w:tc>
          <w:tcPr>
            <w:tcW w:w="6440" w:type="dxa"/>
          </w:tcPr>
          <w:p w14:paraId="7D2852C6"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t>Moderate threat as entry barriers are reduced from e-commerce, thus durability, resale partnerships and repairability can be used as position offerings.</w:t>
            </w:r>
          </w:p>
        </w:tc>
      </w:tr>
      <w:tr w:rsidR="00951FC0" w:rsidRPr="00951FC0" w14:paraId="29D0E22A"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Pr>
          <w:p w14:paraId="07F634F6" w14:textId="77777777" w:rsidR="00951FC0" w:rsidRPr="00951FC0" w:rsidRDefault="00951FC0" w:rsidP="007B6F88">
            <w:r w:rsidRPr="00951FC0">
              <w:t>Competitive Rivalry</w:t>
            </w:r>
          </w:p>
        </w:tc>
        <w:tc>
          <w:tcPr>
            <w:tcW w:w="6440" w:type="dxa"/>
          </w:tcPr>
          <w:p w14:paraId="0B5A7F43"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t>High as numerous international and local sustainable fashion brands offer similar products in the UK market, but it strengthens differentiation of the firm (McKinsey &amp; Company, 2025).</w:t>
            </w:r>
          </w:p>
        </w:tc>
      </w:tr>
    </w:tbl>
    <w:p w14:paraId="4D814145" w14:textId="77777777" w:rsidR="00951FC0" w:rsidRPr="00951FC0" w:rsidRDefault="00951FC0" w:rsidP="00951FC0"/>
    <w:p w14:paraId="72B1D000" w14:textId="77777777" w:rsidR="00951FC0" w:rsidRPr="006B3042" w:rsidRDefault="00951FC0" w:rsidP="00951FC0">
      <w:pPr>
        <w:pStyle w:val="Titolo1"/>
        <w:rPr>
          <w:rFonts w:ascii="Arial" w:hAnsi="Arial" w:cs="Arial"/>
          <w:sz w:val="36"/>
          <w:szCs w:val="36"/>
        </w:rPr>
      </w:pPr>
      <w:bookmarkStart w:id="10" w:name="_Toc211439844"/>
      <w:r w:rsidRPr="006B3042">
        <w:rPr>
          <w:rFonts w:ascii="Arial" w:hAnsi="Arial" w:cs="Arial"/>
          <w:sz w:val="36"/>
          <w:szCs w:val="36"/>
        </w:rPr>
        <w:t>5. Available Strategic Growth Choices and Long-Term Strategy Proposal</w:t>
      </w:r>
      <w:bookmarkEnd w:id="10"/>
      <w:r w:rsidRPr="006B3042">
        <w:rPr>
          <w:rFonts w:ascii="Arial" w:hAnsi="Arial" w:cs="Arial"/>
          <w:sz w:val="36"/>
          <w:szCs w:val="36"/>
        </w:rPr>
        <w:t xml:space="preserve"> </w:t>
      </w:r>
    </w:p>
    <w:p w14:paraId="2A858B55" w14:textId="77777777" w:rsidR="00951FC0" w:rsidRDefault="00951FC0" w:rsidP="00951FC0">
      <w:r w:rsidRPr="00951FC0">
        <w:t>Based on the environmental and competitor analyses, various strategic growth choices have been evaluated in this section.</w:t>
      </w:r>
    </w:p>
    <w:p w14:paraId="1C31C8EA" w14:textId="77777777" w:rsidR="003A3297" w:rsidRPr="00951FC0" w:rsidRDefault="003A3297" w:rsidP="00951FC0"/>
    <w:p w14:paraId="603F151E" w14:textId="77777777" w:rsidR="00951FC0" w:rsidRPr="00230B12" w:rsidRDefault="00951FC0" w:rsidP="00951FC0">
      <w:pPr>
        <w:pStyle w:val="Titolo2"/>
        <w:rPr>
          <w:rFonts w:ascii="Arial" w:hAnsi="Arial" w:cs="Arial"/>
        </w:rPr>
      </w:pPr>
      <w:bookmarkStart w:id="11" w:name="_Toc211439845"/>
      <w:r w:rsidRPr="00230B12">
        <w:rPr>
          <w:rFonts w:ascii="Arial" w:hAnsi="Arial" w:cs="Arial"/>
        </w:rPr>
        <w:t>Porter’s Generic Strategies</w:t>
      </w:r>
      <w:bookmarkEnd w:id="11"/>
      <w:r w:rsidRPr="00230B12">
        <w:rPr>
          <w:rFonts w:ascii="Arial" w:hAnsi="Arial" w:cs="Arial"/>
        </w:rPr>
        <w:t xml:space="preserve"> </w:t>
      </w:r>
    </w:p>
    <w:p w14:paraId="6F1A068C" w14:textId="77777777" w:rsidR="00951FC0" w:rsidRDefault="00951FC0" w:rsidP="00951FC0">
      <w:r w:rsidRPr="00951FC0">
        <w:t>Through Porter’s model, three strategic options are available for Lucy &amp; Yak, which have been analysed in Table 5.</w:t>
      </w:r>
    </w:p>
    <w:p w14:paraId="1157D62C" w14:textId="77777777" w:rsidR="003A3297" w:rsidRPr="00951FC0" w:rsidRDefault="003A3297" w:rsidP="00951FC0"/>
    <w:p w14:paraId="547A2337" w14:textId="77777777" w:rsidR="00951FC0" w:rsidRPr="003A3297" w:rsidRDefault="00951FC0" w:rsidP="00951FC0">
      <w:pPr>
        <w:jc w:val="center"/>
        <w:rPr>
          <w:i/>
          <w:iCs/>
          <w:u w:val="single"/>
        </w:rPr>
      </w:pPr>
      <w:r w:rsidRPr="003A3297">
        <w:rPr>
          <w:i/>
          <w:iCs/>
          <w:u w:val="single"/>
        </w:rPr>
        <w:t>Table 5: Application of Porter’s Generic Strategies</w:t>
      </w:r>
    </w:p>
    <w:tbl>
      <w:tblPr>
        <w:tblStyle w:val="Tabellagriglia5scura-colore1"/>
        <w:tblW w:w="0" w:type="auto"/>
        <w:tblLook w:val="04A0" w:firstRow="1" w:lastRow="0" w:firstColumn="1" w:lastColumn="0" w:noHBand="0" w:noVBand="1"/>
      </w:tblPr>
      <w:tblGrid>
        <w:gridCol w:w="2376"/>
        <w:gridCol w:w="2977"/>
        <w:gridCol w:w="3889"/>
      </w:tblGrid>
      <w:tr w:rsidR="00951FC0" w:rsidRPr="00951FC0" w14:paraId="66DFF62E"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CA5E6A5" w14:textId="77777777" w:rsidR="00951FC0" w:rsidRPr="00951FC0" w:rsidRDefault="00951FC0" w:rsidP="007B6F88">
            <w:r w:rsidRPr="00951FC0">
              <w:t>Strategy</w:t>
            </w:r>
          </w:p>
        </w:tc>
        <w:tc>
          <w:tcPr>
            <w:tcW w:w="2977" w:type="dxa"/>
          </w:tcPr>
          <w:p w14:paraId="338E36D6"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Application</w:t>
            </w:r>
          </w:p>
        </w:tc>
        <w:tc>
          <w:tcPr>
            <w:tcW w:w="3889" w:type="dxa"/>
          </w:tcPr>
          <w:p w14:paraId="71DA82FC"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pPr>
            <w:r w:rsidRPr="00951FC0">
              <w:t xml:space="preserve">Assessment </w:t>
            </w:r>
          </w:p>
        </w:tc>
      </w:tr>
      <w:tr w:rsidR="00951FC0" w:rsidRPr="00951FC0" w14:paraId="3D6E6096"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38F42DA2" w14:textId="77777777" w:rsidR="00951FC0" w:rsidRPr="00951FC0" w:rsidRDefault="00951FC0" w:rsidP="007B6F88">
            <w:r w:rsidRPr="00951FC0">
              <w:t>Cost Leadership</w:t>
            </w:r>
          </w:p>
        </w:tc>
        <w:tc>
          <w:tcPr>
            <w:tcW w:w="2977" w:type="dxa"/>
          </w:tcPr>
          <w:p w14:paraId="0A87816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b/>
                <w:bCs/>
              </w:rPr>
            </w:pPr>
            <w:r w:rsidRPr="003A3297">
              <w:rPr>
                <w:rStyle w:val="Enfasigrassetto"/>
                <w:b w:val="0"/>
                <w:bCs w:val="0"/>
                <w:color w:val="0E101A"/>
              </w:rPr>
              <w:t>Reducing production costs to compete with others through a low pricing strategy</w:t>
            </w:r>
            <w:r w:rsidRPr="00951FC0">
              <w:rPr>
                <w:rStyle w:val="Enfasigrassetto"/>
                <w:color w:val="0E101A"/>
              </w:rPr>
              <w:t xml:space="preserve"> (</w:t>
            </w:r>
            <w:r w:rsidRPr="00951FC0">
              <w:t xml:space="preserve">Islami, Mustafa and </w:t>
            </w:r>
            <w:proofErr w:type="spellStart"/>
            <w:r w:rsidRPr="00951FC0">
              <w:t>Topuzovska</w:t>
            </w:r>
            <w:proofErr w:type="spellEnd"/>
            <w:r w:rsidRPr="00951FC0">
              <w:t xml:space="preserve"> </w:t>
            </w:r>
            <w:proofErr w:type="spellStart"/>
            <w:r w:rsidRPr="00951FC0">
              <w:t>Latkovikj</w:t>
            </w:r>
            <w:proofErr w:type="spellEnd"/>
            <w:r w:rsidRPr="00951FC0">
              <w:t>, 2020)</w:t>
            </w:r>
            <w:r w:rsidRPr="00951FC0">
              <w:rPr>
                <w:rStyle w:val="Enfasigrassetto"/>
                <w:color w:val="0E101A"/>
              </w:rPr>
              <w:t>.</w:t>
            </w:r>
            <w:r w:rsidRPr="00951FC0">
              <w:rPr>
                <w:b/>
                <w:bCs/>
                <w:color w:val="0E101A"/>
              </w:rPr>
              <w:t xml:space="preserve"> </w:t>
            </w:r>
          </w:p>
        </w:tc>
        <w:tc>
          <w:tcPr>
            <w:tcW w:w="3889" w:type="dxa"/>
          </w:tcPr>
          <w:p w14:paraId="0B7C5FA8" w14:textId="77777777" w:rsidR="00951FC0" w:rsidRPr="003A3297" w:rsidRDefault="00951FC0" w:rsidP="007B6F88">
            <w:pPr>
              <w:cnfStyle w:val="000000100000" w:firstRow="0" w:lastRow="0" w:firstColumn="0" w:lastColumn="0" w:oddVBand="0" w:evenVBand="0" w:oddHBand="1" w:evenHBand="0" w:firstRowFirstColumn="0" w:firstRowLastColumn="0" w:lastRowFirstColumn="0" w:lastRowLastColumn="0"/>
              <w:rPr>
                <w:b/>
                <w:bCs/>
              </w:rPr>
            </w:pPr>
            <w:r w:rsidRPr="003A3297">
              <w:rPr>
                <w:rStyle w:val="Enfasigrassetto"/>
                <w:b w:val="0"/>
                <w:bCs w:val="0"/>
                <w:color w:val="0E101A"/>
              </w:rPr>
              <w:t>Since Lucy &amp; Yak uses ethical sourcing and small-batch production, this strategy is not feasible as it can compromise its brand values and sustainability vision.</w:t>
            </w:r>
            <w:r w:rsidRPr="003A3297">
              <w:rPr>
                <w:b/>
                <w:bCs/>
                <w:color w:val="0E101A"/>
              </w:rPr>
              <w:t xml:space="preserve"> </w:t>
            </w:r>
          </w:p>
        </w:tc>
      </w:tr>
      <w:tr w:rsidR="00951FC0" w:rsidRPr="00951FC0" w14:paraId="103C0A71" w14:textId="77777777" w:rsidTr="007B6F88">
        <w:tc>
          <w:tcPr>
            <w:cnfStyle w:val="001000000000" w:firstRow="0" w:lastRow="0" w:firstColumn="1" w:lastColumn="0" w:oddVBand="0" w:evenVBand="0" w:oddHBand="0" w:evenHBand="0" w:firstRowFirstColumn="0" w:firstRowLastColumn="0" w:lastRowFirstColumn="0" w:lastRowLastColumn="0"/>
            <w:tcW w:w="2376" w:type="dxa"/>
          </w:tcPr>
          <w:p w14:paraId="4E7C28F1" w14:textId="77777777" w:rsidR="00951FC0" w:rsidRPr="00951FC0" w:rsidRDefault="00951FC0" w:rsidP="007B6F88">
            <w:r w:rsidRPr="00951FC0">
              <w:t>Differentiation</w:t>
            </w:r>
          </w:p>
        </w:tc>
        <w:tc>
          <w:tcPr>
            <w:tcW w:w="2977" w:type="dxa"/>
          </w:tcPr>
          <w:p w14:paraId="0C3B8636" w14:textId="77777777" w:rsidR="00951FC0" w:rsidRPr="003A3297" w:rsidRDefault="00951FC0" w:rsidP="007B6F88">
            <w:pPr>
              <w:cnfStyle w:val="000000000000" w:firstRow="0" w:lastRow="0" w:firstColumn="0" w:lastColumn="0" w:oddVBand="0" w:evenVBand="0" w:oddHBand="0" w:evenHBand="0" w:firstRowFirstColumn="0" w:firstRowLastColumn="0" w:lastRowFirstColumn="0" w:lastRowLastColumn="0"/>
              <w:rPr>
                <w:b/>
                <w:bCs/>
              </w:rPr>
            </w:pPr>
            <w:r w:rsidRPr="003A3297">
              <w:rPr>
                <w:rStyle w:val="Enfasigrassetto"/>
                <w:b w:val="0"/>
                <w:bCs w:val="0"/>
                <w:color w:val="0E101A"/>
              </w:rPr>
              <w:t>Unique sustainable clothing, transparent practices, playful designs, and inclusive sizing.</w:t>
            </w:r>
            <w:r w:rsidRPr="003A3297">
              <w:rPr>
                <w:b/>
                <w:bCs/>
                <w:color w:val="0E101A"/>
              </w:rPr>
              <w:t xml:space="preserve"> </w:t>
            </w:r>
          </w:p>
        </w:tc>
        <w:tc>
          <w:tcPr>
            <w:tcW w:w="3889" w:type="dxa"/>
          </w:tcPr>
          <w:p w14:paraId="6298853B"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pPr>
            <w:r w:rsidRPr="00951FC0">
              <w:rPr>
                <w:color w:val="0E101A"/>
              </w:rPr>
              <w:t>It can strengthen brand loyalty and allow a premium pricing strategy, which is the current mission and vision of the firm (</w:t>
            </w:r>
            <w:r w:rsidRPr="00951FC0">
              <w:t>White, 2017)</w:t>
            </w:r>
            <w:r w:rsidRPr="00951FC0">
              <w:rPr>
                <w:color w:val="0E101A"/>
              </w:rPr>
              <w:t xml:space="preserve">. </w:t>
            </w:r>
          </w:p>
        </w:tc>
      </w:tr>
      <w:tr w:rsidR="00951FC0" w:rsidRPr="00951FC0" w14:paraId="54780711"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6A695B01" w14:textId="77777777" w:rsidR="00951FC0" w:rsidRPr="00951FC0" w:rsidRDefault="00951FC0" w:rsidP="007B6F88">
            <w:r w:rsidRPr="00951FC0">
              <w:lastRenderedPageBreak/>
              <w:t>Focus</w:t>
            </w:r>
          </w:p>
        </w:tc>
        <w:tc>
          <w:tcPr>
            <w:tcW w:w="2977" w:type="dxa"/>
          </w:tcPr>
          <w:p w14:paraId="66D519EA" w14:textId="77777777" w:rsidR="00951FC0" w:rsidRPr="003A3297" w:rsidRDefault="00951FC0" w:rsidP="007B6F88">
            <w:pPr>
              <w:cnfStyle w:val="000000100000" w:firstRow="0" w:lastRow="0" w:firstColumn="0" w:lastColumn="0" w:oddVBand="0" w:evenVBand="0" w:oddHBand="1" w:evenHBand="0" w:firstRowFirstColumn="0" w:firstRowLastColumn="0" w:lastRowFirstColumn="0" w:lastRowLastColumn="0"/>
              <w:rPr>
                <w:b/>
                <w:bCs/>
              </w:rPr>
            </w:pPr>
            <w:r w:rsidRPr="003A3297">
              <w:rPr>
                <w:rStyle w:val="Enfasigrassetto"/>
                <w:b w:val="0"/>
                <w:bCs w:val="0"/>
                <w:color w:val="0E101A"/>
              </w:rPr>
              <w:t>Focusing on eco-conscious and fashion-forward customers to build a niche market.</w:t>
            </w:r>
            <w:r w:rsidRPr="003A3297">
              <w:rPr>
                <w:b/>
                <w:bCs/>
                <w:color w:val="0E101A"/>
              </w:rPr>
              <w:t xml:space="preserve"> </w:t>
            </w:r>
          </w:p>
        </w:tc>
        <w:tc>
          <w:tcPr>
            <w:tcW w:w="3889" w:type="dxa"/>
          </w:tcPr>
          <w:p w14:paraId="18501D12"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pPr>
            <w:r w:rsidRPr="00951FC0">
              <w:rPr>
                <w:color w:val="0E101A"/>
              </w:rPr>
              <w:t xml:space="preserve">Tailored marketing strategies for a specific target market can drive high engagement and customer retention rates. </w:t>
            </w:r>
          </w:p>
        </w:tc>
      </w:tr>
    </w:tbl>
    <w:p w14:paraId="0F10E547" w14:textId="77777777" w:rsidR="003A3297" w:rsidRDefault="003A3297" w:rsidP="00951FC0"/>
    <w:p w14:paraId="1BB3F49D" w14:textId="4346D2C7" w:rsidR="00951FC0" w:rsidRPr="00951FC0" w:rsidRDefault="00951FC0" w:rsidP="00951FC0">
      <w:r w:rsidRPr="00951FC0">
        <w:t>By utilising a differentiation focus strategic option, Lucy &amp; Yak can acquire a sustainable competitive advantage in the market. This strategy will enable the brand to target eco-conscious and style-driven consumers. Cost leadership is not a feasible option as it can hamper its sustainability focus through ethical sourcing and small-batch production (Heuer and Becker-Leifhold, 2018). Instead, including unique designs, maintaining supply chain transparency and inclusive sizing can result in increased brand loyalty, ensure long-term profitability and offer a strong competitive position.</w:t>
      </w:r>
    </w:p>
    <w:p w14:paraId="61BBF1EA" w14:textId="498DEEE0" w:rsidR="00951FC0" w:rsidRPr="00951FC0" w:rsidRDefault="00951FC0" w:rsidP="00951FC0">
      <w:pPr>
        <w:spacing w:line="278" w:lineRule="auto"/>
        <w:jc w:val="left"/>
      </w:pPr>
    </w:p>
    <w:p w14:paraId="023C97C5" w14:textId="77777777" w:rsidR="00951FC0" w:rsidRPr="00230B12" w:rsidRDefault="00951FC0" w:rsidP="00951FC0">
      <w:pPr>
        <w:pStyle w:val="Titolo2"/>
        <w:rPr>
          <w:rFonts w:ascii="Arial" w:hAnsi="Arial" w:cs="Arial"/>
        </w:rPr>
      </w:pPr>
      <w:bookmarkStart w:id="12" w:name="_Toc211353116"/>
      <w:bookmarkStart w:id="13" w:name="_Toc211439846"/>
      <w:r w:rsidRPr="00230B12">
        <w:rPr>
          <w:rFonts w:ascii="Arial" w:hAnsi="Arial" w:cs="Arial"/>
        </w:rPr>
        <w:t>Ansoff Matrix</w:t>
      </w:r>
      <w:bookmarkEnd w:id="12"/>
      <w:bookmarkEnd w:id="13"/>
      <w:r w:rsidRPr="00230B12">
        <w:rPr>
          <w:rFonts w:ascii="Arial" w:hAnsi="Arial" w:cs="Arial"/>
        </w:rPr>
        <w:t xml:space="preserve"> </w:t>
      </w:r>
    </w:p>
    <w:p w14:paraId="69971A69" w14:textId="77777777" w:rsidR="00951FC0" w:rsidRDefault="00951FC0" w:rsidP="00951FC0">
      <w:r w:rsidRPr="00951FC0">
        <w:t>The Ansoff matrix provides a strategic framework for analysing growth options through market penetration, market development, product development, and diversification (</w:t>
      </w:r>
      <w:proofErr w:type="spellStart"/>
      <w:r w:rsidRPr="00951FC0">
        <w:t>Kalogiannidis</w:t>
      </w:r>
      <w:proofErr w:type="spellEnd"/>
      <w:r w:rsidRPr="00951FC0">
        <w:t xml:space="preserve"> and Mavratzas, 2020). Lucy &amp; Yak should use </w:t>
      </w:r>
      <w:r w:rsidRPr="00951FC0">
        <w:rPr>
          <w:b/>
          <w:bCs/>
          <w:i/>
          <w:iCs/>
        </w:rPr>
        <w:t>product development</w:t>
      </w:r>
      <w:r w:rsidRPr="00951FC0">
        <w:t xml:space="preserve"> as the most sustainable strategy by focusing on expanding eco-innovative product lines such as modular clothing, circular denim, and zero-waste accessories. The company has a strong supplier network that is both GOTS and SMETA certified, which supports this strategy. Innovation in circular products can enhance the perceived value while maintaining affordability, which is crucial for differentiation. Approximately 87% of the items use organic cotton, while other materials like packaging are constantly innovated to align with the brand’s identity and sustainability goals (Lucy &amp; Yak, 2024). Product development is a sustainable strategic option because it aligns with the company’s low-carbon, purpose-led identity and fosters competitiveness. </w:t>
      </w:r>
    </w:p>
    <w:p w14:paraId="799DD0CA" w14:textId="77777777" w:rsidR="003A3297" w:rsidRPr="00951FC0" w:rsidRDefault="003A3297" w:rsidP="00951FC0"/>
    <w:p w14:paraId="64DD10AD" w14:textId="77777777" w:rsidR="00951FC0" w:rsidRPr="00230B12" w:rsidRDefault="00951FC0" w:rsidP="00951FC0">
      <w:pPr>
        <w:pStyle w:val="Titolo2"/>
        <w:rPr>
          <w:rFonts w:ascii="Arial" w:hAnsi="Arial" w:cs="Arial"/>
        </w:rPr>
      </w:pPr>
      <w:bookmarkStart w:id="14" w:name="_Toc211353117"/>
      <w:bookmarkStart w:id="15" w:name="_Toc211439847"/>
      <w:r w:rsidRPr="00230B12">
        <w:rPr>
          <w:rFonts w:ascii="Arial" w:hAnsi="Arial" w:cs="Arial"/>
        </w:rPr>
        <w:t>Bowman’s Strategic Clock</w:t>
      </w:r>
      <w:bookmarkEnd w:id="14"/>
      <w:bookmarkEnd w:id="15"/>
    </w:p>
    <w:p w14:paraId="0FD5A839" w14:textId="77777777" w:rsidR="00951FC0" w:rsidRDefault="00951FC0" w:rsidP="00951FC0">
      <w:r w:rsidRPr="00951FC0">
        <w:t xml:space="preserve">Bowman's Strategic Clock points toward several positioning options with perceived value and product price (Desai, 2019). Lucy &amp; Yak should implement the </w:t>
      </w:r>
      <w:r w:rsidRPr="00951FC0">
        <w:rPr>
          <w:b/>
          <w:bCs/>
          <w:i/>
          <w:iCs/>
        </w:rPr>
        <w:t>hybrid-differentiation values strategy</w:t>
      </w:r>
      <w:r w:rsidRPr="00951FC0">
        <w:t xml:space="preserve"> as shared pricing for increased emotional and ethical value, which satisfies ethically conscious customers, thereby supporting Ansoff's product development. Hybrid differentiation increases the perceived value of new products while keeping them affordable. This, however, does not make focused differentiation an alternative because it implies exclusivity while contradicting its values of accessibility and community. </w:t>
      </w:r>
      <w:r w:rsidRPr="00951FC0">
        <w:lastRenderedPageBreak/>
        <w:t>The company should be affordable for all and transparent in increasing the product's value by reporting through Greenly and SEDEX, wherein sustaining brand loyalty. This mitigates supply chain risks while leveraging cost efficiency, supporting sustainability. </w:t>
      </w:r>
    </w:p>
    <w:p w14:paraId="12449344" w14:textId="77777777" w:rsidR="003A3297" w:rsidRPr="00951FC0" w:rsidRDefault="003A3297" w:rsidP="00951FC0"/>
    <w:p w14:paraId="12A3515A" w14:textId="77777777" w:rsidR="00951FC0" w:rsidRPr="006B3042" w:rsidRDefault="00951FC0" w:rsidP="00951FC0">
      <w:pPr>
        <w:pStyle w:val="Titolo1"/>
        <w:rPr>
          <w:rFonts w:ascii="Arial" w:hAnsi="Arial" w:cs="Arial"/>
          <w:sz w:val="36"/>
          <w:szCs w:val="36"/>
        </w:rPr>
      </w:pPr>
      <w:bookmarkStart w:id="16" w:name="_Toc211353118"/>
      <w:bookmarkStart w:id="17" w:name="_Toc211439848"/>
      <w:r w:rsidRPr="006B3042">
        <w:rPr>
          <w:rFonts w:ascii="Arial" w:hAnsi="Arial" w:cs="Arial"/>
          <w:sz w:val="36"/>
          <w:szCs w:val="36"/>
        </w:rPr>
        <w:t>6. Stakeholder Analysis</w:t>
      </w:r>
      <w:bookmarkEnd w:id="16"/>
      <w:bookmarkEnd w:id="17"/>
    </w:p>
    <w:p w14:paraId="1E74977B" w14:textId="77777777" w:rsidR="00951FC0" w:rsidRPr="00230B12" w:rsidRDefault="00951FC0" w:rsidP="00951FC0">
      <w:pPr>
        <w:pStyle w:val="Titolo2"/>
        <w:rPr>
          <w:rFonts w:ascii="Arial" w:hAnsi="Arial" w:cs="Arial"/>
        </w:rPr>
      </w:pPr>
      <w:bookmarkStart w:id="18" w:name="_Toc211353119"/>
      <w:bookmarkStart w:id="19" w:name="_Toc211439849"/>
      <w:r w:rsidRPr="00230B12">
        <w:rPr>
          <w:rFonts w:ascii="Arial" w:hAnsi="Arial" w:cs="Arial"/>
        </w:rPr>
        <w:t>Mendelow’s Matrix</w:t>
      </w:r>
      <w:bookmarkEnd w:id="18"/>
      <w:bookmarkEnd w:id="19"/>
      <w:r w:rsidRPr="00230B12">
        <w:rPr>
          <w:rFonts w:ascii="Arial" w:hAnsi="Arial" w:cs="Arial"/>
        </w:rPr>
        <w:t xml:space="preserve"> </w:t>
      </w:r>
    </w:p>
    <w:p w14:paraId="79E3FC7B" w14:textId="77777777" w:rsidR="00951FC0" w:rsidRPr="00951FC0" w:rsidRDefault="00951FC0" w:rsidP="00951FC0">
      <w:pPr>
        <w:keepNext/>
        <w:jc w:val="center"/>
      </w:pPr>
      <w:r w:rsidRPr="00951FC0">
        <w:drawing>
          <wp:inline distT="0" distB="0" distL="0" distR="0" wp14:anchorId="62123CFB" wp14:editId="4B53D6B0">
            <wp:extent cx="4886325" cy="3281725"/>
            <wp:effectExtent l="76200" t="76200" r="123825" b="128270"/>
            <wp:docPr id="335886449" name="Picture 1" descr="Immagine che contiene testo, schermata, Carattere, linea&#10;&#10;Il contenuto generato dall'IA potrebbe non essere corret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886449" name="Picture 1" descr="Immagine che contiene testo, schermata, Carattere, linea&#10;&#10;Il contenuto generato dall'IA potrebbe non essere corretto."/>
                    <pic:cNvPicPr/>
                  </pic:nvPicPr>
                  <pic:blipFill>
                    <a:blip r:embed="rId5"/>
                    <a:stretch>
                      <a:fillRect/>
                    </a:stretch>
                  </pic:blipFill>
                  <pic:spPr>
                    <a:xfrm>
                      <a:off x="0" y="0"/>
                      <a:ext cx="4889980" cy="3284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5A00BB" w14:textId="77777777" w:rsidR="00951FC0" w:rsidRPr="003A3297" w:rsidRDefault="00951FC0" w:rsidP="00951FC0">
      <w:pPr>
        <w:jc w:val="center"/>
        <w:rPr>
          <w:i/>
          <w:iCs/>
          <w:u w:val="single"/>
        </w:rPr>
      </w:pPr>
      <w:r w:rsidRPr="003A3297">
        <w:rPr>
          <w:i/>
          <w:iCs/>
          <w:u w:val="single"/>
        </w:rPr>
        <w:t xml:space="preserve">Figure </w:t>
      </w:r>
      <w:r w:rsidRPr="003A3297">
        <w:rPr>
          <w:i/>
          <w:iCs/>
          <w:u w:val="single"/>
        </w:rPr>
        <w:fldChar w:fldCharType="begin"/>
      </w:r>
      <w:r w:rsidRPr="003A3297">
        <w:rPr>
          <w:i/>
          <w:iCs/>
          <w:u w:val="single"/>
        </w:rPr>
        <w:instrText xml:space="preserve"> SEQ Figure \* ARABIC </w:instrText>
      </w:r>
      <w:r w:rsidRPr="003A3297">
        <w:rPr>
          <w:i/>
          <w:iCs/>
          <w:u w:val="single"/>
        </w:rPr>
        <w:fldChar w:fldCharType="separate"/>
      </w:r>
      <w:r w:rsidRPr="003A3297">
        <w:rPr>
          <w:i/>
          <w:iCs/>
          <w:u w:val="single"/>
        </w:rPr>
        <w:t>1</w:t>
      </w:r>
      <w:r w:rsidRPr="003A3297">
        <w:rPr>
          <w:i/>
          <w:iCs/>
          <w:u w:val="single"/>
        </w:rPr>
        <w:fldChar w:fldCharType="end"/>
      </w:r>
      <w:r w:rsidRPr="003A3297">
        <w:rPr>
          <w:i/>
          <w:iCs/>
          <w:u w:val="single"/>
        </w:rPr>
        <w:t>: Mendelow’s Matrix analysis of Lucy &amp; Yak</w:t>
      </w:r>
    </w:p>
    <w:p w14:paraId="29DADE20" w14:textId="77777777" w:rsidR="00951FC0" w:rsidRPr="00951FC0" w:rsidRDefault="00951FC0" w:rsidP="00951FC0">
      <w:pPr>
        <w:jc w:val="center"/>
      </w:pPr>
      <w:r w:rsidRPr="00951FC0">
        <w:t>(Source: Created by the learner)</w:t>
      </w:r>
    </w:p>
    <w:p w14:paraId="4C884372" w14:textId="77777777" w:rsidR="00951FC0" w:rsidRPr="00951FC0" w:rsidRDefault="00951FC0" w:rsidP="00951FC0">
      <w:bookmarkStart w:id="20" w:name="_Hlk211343786"/>
      <w:r w:rsidRPr="00951FC0">
        <w:t xml:space="preserve">Mendelow’s Matrix is a strategic tool that classifies stakeholders to determine the way an organisation should approach them (Mints and </w:t>
      </w:r>
      <w:proofErr w:type="spellStart"/>
      <w:r w:rsidRPr="00951FC0">
        <w:t>Kamyshnykova</w:t>
      </w:r>
      <w:proofErr w:type="spellEnd"/>
      <w:r w:rsidRPr="00951FC0">
        <w:t>, 2019). It is significant for Lucy &amp; Yak because the company has a mission driven by sustainability considerations and an ethical supply chain. </w:t>
      </w:r>
    </w:p>
    <w:p w14:paraId="229053BE" w14:textId="77777777" w:rsidR="00951FC0" w:rsidRPr="00951FC0" w:rsidRDefault="00951FC0" w:rsidP="00951FC0">
      <w:r w:rsidRPr="00951FC0">
        <w:t xml:space="preserve">In the context of </w:t>
      </w:r>
      <w:r w:rsidRPr="00951FC0">
        <w:rPr>
          <w:b/>
          <w:bCs/>
          <w:i/>
          <w:iCs/>
        </w:rPr>
        <w:t>Manage Closely</w:t>
      </w:r>
      <w:r w:rsidRPr="00951FC0">
        <w:t xml:space="preserve">, key stakeholders such as employees, customers and suppliers are categorically placed. For example, RMX Joss, Pearl Apparels and HC Organise influence production while having GOTS and SMETA certifications (Lucy &amp; Yak, 2025). The brand would therefore need to handle this through regular cooperation, open reporting, and shared responsibility to preserve credibility </w:t>
      </w:r>
      <w:r w:rsidRPr="00951FC0">
        <w:lastRenderedPageBreak/>
        <w:t>and trust. Nevertheless, pressure from ethically conscious consumers, in turn, followed by price-sensitive suppliers, can result in a governance challenge where the brand needs to balance financial viability and transparency commitments. </w:t>
      </w:r>
    </w:p>
    <w:p w14:paraId="15E96602" w14:textId="77777777" w:rsidR="00951FC0" w:rsidRPr="00951FC0" w:rsidRDefault="00951FC0" w:rsidP="00951FC0">
      <w:r w:rsidRPr="00951FC0">
        <w:t xml:space="preserve">The </w:t>
      </w:r>
      <w:r w:rsidRPr="00951FC0">
        <w:rPr>
          <w:b/>
          <w:bCs/>
          <w:i/>
          <w:iCs/>
        </w:rPr>
        <w:t>Keep Satisfied</w:t>
      </w:r>
      <w:r w:rsidRPr="00951FC0">
        <w:t xml:space="preserve"> group stakeholders have significant power but may not be immediately involved in the day-to-day operations (Mints and </w:t>
      </w:r>
      <w:proofErr w:type="spellStart"/>
      <w:r w:rsidRPr="00951FC0">
        <w:t>Kamyshnykova</w:t>
      </w:r>
      <w:proofErr w:type="spellEnd"/>
      <w:r w:rsidRPr="00951FC0">
        <w:t>, 2019). For Lucy &amp; Yak, this includes investor regulation certification organisations such as Ethical Trading Initiative and Fair Wear Foundation. These institutions have regulatory and structural influence that can affect strategic choices and compliance, still may not have an interest in the operations of the company. Their contentment must be maintained through compliance reports or audits to ensure congruence with ethical standards to prevent reputational hazards. </w:t>
      </w:r>
    </w:p>
    <w:p w14:paraId="35FB273B" w14:textId="77777777" w:rsidR="00951FC0" w:rsidRDefault="00951FC0" w:rsidP="00951FC0">
      <w:r w:rsidRPr="00951FC0">
        <w:rPr>
          <w:b/>
          <w:bCs/>
          <w:i/>
          <w:iCs/>
        </w:rPr>
        <w:t>Keep Informed</w:t>
      </w:r>
      <w:r w:rsidRPr="00951FC0">
        <w:t xml:space="preserve"> stakeholders have low power but great interest in the ethical activities of the company. Some examples include NGO partners and supplier platforms like SEDEX and initiatives like </w:t>
      </w:r>
      <w:proofErr w:type="spellStart"/>
      <w:r w:rsidRPr="00951FC0">
        <w:t>Fior</w:t>
      </w:r>
      <w:proofErr w:type="spellEnd"/>
      <w:r w:rsidRPr="00951FC0">
        <w:t xml:space="preserve"> Di </w:t>
      </w:r>
      <w:proofErr w:type="spellStart"/>
      <w:r w:rsidRPr="00951FC0">
        <w:t>Loto</w:t>
      </w:r>
      <w:proofErr w:type="spellEnd"/>
      <w:r w:rsidRPr="00951FC0">
        <w:t xml:space="preserve"> (Lucy &amp; Yak, 2025d; Lucy &amp; Yak, 2025e). The stakeholders obtain a normative effect because they participate in advocacy activities. The company utilises social updates and collaborations to keep these players informed. Finally, </w:t>
      </w:r>
      <w:r w:rsidRPr="00951FC0">
        <w:rPr>
          <w:b/>
          <w:bCs/>
          <w:i/>
          <w:iCs/>
        </w:rPr>
        <w:t>Minimal Effort</w:t>
      </w:r>
      <w:r w:rsidRPr="00951FC0">
        <w:t xml:space="preserve"> concerns general media, peripheral customers and non-partner suppliers whose opinions can indirectly affect reputation. It is also imperative to continually monitor the perceptions of this group because of the reputational risks they present. Lucy &amp; Yak should prioritise collaboration with powerful stakeholders and effective communication with supportive partners. Thus, the model emphasises the necessity of balancing communication within different organisational levels and applying ethical corporate governance.</w:t>
      </w:r>
    </w:p>
    <w:p w14:paraId="1EA3DB39" w14:textId="77777777" w:rsidR="003A3297" w:rsidRPr="00951FC0" w:rsidRDefault="003A3297" w:rsidP="00951FC0"/>
    <w:p w14:paraId="7F1CC75D" w14:textId="77777777" w:rsidR="00951FC0" w:rsidRPr="00230B12" w:rsidRDefault="00951FC0" w:rsidP="00951FC0">
      <w:pPr>
        <w:pStyle w:val="Titolo2"/>
        <w:rPr>
          <w:rFonts w:ascii="Arial" w:hAnsi="Arial" w:cs="Arial"/>
        </w:rPr>
      </w:pPr>
      <w:bookmarkStart w:id="21" w:name="_Toc211353120"/>
      <w:bookmarkStart w:id="22" w:name="_Toc211439850"/>
      <w:r w:rsidRPr="00230B12">
        <w:rPr>
          <w:rFonts w:ascii="Arial" w:hAnsi="Arial" w:cs="Arial"/>
        </w:rPr>
        <w:t>RACI Framework</w:t>
      </w:r>
      <w:bookmarkEnd w:id="21"/>
      <w:bookmarkEnd w:id="22"/>
    </w:p>
    <w:tbl>
      <w:tblPr>
        <w:tblStyle w:val="Tabellagriglia4-color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33"/>
        <w:gridCol w:w="1567"/>
        <w:gridCol w:w="1610"/>
        <w:gridCol w:w="1380"/>
        <w:gridCol w:w="1272"/>
      </w:tblGrid>
      <w:tr w:rsidR="00951FC0" w:rsidRPr="00951FC0" w14:paraId="008BAB4B" w14:textId="77777777" w:rsidTr="007B6F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bookmarkEnd w:id="20"/>
          <w:p w14:paraId="0E193F30" w14:textId="77777777" w:rsidR="00951FC0" w:rsidRPr="00951FC0" w:rsidRDefault="00951FC0" w:rsidP="007B6F88">
            <w:pPr>
              <w:rPr>
                <w:rFonts w:cs="Arial"/>
                <w:sz w:val="22"/>
                <w:szCs w:val="22"/>
              </w:rPr>
            </w:pPr>
            <w:r w:rsidRPr="00951FC0">
              <w:rPr>
                <w:rFonts w:cs="Arial"/>
                <w:sz w:val="22"/>
                <w:szCs w:val="22"/>
              </w:rPr>
              <w:t>Stakeholder Group</w:t>
            </w:r>
          </w:p>
        </w:tc>
        <w:tc>
          <w:tcPr>
            <w:tcW w:w="0" w:type="auto"/>
            <w:tcBorders>
              <w:top w:val="none" w:sz="0" w:space="0" w:color="auto"/>
              <w:left w:val="none" w:sz="0" w:space="0" w:color="auto"/>
              <w:bottom w:val="none" w:sz="0" w:space="0" w:color="auto"/>
              <w:right w:val="none" w:sz="0" w:space="0" w:color="auto"/>
            </w:tcBorders>
            <w:hideMark/>
          </w:tcPr>
          <w:p w14:paraId="7999C669"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R (Responsible)</w:t>
            </w:r>
          </w:p>
        </w:tc>
        <w:tc>
          <w:tcPr>
            <w:tcW w:w="0" w:type="auto"/>
            <w:tcBorders>
              <w:top w:val="none" w:sz="0" w:space="0" w:color="auto"/>
              <w:left w:val="none" w:sz="0" w:space="0" w:color="auto"/>
              <w:bottom w:val="none" w:sz="0" w:space="0" w:color="auto"/>
              <w:right w:val="none" w:sz="0" w:space="0" w:color="auto"/>
            </w:tcBorders>
            <w:hideMark/>
          </w:tcPr>
          <w:p w14:paraId="1B5DB045"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A (Accountable)</w:t>
            </w:r>
          </w:p>
        </w:tc>
        <w:tc>
          <w:tcPr>
            <w:tcW w:w="0" w:type="auto"/>
            <w:tcBorders>
              <w:top w:val="none" w:sz="0" w:space="0" w:color="auto"/>
              <w:left w:val="none" w:sz="0" w:space="0" w:color="auto"/>
              <w:bottom w:val="none" w:sz="0" w:space="0" w:color="auto"/>
              <w:right w:val="none" w:sz="0" w:space="0" w:color="auto"/>
            </w:tcBorders>
            <w:hideMark/>
          </w:tcPr>
          <w:p w14:paraId="743FFFEF"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C (Consulted)</w:t>
            </w:r>
          </w:p>
        </w:tc>
        <w:tc>
          <w:tcPr>
            <w:tcW w:w="0" w:type="auto"/>
            <w:tcBorders>
              <w:top w:val="none" w:sz="0" w:space="0" w:color="auto"/>
              <w:left w:val="none" w:sz="0" w:space="0" w:color="auto"/>
              <w:bottom w:val="none" w:sz="0" w:space="0" w:color="auto"/>
              <w:right w:val="none" w:sz="0" w:space="0" w:color="auto"/>
            </w:tcBorders>
            <w:hideMark/>
          </w:tcPr>
          <w:p w14:paraId="564A6EDB" w14:textId="77777777" w:rsidR="00951FC0" w:rsidRPr="00951FC0" w:rsidRDefault="00951FC0" w:rsidP="007B6F88">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951FC0">
              <w:rPr>
                <w:rFonts w:cs="Arial"/>
                <w:sz w:val="22"/>
                <w:szCs w:val="22"/>
              </w:rPr>
              <w:t>I (Informed)</w:t>
            </w:r>
          </w:p>
        </w:tc>
      </w:tr>
      <w:tr w:rsidR="00951FC0" w:rsidRPr="00951FC0" w14:paraId="7F902686"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3706A9" w14:textId="77777777" w:rsidR="00951FC0" w:rsidRPr="00951FC0" w:rsidRDefault="00951FC0" w:rsidP="007B6F88">
            <w:pPr>
              <w:rPr>
                <w:rFonts w:cs="Arial"/>
                <w:sz w:val="22"/>
                <w:szCs w:val="22"/>
              </w:rPr>
            </w:pPr>
            <w:r w:rsidRPr="00951FC0">
              <w:rPr>
                <w:rFonts w:cs="Arial"/>
                <w:sz w:val="22"/>
                <w:szCs w:val="22"/>
              </w:rPr>
              <w:t>Supplier Partners (RMX Joss, Pearl Apparels, HC Organize)</w:t>
            </w:r>
          </w:p>
        </w:tc>
        <w:tc>
          <w:tcPr>
            <w:tcW w:w="0" w:type="auto"/>
            <w:hideMark/>
          </w:tcPr>
          <w:p w14:paraId="1F072D88"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716A78DB"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r w:rsidRPr="00951FC0">
              <w:rPr>
                <w:rFonts w:cs="Arial"/>
                <w:sz w:val="22"/>
                <w:szCs w:val="22"/>
              </w:rPr>
              <w:t xml:space="preserve"> (Shared)</w:t>
            </w:r>
          </w:p>
        </w:tc>
        <w:tc>
          <w:tcPr>
            <w:tcW w:w="0" w:type="auto"/>
            <w:hideMark/>
          </w:tcPr>
          <w:p w14:paraId="1CAB65D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766E466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r>
      <w:tr w:rsidR="00951FC0" w:rsidRPr="00951FC0" w14:paraId="310B0A6E"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5822D099" w14:textId="77777777" w:rsidR="00951FC0" w:rsidRPr="00951FC0" w:rsidRDefault="00951FC0" w:rsidP="007B6F88">
            <w:pPr>
              <w:rPr>
                <w:rFonts w:cs="Arial"/>
                <w:sz w:val="22"/>
                <w:szCs w:val="22"/>
              </w:rPr>
            </w:pPr>
            <w:r w:rsidRPr="00951FC0">
              <w:rPr>
                <w:rFonts w:cs="Arial"/>
                <w:sz w:val="22"/>
                <w:szCs w:val="22"/>
              </w:rPr>
              <w:t>Internal Production Teams</w:t>
            </w:r>
          </w:p>
        </w:tc>
        <w:tc>
          <w:tcPr>
            <w:tcW w:w="0" w:type="auto"/>
            <w:hideMark/>
          </w:tcPr>
          <w:p w14:paraId="4AA9696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603D7CD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31EC326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4D57815F"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r>
      <w:tr w:rsidR="00951FC0" w:rsidRPr="00951FC0" w14:paraId="16571B9C"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BED8A" w14:textId="77777777" w:rsidR="00951FC0" w:rsidRPr="00951FC0" w:rsidRDefault="00951FC0" w:rsidP="007B6F88">
            <w:pPr>
              <w:rPr>
                <w:rFonts w:cs="Arial"/>
                <w:sz w:val="22"/>
                <w:szCs w:val="22"/>
              </w:rPr>
            </w:pPr>
            <w:r w:rsidRPr="00951FC0">
              <w:rPr>
                <w:rFonts w:cs="Arial"/>
                <w:sz w:val="22"/>
                <w:szCs w:val="22"/>
              </w:rPr>
              <w:t>Sustainability and Executive Teams</w:t>
            </w:r>
          </w:p>
        </w:tc>
        <w:tc>
          <w:tcPr>
            <w:tcW w:w="0" w:type="auto"/>
            <w:hideMark/>
          </w:tcPr>
          <w:p w14:paraId="6BF476DC"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1C80CAD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13F14ED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2B69D683"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r>
      <w:tr w:rsidR="00951FC0" w:rsidRPr="00951FC0" w14:paraId="5CE44683"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26CAF61B" w14:textId="77777777" w:rsidR="00951FC0" w:rsidRPr="00951FC0" w:rsidRDefault="00951FC0" w:rsidP="007B6F88">
            <w:pPr>
              <w:rPr>
                <w:rFonts w:cs="Arial"/>
                <w:sz w:val="22"/>
                <w:szCs w:val="22"/>
              </w:rPr>
            </w:pPr>
            <w:r w:rsidRPr="00951FC0">
              <w:rPr>
                <w:rFonts w:cs="Arial"/>
                <w:sz w:val="22"/>
                <w:szCs w:val="22"/>
              </w:rPr>
              <w:t>Certification Bodies (GOTS, SMETA)</w:t>
            </w:r>
          </w:p>
        </w:tc>
        <w:tc>
          <w:tcPr>
            <w:tcW w:w="0" w:type="auto"/>
            <w:hideMark/>
          </w:tcPr>
          <w:p w14:paraId="535039C2"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47C49A0C"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r w:rsidRPr="00951FC0">
              <w:rPr>
                <w:rFonts w:cs="Arial"/>
                <w:sz w:val="22"/>
                <w:szCs w:val="22"/>
              </w:rPr>
              <w:t xml:space="preserve"> (Shared)</w:t>
            </w:r>
          </w:p>
        </w:tc>
        <w:tc>
          <w:tcPr>
            <w:tcW w:w="0" w:type="auto"/>
            <w:hideMark/>
          </w:tcPr>
          <w:p w14:paraId="5C569EA4"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0210E315"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r>
      <w:tr w:rsidR="00951FC0" w:rsidRPr="00951FC0" w14:paraId="38046749"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71FE09" w14:textId="77777777" w:rsidR="00951FC0" w:rsidRPr="00951FC0" w:rsidRDefault="00951FC0" w:rsidP="007B6F88">
            <w:pPr>
              <w:rPr>
                <w:rFonts w:cs="Arial"/>
                <w:sz w:val="22"/>
                <w:szCs w:val="22"/>
              </w:rPr>
            </w:pPr>
            <w:r w:rsidRPr="00951FC0">
              <w:rPr>
                <w:rFonts w:cs="Arial"/>
                <w:sz w:val="22"/>
                <w:szCs w:val="22"/>
              </w:rPr>
              <w:t xml:space="preserve">Greenly, </w:t>
            </w:r>
            <w:proofErr w:type="spellStart"/>
            <w:r w:rsidRPr="00951FC0">
              <w:rPr>
                <w:rFonts w:cs="Arial"/>
                <w:sz w:val="22"/>
                <w:szCs w:val="22"/>
              </w:rPr>
              <w:t>Sedex</w:t>
            </w:r>
            <w:proofErr w:type="spellEnd"/>
            <w:r w:rsidRPr="00951FC0">
              <w:rPr>
                <w:rFonts w:cs="Arial"/>
                <w:sz w:val="22"/>
                <w:szCs w:val="22"/>
              </w:rPr>
              <w:t>, Small Brands Working Group</w:t>
            </w:r>
          </w:p>
        </w:tc>
        <w:tc>
          <w:tcPr>
            <w:tcW w:w="0" w:type="auto"/>
            <w:hideMark/>
          </w:tcPr>
          <w:p w14:paraId="7C2B8611"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2CC3427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59D9DF04"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164D8C19"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r>
      <w:tr w:rsidR="00951FC0" w:rsidRPr="00951FC0" w14:paraId="1120770E"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1BFB2AF2" w14:textId="77777777" w:rsidR="00951FC0" w:rsidRPr="00951FC0" w:rsidRDefault="00951FC0" w:rsidP="007B6F88">
            <w:pPr>
              <w:rPr>
                <w:rFonts w:cs="Arial"/>
                <w:sz w:val="22"/>
                <w:szCs w:val="22"/>
              </w:rPr>
            </w:pPr>
            <w:r w:rsidRPr="00951FC0">
              <w:rPr>
                <w:rFonts w:cs="Arial"/>
                <w:sz w:val="22"/>
                <w:szCs w:val="22"/>
              </w:rPr>
              <w:lastRenderedPageBreak/>
              <w:t>Investors and Regulators</w:t>
            </w:r>
          </w:p>
        </w:tc>
        <w:tc>
          <w:tcPr>
            <w:tcW w:w="0" w:type="auto"/>
            <w:hideMark/>
          </w:tcPr>
          <w:p w14:paraId="0DAB4E13"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7FDEDF4D"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24299A3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c>
          <w:tcPr>
            <w:tcW w:w="0" w:type="auto"/>
            <w:hideMark/>
          </w:tcPr>
          <w:p w14:paraId="6B0DF297"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r>
      <w:tr w:rsidR="00951FC0" w:rsidRPr="00951FC0" w14:paraId="1D236379"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8412A7" w14:textId="77777777" w:rsidR="00951FC0" w:rsidRPr="00951FC0" w:rsidRDefault="00951FC0" w:rsidP="007B6F88">
            <w:pPr>
              <w:rPr>
                <w:rFonts w:cs="Arial"/>
                <w:sz w:val="22"/>
                <w:szCs w:val="22"/>
              </w:rPr>
            </w:pPr>
            <w:r w:rsidRPr="00951FC0">
              <w:rPr>
                <w:rFonts w:cs="Arial"/>
                <w:sz w:val="22"/>
                <w:szCs w:val="22"/>
              </w:rPr>
              <w:t xml:space="preserve">Local Communities &amp; Charity Partners (e.g., </w:t>
            </w:r>
            <w:proofErr w:type="spellStart"/>
            <w:r w:rsidRPr="00951FC0">
              <w:rPr>
                <w:rFonts w:cs="Arial"/>
                <w:sz w:val="22"/>
                <w:szCs w:val="22"/>
              </w:rPr>
              <w:t>Fior</w:t>
            </w:r>
            <w:proofErr w:type="spellEnd"/>
            <w:r w:rsidRPr="00951FC0">
              <w:rPr>
                <w:rFonts w:cs="Arial"/>
                <w:sz w:val="22"/>
                <w:szCs w:val="22"/>
              </w:rPr>
              <w:t xml:space="preserve"> Di </w:t>
            </w:r>
            <w:proofErr w:type="spellStart"/>
            <w:r w:rsidRPr="00951FC0">
              <w:rPr>
                <w:rFonts w:cs="Arial"/>
                <w:sz w:val="22"/>
                <w:szCs w:val="22"/>
              </w:rPr>
              <w:t>Loto</w:t>
            </w:r>
            <w:proofErr w:type="spellEnd"/>
            <w:r w:rsidRPr="00951FC0">
              <w:rPr>
                <w:rFonts w:cs="Arial"/>
                <w:sz w:val="22"/>
                <w:szCs w:val="22"/>
              </w:rPr>
              <w:t>)</w:t>
            </w:r>
          </w:p>
        </w:tc>
        <w:tc>
          <w:tcPr>
            <w:tcW w:w="0" w:type="auto"/>
            <w:hideMark/>
          </w:tcPr>
          <w:p w14:paraId="56CC5DD8"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793904C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1B783F6D"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6F25EDDE"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r>
      <w:tr w:rsidR="00951FC0" w:rsidRPr="00951FC0" w14:paraId="61498414" w14:textId="77777777" w:rsidTr="007B6F88">
        <w:tc>
          <w:tcPr>
            <w:cnfStyle w:val="001000000000" w:firstRow="0" w:lastRow="0" w:firstColumn="1" w:lastColumn="0" w:oddVBand="0" w:evenVBand="0" w:oddHBand="0" w:evenHBand="0" w:firstRowFirstColumn="0" w:firstRowLastColumn="0" w:lastRowFirstColumn="0" w:lastRowLastColumn="0"/>
            <w:tcW w:w="0" w:type="auto"/>
            <w:hideMark/>
          </w:tcPr>
          <w:p w14:paraId="71ABDC51" w14:textId="77777777" w:rsidR="00951FC0" w:rsidRPr="00951FC0" w:rsidRDefault="00951FC0" w:rsidP="007B6F88">
            <w:pPr>
              <w:rPr>
                <w:rFonts w:cs="Arial"/>
                <w:sz w:val="22"/>
                <w:szCs w:val="22"/>
              </w:rPr>
            </w:pPr>
            <w:r w:rsidRPr="00951FC0">
              <w:rPr>
                <w:rFonts w:cs="Arial"/>
                <w:sz w:val="22"/>
                <w:szCs w:val="22"/>
              </w:rPr>
              <w:t>Customers</w:t>
            </w:r>
          </w:p>
        </w:tc>
        <w:tc>
          <w:tcPr>
            <w:tcW w:w="0" w:type="auto"/>
            <w:hideMark/>
          </w:tcPr>
          <w:p w14:paraId="692FF494"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6FC6B3FE"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34F41C7F"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p>
        </w:tc>
        <w:tc>
          <w:tcPr>
            <w:tcW w:w="0" w:type="auto"/>
            <w:hideMark/>
          </w:tcPr>
          <w:p w14:paraId="13F60C7B" w14:textId="77777777" w:rsidR="00951FC0" w:rsidRPr="00951FC0" w:rsidRDefault="00951FC0" w:rsidP="007B6F88">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r>
      <w:tr w:rsidR="00951FC0" w:rsidRPr="00951FC0" w14:paraId="037C6059" w14:textId="77777777" w:rsidTr="007B6F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5CD259" w14:textId="77777777" w:rsidR="00951FC0" w:rsidRPr="00951FC0" w:rsidRDefault="00951FC0" w:rsidP="007B6F88">
            <w:pPr>
              <w:rPr>
                <w:rFonts w:cs="Arial"/>
                <w:sz w:val="22"/>
                <w:szCs w:val="22"/>
              </w:rPr>
            </w:pPr>
            <w:r w:rsidRPr="00951FC0">
              <w:rPr>
                <w:rFonts w:cs="Arial"/>
                <w:sz w:val="22"/>
                <w:szCs w:val="22"/>
              </w:rPr>
              <w:t>General Media &amp; Non-Partner Suppliers</w:t>
            </w:r>
          </w:p>
        </w:tc>
        <w:tc>
          <w:tcPr>
            <w:tcW w:w="0" w:type="auto"/>
            <w:hideMark/>
          </w:tcPr>
          <w:p w14:paraId="6FFE8D6D"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13847A6C"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5C594365"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p>
        </w:tc>
        <w:tc>
          <w:tcPr>
            <w:tcW w:w="0" w:type="auto"/>
            <w:hideMark/>
          </w:tcPr>
          <w:p w14:paraId="677B6270" w14:textId="77777777" w:rsidR="00951FC0" w:rsidRPr="00951FC0" w:rsidRDefault="00951FC0" w:rsidP="007B6F88">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951FC0">
              <w:rPr>
                <w:rFonts w:ascii="Segoe UI Emoji" w:hAnsi="Segoe UI Emoji" w:cs="Segoe UI Emoji"/>
                <w:sz w:val="22"/>
                <w:szCs w:val="22"/>
              </w:rPr>
              <w:t>✅</w:t>
            </w:r>
          </w:p>
        </w:tc>
      </w:tr>
    </w:tbl>
    <w:p w14:paraId="5588DAE5" w14:textId="77777777" w:rsidR="00951FC0" w:rsidRPr="003A3297" w:rsidRDefault="00951FC0" w:rsidP="00951FC0">
      <w:pPr>
        <w:jc w:val="center"/>
        <w:rPr>
          <w:i/>
          <w:iCs/>
          <w:u w:val="single"/>
        </w:rPr>
      </w:pPr>
      <w:r w:rsidRPr="00951FC0">
        <w:rPr>
          <w:b/>
          <w:bCs/>
        </w:rPr>
        <w:t>T</w:t>
      </w:r>
      <w:r w:rsidRPr="003A3297">
        <w:rPr>
          <w:i/>
          <w:iCs/>
          <w:u w:val="single"/>
        </w:rPr>
        <w:t xml:space="preserve">able </w:t>
      </w:r>
      <w:r w:rsidRPr="003A3297">
        <w:rPr>
          <w:i/>
          <w:iCs/>
          <w:u w:val="single"/>
        </w:rPr>
        <w:fldChar w:fldCharType="begin"/>
      </w:r>
      <w:r w:rsidRPr="003A3297">
        <w:rPr>
          <w:i/>
          <w:iCs/>
          <w:u w:val="single"/>
        </w:rPr>
        <w:instrText xml:space="preserve"> SEQ Table \* ARABIC </w:instrText>
      </w:r>
      <w:r w:rsidRPr="003A3297">
        <w:rPr>
          <w:i/>
          <w:iCs/>
          <w:u w:val="single"/>
        </w:rPr>
        <w:fldChar w:fldCharType="separate"/>
      </w:r>
      <w:r w:rsidRPr="003A3297">
        <w:rPr>
          <w:i/>
          <w:iCs/>
          <w:u w:val="single"/>
        </w:rPr>
        <w:t>1</w:t>
      </w:r>
      <w:r w:rsidRPr="003A3297">
        <w:rPr>
          <w:i/>
          <w:iCs/>
          <w:u w:val="single"/>
        </w:rPr>
        <w:fldChar w:fldCharType="end"/>
      </w:r>
      <w:r w:rsidRPr="003A3297">
        <w:rPr>
          <w:i/>
          <w:iCs/>
          <w:u w:val="single"/>
        </w:rPr>
        <w:t xml:space="preserve">: RACI Matrix for Lucy &amp; Yak </w:t>
      </w:r>
    </w:p>
    <w:p w14:paraId="7E42759A" w14:textId="77777777" w:rsidR="00951FC0" w:rsidRPr="00951FC0" w:rsidRDefault="00951FC0" w:rsidP="00951FC0">
      <w:pPr>
        <w:jc w:val="center"/>
      </w:pPr>
      <w:r w:rsidRPr="00951FC0">
        <w:t>(Source: Created by the learner)</w:t>
      </w:r>
    </w:p>
    <w:p w14:paraId="56A6A328" w14:textId="77777777" w:rsidR="00951FC0" w:rsidRPr="00951FC0" w:rsidRDefault="00951FC0" w:rsidP="00951FC0">
      <w:bookmarkStart w:id="23" w:name="_Hlk211343796"/>
      <w:r w:rsidRPr="00951FC0">
        <w:t>RACI Framework categorises stakeholder roles into responsible, accountable, consulted, and informed to establish decision ownership and communication channels (</w:t>
      </w:r>
      <w:proofErr w:type="spellStart"/>
      <w:r w:rsidRPr="00951FC0">
        <w:t>Hirmer</w:t>
      </w:r>
      <w:proofErr w:type="spellEnd"/>
      <w:r w:rsidRPr="00951FC0">
        <w:t xml:space="preserve"> </w:t>
      </w:r>
      <w:r w:rsidRPr="00951FC0">
        <w:rPr>
          <w:i/>
          <w:iCs/>
        </w:rPr>
        <w:t>et al</w:t>
      </w:r>
      <w:r w:rsidRPr="00951FC0">
        <w:t xml:space="preserve">., 2021). </w:t>
      </w:r>
      <w:r w:rsidRPr="00951FC0">
        <w:rPr>
          <w:b/>
          <w:bCs/>
          <w:i/>
          <w:iCs/>
        </w:rPr>
        <w:t xml:space="preserve">Responsible </w:t>
      </w:r>
      <w:r w:rsidRPr="00951FC0">
        <w:t>parties in the framework include supplier partners and in-house production teams that work together with operational delivery (O'Connor and Mock, 2020). Their responsibility is guided by standards such as GOTS and SMETA, which guarantee material alignment with sustainability promises. However, there is room for conflict if audit fatigue and cost pressures can erode supplier compliance to the detriment of revealing a structural weakness, where the responsibility can be shifted onto Lucy &amp; Yak. </w:t>
      </w:r>
    </w:p>
    <w:p w14:paraId="51CE2C71" w14:textId="77777777" w:rsidR="00951FC0" w:rsidRPr="00951FC0" w:rsidRDefault="00951FC0" w:rsidP="00951FC0">
      <w:r w:rsidRPr="00951FC0">
        <w:t xml:space="preserve">Responsible parties uphold </w:t>
      </w:r>
      <w:r w:rsidRPr="00951FC0">
        <w:rPr>
          <w:b/>
          <w:bCs/>
          <w:i/>
          <w:iCs/>
        </w:rPr>
        <w:t xml:space="preserve">accountability </w:t>
      </w:r>
      <w:r w:rsidRPr="00951FC0">
        <w:t>by way of sustainability, and executive leaderships need to align brand ethics with commercial sustainability. Their strategic impact is dependent on focusing on feasible and acceptable options, for example, 27% of the suppliers who procure material from renewable sources and 1.3% of whom increased deadstock usage (Lucy &amp; Yak, 2024). </w:t>
      </w:r>
    </w:p>
    <w:p w14:paraId="6D8BCF01" w14:textId="77777777" w:rsidR="00951FC0" w:rsidRPr="00951FC0" w:rsidRDefault="00951FC0" w:rsidP="00951FC0">
      <w:r w:rsidRPr="00951FC0">
        <w:t xml:space="preserve">Recommended stakeholders are Greenly, SEDEX, and the Small Brands Working Group, who </w:t>
      </w:r>
      <w:r w:rsidRPr="00951FC0">
        <w:rPr>
          <w:b/>
          <w:bCs/>
          <w:i/>
          <w:iCs/>
        </w:rPr>
        <w:t>consult</w:t>
      </w:r>
      <w:r w:rsidRPr="00951FC0">
        <w:t xml:space="preserve"> on expertise and industry benchmarking (Lucy &amp; Yak, 2025d). Their contribution involves applying technical rigour to decision-making and the inhibition of agility, whereby extreme reliance on external endorsement results in delays to innovation.</w:t>
      </w:r>
    </w:p>
    <w:p w14:paraId="27913F0B" w14:textId="77777777" w:rsidR="00951FC0" w:rsidRDefault="00951FC0" w:rsidP="00951FC0">
      <w:r w:rsidRPr="00951FC0">
        <w:rPr>
          <w:b/>
          <w:bCs/>
          <w:i/>
          <w:iCs/>
        </w:rPr>
        <w:t xml:space="preserve">Informed </w:t>
      </w:r>
      <w:r w:rsidRPr="00951FC0">
        <w:t>stakeholders comprise customers and local communities who judge authenticity using transparent channels of communication such as social media reports, CSR publications, and store updates (</w:t>
      </w:r>
      <w:proofErr w:type="spellStart"/>
      <w:r w:rsidRPr="00951FC0">
        <w:t>Oguntegbe</w:t>
      </w:r>
      <w:proofErr w:type="spellEnd"/>
      <w:r w:rsidRPr="00951FC0">
        <w:t>, Di Paola, and Vona, 2023). Thus, both RACI and Mendelow's frameworks reveal internal tensions between external legitimacy and common accountability, which require an adaptive governance mechanism that guarantees integrity, responsiveness, and transparent responsibility across supply chain levels. </w:t>
      </w:r>
    </w:p>
    <w:p w14:paraId="4845A7B4" w14:textId="77777777" w:rsidR="007D7C45" w:rsidRPr="00951FC0" w:rsidRDefault="007D7C45" w:rsidP="00951FC0"/>
    <w:p w14:paraId="0A2C4F35" w14:textId="77777777" w:rsidR="00951FC0" w:rsidRPr="00230B12" w:rsidRDefault="00951FC0" w:rsidP="00951FC0">
      <w:pPr>
        <w:pStyle w:val="Titolo2"/>
        <w:rPr>
          <w:rFonts w:ascii="Arial" w:hAnsi="Arial" w:cs="Arial"/>
        </w:rPr>
      </w:pPr>
      <w:bookmarkStart w:id="24" w:name="_Toc211353121"/>
      <w:bookmarkStart w:id="25" w:name="_Toc211439851"/>
      <w:r w:rsidRPr="00230B12">
        <w:rPr>
          <w:rFonts w:ascii="Arial" w:hAnsi="Arial" w:cs="Arial"/>
        </w:rPr>
        <w:lastRenderedPageBreak/>
        <w:t>Comparative discussion</w:t>
      </w:r>
      <w:bookmarkEnd w:id="24"/>
      <w:bookmarkEnd w:id="25"/>
    </w:p>
    <w:p w14:paraId="60E75F4C" w14:textId="77777777" w:rsidR="00951FC0" w:rsidRPr="00951FC0" w:rsidRDefault="00951FC0" w:rsidP="00951FC0">
      <w:r w:rsidRPr="00951FC0">
        <w:rPr>
          <w:b/>
          <w:bCs/>
          <w:i/>
          <w:iCs/>
        </w:rPr>
        <w:t xml:space="preserve">Freeman's Stakeholder Theory </w:t>
      </w:r>
      <w:r w:rsidRPr="00951FC0">
        <w:t xml:space="preserve">argues that firms owe an obligation to take care of the interests of all their stakeholders and not just shareholders in value creation (Freeman, Phillips, and Sisodia 2020). Therefore, at a macro level, Mendelow’s Matrix will provide insights into stakeholder interest in power while RACI translates this influence into micro-level accountability. For Lucy &amp; Yak, customers and suppliers are identified as dominant actors by the matrix, who need to be managed closely, whereas RACI determines operational tensions emanating from shared accountability between executives and certified partners. This offers </w:t>
      </w:r>
      <w:r w:rsidRPr="00951FC0">
        <w:rPr>
          <w:b/>
          <w:bCs/>
          <w:i/>
          <w:iCs/>
        </w:rPr>
        <w:t>strengthening co-governance and transparent communication</w:t>
      </w:r>
      <w:r w:rsidRPr="00951FC0">
        <w:t xml:space="preserve"> systems as the most suitable strategic option at the level of interest. Hence, bringing out co-governance transparency as an essential factor in managing conflicting interests and maintaining resilience both economically and ethically. </w:t>
      </w:r>
    </w:p>
    <w:p w14:paraId="273FC58C" w14:textId="77777777" w:rsidR="00951FC0" w:rsidRPr="006B3042" w:rsidRDefault="00951FC0" w:rsidP="00951FC0">
      <w:pPr>
        <w:pStyle w:val="Titolo1"/>
        <w:rPr>
          <w:rFonts w:ascii="Arial" w:hAnsi="Arial" w:cs="Arial"/>
          <w:sz w:val="36"/>
          <w:szCs w:val="36"/>
        </w:rPr>
      </w:pPr>
      <w:bookmarkStart w:id="26" w:name="_Toc211353122"/>
      <w:bookmarkStart w:id="27" w:name="_Toc211439852"/>
      <w:bookmarkEnd w:id="23"/>
      <w:r w:rsidRPr="006B3042">
        <w:rPr>
          <w:rFonts w:ascii="Arial" w:hAnsi="Arial" w:cs="Arial"/>
          <w:sz w:val="36"/>
          <w:szCs w:val="36"/>
        </w:rPr>
        <w:t>7. Strategic Recommendations</w:t>
      </w:r>
      <w:bookmarkEnd w:id="26"/>
      <w:bookmarkEnd w:id="27"/>
      <w:r w:rsidRPr="006B3042">
        <w:rPr>
          <w:rFonts w:ascii="Arial" w:hAnsi="Arial" w:cs="Arial"/>
          <w:sz w:val="36"/>
          <w:szCs w:val="36"/>
        </w:rPr>
        <w:t xml:space="preserve"> </w:t>
      </w:r>
    </w:p>
    <w:p w14:paraId="5778AEBB" w14:textId="5EC367A4" w:rsidR="00951FC0" w:rsidRDefault="00951FC0" w:rsidP="00951FC0">
      <w:r w:rsidRPr="00951FC0">
        <w:t xml:space="preserve">Lucy &amp; Yak must build a </w:t>
      </w:r>
      <w:r w:rsidRPr="00951FC0">
        <w:rPr>
          <w:b/>
          <w:bCs/>
          <w:i/>
          <w:iCs/>
        </w:rPr>
        <w:t>digitally connected supply chain with AI-based demand planning</w:t>
      </w:r>
      <w:r w:rsidRPr="00951FC0">
        <w:t xml:space="preserve"> and blockchain-based transparency. The </w:t>
      </w:r>
      <w:r w:rsidRPr="00951FC0">
        <w:rPr>
          <w:b/>
          <w:bCs/>
          <w:i/>
          <w:iCs/>
        </w:rPr>
        <w:t>Resource-Based View theory</w:t>
      </w:r>
      <w:r w:rsidRPr="00951FC0">
        <w:t xml:space="preserve"> denotes that sustainable competitive advantage comes from distinctive internal resources that are rare, inimitable, valuable, and non-substitutable (Collis and Anand, 2019). Based on this theory, conjoining these technologies will enable audit verification while avoiding supplier fatigue resulting from repeated SMETA and GOTS audits. Nevertheless, SMEs are confronted with an ongoing dilemma of insufficient capital, which led to the decline of 60% of startups in the EU, UK, and USA in 2022 (OECD, 2023). SMEs may experience structural issues, such as a shortage of resources, barriers to adoption, and governance limitations, leading to failure (Blackburn, Díaz-García, and Moreno, N. D.). Even though phased adoption of blockchain is capital-intensive, Lucy &amp; Yak can mitigate it through cooperative digital connections with SEDEX and Greenly, which satisfy the expectation of traceability and accountability. This can thus help to ensure a highly competitive advantage in the sector.</w:t>
      </w:r>
      <w:r w:rsidR="007D7C45">
        <w:t xml:space="preserve"> </w:t>
      </w:r>
      <w:r w:rsidRPr="00951FC0">
        <w:t xml:space="preserve">Lucy &amp; Yak need to </w:t>
      </w:r>
      <w:r w:rsidRPr="00951FC0">
        <w:rPr>
          <w:b/>
          <w:bCs/>
          <w:i/>
          <w:iCs/>
        </w:rPr>
        <w:t>institutionalise circularity</w:t>
      </w:r>
      <w:r w:rsidRPr="00951FC0">
        <w:t xml:space="preserve"> through scale-up of regenerative materials and repair initiatives based on the </w:t>
      </w:r>
      <w:r w:rsidRPr="00951FC0">
        <w:rPr>
          <w:b/>
          <w:bCs/>
          <w:i/>
          <w:iCs/>
        </w:rPr>
        <w:t>Triple Bottom Line</w:t>
      </w:r>
      <w:r w:rsidRPr="00951FC0">
        <w:t xml:space="preserve"> framework. Micro production sites integrated in the UK can mitigate carbon-intensive transportation while improving responsiveness and lowering supply chain disruptions worldwide. Localisation, however, affects short-term profitability as it incurs increased costs due to labour with lower economies of scale (</w:t>
      </w:r>
      <w:proofErr w:type="spellStart"/>
      <w:r w:rsidRPr="00951FC0">
        <w:t>Naradda</w:t>
      </w:r>
      <w:proofErr w:type="spellEnd"/>
      <w:r w:rsidRPr="00951FC0">
        <w:t xml:space="preserve"> </w:t>
      </w:r>
      <w:r w:rsidRPr="00951FC0">
        <w:rPr>
          <w:i/>
          <w:iCs/>
        </w:rPr>
        <w:t>et al</w:t>
      </w:r>
      <w:r w:rsidRPr="00951FC0">
        <w:t>., 2020). In addition, SMEs usually experience compliance and regulatory stress when dealing with numerous small-scale production facilities, which stretch operational capacity while hampering innovation (</w:t>
      </w:r>
      <w:proofErr w:type="spellStart"/>
      <w:r w:rsidRPr="00951FC0">
        <w:t>Dempere</w:t>
      </w:r>
      <w:proofErr w:type="spellEnd"/>
      <w:r w:rsidRPr="00951FC0">
        <w:t xml:space="preserve">, Udjo, and Mattos, 2024). The brand can tackle such problems through integrated systems of compliance management as well as standardised sustainability procedures to </w:t>
      </w:r>
      <w:r w:rsidRPr="00951FC0">
        <w:lastRenderedPageBreak/>
        <w:t>provide uniform audits without relaxing environmental and ethical standards. These suggestions are appropriate for sustaining the purpose-driven nature of Lucy &amp; Yak, acceptable to stakeholder groups found via RACI and Mendelow, and viable through phased and circular digital transformation.</w:t>
      </w:r>
    </w:p>
    <w:p w14:paraId="26AEE360" w14:textId="77777777" w:rsidR="007D7C45" w:rsidRPr="00951FC0" w:rsidRDefault="007D7C45" w:rsidP="00951FC0"/>
    <w:p w14:paraId="4BD423A2" w14:textId="77777777" w:rsidR="00951FC0" w:rsidRPr="007D7C45" w:rsidRDefault="00951FC0" w:rsidP="00951FC0">
      <w:pPr>
        <w:pStyle w:val="Titolo1"/>
        <w:rPr>
          <w:rFonts w:ascii="Arial" w:hAnsi="Arial" w:cs="Arial"/>
          <w:sz w:val="36"/>
          <w:szCs w:val="36"/>
        </w:rPr>
      </w:pPr>
      <w:bookmarkStart w:id="28" w:name="_Toc211439853"/>
      <w:bookmarkStart w:id="29" w:name="_Toc211353123"/>
      <w:r w:rsidRPr="007D7C45">
        <w:rPr>
          <w:rFonts w:ascii="Arial" w:hAnsi="Arial" w:cs="Arial"/>
          <w:sz w:val="36"/>
          <w:szCs w:val="36"/>
        </w:rPr>
        <w:t>8. Conclusion</w:t>
      </w:r>
      <w:bookmarkEnd w:id="28"/>
      <w:r w:rsidRPr="007D7C45">
        <w:rPr>
          <w:rFonts w:ascii="Arial" w:hAnsi="Arial" w:cs="Arial"/>
          <w:sz w:val="36"/>
          <w:szCs w:val="36"/>
        </w:rPr>
        <w:t xml:space="preserve"> </w:t>
      </w:r>
      <w:bookmarkEnd w:id="29"/>
    </w:p>
    <w:p w14:paraId="2467E6AE" w14:textId="77777777" w:rsidR="00951FC0" w:rsidRPr="00951FC0" w:rsidRDefault="00951FC0" w:rsidP="00951FC0">
      <w:r w:rsidRPr="00951FC0">
        <w:t xml:space="preserve">Lucy &amp; Yak has developed a very strong market position through a differentiation focus strategy by exploiting its inclusivity and ethical identity, with circular initiatives. SWOT and PESTEL analysis validated this fact by demonstrating that true competitive advantage lies in sustainable brand image and strong customer loyalty despite supply chain rigidity, high costs, and competition. The analysis of Mendelow’s Matrix and RACI model shows that customers and certified supplier partners have substantially high power, requiring clear accountability policies and co-governance strategies. The brand needs to strategically expand through product development or circular innovation and digital integration, or supply chain resilience and traceability. These three interrelated models clearly defined the strategic path that Lucy &amp; Yak should undertake to ensure that ethical differentiation and the adaptive governance model would remain at an adequate level in the future. </w:t>
      </w:r>
    </w:p>
    <w:p w14:paraId="4109591C" w14:textId="77777777" w:rsidR="00951FC0" w:rsidRPr="00951FC0" w:rsidRDefault="00951FC0" w:rsidP="00951FC0">
      <w:r w:rsidRPr="00951FC0">
        <w:t> </w:t>
      </w:r>
    </w:p>
    <w:p w14:paraId="1EAC4DFB" w14:textId="77777777" w:rsidR="00951FC0" w:rsidRPr="00951FC0" w:rsidRDefault="00951FC0" w:rsidP="00951FC0"/>
    <w:p w14:paraId="5338629C" w14:textId="77777777" w:rsidR="00951FC0" w:rsidRPr="00951FC0" w:rsidRDefault="00951FC0" w:rsidP="00951FC0">
      <w:pPr>
        <w:spacing w:line="259" w:lineRule="auto"/>
        <w:jc w:val="left"/>
      </w:pPr>
      <w:r w:rsidRPr="00951FC0">
        <w:br w:type="page"/>
      </w:r>
    </w:p>
    <w:p w14:paraId="352BDF00" w14:textId="77777777" w:rsidR="00951FC0" w:rsidRPr="007D7C45" w:rsidRDefault="00951FC0" w:rsidP="00951FC0">
      <w:pPr>
        <w:pStyle w:val="Titolo1"/>
        <w:rPr>
          <w:rFonts w:ascii="Arial" w:hAnsi="Arial" w:cs="Arial"/>
          <w:sz w:val="36"/>
          <w:szCs w:val="36"/>
        </w:rPr>
      </w:pPr>
      <w:bookmarkStart w:id="30" w:name="_Toc211439854"/>
      <w:r w:rsidRPr="007D7C45">
        <w:rPr>
          <w:rFonts w:ascii="Arial" w:hAnsi="Arial" w:cs="Arial"/>
          <w:sz w:val="36"/>
          <w:szCs w:val="36"/>
        </w:rPr>
        <w:lastRenderedPageBreak/>
        <w:t>References</w:t>
      </w:r>
      <w:bookmarkEnd w:id="30"/>
    </w:p>
    <w:p w14:paraId="6F16E527" w14:textId="77777777" w:rsidR="00951FC0" w:rsidRPr="00951FC0" w:rsidRDefault="00951FC0" w:rsidP="00951FC0">
      <w:r w:rsidRPr="00951FC0">
        <w:t xml:space="preserve">Agus, A.A., </w:t>
      </w:r>
      <w:proofErr w:type="spellStart"/>
      <w:r w:rsidRPr="00951FC0">
        <w:t>Yudoko</w:t>
      </w:r>
      <w:proofErr w:type="spellEnd"/>
      <w:r w:rsidRPr="00951FC0">
        <w:t xml:space="preserve">, G., Mulyono, N.B. and </w:t>
      </w:r>
      <w:proofErr w:type="spellStart"/>
      <w:r w:rsidRPr="00951FC0">
        <w:t>Imaniya</w:t>
      </w:r>
      <w:proofErr w:type="spellEnd"/>
      <w:r w:rsidRPr="00951FC0">
        <w:t>, T. (2020) ‘E-commerce platform performance, digital marketing and supply chain capabilities’, </w:t>
      </w:r>
      <w:r w:rsidRPr="00951FC0">
        <w:rPr>
          <w:i/>
          <w:iCs/>
        </w:rPr>
        <w:t>International Research Journal of Business Studies</w:t>
      </w:r>
      <w:r w:rsidRPr="00951FC0">
        <w:t>, </w:t>
      </w:r>
      <w:r w:rsidRPr="00951FC0">
        <w:rPr>
          <w:i/>
          <w:iCs/>
        </w:rPr>
        <w:t>13</w:t>
      </w:r>
      <w:r w:rsidRPr="00951FC0">
        <w:t xml:space="preserve">(1), pp.63-80. Doi: https://doi.org/10.21632/irjbs </w:t>
      </w:r>
    </w:p>
    <w:p w14:paraId="5C62076C" w14:textId="77777777" w:rsidR="00951FC0" w:rsidRPr="00951FC0" w:rsidRDefault="00951FC0" w:rsidP="00951FC0">
      <w:r w:rsidRPr="00951FC0">
        <w:t>Banker, S. and Khetani, S. (2019) ‘Algorithm overdependence: How the use of algorithmic recommendation systems can increase risks to consumer well-being’, </w:t>
      </w:r>
      <w:r w:rsidRPr="00951FC0">
        <w:rPr>
          <w:i/>
          <w:iCs/>
        </w:rPr>
        <w:t>Journal of Public Policy &amp; Marketing</w:t>
      </w:r>
      <w:r w:rsidRPr="00951FC0">
        <w:t>, </w:t>
      </w:r>
      <w:r w:rsidRPr="00951FC0">
        <w:rPr>
          <w:i/>
          <w:iCs/>
        </w:rPr>
        <w:t>38</w:t>
      </w:r>
      <w:r w:rsidRPr="00951FC0">
        <w:t>(4), pp.500-515. Doi: https://doi.org/10.1177/0743915619858057</w:t>
      </w:r>
    </w:p>
    <w:p w14:paraId="37C3969F" w14:textId="77777777" w:rsidR="00951FC0" w:rsidRPr="00951FC0" w:rsidRDefault="00951FC0" w:rsidP="00951FC0">
      <w:proofErr w:type="spellStart"/>
      <w:r w:rsidRPr="00951FC0">
        <w:t>Benzaghta</w:t>
      </w:r>
      <w:proofErr w:type="spellEnd"/>
      <w:r w:rsidRPr="00951FC0">
        <w:t>, M.A., Elwalda, A., Mousa, M.M., Erkan, I. and Rahman, M. (2021) ‘SWOT analysis applications: An integrative literature review’, </w:t>
      </w:r>
      <w:r w:rsidRPr="00951FC0">
        <w:rPr>
          <w:i/>
          <w:iCs/>
        </w:rPr>
        <w:t>Journal of Global Business Insights</w:t>
      </w:r>
      <w:r w:rsidRPr="00951FC0">
        <w:t>, </w:t>
      </w:r>
      <w:r w:rsidRPr="00951FC0">
        <w:rPr>
          <w:i/>
          <w:iCs/>
        </w:rPr>
        <w:t>6</w:t>
      </w:r>
      <w:r w:rsidRPr="00951FC0">
        <w:t xml:space="preserve">(1), pp.54-72. Doi: https://www.doi.org/10.5038/2640-6489.6.1.1148 </w:t>
      </w:r>
    </w:p>
    <w:p w14:paraId="65762A2D" w14:textId="77777777" w:rsidR="00951FC0" w:rsidRPr="00951FC0" w:rsidRDefault="00951FC0" w:rsidP="00951FC0">
      <w:r w:rsidRPr="00951FC0">
        <w:t>Blackburn, C., Díaz-García, C. and Moreno, A.G., (N. D.) comparative study. https://www.researchgate.net/profile/Annu-Kotiranta/publication/345373101_Growth_of_social_and_commercial_SMEs_a_comparative_study/links/68a7037ad9261f6f51add976/Growth-of-social-and-commercial-SMEs-a-comparative-study.pdf</w:t>
      </w:r>
    </w:p>
    <w:p w14:paraId="013CE714" w14:textId="77777777" w:rsidR="00951FC0" w:rsidRPr="00951FC0" w:rsidRDefault="00951FC0" w:rsidP="00951FC0">
      <w:proofErr w:type="spellStart"/>
      <w:r w:rsidRPr="00951FC0">
        <w:t>Bumin</w:t>
      </w:r>
      <w:proofErr w:type="spellEnd"/>
      <w:r w:rsidRPr="00951FC0">
        <w:t xml:space="preserve">, Z. and </w:t>
      </w:r>
      <w:proofErr w:type="spellStart"/>
      <w:r w:rsidRPr="00951FC0">
        <w:t>Bumin</w:t>
      </w:r>
      <w:proofErr w:type="spellEnd"/>
      <w:r w:rsidRPr="00951FC0">
        <w:t>, M. (2024) ‘Analysis of consumer preferences in sustainable fashion consumption’, </w:t>
      </w:r>
      <w:r w:rsidRPr="00951FC0">
        <w:rPr>
          <w:i/>
          <w:iCs/>
        </w:rPr>
        <w:t>Journal of Innovations and Sustainability</w:t>
      </w:r>
      <w:r w:rsidRPr="00951FC0">
        <w:t>, </w:t>
      </w:r>
      <w:r w:rsidRPr="00951FC0">
        <w:rPr>
          <w:i/>
          <w:iCs/>
        </w:rPr>
        <w:t>8</w:t>
      </w:r>
      <w:r w:rsidRPr="00951FC0">
        <w:t xml:space="preserve">(3), pp.01-16. Doi: https://doi.org/10.51599/is.2024.08.03.01 </w:t>
      </w:r>
    </w:p>
    <w:p w14:paraId="18799EDE" w14:textId="77777777" w:rsidR="00951FC0" w:rsidRPr="00951FC0" w:rsidRDefault="00951FC0" w:rsidP="00951FC0">
      <w:r w:rsidRPr="00951FC0">
        <w:t xml:space="preserve">Collis, D.J. and Anand, B.N. (2019) </w:t>
      </w:r>
      <w:r w:rsidRPr="00951FC0">
        <w:rPr>
          <w:i/>
          <w:iCs/>
        </w:rPr>
        <w:t>The limitations of dynamic capabilities</w:t>
      </w:r>
      <w:r w:rsidRPr="00951FC0">
        <w:t>. Cambridge, MA, USA: Harvard Business School. https://www.hbs.edu/ris/Publication%20Files/20-029_517ce6b4-4c4a-492f-b56e-01f78886e03b.pdf</w:t>
      </w:r>
    </w:p>
    <w:p w14:paraId="0CD071C3" w14:textId="77777777" w:rsidR="00951FC0" w:rsidRPr="00951FC0" w:rsidRDefault="00951FC0" w:rsidP="00951FC0">
      <w:proofErr w:type="spellStart"/>
      <w:r w:rsidRPr="00951FC0">
        <w:t>Dempere</w:t>
      </w:r>
      <w:proofErr w:type="spellEnd"/>
      <w:r w:rsidRPr="00951FC0">
        <w:t xml:space="preserve">, J., </w:t>
      </w:r>
      <w:proofErr w:type="spellStart"/>
      <w:r w:rsidRPr="00951FC0">
        <w:t>Udjo</w:t>
      </w:r>
      <w:proofErr w:type="spellEnd"/>
      <w:r w:rsidRPr="00951FC0">
        <w:t>, E. and Mattos, P. (2024) The entrepreneurial impact of the European directive on corporate sustainability Due diligence. </w:t>
      </w:r>
      <w:r w:rsidRPr="00951FC0">
        <w:rPr>
          <w:i/>
          <w:iCs/>
        </w:rPr>
        <w:t>Administrative Sciences</w:t>
      </w:r>
      <w:r w:rsidRPr="00951FC0">
        <w:t>, </w:t>
      </w:r>
      <w:r w:rsidRPr="00951FC0">
        <w:rPr>
          <w:i/>
          <w:iCs/>
        </w:rPr>
        <w:t>14</w:t>
      </w:r>
      <w:r w:rsidRPr="00951FC0">
        <w:t>(10), p.266. https://doi.org/10.3390/admsci14100266</w:t>
      </w:r>
    </w:p>
    <w:p w14:paraId="33A8ECEB" w14:textId="77777777" w:rsidR="00951FC0" w:rsidRPr="00951FC0" w:rsidRDefault="00951FC0" w:rsidP="00951FC0">
      <w:r w:rsidRPr="00951FC0">
        <w:t>Desai, C. (2019) Strategy and strategic management. In </w:t>
      </w:r>
      <w:r w:rsidRPr="00951FC0">
        <w:rPr>
          <w:i/>
          <w:iCs/>
        </w:rPr>
        <w:t>Management for Scientists</w:t>
      </w:r>
      <w:r w:rsidRPr="00951FC0">
        <w:t> (pp. 65-84). Emerald Publishing Limited. https://doi.org/10.1108/978-1-78769-203-920191005</w:t>
      </w:r>
    </w:p>
    <w:p w14:paraId="7295AF80" w14:textId="77777777" w:rsidR="00951FC0" w:rsidRPr="00951FC0" w:rsidRDefault="00951FC0" w:rsidP="00951FC0">
      <w:r w:rsidRPr="00951FC0">
        <w:t>Freeman, R.E., Phillips, R. and Sisodia, R. (2020) Tensions in stakeholder theory. </w:t>
      </w:r>
      <w:r w:rsidRPr="00951FC0">
        <w:rPr>
          <w:i/>
          <w:iCs/>
        </w:rPr>
        <w:t>Business &amp; society</w:t>
      </w:r>
      <w:r w:rsidRPr="00951FC0">
        <w:t>, </w:t>
      </w:r>
      <w:r w:rsidRPr="00951FC0">
        <w:rPr>
          <w:i/>
          <w:iCs/>
        </w:rPr>
        <w:t>59</w:t>
      </w:r>
      <w:r w:rsidRPr="00951FC0">
        <w:t>(2), pp.213-231. https://www.researchgate.net/profile/Robert-Phillips-19/publication/325179860_Tensions_in_Stakeholder_Theory/links/5cbdea9a92851c8d22fe9321/Tensions-in-Stakeholder-Theory.pdf</w:t>
      </w:r>
    </w:p>
    <w:p w14:paraId="737AA590" w14:textId="77777777" w:rsidR="00951FC0" w:rsidRPr="00951FC0" w:rsidRDefault="00951FC0" w:rsidP="00951FC0">
      <w:r w:rsidRPr="00951FC0">
        <w:lastRenderedPageBreak/>
        <w:t>Heuer, M. and Becker-Leifhold, C. eds. (2018) </w:t>
      </w:r>
      <w:r w:rsidRPr="00951FC0">
        <w:rPr>
          <w:i/>
          <w:iCs/>
        </w:rPr>
        <w:t>Eco-friendly and fair: fast fashion and consumer behaviour</w:t>
      </w:r>
      <w:r w:rsidRPr="00951FC0">
        <w:t>. Routledge.</w:t>
      </w:r>
    </w:p>
    <w:p w14:paraId="432E88A9" w14:textId="77777777" w:rsidR="00951FC0" w:rsidRPr="00951FC0" w:rsidRDefault="00951FC0" w:rsidP="00951FC0">
      <w:r w:rsidRPr="00951FC0">
        <w:t>Hirmer, S.A., George-Williams, H., Rhys, J., McNicholl, D. and McCulloch, M. (2021) Stakeholder decision-making: Understanding Sierra Leone's energy sector. </w:t>
      </w:r>
      <w:r w:rsidRPr="00951FC0">
        <w:rPr>
          <w:i/>
          <w:iCs/>
        </w:rPr>
        <w:t>Renewable and Sustainable Energy Reviews</w:t>
      </w:r>
      <w:r w:rsidRPr="00951FC0">
        <w:t>, </w:t>
      </w:r>
      <w:r w:rsidRPr="00951FC0">
        <w:rPr>
          <w:i/>
          <w:iCs/>
        </w:rPr>
        <w:t>145</w:t>
      </w:r>
      <w:r w:rsidRPr="00951FC0">
        <w:t>, p.111093. https://doi.org/10.1016/j.rser.2021.111093</w:t>
      </w:r>
    </w:p>
    <w:p w14:paraId="6B3DA544" w14:textId="77777777" w:rsidR="00951FC0" w:rsidRPr="00951FC0" w:rsidRDefault="00951FC0" w:rsidP="00951FC0">
      <w:r w:rsidRPr="00951FC0">
        <w:t xml:space="preserve">Islami, X., Mustafa, N. and </w:t>
      </w:r>
      <w:proofErr w:type="spellStart"/>
      <w:r w:rsidRPr="00951FC0">
        <w:t>Topuzovska</w:t>
      </w:r>
      <w:proofErr w:type="spellEnd"/>
      <w:r w:rsidRPr="00951FC0">
        <w:t xml:space="preserve"> </w:t>
      </w:r>
      <w:proofErr w:type="spellStart"/>
      <w:r w:rsidRPr="00951FC0">
        <w:t>Latkovikj</w:t>
      </w:r>
      <w:proofErr w:type="spellEnd"/>
      <w:r w:rsidRPr="00951FC0">
        <w:t>, M. (2020) ‘Linking Porter’s generic strategies to firm performance’, </w:t>
      </w:r>
      <w:r w:rsidRPr="00951FC0">
        <w:rPr>
          <w:i/>
          <w:iCs/>
        </w:rPr>
        <w:t>Future Business Journal</w:t>
      </w:r>
      <w:r w:rsidRPr="00951FC0">
        <w:t>, </w:t>
      </w:r>
      <w:r w:rsidRPr="00951FC0">
        <w:rPr>
          <w:i/>
          <w:iCs/>
        </w:rPr>
        <w:t>6</w:t>
      </w:r>
      <w:r w:rsidRPr="00951FC0">
        <w:t xml:space="preserve">(1), pp.1-15. Doi: https://doi.org/10.1186/s43093-020-0009-1 </w:t>
      </w:r>
    </w:p>
    <w:p w14:paraId="36FA14CB" w14:textId="77777777" w:rsidR="00951FC0" w:rsidRPr="00951FC0" w:rsidRDefault="00951FC0" w:rsidP="00951FC0">
      <w:proofErr w:type="spellStart"/>
      <w:r w:rsidRPr="00951FC0">
        <w:t>Kalogiannidis</w:t>
      </w:r>
      <w:proofErr w:type="spellEnd"/>
      <w:r w:rsidRPr="00951FC0">
        <w:t>, S. and Mavratzas, S. (2020) Impact of marketing mix strategies effective product development issues in MNCs/Retail. </w:t>
      </w:r>
      <w:r w:rsidRPr="00951FC0">
        <w:rPr>
          <w:i/>
          <w:iCs/>
        </w:rPr>
        <w:t>International Journal of Business Marketing and Management (IJBMM) Volume</w:t>
      </w:r>
      <w:r w:rsidRPr="00951FC0">
        <w:t>, </w:t>
      </w:r>
      <w:r w:rsidRPr="00951FC0">
        <w:rPr>
          <w:i/>
          <w:iCs/>
        </w:rPr>
        <w:t>5</w:t>
      </w:r>
      <w:r w:rsidRPr="00951FC0">
        <w:t>, pp.118-125.  https://www.academia.edu/download/65488738/9_Impact_of_marketing_mix_strategies_effective_product_development_issues_in_MNCs_Retail_8340436187.pdf</w:t>
      </w:r>
    </w:p>
    <w:p w14:paraId="32FC8996" w14:textId="77777777" w:rsidR="00951FC0" w:rsidRPr="00951FC0" w:rsidRDefault="00951FC0" w:rsidP="00951FC0">
      <w:r w:rsidRPr="00951FC0">
        <w:t xml:space="preserve">Kim, S., </w:t>
      </w:r>
      <w:proofErr w:type="spellStart"/>
      <w:r w:rsidRPr="00951FC0">
        <w:t>Colicchia</w:t>
      </w:r>
      <w:proofErr w:type="spellEnd"/>
      <w:r w:rsidRPr="00951FC0">
        <w:t xml:space="preserve">, C. and </w:t>
      </w:r>
      <w:proofErr w:type="spellStart"/>
      <w:r w:rsidRPr="00951FC0">
        <w:t>Menachof</w:t>
      </w:r>
      <w:proofErr w:type="spellEnd"/>
      <w:r w:rsidRPr="00951FC0">
        <w:t>, D. (2018) ‘Ethical sourcing: An analysis of the literature and implications for future research’, </w:t>
      </w:r>
      <w:r w:rsidRPr="00951FC0">
        <w:rPr>
          <w:i/>
          <w:iCs/>
        </w:rPr>
        <w:t>Journal of Business Ethics</w:t>
      </w:r>
      <w:r w:rsidRPr="00951FC0">
        <w:t>, </w:t>
      </w:r>
      <w:r w:rsidRPr="00951FC0">
        <w:rPr>
          <w:i/>
          <w:iCs/>
        </w:rPr>
        <w:t>152</w:t>
      </w:r>
      <w:r w:rsidRPr="00951FC0">
        <w:t xml:space="preserve">(4), pp.1033-1052. Doi: https://doi.org/10.1007/s10551-016-3266-8 </w:t>
      </w:r>
    </w:p>
    <w:p w14:paraId="1D37112B" w14:textId="77777777" w:rsidR="00951FC0" w:rsidRPr="00951FC0" w:rsidRDefault="00951FC0" w:rsidP="00951FC0">
      <w:r w:rsidRPr="00951FC0">
        <w:t>Lasserre, P. and Monteiro, F. (2022) </w:t>
      </w:r>
      <w:r w:rsidRPr="00951FC0">
        <w:rPr>
          <w:i/>
          <w:iCs/>
        </w:rPr>
        <w:t>Global strategic management</w:t>
      </w:r>
      <w:r w:rsidRPr="00951FC0">
        <w:t>. Bloomsbury Publishing.</w:t>
      </w:r>
    </w:p>
    <w:p w14:paraId="649A51A5" w14:textId="77777777" w:rsidR="00951FC0" w:rsidRPr="00951FC0" w:rsidRDefault="00951FC0" w:rsidP="00951FC0">
      <w:r w:rsidRPr="00951FC0">
        <w:t xml:space="preserve">Lucy &amp; Yak (2024) </w:t>
      </w:r>
      <w:r w:rsidRPr="00951FC0">
        <w:rPr>
          <w:i/>
          <w:iCs/>
        </w:rPr>
        <w:t>IMPACT REPORT</w:t>
      </w:r>
      <w:r w:rsidRPr="00951FC0">
        <w:t>. Available at: https://drive.google.com/file/d/1XmxgrS73jHdmQhLGqUvqL6wKwPdJRVSt/view (Accessed: 14 October 2025).</w:t>
      </w:r>
    </w:p>
    <w:p w14:paraId="0F3B1B88" w14:textId="77777777" w:rsidR="00951FC0" w:rsidRPr="00951FC0" w:rsidRDefault="00951FC0" w:rsidP="00951FC0">
      <w:r w:rsidRPr="00951FC0">
        <w:t xml:space="preserve">Lucy &amp; Yak (2025) </w:t>
      </w:r>
      <w:r w:rsidRPr="00951FC0">
        <w:rPr>
          <w:i/>
          <w:iCs/>
        </w:rPr>
        <w:t>Our Supplier Partnerships</w:t>
      </w:r>
      <w:r w:rsidRPr="00951FC0">
        <w:t>. Available at: https://lucyandyak.com/pages/our-supplier-partners (Accessed: 14 October 2025).</w:t>
      </w:r>
    </w:p>
    <w:p w14:paraId="699BFC28" w14:textId="77777777" w:rsidR="00951FC0" w:rsidRPr="00951FC0" w:rsidRDefault="00951FC0" w:rsidP="00951FC0">
      <w:r w:rsidRPr="00951FC0">
        <w:t xml:space="preserve">Lucy &amp; Yak (2025a) </w:t>
      </w:r>
      <w:r w:rsidRPr="00951FC0">
        <w:rPr>
          <w:i/>
          <w:iCs/>
        </w:rPr>
        <w:t>About Us</w:t>
      </w:r>
      <w:r w:rsidRPr="00951FC0">
        <w:t>. Available at: https://lucyandyak.com/pages/about-us?srsltid=AfmBOopiWqzxOf-DTzTGHta9KrNteFQ-noBI1VREAXoYxlfgq2UFWtqS (Accessed: 14 October 2025)</w:t>
      </w:r>
    </w:p>
    <w:p w14:paraId="20257CE0" w14:textId="77777777" w:rsidR="00951FC0" w:rsidRPr="00951FC0" w:rsidRDefault="00951FC0" w:rsidP="00951FC0">
      <w:r w:rsidRPr="00951FC0">
        <w:t xml:space="preserve">Lucy &amp; Yak (2025b) </w:t>
      </w:r>
      <w:r w:rsidRPr="00951FC0">
        <w:rPr>
          <w:i/>
          <w:iCs/>
        </w:rPr>
        <w:t>Our Story</w:t>
      </w:r>
      <w:r w:rsidRPr="00951FC0">
        <w:t>. Available at: https://lucyandyak.com/pages/our-story (Accessed: 14 October 2025)</w:t>
      </w:r>
    </w:p>
    <w:p w14:paraId="593457E5" w14:textId="77777777" w:rsidR="00951FC0" w:rsidRPr="00951FC0" w:rsidRDefault="00951FC0" w:rsidP="00951FC0">
      <w:r w:rsidRPr="00951FC0">
        <w:t xml:space="preserve">Lucy &amp; Yak (2025c) </w:t>
      </w:r>
      <w:r w:rsidRPr="00951FC0">
        <w:rPr>
          <w:i/>
          <w:iCs/>
        </w:rPr>
        <w:t>Our Mission</w:t>
      </w:r>
      <w:r w:rsidRPr="00951FC0">
        <w:t>. Available at: https://lucyandyak.com/pages/our-mission (Accessed: 14 October 2025)</w:t>
      </w:r>
    </w:p>
    <w:p w14:paraId="481CC0B6" w14:textId="77777777" w:rsidR="00951FC0" w:rsidRPr="00951FC0" w:rsidRDefault="00951FC0" w:rsidP="00951FC0">
      <w:r w:rsidRPr="00951FC0">
        <w:t xml:space="preserve">Lucy &amp; Yak (2025d) </w:t>
      </w:r>
      <w:r w:rsidRPr="00951FC0">
        <w:rPr>
          <w:i/>
          <w:iCs/>
        </w:rPr>
        <w:t>Our partner organisations</w:t>
      </w:r>
      <w:r w:rsidRPr="00951FC0">
        <w:t>. Available at: https://lucyandyak.com/pages/partners (Accessed: 14 October 2025).</w:t>
      </w:r>
    </w:p>
    <w:p w14:paraId="1219DBC3" w14:textId="77777777" w:rsidR="00951FC0" w:rsidRPr="00951FC0" w:rsidRDefault="00951FC0" w:rsidP="00951FC0">
      <w:r w:rsidRPr="00951FC0">
        <w:lastRenderedPageBreak/>
        <w:t xml:space="preserve">Lucy &amp; Yak (2025e) </w:t>
      </w:r>
      <w:r w:rsidRPr="00951FC0">
        <w:rPr>
          <w:i/>
          <w:iCs/>
        </w:rPr>
        <w:t>Our Charity Partners</w:t>
      </w:r>
      <w:r w:rsidRPr="00951FC0">
        <w:t>. Available at: https://lucyandyak.com/pages/charities (Accessed: 14 October 2025).</w:t>
      </w:r>
    </w:p>
    <w:p w14:paraId="051092EC" w14:textId="77777777" w:rsidR="00951FC0" w:rsidRPr="00951FC0" w:rsidRDefault="00951FC0" w:rsidP="00951FC0">
      <w:r w:rsidRPr="00951FC0">
        <w:t xml:space="preserve">McKinsey &amp; Company (2025) </w:t>
      </w:r>
      <w:r w:rsidRPr="00951FC0">
        <w:rPr>
          <w:i/>
          <w:iCs/>
        </w:rPr>
        <w:t>The State of Fashion 2025</w:t>
      </w:r>
      <w:r w:rsidRPr="00951FC0">
        <w:t>. Available at: https://www.mckinsey.com/~/media/mckinsey/industries/retail/our%20insights/state%20of%20fashion/2025/the-state-of-fashion-2025-v2.pdf (Accessed: 14 October 2025)</w:t>
      </w:r>
    </w:p>
    <w:p w14:paraId="67E11B5C" w14:textId="77777777" w:rsidR="00951FC0" w:rsidRPr="00951FC0" w:rsidRDefault="00951FC0" w:rsidP="00951FC0">
      <w:r w:rsidRPr="00951FC0">
        <w:t xml:space="preserve">Mints, A. and </w:t>
      </w:r>
      <w:proofErr w:type="spellStart"/>
      <w:r w:rsidRPr="00951FC0">
        <w:t>Kamyshnykova</w:t>
      </w:r>
      <w:proofErr w:type="spellEnd"/>
      <w:r w:rsidRPr="00951FC0">
        <w:t>, E. (2019) Methods of stakeholder prioritisation in the context of stakeholder management. https://etalpykla.vilniustech.lt/bitstream/handle/123456789/155774/cibmee.2019.046.pdf?sequence=1</w:t>
      </w:r>
    </w:p>
    <w:p w14:paraId="41E37808" w14:textId="77777777" w:rsidR="00951FC0" w:rsidRPr="00951FC0" w:rsidRDefault="00951FC0" w:rsidP="00951FC0">
      <w:proofErr w:type="spellStart"/>
      <w:r w:rsidRPr="00951FC0">
        <w:t>Naradda</w:t>
      </w:r>
      <w:proofErr w:type="spellEnd"/>
      <w:r w:rsidRPr="00951FC0">
        <w:t xml:space="preserve"> Gamage, S.K., Ekanayake, E.M.S., </w:t>
      </w:r>
      <w:proofErr w:type="spellStart"/>
      <w:r w:rsidRPr="00951FC0">
        <w:t>Abeyrathne</w:t>
      </w:r>
      <w:proofErr w:type="spellEnd"/>
      <w:r w:rsidRPr="00951FC0">
        <w:t>, G.A.K.N.J., Prasanna, R.P.I.R., Jayasundara, J.M.S.B. and Rajapakshe, P.S.K. (2020) A review of global challenges and survival strategies of small and medium enterprises (SMEs). </w:t>
      </w:r>
      <w:r w:rsidRPr="00951FC0">
        <w:rPr>
          <w:i/>
          <w:iCs/>
        </w:rPr>
        <w:t>Economies</w:t>
      </w:r>
      <w:r w:rsidRPr="00951FC0">
        <w:t>, </w:t>
      </w:r>
      <w:r w:rsidRPr="00951FC0">
        <w:rPr>
          <w:i/>
          <w:iCs/>
        </w:rPr>
        <w:t>8</w:t>
      </w:r>
      <w:r w:rsidRPr="00951FC0">
        <w:t>(4), p.79. https://doi.org/10.3390/economies8040079</w:t>
      </w:r>
    </w:p>
    <w:p w14:paraId="4E809C0E" w14:textId="77777777" w:rsidR="00951FC0" w:rsidRPr="00951FC0" w:rsidRDefault="00951FC0" w:rsidP="00951FC0">
      <w:r w:rsidRPr="00951FC0">
        <w:t>O'Connor, J.T. and Mock, B. (2020) Responsibilities and accountabilities for industrial facility commissioning and startup activities. </w:t>
      </w:r>
      <w:r w:rsidRPr="00951FC0">
        <w:rPr>
          <w:i/>
          <w:iCs/>
        </w:rPr>
        <w:t>Construction Innovation</w:t>
      </w:r>
      <w:r w:rsidRPr="00951FC0">
        <w:t>, </w:t>
      </w:r>
      <w:r w:rsidRPr="00951FC0">
        <w:rPr>
          <w:i/>
          <w:iCs/>
        </w:rPr>
        <w:t>20</w:t>
      </w:r>
      <w:r w:rsidRPr="00951FC0">
        <w:t>(4), pp.625-645. https://doi.org/10.1108/CI-09-2019-0094</w:t>
      </w:r>
    </w:p>
    <w:p w14:paraId="36EF9410" w14:textId="77777777" w:rsidR="00951FC0" w:rsidRPr="00951FC0" w:rsidRDefault="00951FC0" w:rsidP="00951FC0">
      <w:r w:rsidRPr="00951FC0">
        <w:t xml:space="preserve">OECD (2023) </w:t>
      </w:r>
      <w:r w:rsidRPr="00951FC0">
        <w:rPr>
          <w:i/>
          <w:iCs/>
        </w:rPr>
        <w:t>OECD SME and Entrepreneurship Outlook 2023</w:t>
      </w:r>
      <w:r w:rsidRPr="00951FC0">
        <w:t>. Available at: https://www.oecd.org/content/dam/oecd/en/publications/reports/2023/06/oecd-sme-and-entrepreneurship-outlook-2023_c5ac21d0/342b8564-en.pdf (Accessed: 14 October 2025).</w:t>
      </w:r>
    </w:p>
    <w:p w14:paraId="200FEE86" w14:textId="77777777" w:rsidR="00951FC0" w:rsidRPr="00951FC0" w:rsidRDefault="00951FC0" w:rsidP="00951FC0">
      <w:proofErr w:type="spellStart"/>
      <w:r w:rsidRPr="00951FC0">
        <w:t>Oguntegbe</w:t>
      </w:r>
      <w:proofErr w:type="spellEnd"/>
      <w:r w:rsidRPr="00951FC0">
        <w:t>, K.F., Di Paola, N. and Vona, R. (2023) Communicating responsible management and the role of blockchain technology: social media analytics for the luxury fashion supply chain. </w:t>
      </w:r>
      <w:r w:rsidRPr="00951FC0">
        <w:rPr>
          <w:i/>
          <w:iCs/>
        </w:rPr>
        <w:t>The TQM Journal</w:t>
      </w:r>
      <w:r w:rsidRPr="00951FC0">
        <w:t>, </w:t>
      </w:r>
      <w:r w:rsidRPr="00951FC0">
        <w:rPr>
          <w:i/>
          <w:iCs/>
        </w:rPr>
        <w:t>35</w:t>
      </w:r>
      <w:r w:rsidRPr="00951FC0">
        <w:t>(2), pp.446-469. https://www.emerald.com/insight/content/doi/10.1108/tqm-10-2021-0296/full/html</w:t>
      </w:r>
    </w:p>
    <w:p w14:paraId="1E3E53D0" w14:textId="77777777" w:rsidR="00951FC0" w:rsidRPr="00951FC0" w:rsidRDefault="00951FC0" w:rsidP="00951FC0">
      <w:r w:rsidRPr="00951FC0">
        <w:t>Perry, P. and Wood, S. (2019) ‘Exploring the international fashion supply chain and corporate social responsibility: Cost, responsiveness and ethical implications’, </w:t>
      </w:r>
      <w:r w:rsidRPr="00951FC0">
        <w:rPr>
          <w:i/>
          <w:iCs/>
        </w:rPr>
        <w:t>Logistics and retail management</w:t>
      </w:r>
      <w:r w:rsidRPr="00951FC0">
        <w:t>, </w:t>
      </w:r>
      <w:r w:rsidRPr="00951FC0">
        <w:rPr>
          <w:i/>
          <w:iCs/>
        </w:rPr>
        <w:t>2</w:t>
      </w:r>
      <w:r w:rsidRPr="00951FC0">
        <w:t>(1), pp.77-100. Available at: https://s3.eu-central-1.amazonaws.com/eu-st01.ext.exlibrisgroup.com/44SUR_INST/storage/alma/7F/D5/06/81/9C/F2/42/58/15/68/9D/81/CD/08/FC/3A/__homes.surrey.ac.uk_home_.System_Desktop_Exploring%20the%20International%20Fashion%20Supply%20Chain%20and%20CSR_Perry_Wood%20chapter%202019.pdf?response-content-type=application%2Fpdf&amp;X-Amz-Algorithm=AWS4-HMAC-SHA256&amp;X-Amz-Date=20251014T084807Z&amp;X-Amz-SignedHeaders=host&amp;X-Amz-Expires=119&amp;X-Amz-Credential=AKIAJN6NPMNGJALPPWAQ%2F20251014%2Feu-central-1%2Fs3%2Faws4_request&amp;X-Amz-Signature=4f22d4d5cf07625e18b4b59f0b93a77319493764fc301b0081b82c54058b8cea (Accessed: 14 October 2025)</w:t>
      </w:r>
    </w:p>
    <w:p w14:paraId="582210D4" w14:textId="77777777" w:rsidR="00951FC0" w:rsidRPr="00951FC0" w:rsidRDefault="00951FC0" w:rsidP="00951FC0">
      <w:r w:rsidRPr="00951FC0">
        <w:lastRenderedPageBreak/>
        <w:t xml:space="preserve">Shao, J., Li, W., </w:t>
      </w:r>
      <w:proofErr w:type="spellStart"/>
      <w:r w:rsidRPr="00951FC0">
        <w:t>Aneye</w:t>
      </w:r>
      <w:proofErr w:type="spellEnd"/>
      <w:r w:rsidRPr="00951FC0">
        <w:t>, C. and Fang, W. (2022) ‘Facilitating mechanism of green products purchasing with a premium price—Moderating by sustainability</w:t>
      </w:r>
      <w:r w:rsidRPr="00951FC0">
        <w:rPr>
          <w:rFonts w:ascii="Cambria Math" w:hAnsi="Cambria Math" w:cs="Cambria Math"/>
        </w:rPr>
        <w:t>‐</w:t>
      </w:r>
      <w:r w:rsidRPr="00951FC0">
        <w:t>related information’,</w:t>
      </w:r>
      <w:r w:rsidRPr="00951FC0">
        <w:rPr>
          <w:rFonts w:cs="Arial"/>
        </w:rPr>
        <w:t> </w:t>
      </w:r>
      <w:r w:rsidRPr="00951FC0">
        <w:rPr>
          <w:i/>
          <w:iCs/>
        </w:rPr>
        <w:t>Corporate Social Responsibility and Environmental Management</w:t>
      </w:r>
      <w:r w:rsidRPr="00951FC0">
        <w:t>, </w:t>
      </w:r>
      <w:r w:rsidRPr="00951FC0">
        <w:rPr>
          <w:i/>
          <w:iCs/>
        </w:rPr>
        <w:t>29</w:t>
      </w:r>
      <w:r w:rsidRPr="00951FC0">
        <w:t xml:space="preserve">(3), pp.686-700. DOI: https://doi.org/10.1002/csr.2229 </w:t>
      </w:r>
    </w:p>
    <w:p w14:paraId="2DEC6CAF" w14:textId="77777777" w:rsidR="00951FC0" w:rsidRPr="00951FC0" w:rsidRDefault="00951FC0" w:rsidP="00951FC0">
      <w:r w:rsidRPr="00951FC0">
        <w:t>White, C. (2017) </w:t>
      </w:r>
      <w:r w:rsidRPr="00951FC0">
        <w:rPr>
          <w:i/>
          <w:iCs/>
        </w:rPr>
        <w:t>Strategic management</w:t>
      </w:r>
      <w:r w:rsidRPr="00951FC0">
        <w:t>. Bloomsbury Publishing.</w:t>
      </w:r>
    </w:p>
    <w:p w14:paraId="5028C270" w14:textId="77777777" w:rsidR="00C20AD8" w:rsidRDefault="00C20AD8"/>
    <w:sectPr w:rsidR="00C20AD8">
      <w:pgSz w:w="12240" w:h="15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9508B6"/>
    <w:multiLevelType w:val="hybridMultilevel"/>
    <w:tmpl w:val="6FAEF4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B645466"/>
    <w:multiLevelType w:val="hybridMultilevel"/>
    <w:tmpl w:val="676648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01125796">
    <w:abstractNumId w:val="0"/>
  </w:num>
  <w:num w:numId="2" w16cid:durableId="1145706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FC0"/>
    <w:rsid w:val="00230B12"/>
    <w:rsid w:val="003A3297"/>
    <w:rsid w:val="004672C8"/>
    <w:rsid w:val="006B3042"/>
    <w:rsid w:val="007D7C45"/>
    <w:rsid w:val="00951FC0"/>
    <w:rsid w:val="00A45D61"/>
    <w:rsid w:val="00C20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41CF8"/>
  <w15:chartTrackingRefBased/>
  <w15:docId w15:val="{2F7A5B49-AF06-488B-8613-0EF806BEF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51FC0"/>
    <w:pPr>
      <w:spacing w:line="360" w:lineRule="auto"/>
      <w:jc w:val="both"/>
    </w:pPr>
    <w:rPr>
      <w:rFonts w:cstheme="minorBidi"/>
      <w:kern w:val="2"/>
      <w:lang w:val="en-GB"/>
      <w14:ligatures w14:val="standardContextual"/>
    </w:rPr>
  </w:style>
  <w:style w:type="paragraph" w:styleId="Titolo1">
    <w:name w:val="heading 1"/>
    <w:basedOn w:val="Normale"/>
    <w:next w:val="Normale"/>
    <w:link w:val="Titolo1Carattere"/>
    <w:uiPriority w:val="9"/>
    <w:qFormat/>
    <w:rsid w:val="00951F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olo2">
    <w:name w:val="heading 2"/>
    <w:basedOn w:val="Normale"/>
    <w:next w:val="Normale"/>
    <w:link w:val="Titolo2Carattere"/>
    <w:uiPriority w:val="9"/>
    <w:unhideWhenUsed/>
    <w:qFormat/>
    <w:rsid w:val="00951F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olo3">
    <w:name w:val="heading 3"/>
    <w:basedOn w:val="Normale"/>
    <w:next w:val="Normale"/>
    <w:link w:val="Titolo3Carattere"/>
    <w:uiPriority w:val="9"/>
    <w:unhideWhenUsed/>
    <w:qFormat/>
    <w:rsid w:val="00951FC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Titolo4">
    <w:name w:val="heading 4"/>
    <w:basedOn w:val="Normale"/>
    <w:next w:val="Normale"/>
    <w:link w:val="Titolo4Carattere"/>
    <w:uiPriority w:val="9"/>
    <w:semiHidden/>
    <w:unhideWhenUsed/>
    <w:qFormat/>
    <w:rsid w:val="00951FC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olo5">
    <w:name w:val="heading 5"/>
    <w:basedOn w:val="Normale"/>
    <w:next w:val="Normale"/>
    <w:link w:val="Titolo5Carattere"/>
    <w:uiPriority w:val="9"/>
    <w:semiHidden/>
    <w:unhideWhenUsed/>
    <w:qFormat/>
    <w:rsid w:val="00951FC0"/>
    <w:pPr>
      <w:keepNext/>
      <w:keepLines/>
      <w:spacing w:before="80" w:after="40"/>
      <w:outlineLvl w:val="4"/>
    </w:pPr>
    <w:rPr>
      <w:rFonts w:asciiTheme="minorHAnsi" w:eastAsiaTheme="majorEastAsia" w:hAnsiTheme="minorHAnsi" w:cstheme="majorBidi"/>
      <w:color w:val="2F5496" w:themeColor="accent1" w:themeShade="BF"/>
    </w:rPr>
  </w:style>
  <w:style w:type="paragraph" w:styleId="Titolo6">
    <w:name w:val="heading 6"/>
    <w:basedOn w:val="Normale"/>
    <w:next w:val="Normale"/>
    <w:link w:val="Titolo6Carattere"/>
    <w:uiPriority w:val="9"/>
    <w:semiHidden/>
    <w:unhideWhenUsed/>
    <w:qFormat/>
    <w:rsid w:val="00951F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olo7">
    <w:name w:val="heading 7"/>
    <w:basedOn w:val="Normale"/>
    <w:next w:val="Normale"/>
    <w:link w:val="Titolo7Carattere"/>
    <w:uiPriority w:val="9"/>
    <w:semiHidden/>
    <w:unhideWhenUsed/>
    <w:qFormat/>
    <w:rsid w:val="00951FC0"/>
    <w:pPr>
      <w:keepNext/>
      <w:keepLines/>
      <w:spacing w:before="40" w:after="0"/>
      <w:outlineLvl w:val="6"/>
    </w:pPr>
    <w:rPr>
      <w:rFonts w:asciiTheme="minorHAnsi" w:eastAsiaTheme="majorEastAsia" w:hAnsiTheme="minorHAnsi" w:cstheme="majorBidi"/>
      <w:color w:val="595959" w:themeColor="text1" w:themeTint="A6"/>
    </w:rPr>
  </w:style>
  <w:style w:type="paragraph" w:styleId="Titolo8">
    <w:name w:val="heading 8"/>
    <w:basedOn w:val="Normale"/>
    <w:next w:val="Normale"/>
    <w:link w:val="Titolo8Carattere"/>
    <w:uiPriority w:val="9"/>
    <w:semiHidden/>
    <w:unhideWhenUsed/>
    <w:qFormat/>
    <w:rsid w:val="00951FC0"/>
    <w:pPr>
      <w:keepNext/>
      <w:keepLines/>
      <w:spacing w:after="0"/>
      <w:outlineLvl w:val="7"/>
    </w:pPr>
    <w:rPr>
      <w:rFonts w:asciiTheme="minorHAnsi" w:eastAsiaTheme="majorEastAsia" w:hAnsiTheme="minorHAnsi" w:cstheme="majorBidi"/>
      <w:i/>
      <w:iCs/>
      <w:color w:val="272727" w:themeColor="text1" w:themeTint="D8"/>
    </w:rPr>
  </w:style>
  <w:style w:type="paragraph" w:styleId="Titolo9">
    <w:name w:val="heading 9"/>
    <w:basedOn w:val="Normale"/>
    <w:next w:val="Normale"/>
    <w:link w:val="Titolo9Carattere"/>
    <w:uiPriority w:val="9"/>
    <w:semiHidden/>
    <w:unhideWhenUsed/>
    <w:qFormat/>
    <w:rsid w:val="00951FC0"/>
    <w:pPr>
      <w:keepNext/>
      <w:keepLines/>
      <w:spacing w:after="0"/>
      <w:outlineLvl w:val="8"/>
    </w:pPr>
    <w:rPr>
      <w:rFonts w:asciiTheme="minorHAnsi" w:eastAsiaTheme="majorEastAsia" w:hAnsiTheme="minorHAnsi" w:cstheme="majorBidi"/>
      <w:color w:val="272727" w:themeColor="text1" w:themeTint="D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951FC0"/>
    <w:rPr>
      <w:rFonts w:asciiTheme="majorHAnsi" w:eastAsiaTheme="majorEastAsia" w:hAnsiTheme="majorHAnsi" w:cstheme="majorBidi"/>
      <w:color w:val="2F5496" w:themeColor="accent1" w:themeShade="BF"/>
      <w:sz w:val="40"/>
      <w:szCs w:val="40"/>
      <w:lang w:val="en-GB"/>
    </w:rPr>
  </w:style>
  <w:style w:type="character" w:customStyle="1" w:styleId="Titolo2Carattere">
    <w:name w:val="Titolo 2 Carattere"/>
    <w:basedOn w:val="Carpredefinitoparagrafo"/>
    <w:link w:val="Titolo2"/>
    <w:uiPriority w:val="9"/>
    <w:rsid w:val="00951FC0"/>
    <w:rPr>
      <w:rFonts w:asciiTheme="majorHAnsi" w:eastAsiaTheme="majorEastAsia" w:hAnsiTheme="majorHAnsi" w:cstheme="majorBidi"/>
      <w:color w:val="2F5496" w:themeColor="accent1" w:themeShade="BF"/>
      <w:sz w:val="32"/>
      <w:szCs w:val="32"/>
      <w:lang w:val="en-GB"/>
    </w:rPr>
  </w:style>
  <w:style w:type="character" w:customStyle="1" w:styleId="Titolo3Carattere">
    <w:name w:val="Titolo 3 Carattere"/>
    <w:basedOn w:val="Carpredefinitoparagrafo"/>
    <w:link w:val="Titolo3"/>
    <w:uiPriority w:val="9"/>
    <w:rsid w:val="00951FC0"/>
    <w:rPr>
      <w:rFonts w:asciiTheme="minorHAnsi" w:eastAsiaTheme="majorEastAsia" w:hAnsiTheme="minorHAnsi" w:cstheme="majorBidi"/>
      <w:color w:val="2F5496" w:themeColor="accent1" w:themeShade="BF"/>
      <w:sz w:val="28"/>
      <w:szCs w:val="28"/>
      <w:lang w:val="en-GB"/>
    </w:rPr>
  </w:style>
  <w:style w:type="character" w:customStyle="1" w:styleId="Titolo4Carattere">
    <w:name w:val="Titolo 4 Carattere"/>
    <w:basedOn w:val="Carpredefinitoparagrafo"/>
    <w:link w:val="Titolo4"/>
    <w:uiPriority w:val="9"/>
    <w:semiHidden/>
    <w:rsid w:val="00951FC0"/>
    <w:rPr>
      <w:rFonts w:asciiTheme="minorHAnsi" w:eastAsiaTheme="majorEastAsia" w:hAnsiTheme="minorHAnsi" w:cstheme="majorBidi"/>
      <w:i/>
      <w:iCs/>
      <w:color w:val="2F5496" w:themeColor="accent1" w:themeShade="BF"/>
      <w:lang w:val="en-GB"/>
    </w:rPr>
  </w:style>
  <w:style w:type="character" w:customStyle="1" w:styleId="Titolo5Carattere">
    <w:name w:val="Titolo 5 Carattere"/>
    <w:basedOn w:val="Carpredefinitoparagrafo"/>
    <w:link w:val="Titolo5"/>
    <w:uiPriority w:val="9"/>
    <w:semiHidden/>
    <w:rsid w:val="00951FC0"/>
    <w:rPr>
      <w:rFonts w:asciiTheme="minorHAnsi" w:eastAsiaTheme="majorEastAsia" w:hAnsiTheme="minorHAnsi" w:cstheme="majorBidi"/>
      <w:color w:val="2F5496" w:themeColor="accent1" w:themeShade="BF"/>
      <w:lang w:val="en-GB"/>
    </w:rPr>
  </w:style>
  <w:style w:type="character" w:customStyle="1" w:styleId="Titolo6Carattere">
    <w:name w:val="Titolo 6 Carattere"/>
    <w:basedOn w:val="Carpredefinitoparagrafo"/>
    <w:link w:val="Titolo6"/>
    <w:uiPriority w:val="9"/>
    <w:semiHidden/>
    <w:rsid w:val="00951FC0"/>
    <w:rPr>
      <w:rFonts w:asciiTheme="minorHAnsi" w:eastAsiaTheme="majorEastAsia" w:hAnsiTheme="minorHAnsi" w:cstheme="majorBidi"/>
      <w:i/>
      <w:iCs/>
      <w:color w:val="595959" w:themeColor="text1" w:themeTint="A6"/>
      <w:lang w:val="en-GB"/>
    </w:rPr>
  </w:style>
  <w:style w:type="character" w:customStyle="1" w:styleId="Titolo7Carattere">
    <w:name w:val="Titolo 7 Carattere"/>
    <w:basedOn w:val="Carpredefinitoparagrafo"/>
    <w:link w:val="Titolo7"/>
    <w:uiPriority w:val="9"/>
    <w:semiHidden/>
    <w:rsid w:val="00951FC0"/>
    <w:rPr>
      <w:rFonts w:asciiTheme="minorHAnsi" w:eastAsiaTheme="majorEastAsia" w:hAnsiTheme="minorHAnsi" w:cstheme="majorBidi"/>
      <w:color w:val="595959" w:themeColor="text1" w:themeTint="A6"/>
      <w:lang w:val="en-GB"/>
    </w:rPr>
  </w:style>
  <w:style w:type="character" w:customStyle="1" w:styleId="Titolo8Carattere">
    <w:name w:val="Titolo 8 Carattere"/>
    <w:basedOn w:val="Carpredefinitoparagrafo"/>
    <w:link w:val="Titolo8"/>
    <w:uiPriority w:val="9"/>
    <w:semiHidden/>
    <w:rsid w:val="00951FC0"/>
    <w:rPr>
      <w:rFonts w:asciiTheme="minorHAnsi" w:eastAsiaTheme="majorEastAsia" w:hAnsiTheme="minorHAnsi" w:cstheme="majorBidi"/>
      <w:i/>
      <w:iCs/>
      <w:color w:val="272727" w:themeColor="text1" w:themeTint="D8"/>
      <w:lang w:val="en-GB"/>
    </w:rPr>
  </w:style>
  <w:style w:type="character" w:customStyle="1" w:styleId="Titolo9Carattere">
    <w:name w:val="Titolo 9 Carattere"/>
    <w:basedOn w:val="Carpredefinitoparagrafo"/>
    <w:link w:val="Titolo9"/>
    <w:uiPriority w:val="9"/>
    <w:semiHidden/>
    <w:rsid w:val="00951FC0"/>
    <w:rPr>
      <w:rFonts w:asciiTheme="minorHAnsi" w:eastAsiaTheme="majorEastAsia" w:hAnsiTheme="minorHAnsi" w:cstheme="majorBidi"/>
      <w:color w:val="272727" w:themeColor="text1" w:themeTint="D8"/>
      <w:lang w:val="en-GB"/>
    </w:rPr>
  </w:style>
  <w:style w:type="paragraph" w:styleId="Titolo">
    <w:name w:val="Title"/>
    <w:basedOn w:val="Normale"/>
    <w:next w:val="Normale"/>
    <w:link w:val="TitoloCarattere"/>
    <w:uiPriority w:val="10"/>
    <w:qFormat/>
    <w:rsid w:val="00951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951FC0"/>
    <w:rPr>
      <w:rFonts w:asciiTheme="majorHAnsi" w:eastAsiaTheme="majorEastAsia" w:hAnsiTheme="majorHAnsi" w:cstheme="majorBidi"/>
      <w:spacing w:val="-10"/>
      <w:kern w:val="28"/>
      <w:sz w:val="56"/>
      <w:szCs w:val="56"/>
      <w:lang w:val="en-GB"/>
    </w:rPr>
  </w:style>
  <w:style w:type="paragraph" w:styleId="Sottotitolo">
    <w:name w:val="Subtitle"/>
    <w:basedOn w:val="Normale"/>
    <w:next w:val="Normale"/>
    <w:link w:val="SottotitoloCarattere"/>
    <w:uiPriority w:val="11"/>
    <w:qFormat/>
    <w:rsid w:val="00951FC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951FC0"/>
    <w:rPr>
      <w:rFonts w:asciiTheme="minorHAnsi" w:eastAsiaTheme="majorEastAsia" w:hAnsiTheme="minorHAnsi" w:cstheme="majorBidi"/>
      <w:color w:val="595959" w:themeColor="text1" w:themeTint="A6"/>
      <w:spacing w:val="15"/>
      <w:sz w:val="28"/>
      <w:szCs w:val="28"/>
      <w:lang w:val="en-GB"/>
    </w:rPr>
  </w:style>
  <w:style w:type="paragraph" w:styleId="Citazione">
    <w:name w:val="Quote"/>
    <w:basedOn w:val="Normale"/>
    <w:next w:val="Normale"/>
    <w:link w:val="CitazioneCarattere"/>
    <w:uiPriority w:val="29"/>
    <w:qFormat/>
    <w:rsid w:val="00951FC0"/>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951FC0"/>
    <w:rPr>
      <w:i/>
      <w:iCs/>
      <w:color w:val="404040" w:themeColor="text1" w:themeTint="BF"/>
      <w:lang w:val="en-GB"/>
    </w:rPr>
  </w:style>
  <w:style w:type="paragraph" w:styleId="Paragrafoelenco">
    <w:name w:val="List Paragraph"/>
    <w:basedOn w:val="Normale"/>
    <w:uiPriority w:val="34"/>
    <w:qFormat/>
    <w:rsid w:val="00951FC0"/>
    <w:pPr>
      <w:ind w:left="720"/>
      <w:contextualSpacing/>
    </w:pPr>
  </w:style>
  <w:style w:type="character" w:styleId="Enfasiintensa">
    <w:name w:val="Intense Emphasis"/>
    <w:basedOn w:val="Carpredefinitoparagrafo"/>
    <w:uiPriority w:val="21"/>
    <w:qFormat/>
    <w:rsid w:val="00951FC0"/>
    <w:rPr>
      <w:i/>
      <w:iCs/>
      <w:color w:val="2F5496" w:themeColor="accent1" w:themeShade="BF"/>
    </w:rPr>
  </w:style>
  <w:style w:type="paragraph" w:styleId="Citazioneintensa">
    <w:name w:val="Intense Quote"/>
    <w:basedOn w:val="Normale"/>
    <w:next w:val="Normale"/>
    <w:link w:val="CitazioneintensaCarattere"/>
    <w:uiPriority w:val="30"/>
    <w:qFormat/>
    <w:rsid w:val="00951F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zioneintensaCarattere">
    <w:name w:val="Citazione intensa Carattere"/>
    <w:basedOn w:val="Carpredefinitoparagrafo"/>
    <w:link w:val="Citazioneintensa"/>
    <w:uiPriority w:val="30"/>
    <w:rsid w:val="00951FC0"/>
    <w:rPr>
      <w:i/>
      <w:iCs/>
      <w:color w:val="2F5496" w:themeColor="accent1" w:themeShade="BF"/>
      <w:lang w:val="en-GB"/>
    </w:rPr>
  </w:style>
  <w:style w:type="character" w:styleId="Riferimentointenso">
    <w:name w:val="Intense Reference"/>
    <w:basedOn w:val="Carpredefinitoparagrafo"/>
    <w:uiPriority w:val="32"/>
    <w:qFormat/>
    <w:rsid w:val="00951FC0"/>
    <w:rPr>
      <w:b/>
      <w:bCs/>
      <w:smallCaps/>
      <w:color w:val="2F5496" w:themeColor="accent1" w:themeShade="BF"/>
      <w:spacing w:val="5"/>
    </w:rPr>
  </w:style>
  <w:style w:type="table" w:styleId="Tabellagriglia5scura-colore1">
    <w:name w:val="Grid Table 5 Dark Accent 1"/>
    <w:basedOn w:val="Tabellanormale"/>
    <w:uiPriority w:val="50"/>
    <w:rsid w:val="00951FC0"/>
    <w:pPr>
      <w:spacing w:after="0" w:line="240" w:lineRule="auto"/>
    </w:pPr>
    <w:rPr>
      <w:rFonts w:asciiTheme="minorHAnsi" w:hAnsiTheme="minorHAnsi" w:cstheme="minorBidi"/>
      <w:kern w:val="2"/>
      <w:lang w:val="en-IN"/>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Tabellagriglia4-colore1">
    <w:name w:val="Grid Table 4 Accent 1"/>
    <w:basedOn w:val="Tabellanormale"/>
    <w:uiPriority w:val="49"/>
    <w:rsid w:val="00951FC0"/>
    <w:pPr>
      <w:spacing w:after="0" w:line="240" w:lineRule="auto"/>
    </w:pPr>
    <w:rPr>
      <w:rFonts w:asciiTheme="minorHAnsi" w:hAnsiTheme="minorHAnsi" w:cstheme="minorBidi"/>
      <w:kern w:val="2"/>
      <w:lang w:val="en-IN"/>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lagriglia2-colore1">
    <w:name w:val="Grid Table 2 Accent 1"/>
    <w:basedOn w:val="Tabellanormale"/>
    <w:uiPriority w:val="47"/>
    <w:rsid w:val="00951FC0"/>
    <w:pPr>
      <w:spacing w:after="0" w:line="240" w:lineRule="auto"/>
    </w:pPr>
    <w:rPr>
      <w:rFonts w:asciiTheme="minorHAnsi" w:hAnsiTheme="minorHAnsi" w:cstheme="minorBidi"/>
      <w:kern w:val="2"/>
      <w:lang w:val="en-IN"/>
      <w14:ligatures w14:val="standardContextual"/>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lagriglia6acolori-colore1">
    <w:name w:val="Grid Table 6 Colorful Accent 1"/>
    <w:basedOn w:val="Tabellanormale"/>
    <w:uiPriority w:val="51"/>
    <w:rsid w:val="00951FC0"/>
    <w:pPr>
      <w:spacing w:after="0" w:line="240" w:lineRule="auto"/>
    </w:pPr>
    <w:rPr>
      <w:rFonts w:asciiTheme="minorHAnsi" w:hAnsiTheme="minorHAnsi" w:cstheme="minorBidi"/>
      <w:color w:val="2F5496" w:themeColor="accent1" w:themeShade="BF"/>
      <w:kern w:val="2"/>
      <w:lang w:val="en-IN"/>
      <w14:ligatures w14:val="standardContextual"/>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Enfasigrassetto">
    <w:name w:val="Strong"/>
    <w:basedOn w:val="Carpredefinitoparagrafo"/>
    <w:uiPriority w:val="22"/>
    <w:qFormat/>
    <w:rsid w:val="00951FC0"/>
    <w:rPr>
      <w:b/>
      <w:bCs/>
    </w:rPr>
  </w:style>
  <w:style w:type="character" w:styleId="Collegamentoipertestuale">
    <w:name w:val="Hyperlink"/>
    <w:basedOn w:val="Carpredefinitoparagrafo"/>
    <w:uiPriority w:val="99"/>
    <w:unhideWhenUsed/>
    <w:rsid w:val="00951FC0"/>
    <w:rPr>
      <w:color w:val="0563C1" w:themeColor="hyperlink"/>
      <w:u w:val="single"/>
    </w:rPr>
  </w:style>
  <w:style w:type="paragraph" w:styleId="Titolosommario">
    <w:name w:val="TOC Heading"/>
    <w:basedOn w:val="Titolo1"/>
    <w:next w:val="Normale"/>
    <w:uiPriority w:val="39"/>
    <w:unhideWhenUsed/>
    <w:qFormat/>
    <w:rsid w:val="00951FC0"/>
    <w:pPr>
      <w:spacing w:before="240" w:after="0"/>
      <w:outlineLvl w:val="9"/>
    </w:pPr>
    <w:rPr>
      <w:sz w:val="32"/>
      <w:szCs w:val="32"/>
      <w:lang w:val="en-US"/>
    </w:rPr>
  </w:style>
  <w:style w:type="paragraph" w:styleId="Sommario1">
    <w:name w:val="toc 1"/>
    <w:basedOn w:val="Normale"/>
    <w:next w:val="Normale"/>
    <w:autoRedefine/>
    <w:uiPriority w:val="39"/>
    <w:unhideWhenUsed/>
    <w:rsid w:val="00951FC0"/>
    <w:pPr>
      <w:spacing w:after="100"/>
    </w:pPr>
  </w:style>
  <w:style w:type="paragraph" w:styleId="Sommario2">
    <w:name w:val="toc 2"/>
    <w:basedOn w:val="Normale"/>
    <w:next w:val="Normale"/>
    <w:autoRedefine/>
    <w:uiPriority w:val="39"/>
    <w:unhideWhenUsed/>
    <w:rsid w:val="00951FC0"/>
    <w:pPr>
      <w:spacing w:after="100"/>
      <w:ind w:left="220"/>
    </w:pPr>
  </w:style>
  <w:style w:type="paragraph" w:styleId="Sommario3">
    <w:name w:val="toc 3"/>
    <w:basedOn w:val="Normale"/>
    <w:next w:val="Normale"/>
    <w:autoRedefine/>
    <w:uiPriority w:val="39"/>
    <w:unhideWhenUsed/>
    <w:rsid w:val="00951FC0"/>
    <w:pPr>
      <w:spacing w:after="100"/>
      <w:ind w:left="440"/>
    </w:pPr>
  </w:style>
  <w:style w:type="table" w:styleId="Tabellagriglia4-colore2">
    <w:name w:val="Grid Table 4 Accent 2"/>
    <w:basedOn w:val="Tabellanormale"/>
    <w:uiPriority w:val="49"/>
    <w:rsid w:val="00951FC0"/>
    <w:pPr>
      <w:spacing w:after="0" w:line="240" w:lineRule="auto"/>
    </w:pPr>
    <w:rPr>
      <w:rFonts w:asciiTheme="minorHAnsi" w:hAnsiTheme="minorHAnsi" w:cstheme="minorBidi"/>
      <w:kern w:val="2"/>
      <w:sz w:val="24"/>
      <w:szCs w:val="24"/>
      <w:lang w:val="en-GB"/>
      <w14:ligatures w14:val="standardContextual"/>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18</Pages>
  <Words>4826</Words>
  <Characters>27511</Characters>
  <Application>Microsoft Office Word</Application>
  <DocSecurity>0</DocSecurity>
  <Lines>229</Lines>
  <Paragraphs>64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Calin (2231912)</dc:creator>
  <cp:keywords/>
  <dc:description/>
  <cp:lastModifiedBy>Daniel Calin (2231912)</cp:lastModifiedBy>
  <cp:revision>5</cp:revision>
  <dcterms:created xsi:type="dcterms:W3CDTF">2025-11-08T14:10:00Z</dcterms:created>
  <dcterms:modified xsi:type="dcterms:W3CDTF">2025-11-08T14:27:00Z</dcterms:modified>
</cp:coreProperties>
</file>