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4"/>
          <w:szCs w:val="24"/>
          <w:lang w:val="en-GB" w:eastAsia="ja-JP"/>
        </w:rPr>
        <w:id w:val="-589851835"/>
        <w:docPartObj>
          <w:docPartGallery w:val="Cover Pages"/>
          <w:docPartUnique/>
        </w:docPartObj>
      </w:sdtPr>
      <w:sdtEndPr>
        <w:rPr>
          <w:sz w:val="36"/>
          <w:szCs w:val="36"/>
        </w:rPr>
      </w:sdtEndPr>
      <w:sdtContent>
        <w:p w14:paraId="63D96B47" w14:textId="782525FA" w:rsidR="007115F6" w:rsidRDefault="007115F6">
          <w:pPr>
            <w:pStyle w:val="NoSpacing"/>
          </w:pPr>
          <w:r>
            <w:rPr>
              <w:noProof/>
            </w:rPr>
            <mc:AlternateContent>
              <mc:Choice Requires="wpg">
                <w:drawing>
                  <wp:anchor distT="0" distB="0" distL="114300" distR="114300" simplePos="0" relativeHeight="251659264" behindDoc="1" locked="0" layoutInCell="1" allowOverlap="1" wp14:anchorId="26F577C2" wp14:editId="320015B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041F08B" w14:textId="016D5170" w:rsidR="007115F6" w:rsidRDefault="00E84CB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6F577C2"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041F08B" w14:textId="016D5170" w:rsidR="007115F6" w:rsidRDefault="00E84CB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84D9E7D" wp14:editId="64C6042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84A149" w14:textId="6010EE36" w:rsidR="007115F6" w:rsidRPr="00E84CB6" w:rsidRDefault="007115F6">
                                <w:pPr>
                                  <w:pStyle w:val="NoSpacing"/>
                                  <w:rPr>
                                    <w:color w:val="156082"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84D9E7D"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984A149" w14:textId="6010EE36" w:rsidR="007115F6" w:rsidRPr="00E84CB6" w:rsidRDefault="007115F6">
                          <w:pPr>
                            <w:pStyle w:val="NoSpacing"/>
                            <w:rPr>
                              <w:color w:val="156082" w:themeColor="accent1"/>
                              <w:sz w:val="26"/>
                              <w:szCs w:val="26"/>
                            </w:rPr>
                          </w:pPr>
                        </w:p>
                      </w:txbxContent>
                    </v:textbox>
                    <w10:wrap anchorx="page" anchory="page"/>
                  </v:shape>
                </w:pict>
              </mc:Fallback>
            </mc:AlternateContent>
          </w:r>
        </w:p>
        <w:p w14:paraId="3A823900" w14:textId="442ED13F" w:rsidR="007115F6" w:rsidRDefault="00E84CB6">
          <w:pPr>
            <w:rPr>
              <w:sz w:val="36"/>
              <w:szCs w:val="36"/>
            </w:rPr>
          </w:pPr>
          <w:r>
            <w:rPr>
              <w:noProof/>
            </w:rPr>
            <mc:AlternateContent>
              <mc:Choice Requires="wps">
                <w:drawing>
                  <wp:anchor distT="0" distB="0" distL="114300" distR="114300" simplePos="0" relativeHeight="251660288" behindDoc="0" locked="0" layoutInCell="1" allowOverlap="1" wp14:anchorId="1B9AA889" wp14:editId="11A1E7AF">
                    <wp:simplePos x="0" y="0"/>
                    <wp:positionH relativeFrom="page">
                      <wp:posOffset>1366838</wp:posOffset>
                    </wp:positionH>
                    <wp:positionV relativeFrom="page">
                      <wp:posOffset>3238500</wp:posOffset>
                    </wp:positionV>
                    <wp:extent cx="5204460" cy="4972050"/>
                    <wp:effectExtent l="0" t="0" r="15240" b="0"/>
                    <wp:wrapNone/>
                    <wp:docPr id="1" name="Text Box 30"/>
                    <wp:cNvGraphicFramePr/>
                    <a:graphic xmlns:a="http://schemas.openxmlformats.org/drawingml/2006/main">
                      <a:graphicData uri="http://schemas.microsoft.com/office/word/2010/wordprocessingShape">
                        <wps:wsp>
                          <wps:cNvSpPr txBox="1"/>
                          <wps:spPr>
                            <a:xfrm>
                              <a:off x="0" y="0"/>
                              <a:ext cx="5204460" cy="4972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7594B5" w14:textId="28E544E1" w:rsidR="007115F6" w:rsidRPr="00E84CB6" w:rsidRDefault="00000000" w:rsidP="00E84CB6">
                                <w:pPr>
                                  <w:jc w:val="center"/>
                                  <w:rPr>
                                    <w:sz w:val="40"/>
                                    <w:szCs w:val="40"/>
                                  </w:rPr>
                                </w:pPr>
                                <w:sdt>
                                  <w:sdtPr>
                                    <w:rPr>
                                      <w:rFonts w:asciiTheme="majorHAnsi" w:eastAsiaTheme="majorEastAsia" w:hAnsiTheme="majorHAnsi" w:cstheme="majorBidi"/>
                                      <w:color w:val="262626" w:themeColor="text1" w:themeTint="D9"/>
                                      <w:sz w:val="40"/>
                                      <w:szCs w:val="40"/>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E84CB6" w:rsidRPr="00E84CB6">
                                      <w:rPr>
                                        <w:rFonts w:asciiTheme="majorHAnsi" w:eastAsiaTheme="majorEastAsia" w:hAnsiTheme="majorHAnsi" w:cstheme="majorBidi"/>
                                        <w:color w:val="262626" w:themeColor="text1" w:themeTint="D9"/>
                                        <w:sz w:val="40"/>
                                        <w:szCs w:val="40"/>
                                      </w:rPr>
                                      <w:t xml:space="preserve">     </w:t>
                                    </w:r>
                                  </w:sdtContent>
                                </w:sdt>
                                <w:r w:rsidR="00E84CB6" w:rsidRPr="00E84CB6">
                                  <w:rPr>
                                    <w:sz w:val="40"/>
                                    <w:szCs w:val="40"/>
                                  </w:rPr>
                                  <w:t>Module Code – LCHS4003</w:t>
                                </w:r>
                              </w:p>
                              <w:p w14:paraId="709CFAB2" w14:textId="48AF489A" w:rsidR="00E84CB6" w:rsidRPr="00E84CB6" w:rsidRDefault="00000000" w:rsidP="00E84CB6">
                                <w:pPr>
                                  <w:jc w:val="center"/>
                                  <w:rPr>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E84CB6" w:rsidRPr="00E84CB6">
                                      <w:rPr>
                                        <w:color w:val="404040" w:themeColor="text1" w:themeTint="BF"/>
                                        <w:sz w:val="40"/>
                                        <w:szCs w:val="40"/>
                                      </w:rPr>
                                      <w:t xml:space="preserve">     </w:t>
                                    </w:r>
                                  </w:sdtContent>
                                </w:sdt>
                                <w:r w:rsidR="00E84CB6" w:rsidRPr="00E84CB6">
                                  <w:rPr>
                                    <w:sz w:val="40"/>
                                    <w:szCs w:val="40"/>
                                  </w:rPr>
                                  <w:t>Module – Introduction to Health and Social Care</w:t>
                                </w:r>
                              </w:p>
                              <w:p w14:paraId="54CC4F61" w14:textId="4BE6F5F0" w:rsidR="00E84CB6" w:rsidRPr="00E84CB6" w:rsidRDefault="00E84CB6" w:rsidP="00E84CB6">
                                <w:pPr>
                                  <w:jc w:val="center"/>
                                  <w:rPr>
                                    <w:sz w:val="40"/>
                                    <w:szCs w:val="40"/>
                                  </w:rPr>
                                </w:pPr>
                                <w:r w:rsidRPr="00E84CB6">
                                  <w:rPr>
                                    <w:sz w:val="40"/>
                                    <w:szCs w:val="40"/>
                                  </w:rPr>
                                  <w:t xml:space="preserve">Assignment Title </w:t>
                                </w:r>
                                <w:proofErr w:type="gramStart"/>
                                <w:r w:rsidRPr="00E84CB6">
                                  <w:rPr>
                                    <w:sz w:val="40"/>
                                    <w:szCs w:val="40"/>
                                  </w:rPr>
                                  <w:t xml:space="preserve">– </w:t>
                                </w:r>
                                <w:r w:rsidR="00402CA1">
                                  <w:rPr>
                                    <w:sz w:val="40"/>
                                    <w:szCs w:val="40"/>
                                  </w:rPr>
                                  <w:t xml:space="preserve"> </w:t>
                                </w:r>
                                <w:r w:rsidRPr="00E84CB6">
                                  <w:rPr>
                                    <w:sz w:val="40"/>
                                    <w:szCs w:val="40"/>
                                  </w:rPr>
                                  <w:t>Portfolio</w:t>
                                </w:r>
                                <w:proofErr w:type="gramEnd"/>
                                <w:r w:rsidRPr="00E84CB6">
                                  <w:rPr>
                                    <w:sz w:val="40"/>
                                    <w:szCs w:val="40"/>
                                  </w:rPr>
                                  <w:t xml:space="preserve"> – Two Tasks</w:t>
                                </w:r>
                              </w:p>
                              <w:p w14:paraId="4CA2355F" w14:textId="77777777" w:rsidR="00E84CB6" w:rsidRPr="00E84CB6" w:rsidRDefault="00E84CB6" w:rsidP="00E84CB6">
                                <w:pPr>
                                  <w:jc w:val="center"/>
                                  <w:rPr>
                                    <w:sz w:val="40"/>
                                    <w:szCs w:val="40"/>
                                  </w:rPr>
                                </w:pPr>
                                <w:r w:rsidRPr="00E84CB6">
                                  <w:rPr>
                                    <w:sz w:val="40"/>
                                    <w:szCs w:val="40"/>
                                  </w:rPr>
                                  <w:t>Kulsum Remtulla – 2522570</w:t>
                                </w:r>
                              </w:p>
                              <w:p w14:paraId="41177018" w14:textId="77777777" w:rsidR="00E84CB6" w:rsidRPr="00E84CB6" w:rsidRDefault="00E84CB6" w:rsidP="00E84CB6">
                                <w:pPr>
                                  <w:jc w:val="center"/>
                                  <w:rPr>
                                    <w:sz w:val="40"/>
                                    <w:szCs w:val="40"/>
                                  </w:rPr>
                                </w:pPr>
                                <w:r w:rsidRPr="00E84CB6">
                                  <w:rPr>
                                    <w:sz w:val="40"/>
                                    <w:szCs w:val="40"/>
                                  </w:rPr>
                                  <w:t>Lecturer – Daniel Haruna</w:t>
                                </w:r>
                              </w:p>
                              <w:p w14:paraId="262B9BE2" w14:textId="77777777" w:rsidR="00E84CB6" w:rsidRDefault="00E84CB6" w:rsidP="00E84CB6">
                                <w:pPr>
                                  <w:rPr>
                                    <w:sz w:val="36"/>
                                    <w:szCs w:val="36"/>
                                  </w:rPr>
                                </w:pPr>
                              </w:p>
                              <w:p w14:paraId="0F694F48" w14:textId="77777777" w:rsidR="00E84CB6" w:rsidRPr="00E84CB6" w:rsidRDefault="00E84CB6" w:rsidP="00E84CB6">
                                <w:pPr>
                                  <w:rPr>
                                    <w:sz w:val="36"/>
                                    <w:szCs w:val="36"/>
                                  </w:rPr>
                                </w:pPr>
                              </w:p>
                              <w:p w14:paraId="48324365" w14:textId="77777777" w:rsidR="00E84CB6" w:rsidRDefault="00E84CB6" w:rsidP="00E84CB6">
                                <w:pPr>
                                  <w:rPr>
                                    <w:sz w:val="36"/>
                                    <w:szCs w:val="36"/>
                                  </w:rPr>
                                </w:pPr>
                              </w:p>
                              <w:p w14:paraId="2F0AF08A" w14:textId="77777777" w:rsidR="00E84CB6" w:rsidRDefault="00E84CB6" w:rsidP="00E84CB6">
                                <w:pPr>
                                  <w:rPr>
                                    <w:sz w:val="36"/>
                                    <w:szCs w:val="36"/>
                                  </w:rPr>
                                </w:pPr>
                              </w:p>
                              <w:p w14:paraId="3097689B" w14:textId="77777777" w:rsidR="00E84CB6" w:rsidRPr="00E84CB6" w:rsidRDefault="00E84CB6" w:rsidP="00E84CB6">
                                <w:pPr>
                                  <w:rPr>
                                    <w:sz w:val="36"/>
                                    <w:szCs w:val="36"/>
                                  </w:rPr>
                                </w:pPr>
                              </w:p>
                              <w:p w14:paraId="05D6C278" w14:textId="7EA704BC" w:rsidR="007115F6" w:rsidRDefault="007115F6">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B9AA889" id="Text Box 30" o:spid="_x0000_s1056" type="#_x0000_t202" style="position:absolute;margin-left:107.65pt;margin-top:255pt;width:409.8pt;height:39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" filled="f" stroked="f" strokeweight=".5pt">
                    <v:textbox inset="0,0,0,0">
                      <w:txbxContent>
                        <w:p w14:paraId="3C7594B5" w14:textId="28E544E1" w:rsidR="007115F6" w:rsidRPr="00E84CB6" w:rsidRDefault="00000000" w:rsidP="00E84CB6">
                          <w:pPr>
                            <w:jc w:val="center"/>
                            <w:rPr>
                              <w:sz w:val="40"/>
                              <w:szCs w:val="40"/>
                            </w:rPr>
                          </w:pPr>
                          <w:sdt>
                            <w:sdtPr>
                              <w:rPr>
                                <w:rFonts w:asciiTheme="majorHAnsi" w:eastAsiaTheme="majorEastAsia" w:hAnsiTheme="majorHAnsi" w:cstheme="majorBidi"/>
                                <w:color w:val="262626" w:themeColor="text1" w:themeTint="D9"/>
                                <w:sz w:val="40"/>
                                <w:szCs w:val="40"/>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E84CB6" w:rsidRPr="00E84CB6">
                                <w:rPr>
                                  <w:rFonts w:asciiTheme="majorHAnsi" w:eastAsiaTheme="majorEastAsia" w:hAnsiTheme="majorHAnsi" w:cstheme="majorBidi"/>
                                  <w:color w:val="262626" w:themeColor="text1" w:themeTint="D9"/>
                                  <w:sz w:val="40"/>
                                  <w:szCs w:val="40"/>
                                </w:rPr>
                                <w:t xml:space="preserve">     </w:t>
                              </w:r>
                            </w:sdtContent>
                          </w:sdt>
                          <w:r w:rsidR="00E84CB6" w:rsidRPr="00E84CB6">
                            <w:rPr>
                              <w:sz w:val="40"/>
                              <w:szCs w:val="40"/>
                            </w:rPr>
                            <w:t>Module Code – LCHS4003</w:t>
                          </w:r>
                        </w:p>
                        <w:p w14:paraId="709CFAB2" w14:textId="48AF489A" w:rsidR="00E84CB6" w:rsidRPr="00E84CB6" w:rsidRDefault="00000000" w:rsidP="00E84CB6">
                          <w:pPr>
                            <w:jc w:val="center"/>
                            <w:rPr>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E84CB6" w:rsidRPr="00E84CB6">
                                <w:rPr>
                                  <w:color w:val="404040" w:themeColor="text1" w:themeTint="BF"/>
                                  <w:sz w:val="40"/>
                                  <w:szCs w:val="40"/>
                                </w:rPr>
                                <w:t xml:space="preserve">     </w:t>
                              </w:r>
                            </w:sdtContent>
                          </w:sdt>
                          <w:r w:rsidR="00E84CB6" w:rsidRPr="00E84CB6">
                            <w:rPr>
                              <w:sz w:val="40"/>
                              <w:szCs w:val="40"/>
                            </w:rPr>
                            <w:t>Module – Introduction to Health and Social Care</w:t>
                          </w:r>
                        </w:p>
                        <w:p w14:paraId="54CC4F61" w14:textId="4BE6F5F0" w:rsidR="00E84CB6" w:rsidRPr="00E84CB6" w:rsidRDefault="00E84CB6" w:rsidP="00E84CB6">
                          <w:pPr>
                            <w:jc w:val="center"/>
                            <w:rPr>
                              <w:sz w:val="40"/>
                              <w:szCs w:val="40"/>
                            </w:rPr>
                          </w:pPr>
                          <w:r w:rsidRPr="00E84CB6">
                            <w:rPr>
                              <w:sz w:val="40"/>
                              <w:szCs w:val="40"/>
                            </w:rPr>
                            <w:t xml:space="preserve">Assignment Title </w:t>
                          </w:r>
                          <w:proofErr w:type="gramStart"/>
                          <w:r w:rsidRPr="00E84CB6">
                            <w:rPr>
                              <w:sz w:val="40"/>
                              <w:szCs w:val="40"/>
                            </w:rPr>
                            <w:t xml:space="preserve">– </w:t>
                          </w:r>
                          <w:r w:rsidR="00402CA1">
                            <w:rPr>
                              <w:sz w:val="40"/>
                              <w:szCs w:val="40"/>
                            </w:rPr>
                            <w:t xml:space="preserve"> </w:t>
                          </w:r>
                          <w:r w:rsidRPr="00E84CB6">
                            <w:rPr>
                              <w:sz w:val="40"/>
                              <w:szCs w:val="40"/>
                            </w:rPr>
                            <w:t>Portfolio</w:t>
                          </w:r>
                          <w:proofErr w:type="gramEnd"/>
                          <w:r w:rsidRPr="00E84CB6">
                            <w:rPr>
                              <w:sz w:val="40"/>
                              <w:szCs w:val="40"/>
                            </w:rPr>
                            <w:t xml:space="preserve"> – Two Tasks</w:t>
                          </w:r>
                        </w:p>
                        <w:p w14:paraId="4CA2355F" w14:textId="77777777" w:rsidR="00E84CB6" w:rsidRPr="00E84CB6" w:rsidRDefault="00E84CB6" w:rsidP="00E84CB6">
                          <w:pPr>
                            <w:jc w:val="center"/>
                            <w:rPr>
                              <w:sz w:val="40"/>
                              <w:szCs w:val="40"/>
                            </w:rPr>
                          </w:pPr>
                          <w:r w:rsidRPr="00E84CB6">
                            <w:rPr>
                              <w:sz w:val="40"/>
                              <w:szCs w:val="40"/>
                            </w:rPr>
                            <w:t>Kulsum Remtulla – 2522570</w:t>
                          </w:r>
                        </w:p>
                        <w:p w14:paraId="41177018" w14:textId="77777777" w:rsidR="00E84CB6" w:rsidRPr="00E84CB6" w:rsidRDefault="00E84CB6" w:rsidP="00E84CB6">
                          <w:pPr>
                            <w:jc w:val="center"/>
                            <w:rPr>
                              <w:sz w:val="40"/>
                              <w:szCs w:val="40"/>
                            </w:rPr>
                          </w:pPr>
                          <w:r w:rsidRPr="00E84CB6">
                            <w:rPr>
                              <w:sz w:val="40"/>
                              <w:szCs w:val="40"/>
                            </w:rPr>
                            <w:t>Lecturer – Daniel Haruna</w:t>
                          </w:r>
                        </w:p>
                        <w:p w14:paraId="262B9BE2" w14:textId="77777777" w:rsidR="00E84CB6" w:rsidRDefault="00E84CB6" w:rsidP="00E84CB6">
                          <w:pPr>
                            <w:rPr>
                              <w:sz w:val="36"/>
                              <w:szCs w:val="36"/>
                            </w:rPr>
                          </w:pPr>
                        </w:p>
                        <w:p w14:paraId="0F694F48" w14:textId="77777777" w:rsidR="00E84CB6" w:rsidRPr="00E84CB6" w:rsidRDefault="00E84CB6" w:rsidP="00E84CB6">
                          <w:pPr>
                            <w:rPr>
                              <w:sz w:val="36"/>
                              <w:szCs w:val="36"/>
                            </w:rPr>
                          </w:pPr>
                        </w:p>
                        <w:p w14:paraId="48324365" w14:textId="77777777" w:rsidR="00E84CB6" w:rsidRDefault="00E84CB6" w:rsidP="00E84CB6">
                          <w:pPr>
                            <w:rPr>
                              <w:sz w:val="36"/>
                              <w:szCs w:val="36"/>
                            </w:rPr>
                          </w:pPr>
                        </w:p>
                        <w:p w14:paraId="2F0AF08A" w14:textId="77777777" w:rsidR="00E84CB6" w:rsidRDefault="00E84CB6" w:rsidP="00E84CB6">
                          <w:pPr>
                            <w:rPr>
                              <w:sz w:val="36"/>
                              <w:szCs w:val="36"/>
                            </w:rPr>
                          </w:pPr>
                        </w:p>
                        <w:p w14:paraId="3097689B" w14:textId="77777777" w:rsidR="00E84CB6" w:rsidRPr="00E84CB6" w:rsidRDefault="00E84CB6" w:rsidP="00E84CB6">
                          <w:pPr>
                            <w:rPr>
                              <w:sz w:val="36"/>
                              <w:szCs w:val="36"/>
                            </w:rPr>
                          </w:pPr>
                        </w:p>
                        <w:p w14:paraId="05D6C278" w14:textId="7EA704BC" w:rsidR="007115F6" w:rsidRDefault="007115F6">
                          <w:pPr>
                            <w:spacing w:before="120"/>
                            <w:rPr>
                              <w:color w:val="404040" w:themeColor="text1" w:themeTint="BF"/>
                              <w:sz w:val="36"/>
                              <w:szCs w:val="36"/>
                            </w:rPr>
                          </w:pPr>
                        </w:p>
                      </w:txbxContent>
                    </v:textbox>
                    <w10:wrap anchorx="page" anchory="page"/>
                  </v:shape>
                </w:pict>
              </mc:Fallback>
            </mc:AlternateContent>
          </w:r>
          <w:r w:rsidR="007115F6">
            <w:rPr>
              <w:sz w:val="36"/>
              <w:szCs w:val="36"/>
            </w:rPr>
            <w:br w:type="page"/>
          </w:r>
        </w:p>
      </w:sdtContent>
    </w:sdt>
    <w:p w14:paraId="040C2CBC" w14:textId="77777777" w:rsidR="007115F6" w:rsidRDefault="007115F6" w:rsidP="0E9990DD">
      <w:pPr>
        <w:ind w:left="720"/>
        <w:rPr>
          <w:sz w:val="36"/>
          <w:szCs w:val="36"/>
        </w:rPr>
        <w:sectPr w:rsidR="007115F6" w:rsidSect="007115F6">
          <w:headerReference w:type="default" r:id="rId7"/>
          <w:footerReference w:type="default" r:id="rId8"/>
          <w:footerReference w:type="first" r:id="rId9"/>
          <w:pgSz w:w="11906" w:h="16838"/>
          <w:pgMar w:top="1440" w:right="1440" w:bottom="1440" w:left="1440" w:header="720" w:footer="720" w:gutter="0"/>
          <w:pgNumType w:start="0"/>
          <w:cols w:space="720"/>
          <w:titlePg/>
          <w:docGrid w:linePitch="360"/>
        </w:sectPr>
      </w:pPr>
    </w:p>
    <w:p w14:paraId="32C9A04E" w14:textId="75C4CDF5" w:rsidR="0E9990DD" w:rsidRDefault="0046609A" w:rsidP="0E9990DD">
      <w:pPr>
        <w:ind w:left="720"/>
        <w:rPr>
          <w:sz w:val="36"/>
          <w:szCs w:val="36"/>
        </w:rPr>
      </w:pPr>
      <w:r>
        <w:rPr>
          <w:noProof/>
          <w:sz w:val="36"/>
          <w:szCs w:val="36"/>
        </w:rPr>
        <w:lastRenderedPageBreak/>
        <mc:AlternateContent>
          <mc:Choice Requires="wps">
            <w:drawing>
              <wp:anchor distT="0" distB="0" distL="114300" distR="114300" simplePos="0" relativeHeight="251662336" behindDoc="0" locked="0" layoutInCell="1" allowOverlap="1" wp14:anchorId="40965AD1" wp14:editId="30FB62B0">
                <wp:simplePos x="0" y="0"/>
                <wp:positionH relativeFrom="column">
                  <wp:posOffset>5948363</wp:posOffset>
                </wp:positionH>
                <wp:positionV relativeFrom="paragraph">
                  <wp:posOffset>681038</wp:posOffset>
                </wp:positionV>
                <wp:extent cx="3281363" cy="1919287"/>
                <wp:effectExtent l="0" t="0" r="14605" b="24130"/>
                <wp:wrapNone/>
                <wp:docPr id="1099018706" name="Text Box 29"/>
                <wp:cNvGraphicFramePr/>
                <a:graphic xmlns:a="http://schemas.openxmlformats.org/drawingml/2006/main">
                  <a:graphicData uri="http://schemas.microsoft.com/office/word/2010/wordprocessingShape">
                    <wps:wsp>
                      <wps:cNvSpPr txBox="1"/>
                      <wps:spPr>
                        <a:xfrm>
                          <a:off x="0" y="0"/>
                          <a:ext cx="3281363" cy="1919287"/>
                        </a:xfrm>
                        <a:prstGeom prst="rect">
                          <a:avLst/>
                        </a:prstGeom>
                        <a:solidFill>
                          <a:schemeClr val="lt1"/>
                        </a:solidFill>
                        <a:ln w="6350">
                          <a:solidFill>
                            <a:prstClr val="black"/>
                          </a:solidFill>
                        </a:ln>
                      </wps:spPr>
                      <wps:txbx>
                        <w:txbxContent>
                          <w:p w14:paraId="1E367614" w14:textId="6BE2A35B" w:rsidR="00B9575E" w:rsidRPr="002D4884" w:rsidRDefault="00B9575E" w:rsidP="00B9575E">
                            <w:pPr>
                              <w:jc w:val="center"/>
                              <w:rPr>
                                <w:b/>
                                <w:bCs/>
                                <w:sz w:val="16"/>
                                <w:szCs w:val="16"/>
                              </w:rPr>
                            </w:pPr>
                            <w:r w:rsidRPr="002D4884">
                              <w:rPr>
                                <w:b/>
                                <w:bCs/>
                                <w:sz w:val="16"/>
                                <w:szCs w:val="16"/>
                              </w:rPr>
                              <w:t>WHAT ARE PHARMACY SERVICES?</w:t>
                            </w:r>
                          </w:p>
                          <w:p w14:paraId="09B84B43" w14:textId="1AAE4906" w:rsidR="00B9575E" w:rsidRPr="005541D6" w:rsidRDefault="00B9575E" w:rsidP="00B9575E">
                            <w:pPr>
                              <w:rPr>
                                <w:sz w:val="16"/>
                                <w:szCs w:val="16"/>
                              </w:rPr>
                            </w:pPr>
                            <w:r w:rsidRPr="005541D6">
                              <w:rPr>
                                <w:sz w:val="16"/>
                                <w:szCs w:val="16"/>
                              </w:rPr>
                              <w:t>Pharmacy services involve the safe supply of medicines and clinical care provided by pharmacists and pharmacy teams.</w:t>
                            </w:r>
                            <w:r w:rsidR="00E04CCC">
                              <w:rPr>
                                <w:sz w:val="16"/>
                                <w:szCs w:val="16"/>
                              </w:rPr>
                              <w:t xml:space="preserve">  (NHS, 2023)</w:t>
                            </w:r>
                          </w:p>
                          <w:p w14:paraId="30C9129F" w14:textId="7DCDB4E3" w:rsidR="009960D2" w:rsidRPr="005541D6" w:rsidRDefault="009960D2" w:rsidP="00B9575E">
                            <w:pPr>
                              <w:rPr>
                                <w:sz w:val="16"/>
                                <w:szCs w:val="16"/>
                              </w:rPr>
                            </w:pPr>
                            <w:r w:rsidRPr="005541D6">
                              <w:rPr>
                                <w:sz w:val="16"/>
                                <w:szCs w:val="16"/>
                              </w:rPr>
                              <w:t>These include:</w:t>
                            </w:r>
                          </w:p>
                          <w:p w14:paraId="3A1E538A" w14:textId="1828C2D2" w:rsidR="009960D2" w:rsidRPr="005541D6" w:rsidRDefault="009960D2" w:rsidP="009960D2">
                            <w:pPr>
                              <w:pStyle w:val="ListParagraph"/>
                              <w:numPr>
                                <w:ilvl w:val="0"/>
                                <w:numId w:val="4"/>
                              </w:numPr>
                              <w:rPr>
                                <w:sz w:val="16"/>
                                <w:szCs w:val="16"/>
                              </w:rPr>
                            </w:pPr>
                            <w:r w:rsidRPr="005541D6">
                              <w:rPr>
                                <w:sz w:val="16"/>
                                <w:szCs w:val="16"/>
                              </w:rPr>
                              <w:t>Dispensing prescribes medicines</w:t>
                            </w:r>
                          </w:p>
                          <w:p w14:paraId="57113385" w14:textId="6FA0D086" w:rsidR="009960D2" w:rsidRPr="005541D6" w:rsidRDefault="009960D2" w:rsidP="009960D2">
                            <w:pPr>
                              <w:pStyle w:val="ListParagraph"/>
                              <w:numPr>
                                <w:ilvl w:val="0"/>
                                <w:numId w:val="4"/>
                              </w:numPr>
                              <w:rPr>
                                <w:sz w:val="16"/>
                                <w:szCs w:val="16"/>
                              </w:rPr>
                            </w:pPr>
                            <w:r w:rsidRPr="005541D6">
                              <w:rPr>
                                <w:sz w:val="16"/>
                                <w:szCs w:val="16"/>
                              </w:rPr>
                              <w:t>Giving advice on how to take medicines</w:t>
                            </w:r>
                          </w:p>
                          <w:p w14:paraId="6A245021" w14:textId="382C518E" w:rsidR="009960D2" w:rsidRPr="005541D6" w:rsidRDefault="009960D2" w:rsidP="009960D2">
                            <w:pPr>
                              <w:pStyle w:val="ListParagraph"/>
                              <w:numPr>
                                <w:ilvl w:val="0"/>
                                <w:numId w:val="4"/>
                              </w:numPr>
                              <w:rPr>
                                <w:sz w:val="16"/>
                                <w:szCs w:val="16"/>
                              </w:rPr>
                            </w:pPr>
                            <w:r w:rsidRPr="005541D6">
                              <w:rPr>
                                <w:sz w:val="16"/>
                                <w:szCs w:val="16"/>
                              </w:rPr>
                              <w:t>Checking for interactions and side effects</w:t>
                            </w:r>
                          </w:p>
                          <w:p w14:paraId="452AA980" w14:textId="58455009" w:rsidR="009960D2" w:rsidRPr="005541D6" w:rsidRDefault="009960D2" w:rsidP="009960D2">
                            <w:pPr>
                              <w:pStyle w:val="ListParagraph"/>
                              <w:numPr>
                                <w:ilvl w:val="0"/>
                                <w:numId w:val="4"/>
                              </w:numPr>
                              <w:rPr>
                                <w:sz w:val="16"/>
                                <w:szCs w:val="16"/>
                              </w:rPr>
                            </w:pPr>
                            <w:r w:rsidRPr="005541D6">
                              <w:rPr>
                                <w:sz w:val="16"/>
                                <w:szCs w:val="16"/>
                              </w:rPr>
                              <w:t>Supporting long-term condition management</w:t>
                            </w:r>
                            <w:r w:rsidR="00E04CCC">
                              <w:rPr>
                                <w:sz w:val="16"/>
                                <w:szCs w:val="16"/>
                              </w:rPr>
                              <w:t xml:space="preserve"> (WHO, 2020)</w:t>
                            </w:r>
                          </w:p>
                          <w:p w14:paraId="310146B6" w14:textId="6E45B816" w:rsidR="009960D2" w:rsidRPr="005541D6" w:rsidRDefault="009960D2" w:rsidP="009960D2">
                            <w:pPr>
                              <w:pStyle w:val="ListParagraph"/>
                              <w:numPr>
                                <w:ilvl w:val="0"/>
                                <w:numId w:val="4"/>
                              </w:numPr>
                              <w:rPr>
                                <w:sz w:val="16"/>
                                <w:szCs w:val="16"/>
                              </w:rPr>
                            </w:pPr>
                            <w:r w:rsidRPr="005541D6">
                              <w:rPr>
                                <w:sz w:val="16"/>
                                <w:szCs w:val="16"/>
                              </w:rPr>
                              <w:t>Preventing illness through vaccinations and health promotion</w:t>
                            </w:r>
                            <w:r w:rsidR="00E04CCC">
                              <w:rPr>
                                <w:sz w:val="16"/>
                                <w:szCs w:val="16"/>
                              </w:rPr>
                              <w:t xml:space="preserve"> (NHS,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965AD1" id="Text Box 29" o:spid="_x0000_s1057" type="#_x0000_t202" style="position:absolute;left:0;text-align:left;margin-left:468.4pt;margin-top:53.65pt;width:258.4pt;height:15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" fillcolor="white [3201]" strokeweight=".5pt">
                <v:textbox>
                  <w:txbxContent>
                    <w:p w14:paraId="1E367614" w14:textId="6BE2A35B" w:rsidR="00B9575E" w:rsidRPr="002D4884" w:rsidRDefault="00B9575E" w:rsidP="00B9575E">
                      <w:pPr>
                        <w:jc w:val="center"/>
                        <w:rPr>
                          <w:b/>
                          <w:bCs/>
                          <w:sz w:val="16"/>
                          <w:szCs w:val="16"/>
                        </w:rPr>
                      </w:pPr>
                      <w:r w:rsidRPr="002D4884">
                        <w:rPr>
                          <w:b/>
                          <w:bCs/>
                          <w:sz w:val="16"/>
                          <w:szCs w:val="16"/>
                        </w:rPr>
                        <w:t>WHAT ARE PHARMACY SERVICES?</w:t>
                      </w:r>
                    </w:p>
                    <w:p w14:paraId="09B84B43" w14:textId="1AAE4906" w:rsidR="00B9575E" w:rsidRPr="005541D6" w:rsidRDefault="00B9575E" w:rsidP="00B9575E">
                      <w:pPr>
                        <w:rPr>
                          <w:sz w:val="16"/>
                          <w:szCs w:val="16"/>
                        </w:rPr>
                      </w:pPr>
                      <w:r w:rsidRPr="005541D6">
                        <w:rPr>
                          <w:sz w:val="16"/>
                          <w:szCs w:val="16"/>
                        </w:rPr>
                        <w:t>Pharmacy services involve the safe supply of medicines and clinical care provided by pharmacists and pharmacy teams.</w:t>
                      </w:r>
                      <w:r w:rsidR="00E04CCC">
                        <w:rPr>
                          <w:sz w:val="16"/>
                          <w:szCs w:val="16"/>
                        </w:rPr>
                        <w:t xml:space="preserve">  (NHS, 2023)</w:t>
                      </w:r>
                    </w:p>
                    <w:p w14:paraId="30C9129F" w14:textId="7DCDB4E3" w:rsidR="009960D2" w:rsidRPr="005541D6" w:rsidRDefault="009960D2" w:rsidP="00B9575E">
                      <w:pPr>
                        <w:rPr>
                          <w:sz w:val="16"/>
                          <w:szCs w:val="16"/>
                        </w:rPr>
                      </w:pPr>
                      <w:r w:rsidRPr="005541D6">
                        <w:rPr>
                          <w:sz w:val="16"/>
                          <w:szCs w:val="16"/>
                        </w:rPr>
                        <w:t>These include:</w:t>
                      </w:r>
                    </w:p>
                    <w:p w14:paraId="3A1E538A" w14:textId="1828C2D2" w:rsidR="009960D2" w:rsidRPr="005541D6" w:rsidRDefault="009960D2" w:rsidP="009960D2">
                      <w:pPr>
                        <w:pStyle w:val="ListParagraph"/>
                        <w:numPr>
                          <w:ilvl w:val="0"/>
                          <w:numId w:val="4"/>
                        </w:numPr>
                        <w:rPr>
                          <w:sz w:val="16"/>
                          <w:szCs w:val="16"/>
                        </w:rPr>
                      </w:pPr>
                      <w:r w:rsidRPr="005541D6">
                        <w:rPr>
                          <w:sz w:val="16"/>
                          <w:szCs w:val="16"/>
                        </w:rPr>
                        <w:t>Dispensing prescribes medicines</w:t>
                      </w:r>
                    </w:p>
                    <w:p w14:paraId="57113385" w14:textId="6FA0D086" w:rsidR="009960D2" w:rsidRPr="005541D6" w:rsidRDefault="009960D2" w:rsidP="009960D2">
                      <w:pPr>
                        <w:pStyle w:val="ListParagraph"/>
                        <w:numPr>
                          <w:ilvl w:val="0"/>
                          <w:numId w:val="4"/>
                        </w:numPr>
                        <w:rPr>
                          <w:sz w:val="16"/>
                          <w:szCs w:val="16"/>
                        </w:rPr>
                      </w:pPr>
                      <w:r w:rsidRPr="005541D6">
                        <w:rPr>
                          <w:sz w:val="16"/>
                          <w:szCs w:val="16"/>
                        </w:rPr>
                        <w:t>Giving advice on how to take medicines</w:t>
                      </w:r>
                    </w:p>
                    <w:p w14:paraId="6A245021" w14:textId="382C518E" w:rsidR="009960D2" w:rsidRPr="005541D6" w:rsidRDefault="009960D2" w:rsidP="009960D2">
                      <w:pPr>
                        <w:pStyle w:val="ListParagraph"/>
                        <w:numPr>
                          <w:ilvl w:val="0"/>
                          <w:numId w:val="4"/>
                        </w:numPr>
                        <w:rPr>
                          <w:sz w:val="16"/>
                          <w:szCs w:val="16"/>
                        </w:rPr>
                      </w:pPr>
                      <w:r w:rsidRPr="005541D6">
                        <w:rPr>
                          <w:sz w:val="16"/>
                          <w:szCs w:val="16"/>
                        </w:rPr>
                        <w:t>Checking for interactions and side effects</w:t>
                      </w:r>
                    </w:p>
                    <w:p w14:paraId="452AA980" w14:textId="58455009" w:rsidR="009960D2" w:rsidRPr="005541D6" w:rsidRDefault="009960D2" w:rsidP="009960D2">
                      <w:pPr>
                        <w:pStyle w:val="ListParagraph"/>
                        <w:numPr>
                          <w:ilvl w:val="0"/>
                          <w:numId w:val="4"/>
                        </w:numPr>
                        <w:rPr>
                          <w:sz w:val="16"/>
                          <w:szCs w:val="16"/>
                        </w:rPr>
                      </w:pPr>
                      <w:r w:rsidRPr="005541D6">
                        <w:rPr>
                          <w:sz w:val="16"/>
                          <w:szCs w:val="16"/>
                        </w:rPr>
                        <w:t>Supporting long-term condition management</w:t>
                      </w:r>
                      <w:r w:rsidR="00E04CCC">
                        <w:rPr>
                          <w:sz w:val="16"/>
                          <w:szCs w:val="16"/>
                        </w:rPr>
                        <w:t xml:space="preserve"> (WHO, 2020)</w:t>
                      </w:r>
                    </w:p>
                    <w:p w14:paraId="310146B6" w14:textId="6E45B816" w:rsidR="009960D2" w:rsidRPr="005541D6" w:rsidRDefault="009960D2" w:rsidP="009960D2">
                      <w:pPr>
                        <w:pStyle w:val="ListParagraph"/>
                        <w:numPr>
                          <w:ilvl w:val="0"/>
                          <w:numId w:val="4"/>
                        </w:numPr>
                        <w:rPr>
                          <w:sz w:val="16"/>
                          <w:szCs w:val="16"/>
                        </w:rPr>
                      </w:pPr>
                      <w:r w:rsidRPr="005541D6">
                        <w:rPr>
                          <w:sz w:val="16"/>
                          <w:szCs w:val="16"/>
                        </w:rPr>
                        <w:t>Preventing illness through vaccinations and health promotion</w:t>
                      </w:r>
                      <w:r w:rsidR="00E04CCC">
                        <w:rPr>
                          <w:sz w:val="16"/>
                          <w:szCs w:val="16"/>
                        </w:rPr>
                        <w:t xml:space="preserve"> (NHS, 2023)</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1AB54F73" wp14:editId="47A596A1">
                <wp:simplePos x="0" y="0"/>
                <wp:positionH relativeFrom="column">
                  <wp:posOffset>-371475</wp:posOffset>
                </wp:positionH>
                <wp:positionV relativeFrom="paragraph">
                  <wp:posOffset>681038</wp:posOffset>
                </wp:positionV>
                <wp:extent cx="6119813" cy="771525"/>
                <wp:effectExtent l="0" t="0" r="14605" b="28575"/>
                <wp:wrapNone/>
                <wp:docPr id="342088504" name="Text Box 30"/>
                <wp:cNvGraphicFramePr/>
                <a:graphic xmlns:a="http://schemas.openxmlformats.org/drawingml/2006/main">
                  <a:graphicData uri="http://schemas.microsoft.com/office/word/2010/wordprocessingShape">
                    <wps:wsp>
                      <wps:cNvSpPr txBox="1"/>
                      <wps:spPr>
                        <a:xfrm>
                          <a:off x="0" y="0"/>
                          <a:ext cx="6119813" cy="771525"/>
                        </a:xfrm>
                        <a:prstGeom prst="rect">
                          <a:avLst/>
                        </a:prstGeom>
                        <a:solidFill>
                          <a:schemeClr val="lt1"/>
                        </a:solidFill>
                        <a:ln w="6350">
                          <a:solidFill>
                            <a:prstClr val="black"/>
                          </a:solidFill>
                        </a:ln>
                      </wps:spPr>
                      <wps:txbx>
                        <w:txbxContent>
                          <w:p w14:paraId="7FAE7831" w14:textId="72F64097" w:rsidR="00B9575E" w:rsidRPr="00D47263" w:rsidRDefault="00B9575E" w:rsidP="00B9575E">
                            <w:pPr>
                              <w:jc w:val="center"/>
                              <w:rPr>
                                <w:rStyle w:val="IntenseReference"/>
                              </w:rPr>
                            </w:pPr>
                            <w:r w:rsidRPr="00D47263">
                              <w:rPr>
                                <w:rStyle w:val="IntenseReference"/>
                              </w:rPr>
                              <w:t>SAFE MEDICINES, STRONGER COMMUNITES, BETTER HEALTH</w:t>
                            </w:r>
                          </w:p>
                          <w:p w14:paraId="345DF47B" w14:textId="77777777" w:rsidR="00B24CC6" w:rsidRPr="00D47263" w:rsidRDefault="00B9575E" w:rsidP="00B24CC6">
                            <w:pPr>
                              <w:rPr>
                                <w:rStyle w:val="IntenseReference"/>
                                <w:sz w:val="18"/>
                                <w:szCs w:val="18"/>
                              </w:rPr>
                            </w:pPr>
                            <w:r w:rsidRPr="00D47263">
                              <w:rPr>
                                <w:rStyle w:val="IntenseReference"/>
                                <w:sz w:val="18"/>
                                <w:szCs w:val="18"/>
                              </w:rPr>
                              <w:t>Pharmacy services ensure people get the right medicines, advice and support to improve health outcomes and promote safe, effective use of medicines. (NHS, 2023)</w:t>
                            </w:r>
                            <w:r w:rsidR="00B24CC6" w:rsidRPr="00D47263">
                              <w:rPr>
                                <w:rStyle w:val="IntenseReference"/>
                                <w:sz w:val="18"/>
                                <w:szCs w:val="18"/>
                              </w:rPr>
                              <w:t>. Pharmacists are medicine experts who help patients make the best choices for their health.</w:t>
                            </w:r>
                          </w:p>
                          <w:p w14:paraId="7648CEDC" w14:textId="1378F345" w:rsidR="00B9575E" w:rsidRPr="005541D6" w:rsidRDefault="00B9575E" w:rsidP="00B9575E">
                            <w:pPr>
                              <w:rPr>
                                <w:sz w:val="16"/>
                                <w:szCs w:val="16"/>
                              </w:rPr>
                            </w:pPr>
                          </w:p>
                          <w:p w14:paraId="130BC524" w14:textId="77777777" w:rsidR="00B9575E" w:rsidRPr="00B9575E" w:rsidRDefault="00B9575E" w:rsidP="00B9575E">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54F73" id="_x0000_s1058" type="#_x0000_t202" style="position:absolute;left:0;text-align:left;margin-left:-29.25pt;margin-top:53.65pt;width:481.9pt;height:6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" fillcolor="white [3201]" strokeweight=".5pt">
                <v:textbox>
                  <w:txbxContent>
                    <w:p w14:paraId="7FAE7831" w14:textId="72F64097" w:rsidR="00B9575E" w:rsidRPr="00D47263" w:rsidRDefault="00B9575E" w:rsidP="00B9575E">
                      <w:pPr>
                        <w:jc w:val="center"/>
                        <w:rPr>
                          <w:rStyle w:val="IntenseReference"/>
                        </w:rPr>
                      </w:pPr>
                      <w:r w:rsidRPr="00D47263">
                        <w:rPr>
                          <w:rStyle w:val="IntenseReference"/>
                        </w:rPr>
                        <w:t>SAFE MEDICINES, STRONGER COMMUNITES, BETTER HEALTH</w:t>
                      </w:r>
                    </w:p>
                    <w:p w14:paraId="345DF47B" w14:textId="77777777" w:rsidR="00B24CC6" w:rsidRPr="00D47263" w:rsidRDefault="00B9575E" w:rsidP="00B24CC6">
                      <w:pPr>
                        <w:rPr>
                          <w:rStyle w:val="IntenseReference"/>
                          <w:sz w:val="18"/>
                          <w:szCs w:val="18"/>
                        </w:rPr>
                      </w:pPr>
                      <w:r w:rsidRPr="00D47263">
                        <w:rPr>
                          <w:rStyle w:val="IntenseReference"/>
                          <w:sz w:val="18"/>
                          <w:szCs w:val="18"/>
                        </w:rPr>
                        <w:t>Pharmacy services ensure people get the right medicines, advice and support to improve health outcomes and promote safe, effective use of medicines. (NHS, 2023)</w:t>
                      </w:r>
                      <w:r w:rsidR="00B24CC6" w:rsidRPr="00D47263">
                        <w:rPr>
                          <w:rStyle w:val="IntenseReference"/>
                          <w:sz w:val="18"/>
                          <w:szCs w:val="18"/>
                        </w:rPr>
                        <w:t>. Pharmacists are medicine experts who help patients make the best choices for their health.</w:t>
                      </w:r>
                    </w:p>
                    <w:p w14:paraId="7648CEDC" w14:textId="1378F345" w:rsidR="00B9575E" w:rsidRPr="005541D6" w:rsidRDefault="00B9575E" w:rsidP="00B9575E">
                      <w:pPr>
                        <w:rPr>
                          <w:sz w:val="16"/>
                          <w:szCs w:val="16"/>
                        </w:rPr>
                      </w:pPr>
                    </w:p>
                    <w:p w14:paraId="130BC524" w14:textId="77777777" w:rsidR="00B9575E" w:rsidRPr="00B9575E" w:rsidRDefault="00B9575E" w:rsidP="00B9575E">
                      <w:pPr>
                        <w:rPr>
                          <w:b/>
                          <w:bCs/>
                        </w:rPr>
                      </w:pPr>
                    </w:p>
                  </w:txbxContent>
                </v:textbox>
              </v:shape>
            </w:pict>
          </mc:Fallback>
        </mc:AlternateContent>
      </w:r>
      <w:r w:rsidR="00882394">
        <w:rPr>
          <w:noProof/>
        </w:rPr>
        <mc:AlternateContent>
          <mc:Choice Requires="wps">
            <w:drawing>
              <wp:inline distT="0" distB="0" distL="0" distR="0" wp14:anchorId="378A736A" wp14:editId="74A7B661">
                <wp:extent cx="7781925" cy="638175"/>
                <wp:effectExtent l="0" t="0" r="0" b="9525"/>
                <wp:docPr id="1776070481" name="Text Box 1"/>
                <wp:cNvGraphicFramePr/>
                <a:graphic xmlns:a="http://schemas.openxmlformats.org/drawingml/2006/main">
                  <a:graphicData uri="http://schemas.microsoft.com/office/word/2010/wordprocessingShape">
                    <wps:wsp>
                      <wps:cNvSpPr txBox="1"/>
                      <wps:spPr>
                        <a:xfrm>
                          <a:off x="0" y="0"/>
                          <a:ext cx="7781925" cy="638175"/>
                        </a:xfrm>
                        <a:prstGeom prst="rect">
                          <a:avLst/>
                        </a:prstGeom>
                        <a:noFill/>
                        <a:ln>
                          <a:noFill/>
                        </a:ln>
                      </wps:spPr>
                      <wps:txbx>
                        <w:txbxContent>
                          <w:p w14:paraId="5313F3A8" w14:textId="23274AC6" w:rsidR="00882394" w:rsidRDefault="00882394" w:rsidP="00DF7467">
                            <w:pPr>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PHARMACY SERVICES</w:t>
                            </w:r>
                          </w:p>
                          <w:p w14:paraId="2369595E" w14:textId="77777777" w:rsidR="00DF7467" w:rsidRDefault="00DF7467" w:rsidP="00DF7467">
                            <w:pPr>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131E3CAE" w14:textId="77777777" w:rsidR="00DF7467" w:rsidRDefault="00DF7467" w:rsidP="00DF7467">
                            <w:pPr>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532B95CA" w14:textId="77777777" w:rsidR="00DF7467" w:rsidRPr="00882394" w:rsidRDefault="00DF7467" w:rsidP="00DF7467">
                            <w:pPr>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78A736A" id="Text Box 1" o:spid="_x0000_s1059" type="#_x0000_t202" style="width:612.75pt;height:5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" filled="f" stroked="f">
                <v:textbox>
                  <w:txbxContent>
                    <w:p w14:paraId="5313F3A8" w14:textId="23274AC6" w:rsidR="00882394" w:rsidRDefault="00882394" w:rsidP="00DF7467">
                      <w:pPr>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PHARMACY SERVICES</w:t>
                      </w:r>
                    </w:p>
                    <w:p w14:paraId="2369595E" w14:textId="77777777" w:rsidR="00DF7467" w:rsidRDefault="00DF7467" w:rsidP="00DF7467">
                      <w:pPr>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131E3CAE" w14:textId="77777777" w:rsidR="00DF7467" w:rsidRDefault="00DF7467" w:rsidP="00DF7467">
                      <w:pPr>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532B95CA" w14:textId="77777777" w:rsidR="00DF7467" w:rsidRPr="00882394" w:rsidRDefault="00DF7467" w:rsidP="00DF7467">
                      <w:pPr>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v:textbox>
                <w10:anchorlock/>
              </v:shape>
            </w:pict>
          </mc:Fallback>
        </mc:AlternateContent>
      </w:r>
    </w:p>
    <w:p w14:paraId="2D49B453" w14:textId="64C503A9" w:rsidR="0E9990DD" w:rsidRDefault="0E9990DD" w:rsidP="0E9990DD">
      <w:pPr>
        <w:ind w:left="720"/>
        <w:rPr>
          <w:sz w:val="36"/>
          <w:szCs w:val="36"/>
        </w:rPr>
      </w:pPr>
    </w:p>
    <w:p w14:paraId="27302D8C" w14:textId="341F14A0" w:rsidR="0E9990DD" w:rsidRDefault="0E9990DD" w:rsidP="0E9990DD">
      <w:pPr>
        <w:ind w:left="720"/>
        <w:rPr>
          <w:sz w:val="36"/>
          <w:szCs w:val="36"/>
        </w:rPr>
      </w:pPr>
    </w:p>
    <w:p w14:paraId="7A7D6963" w14:textId="0CCF04C7" w:rsidR="0E9990DD" w:rsidRDefault="007F3689" w:rsidP="0E9990DD">
      <w:pPr>
        <w:ind w:left="720"/>
        <w:rPr>
          <w:sz w:val="36"/>
          <w:szCs w:val="36"/>
        </w:rPr>
      </w:pPr>
      <w:r>
        <w:rPr>
          <w:noProof/>
          <w:sz w:val="36"/>
          <w:szCs w:val="36"/>
        </w:rPr>
        <mc:AlternateContent>
          <mc:Choice Requires="wps">
            <w:drawing>
              <wp:anchor distT="0" distB="0" distL="114300" distR="114300" simplePos="0" relativeHeight="251668480" behindDoc="0" locked="0" layoutInCell="1" allowOverlap="1" wp14:anchorId="7CF6F45F" wp14:editId="5D7EAFAE">
                <wp:simplePos x="0" y="0"/>
                <wp:positionH relativeFrom="column">
                  <wp:posOffset>4971784</wp:posOffset>
                </wp:positionH>
                <wp:positionV relativeFrom="paragraph">
                  <wp:posOffset>1427672</wp:posOffset>
                </wp:positionV>
                <wp:extent cx="931279" cy="208398"/>
                <wp:effectExtent l="0" t="0" r="21590" b="20320"/>
                <wp:wrapNone/>
                <wp:docPr id="1415278923" name="Text Box 36"/>
                <wp:cNvGraphicFramePr/>
                <a:graphic xmlns:a="http://schemas.openxmlformats.org/drawingml/2006/main">
                  <a:graphicData uri="http://schemas.microsoft.com/office/word/2010/wordprocessingShape">
                    <wps:wsp>
                      <wps:cNvSpPr txBox="1"/>
                      <wps:spPr>
                        <a:xfrm>
                          <a:off x="0" y="0"/>
                          <a:ext cx="931279" cy="208398"/>
                        </a:xfrm>
                        <a:prstGeom prst="rect">
                          <a:avLst/>
                        </a:prstGeom>
                        <a:solidFill>
                          <a:schemeClr val="lt1"/>
                        </a:solidFill>
                        <a:ln w="6350">
                          <a:solidFill>
                            <a:prstClr val="black"/>
                          </a:solidFill>
                        </a:ln>
                      </wps:spPr>
                      <wps:txbx>
                        <w:txbxContent>
                          <w:p w14:paraId="66103597" w14:textId="53C09E59" w:rsidR="007F3689" w:rsidRPr="007F3689" w:rsidRDefault="007F3689">
                            <w:pPr>
                              <w:rPr>
                                <w:sz w:val="16"/>
                                <w:szCs w:val="16"/>
                              </w:rPr>
                            </w:pPr>
                            <w:r>
                              <w:rPr>
                                <w:sz w:val="16"/>
                                <w:szCs w:val="16"/>
                              </w:rPr>
                              <w:t>(</w:t>
                            </w:r>
                            <w:proofErr w:type="spellStart"/>
                            <w:r>
                              <w:rPr>
                                <w:sz w:val="16"/>
                                <w:szCs w:val="16"/>
                              </w:rPr>
                              <w:t>istock</w:t>
                            </w:r>
                            <w:proofErr w:type="spellEnd"/>
                            <w:r>
                              <w:rPr>
                                <w:sz w:val="16"/>
                                <w:szCs w:val="16"/>
                              </w:rPr>
                              <w:t>,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6F45F" id="Text Box 36" o:spid="_x0000_s1060" type="#_x0000_t202" style="position:absolute;left:0;text-align:left;margin-left:391.5pt;margin-top:112.4pt;width:73.35pt;height:1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" fillcolor="white [3201]" strokeweight=".5pt">
                <v:textbox>
                  <w:txbxContent>
                    <w:p w14:paraId="66103597" w14:textId="53C09E59" w:rsidR="007F3689" w:rsidRPr="007F3689" w:rsidRDefault="007F3689">
                      <w:pPr>
                        <w:rPr>
                          <w:sz w:val="16"/>
                          <w:szCs w:val="16"/>
                        </w:rPr>
                      </w:pPr>
                      <w:r>
                        <w:rPr>
                          <w:sz w:val="16"/>
                          <w:szCs w:val="16"/>
                        </w:rPr>
                        <w:t>(</w:t>
                      </w:r>
                      <w:proofErr w:type="spellStart"/>
                      <w:r>
                        <w:rPr>
                          <w:sz w:val="16"/>
                          <w:szCs w:val="16"/>
                        </w:rPr>
                        <w:t>istock</w:t>
                      </w:r>
                      <w:proofErr w:type="spellEnd"/>
                      <w:r>
                        <w:rPr>
                          <w:sz w:val="16"/>
                          <w:szCs w:val="16"/>
                        </w:rPr>
                        <w:t>, n.d.)</w:t>
                      </w:r>
                    </w:p>
                  </w:txbxContent>
                </v:textbox>
              </v:shape>
            </w:pict>
          </mc:Fallback>
        </mc:AlternateContent>
      </w:r>
      <w:r w:rsidR="002C38E3">
        <w:rPr>
          <w:noProof/>
          <w:sz w:val="36"/>
          <w:szCs w:val="36"/>
        </w:rPr>
        <mc:AlternateContent>
          <mc:Choice Requires="wps">
            <w:drawing>
              <wp:anchor distT="0" distB="0" distL="114300" distR="114300" simplePos="0" relativeHeight="251665408" behindDoc="0" locked="0" layoutInCell="1" allowOverlap="1" wp14:anchorId="5AF8E047" wp14:editId="43D1899D">
                <wp:simplePos x="0" y="0"/>
                <wp:positionH relativeFrom="column">
                  <wp:posOffset>5930232</wp:posOffset>
                </wp:positionH>
                <wp:positionV relativeFrom="paragraph">
                  <wp:posOffset>1034080</wp:posOffset>
                </wp:positionV>
                <wp:extent cx="3271520" cy="3026777"/>
                <wp:effectExtent l="0" t="0" r="24130" b="21590"/>
                <wp:wrapNone/>
                <wp:docPr id="1906652918" name="Text Box 33"/>
                <wp:cNvGraphicFramePr/>
                <a:graphic xmlns:a="http://schemas.openxmlformats.org/drawingml/2006/main">
                  <a:graphicData uri="http://schemas.microsoft.com/office/word/2010/wordprocessingShape">
                    <wps:wsp>
                      <wps:cNvSpPr txBox="1"/>
                      <wps:spPr>
                        <a:xfrm>
                          <a:off x="0" y="0"/>
                          <a:ext cx="3271520" cy="3026777"/>
                        </a:xfrm>
                        <a:prstGeom prst="rect">
                          <a:avLst/>
                        </a:prstGeom>
                        <a:solidFill>
                          <a:schemeClr val="lt1"/>
                        </a:solidFill>
                        <a:ln w="6350">
                          <a:solidFill>
                            <a:prstClr val="black"/>
                          </a:solidFill>
                        </a:ln>
                      </wps:spPr>
                      <wps:txbx>
                        <w:txbxContent>
                          <w:p w14:paraId="578BAC28" w14:textId="390D0D97" w:rsidR="00F065D7" w:rsidRPr="005541D6" w:rsidRDefault="004740BF" w:rsidP="004740BF">
                            <w:pPr>
                              <w:jc w:val="center"/>
                              <w:rPr>
                                <w:b/>
                                <w:bCs/>
                                <w:sz w:val="16"/>
                                <w:szCs w:val="16"/>
                              </w:rPr>
                            </w:pPr>
                            <w:r w:rsidRPr="005541D6">
                              <w:rPr>
                                <w:b/>
                                <w:bCs/>
                                <w:sz w:val="16"/>
                                <w:szCs w:val="16"/>
                              </w:rPr>
                              <w:t>CURRENT FUNCTIONING OF PHARMACY SERVICES</w:t>
                            </w:r>
                          </w:p>
                          <w:p w14:paraId="1A83FE00" w14:textId="291A4119" w:rsidR="004740BF" w:rsidRPr="005541D6" w:rsidRDefault="004740BF" w:rsidP="004740BF">
                            <w:pPr>
                              <w:rPr>
                                <w:sz w:val="16"/>
                                <w:szCs w:val="16"/>
                              </w:rPr>
                            </w:pPr>
                            <w:r w:rsidRPr="005541D6">
                              <w:rPr>
                                <w:sz w:val="16"/>
                                <w:szCs w:val="16"/>
                              </w:rPr>
                              <w:t>Pharmacy services are delivered in many settings to meet the needs of individuals and communities.</w:t>
                            </w:r>
                          </w:p>
                          <w:p w14:paraId="0859AA59" w14:textId="3876C7E9" w:rsidR="004740BF" w:rsidRPr="005541D6" w:rsidRDefault="004740BF" w:rsidP="004740BF">
                            <w:pPr>
                              <w:pStyle w:val="ListParagraph"/>
                              <w:numPr>
                                <w:ilvl w:val="0"/>
                                <w:numId w:val="6"/>
                              </w:numPr>
                              <w:rPr>
                                <w:sz w:val="16"/>
                                <w:szCs w:val="16"/>
                              </w:rPr>
                            </w:pPr>
                            <w:r w:rsidRPr="005541D6">
                              <w:rPr>
                                <w:sz w:val="16"/>
                                <w:szCs w:val="16"/>
                              </w:rPr>
                              <w:t xml:space="preserve">COMMUNITY PHARMACIES – Provide easy access to medicines, advice and over-the-counter treatments. Many offer health-checks, vaccinations and minor ailment services </w:t>
                            </w:r>
                            <w:r w:rsidR="00E04CCC">
                              <w:rPr>
                                <w:sz w:val="16"/>
                                <w:szCs w:val="16"/>
                              </w:rPr>
                              <w:t>(NHS, 2023)</w:t>
                            </w:r>
                          </w:p>
                          <w:p w14:paraId="6D039AAD" w14:textId="226CBD29" w:rsidR="004740BF" w:rsidRDefault="004740BF" w:rsidP="004740BF">
                            <w:pPr>
                              <w:pStyle w:val="ListParagraph"/>
                              <w:numPr>
                                <w:ilvl w:val="0"/>
                                <w:numId w:val="6"/>
                              </w:numPr>
                              <w:rPr>
                                <w:sz w:val="16"/>
                                <w:szCs w:val="16"/>
                              </w:rPr>
                            </w:pPr>
                            <w:r w:rsidRPr="005541D6">
                              <w:rPr>
                                <w:sz w:val="16"/>
                                <w:szCs w:val="16"/>
                              </w:rPr>
                              <w:t>HO</w:t>
                            </w:r>
                            <w:r w:rsidR="00E04CCC">
                              <w:rPr>
                                <w:sz w:val="16"/>
                                <w:szCs w:val="16"/>
                              </w:rPr>
                              <w:t>SP</w:t>
                            </w:r>
                            <w:r w:rsidRPr="005541D6">
                              <w:rPr>
                                <w:sz w:val="16"/>
                                <w:szCs w:val="16"/>
                              </w:rPr>
                              <w:t>ITAL PHARMACIES – Work within hospitals to ensure safe supply of medicines, support doctors and nurses and manage complex medication needs</w:t>
                            </w:r>
                            <w:r w:rsidR="00E04CCC">
                              <w:rPr>
                                <w:sz w:val="16"/>
                                <w:szCs w:val="16"/>
                              </w:rPr>
                              <w:t xml:space="preserve"> (RPS, 2023)</w:t>
                            </w:r>
                          </w:p>
                          <w:p w14:paraId="1D443E0A" w14:textId="26487E56" w:rsidR="005541D6" w:rsidRDefault="005541D6" w:rsidP="004740BF">
                            <w:pPr>
                              <w:pStyle w:val="ListParagraph"/>
                              <w:numPr>
                                <w:ilvl w:val="0"/>
                                <w:numId w:val="6"/>
                              </w:numPr>
                              <w:rPr>
                                <w:sz w:val="16"/>
                                <w:szCs w:val="16"/>
                              </w:rPr>
                            </w:pPr>
                            <w:r>
                              <w:rPr>
                                <w:sz w:val="16"/>
                                <w:szCs w:val="16"/>
                              </w:rPr>
                              <w:t>PRIMARY CARE AND CLINICS – Pharmacists support doctors and nurses in managing long-term conditions and medicine reviews.</w:t>
                            </w:r>
                          </w:p>
                          <w:p w14:paraId="7F3EB07D" w14:textId="72D1DCD7" w:rsidR="00060B41" w:rsidRDefault="00060B41" w:rsidP="004740BF">
                            <w:pPr>
                              <w:pStyle w:val="ListParagraph"/>
                              <w:numPr>
                                <w:ilvl w:val="0"/>
                                <w:numId w:val="6"/>
                              </w:numPr>
                              <w:rPr>
                                <w:sz w:val="16"/>
                                <w:szCs w:val="16"/>
                              </w:rPr>
                            </w:pPr>
                            <w:r>
                              <w:rPr>
                                <w:sz w:val="16"/>
                                <w:szCs w:val="16"/>
                              </w:rPr>
                              <w:t>DIGITAL AND ONLINE SERVICES – E-Prescriptions, online advice and medicine delivery improve convenience and access to care</w:t>
                            </w:r>
                            <w:r w:rsidR="00E04CCC">
                              <w:rPr>
                                <w:sz w:val="16"/>
                                <w:szCs w:val="16"/>
                              </w:rPr>
                              <w:t xml:space="preserve"> (DHSC, 2022)</w:t>
                            </w:r>
                          </w:p>
                          <w:p w14:paraId="7848507E" w14:textId="62E48F3D" w:rsidR="00060B41" w:rsidRPr="005541D6" w:rsidRDefault="00060B41" w:rsidP="004740BF">
                            <w:pPr>
                              <w:pStyle w:val="ListParagraph"/>
                              <w:numPr>
                                <w:ilvl w:val="0"/>
                                <w:numId w:val="6"/>
                              </w:numPr>
                              <w:rPr>
                                <w:sz w:val="16"/>
                                <w:szCs w:val="16"/>
                              </w:rPr>
                            </w:pPr>
                            <w:r>
                              <w:rPr>
                                <w:sz w:val="16"/>
                                <w:szCs w:val="16"/>
                              </w:rPr>
                              <w:t>PUBLIC HEALTH ROLE – Pharmacists promote healthy lifestyles, provide immunisations, support medication safety and respond in emergencies.</w:t>
                            </w:r>
                          </w:p>
                          <w:p w14:paraId="7F08CA98" w14:textId="54B4034A" w:rsidR="004740BF" w:rsidRPr="004740BF" w:rsidRDefault="004740BF" w:rsidP="004740BF">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8E047" id="Text Box 33" o:spid="_x0000_s1061" type="#_x0000_t202" style="position:absolute;left:0;text-align:left;margin-left:466.95pt;margin-top:81.4pt;width:257.6pt;height:238.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" fillcolor="white [3201]" strokeweight=".5pt">
                <v:textbox>
                  <w:txbxContent>
                    <w:p w14:paraId="578BAC28" w14:textId="390D0D97" w:rsidR="00F065D7" w:rsidRPr="005541D6" w:rsidRDefault="004740BF" w:rsidP="004740BF">
                      <w:pPr>
                        <w:jc w:val="center"/>
                        <w:rPr>
                          <w:b/>
                          <w:bCs/>
                          <w:sz w:val="16"/>
                          <w:szCs w:val="16"/>
                        </w:rPr>
                      </w:pPr>
                      <w:r w:rsidRPr="005541D6">
                        <w:rPr>
                          <w:b/>
                          <w:bCs/>
                          <w:sz w:val="16"/>
                          <w:szCs w:val="16"/>
                        </w:rPr>
                        <w:t>CURRENT FUNCTIONING OF PHARMACY SERVICES</w:t>
                      </w:r>
                    </w:p>
                    <w:p w14:paraId="1A83FE00" w14:textId="291A4119" w:rsidR="004740BF" w:rsidRPr="005541D6" w:rsidRDefault="004740BF" w:rsidP="004740BF">
                      <w:pPr>
                        <w:rPr>
                          <w:sz w:val="16"/>
                          <w:szCs w:val="16"/>
                        </w:rPr>
                      </w:pPr>
                      <w:r w:rsidRPr="005541D6">
                        <w:rPr>
                          <w:sz w:val="16"/>
                          <w:szCs w:val="16"/>
                        </w:rPr>
                        <w:t>Pharmacy services are delivered in many settings to meet the needs of individuals and communities.</w:t>
                      </w:r>
                    </w:p>
                    <w:p w14:paraId="0859AA59" w14:textId="3876C7E9" w:rsidR="004740BF" w:rsidRPr="005541D6" w:rsidRDefault="004740BF" w:rsidP="004740BF">
                      <w:pPr>
                        <w:pStyle w:val="ListParagraph"/>
                        <w:numPr>
                          <w:ilvl w:val="0"/>
                          <w:numId w:val="6"/>
                        </w:numPr>
                        <w:rPr>
                          <w:sz w:val="16"/>
                          <w:szCs w:val="16"/>
                        </w:rPr>
                      </w:pPr>
                      <w:r w:rsidRPr="005541D6">
                        <w:rPr>
                          <w:sz w:val="16"/>
                          <w:szCs w:val="16"/>
                        </w:rPr>
                        <w:t xml:space="preserve">COMMUNITY PHARMACIES – Provide easy access to medicines, advice and over-the-counter treatments. Many offer health-checks, vaccinations and minor ailment services </w:t>
                      </w:r>
                      <w:r w:rsidR="00E04CCC">
                        <w:rPr>
                          <w:sz w:val="16"/>
                          <w:szCs w:val="16"/>
                        </w:rPr>
                        <w:t>(NHS, 2023)</w:t>
                      </w:r>
                    </w:p>
                    <w:p w14:paraId="6D039AAD" w14:textId="226CBD29" w:rsidR="004740BF" w:rsidRDefault="004740BF" w:rsidP="004740BF">
                      <w:pPr>
                        <w:pStyle w:val="ListParagraph"/>
                        <w:numPr>
                          <w:ilvl w:val="0"/>
                          <w:numId w:val="6"/>
                        </w:numPr>
                        <w:rPr>
                          <w:sz w:val="16"/>
                          <w:szCs w:val="16"/>
                        </w:rPr>
                      </w:pPr>
                      <w:r w:rsidRPr="005541D6">
                        <w:rPr>
                          <w:sz w:val="16"/>
                          <w:szCs w:val="16"/>
                        </w:rPr>
                        <w:t>HO</w:t>
                      </w:r>
                      <w:r w:rsidR="00E04CCC">
                        <w:rPr>
                          <w:sz w:val="16"/>
                          <w:szCs w:val="16"/>
                        </w:rPr>
                        <w:t>SP</w:t>
                      </w:r>
                      <w:r w:rsidRPr="005541D6">
                        <w:rPr>
                          <w:sz w:val="16"/>
                          <w:szCs w:val="16"/>
                        </w:rPr>
                        <w:t>ITAL PHARMACIES – Work within hospitals to ensure safe supply of medicines, support doctors and nurses and manage complex medication needs</w:t>
                      </w:r>
                      <w:r w:rsidR="00E04CCC">
                        <w:rPr>
                          <w:sz w:val="16"/>
                          <w:szCs w:val="16"/>
                        </w:rPr>
                        <w:t xml:space="preserve"> (RPS, 2023)</w:t>
                      </w:r>
                    </w:p>
                    <w:p w14:paraId="1D443E0A" w14:textId="26487E56" w:rsidR="005541D6" w:rsidRDefault="005541D6" w:rsidP="004740BF">
                      <w:pPr>
                        <w:pStyle w:val="ListParagraph"/>
                        <w:numPr>
                          <w:ilvl w:val="0"/>
                          <w:numId w:val="6"/>
                        </w:numPr>
                        <w:rPr>
                          <w:sz w:val="16"/>
                          <w:szCs w:val="16"/>
                        </w:rPr>
                      </w:pPr>
                      <w:r>
                        <w:rPr>
                          <w:sz w:val="16"/>
                          <w:szCs w:val="16"/>
                        </w:rPr>
                        <w:t>PRIMARY CARE AND CLINICS – Pharmacists support doctors and nurses in managing long-term conditions and medicine reviews.</w:t>
                      </w:r>
                    </w:p>
                    <w:p w14:paraId="7F3EB07D" w14:textId="72D1DCD7" w:rsidR="00060B41" w:rsidRDefault="00060B41" w:rsidP="004740BF">
                      <w:pPr>
                        <w:pStyle w:val="ListParagraph"/>
                        <w:numPr>
                          <w:ilvl w:val="0"/>
                          <w:numId w:val="6"/>
                        </w:numPr>
                        <w:rPr>
                          <w:sz w:val="16"/>
                          <w:szCs w:val="16"/>
                        </w:rPr>
                      </w:pPr>
                      <w:r>
                        <w:rPr>
                          <w:sz w:val="16"/>
                          <w:szCs w:val="16"/>
                        </w:rPr>
                        <w:t>DIGITAL AND ONLINE SERVICES – E-Prescriptions, online advice and medicine delivery improve convenience and access to care</w:t>
                      </w:r>
                      <w:r w:rsidR="00E04CCC">
                        <w:rPr>
                          <w:sz w:val="16"/>
                          <w:szCs w:val="16"/>
                        </w:rPr>
                        <w:t xml:space="preserve"> (DHSC, 2022)</w:t>
                      </w:r>
                    </w:p>
                    <w:p w14:paraId="7848507E" w14:textId="62E48F3D" w:rsidR="00060B41" w:rsidRPr="005541D6" w:rsidRDefault="00060B41" w:rsidP="004740BF">
                      <w:pPr>
                        <w:pStyle w:val="ListParagraph"/>
                        <w:numPr>
                          <w:ilvl w:val="0"/>
                          <w:numId w:val="6"/>
                        </w:numPr>
                        <w:rPr>
                          <w:sz w:val="16"/>
                          <w:szCs w:val="16"/>
                        </w:rPr>
                      </w:pPr>
                      <w:r>
                        <w:rPr>
                          <w:sz w:val="16"/>
                          <w:szCs w:val="16"/>
                        </w:rPr>
                        <w:t>PUBLIC HEALTH ROLE – Pharmacists promote healthy lifestyles, provide immunisations, support medication safety and respond in emergencies.</w:t>
                      </w:r>
                    </w:p>
                    <w:p w14:paraId="7F08CA98" w14:textId="54B4034A" w:rsidR="004740BF" w:rsidRPr="004740BF" w:rsidRDefault="004740BF" w:rsidP="004740BF">
                      <w:pPr>
                        <w:rPr>
                          <w:sz w:val="20"/>
                          <w:szCs w:val="20"/>
                        </w:rPr>
                      </w:pPr>
                    </w:p>
                  </w:txbxContent>
                </v:textbox>
              </v:shape>
            </w:pict>
          </mc:Fallback>
        </mc:AlternateContent>
      </w:r>
      <w:r w:rsidR="002C38E3">
        <w:rPr>
          <w:noProof/>
          <w:sz w:val="36"/>
          <w:szCs w:val="36"/>
        </w:rPr>
        <mc:AlternateContent>
          <mc:Choice Requires="wps">
            <w:drawing>
              <wp:anchor distT="0" distB="0" distL="114300" distR="114300" simplePos="0" relativeHeight="251664384" behindDoc="0" locked="0" layoutInCell="1" allowOverlap="1" wp14:anchorId="757710CE" wp14:editId="4952F01D">
                <wp:simplePos x="0" y="0"/>
                <wp:positionH relativeFrom="margin">
                  <wp:posOffset>187325</wp:posOffset>
                </wp:positionH>
                <wp:positionV relativeFrom="paragraph">
                  <wp:posOffset>1439278</wp:posOffset>
                </wp:positionV>
                <wp:extent cx="4271645" cy="238125"/>
                <wp:effectExtent l="0" t="0" r="14605" b="28575"/>
                <wp:wrapNone/>
                <wp:docPr id="1646009454" name="Text Box 32"/>
                <wp:cNvGraphicFramePr/>
                <a:graphic xmlns:a="http://schemas.openxmlformats.org/drawingml/2006/main">
                  <a:graphicData uri="http://schemas.microsoft.com/office/word/2010/wordprocessingShape">
                    <wps:wsp>
                      <wps:cNvSpPr txBox="1"/>
                      <wps:spPr>
                        <a:xfrm>
                          <a:off x="0" y="0"/>
                          <a:ext cx="4271645" cy="238125"/>
                        </a:xfrm>
                        <a:prstGeom prst="rect">
                          <a:avLst/>
                        </a:prstGeom>
                        <a:solidFill>
                          <a:schemeClr val="lt1"/>
                        </a:solidFill>
                        <a:ln w="6350">
                          <a:solidFill>
                            <a:prstClr val="black"/>
                          </a:solidFill>
                        </a:ln>
                      </wps:spPr>
                      <wps:txbx>
                        <w:txbxContent>
                          <w:p w14:paraId="2D0B05CD" w14:textId="15A4AF69" w:rsidR="0046609A" w:rsidRPr="00D47263" w:rsidRDefault="0046609A" w:rsidP="0046609A">
                            <w:pPr>
                              <w:jc w:val="both"/>
                              <w:rPr>
                                <w:rStyle w:val="IntenseReference"/>
                                <w:sz w:val="18"/>
                                <w:szCs w:val="18"/>
                              </w:rPr>
                            </w:pPr>
                            <w:r w:rsidRPr="00D47263">
                              <w:rPr>
                                <w:rStyle w:val="IntenseReference"/>
                                <w:sz w:val="18"/>
                                <w:szCs w:val="18"/>
                              </w:rPr>
                              <w:t>Modern pharmacy services are an essential part of accessible, high-quality healthcare for 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710CE" id="Text Box 32" o:spid="_x0000_s1062" type="#_x0000_t202" style="position:absolute;left:0;text-align:left;margin-left:14.75pt;margin-top:113.35pt;width:336.35pt;height:18.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" fillcolor="white [3201]" strokeweight=".5pt">
                <v:textbox>
                  <w:txbxContent>
                    <w:p w14:paraId="2D0B05CD" w14:textId="15A4AF69" w:rsidR="0046609A" w:rsidRPr="00D47263" w:rsidRDefault="0046609A" w:rsidP="0046609A">
                      <w:pPr>
                        <w:jc w:val="both"/>
                        <w:rPr>
                          <w:rStyle w:val="IntenseReference"/>
                          <w:sz w:val="18"/>
                          <w:szCs w:val="18"/>
                        </w:rPr>
                      </w:pPr>
                      <w:r w:rsidRPr="00D47263">
                        <w:rPr>
                          <w:rStyle w:val="IntenseReference"/>
                          <w:sz w:val="18"/>
                          <w:szCs w:val="18"/>
                        </w:rPr>
                        <w:t>Modern pharmacy services are an essential part of accessible, high-quality healthcare for all</w:t>
                      </w:r>
                    </w:p>
                  </w:txbxContent>
                </v:textbox>
                <w10:wrap anchorx="margin"/>
              </v:shape>
            </w:pict>
          </mc:Fallback>
        </mc:AlternateContent>
      </w:r>
      <w:r w:rsidR="0046609A">
        <w:rPr>
          <w:noProof/>
          <w:sz w:val="36"/>
          <w:szCs w:val="36"/>
        </w:rPr>
        <w:drawing>
          <wp:inline distT="0" distB="0" distL="0" distR="0" wp14:anchorId="4B349722" wp14:editId="1667641B">
            <wp:extent cx="3414395" cy="1438275"/>
            <wp:effectExtent l="0" t="0" r="0" b="9525"/>
            <wp:docPr id="663098758"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Pr>
          <w:noProof/>
          <w:sz w:val="36"/>
          <w:szCs w:val="36"/>
        </w:rPr>
        <w:drawing>
          <wp:inline distT="0" distB="0" distL="0" distR="0" wp14:anchorId="5EA86FBB" wp14:editId="2E2E47E0">
            <wp:extent cx="2069938" cy="1379958"/>
            <wp:effectExtent l="0" t="0" r="6985" b="0"/>
            <wp:docPr id="124761222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612221" name="Picture 124761222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00588" cy="1400391"/>
                    </a:xfrm>
                    <a:prstGeom prst="rect">
                      <a:avLst/>
                    </a:prstGeom>
                  </pic:spPr>
                </pic:pic>
              </a:graphicData>
            </a:graphic>
          </wp:inline>
        </w:drawing>
      </w:r>
    </w:p>
    <w:p w14:paraId="6F766560" w14:textId="06970583" w:rsidR="40F8CFEC" w:rsidRDefault="004A7963" w:rsidP="0E9990DD">
      <w:pPr>
        <w:pStyle w:val="ListParagraph"/>
        <w:rPr>
          <w:sz w:val="36"/>
          <w:szCs w:val="36"/>
        </w:rPr>
      </w:pPr>
      <w:r>
        <w:rPr>
          <w:noProof/>
          <w:sz w:val="36"/>
          <w:szCs w:val="36"/>
        </w:rPr>
        <mc:AlternateContent>
          <mc:Choice Requires="wps">
            <w:drawing>
              <wp:anchor distT="0" distB="0" distL="114300" distR="114300" simplePos="0" relativeHeight="251666432" behindDoc="0" locked="0" layoutInCell="1" allowOverlap="1" wp14:anchorId="64A40517" wp14:editId="419A2942">
                <wp:simplePos x="0" y="0"/>
                <wp:positionH relativeFrom="column">
                  <wp:posOffset>-259280</wp:posOffset>
                </wp:positionH>
                <wp:positionV relativeFrom="paragraph">
                  <wp:posOffset>173255</wp:posOffset>
                </wp:positionV>
                <wp:extent cx="5800725" cy="1843088"/>
                <wp:effectExtent l="0" t="0" r="28575" b="24130"/>
                <wp:wrapNone/>
                <wp:docPr id="1244040871" name="Text Box 34"/>
                <wp:cNvGraphicFramePr/>
                <a:graphic xmlns:a="http://schemas.openxmlformats.org/drawingml/2006/main">
                  <a:graphicData uri="http://schemas.microsoft.com/office/word/2010/wordprocessingShape">
                    <wps:wsp>
                      <wps:cNvSpPr txBox="1"/>
                      <wps:spPr>
                        <a:xfrm>
                          <a:off x="0" y="0"/>
                          <a:ext cx="5800725" cy="1843088"/>
                        </a:xfrm>
                        <a:prstGeom prst="rect">
                          <a:avLst/>
                        </a:prstGeom>
                        <a:solidFill>
                          <a:schemeClr val="lt1"/>
                        </a:solidFill>
                        <a:ln w="6350">
                          <a:solidFill>
                            <a:prstClr val="black"/>
                          </a:solidFill>
                        </a:ln>
                      </wps:spPr>
                      <wps:txbx>
                        <w:txbxContent>
                          <w:p w14:paraId="28A9D06E" w14:textId="16D597AD" w:rsidR="00060B41" w:rsidRDefault="00060B41">
                            <w:pPr>
                              <w:rPr>
                                <w:b/>
                                <w:bCs/>
                                <w:sz w:val="16"/>
                                <w:szCs w:val="16"/>
                              </w:rPr>
                            </w:pPr>
                            <w:r>
                              <w:rPr>
                                <w:b/>
                                <w:bCs/>
                                <w:sz w:val="16"/>
                                <w:szCs w:val="16"/>
                              </w:rPr>
                              <w:t>TWO CHALLENGES FACED BY PHARMACY SERVICES</w:t>
                            </w:r>
                          </w:p>
                          <w:p w14:paraId="7C1864EC" w14:textId="202A345A" w:rsidR="00060B41" w:rsidRPr="00060B41" w:rsidRDefault="00060B41" w:rsidP="00060B41">
                            <w:pPr>
                              <w:pStyle w:val="ListParagraph"/>
                              <w:numPr>
                                <w:ilvl w:val="0"/>
                                <w:numId w:val="7"/>
                              </w:numPr>
                              <w:rPr>
                                <w:sz w:val="16"/>
                                <w:szCs w:val="16"/>
                              </w:rPr>
                            </w:pPr>
                            <w:r w:rsidRPr="00060B41">
                              <w:rPr>
                                <w:sz w:val="16"/>
                                <w:szCs w:val="16"/>
                              </w:rPr>
                              <w:t>INCREASING DEMAND AND WORKFORCE PRESSURE – Growing populations, an ageing society, and more long-term conditions increase demand, while workforce shortages create pressure on pharmacists and staff.</w:t>
                            </w:r>
                            <w:r w:rsidR="00E04CCC">
                              <w:rPr>
                                <w:sz w:val="16"/>
                                <w:szCs w:val="16"/>
                              </w:rPr>
                              <w:t xml:space="preserve"> (PSNC, 2023)</w:t>
                            </w:r>
                          </w:p>
                          <w:p w14:paraId="476D78A6" w14:textId="31AD8775" w:rsidR="00060B41" w:rsidRDefault="00060B41" w:rsidP="00060B41">
                            <w:pPr>
                              <w:pStyle w:val="ListParagraph"/>
                              <w:numPr>
                                <w:ilvl w:val="0"/>
                                <w:numId w:val="7"/>
                              </w:numPr>
                              <w:rPr>
                                <w:sz w:val="16"/>
                                <w:szCs w:val="16"/>
                              </w:rPr>
                            </w:pPr>
                            <w:r w:rsidRPr="00060B41">
                              <w:rPr>
                                <w:sz w:val="16"/>
                                <w:szCs w:val="16"/>
                              </w:rPr>
                              <w:t>FUNDING AND SUSTAINABILITY – Rising medicine costs, funding constraints and reimbursement challenges can limit the ability to provide extended services and innovations.</w:t>
                            </w:r>
                          </w:p>
                          <w:p w14:paraId="78890BA8" w14:textId="3BEA1EE5" w:rsidR="004A7963" w:rsidRDefault="004A7963" w:rsidP="004A7963">
                            <w:pPr>
                              <w:rPr>
                                <w:b/>
                                <w:bCs/>
                                <w:sz w:val="16"/>
                                <w:szCs w:val="16"/>
                              </w:rPr>
                            </w:pPr>
                            <w:r w:rsidRPr="004A7963">
                              <w:rPr>
                                <w:b/>
                                <w:bCs/>
                                <w:sz w:val="16"/>
                                <w:szCs w:val="16"/>
                              </w:rPr>
                              <w:t>IMPACT ON INDIVIDUALS AND COMMUNITIES</w:t>
                            </w:r>
                          </w:p>
                          <w:p w14:paraId="4216DFBB" w14:textId="0B47C1B2" w:rsidR="004A7963" w:rsidRPr="004A7963" w:rsidRDefault="004A7963" w:rsidP="004A7963">
                            <w:pPr>
                              <w:pStyle w:val="ListParagraph"/>
                              <w:numPr>
                                <w:ilvl w:val="0"/>
                                <w:numId w:val="8"/>
                              </w:numPr>
                              <w:rPr>
                                <w:b/>
                                <w:bCs/>
                                <w:sz w:val="16"/>
                                <w:szCs w:val="16"/>
                              </w:rPr>
                            </w:pPr>
                            <w:r>
                              <w:rPr>
                                <w:sz w:val="16"/>
                                <w:szCs w:val="16"/>
                              </w:rPr>
                              <w:t>Better health outcomes through safe medicine use</w:t>
                            </w:r>
                            <w:r w:rsidR="00E04CCC">
                              <w:rPr>
                                <w:sz w:val="16"/>
                                <w:szCs w:val="16"/>
                              </w:rPr>
                              <w:t xml:space="preserve"> (WHO, 2020)</w:t>
                            </w:r>
                          </w:p>
                          <w:p w14:paraId="0F06649F" w14:textId="397C1562" w:rsidR="004A7963" w:rsidRPr="004A7963" w:rsidRDefault="004A7963" w:rsidP="004A7963">
                            <w:pPr>
                              <w:pStyle w:val="ListParagraph"/>
                              <w:numPr>
                                <w:ilvl w:val="0"/>
                                <w:numId w:val="8"/>
                              </w:numPr>
                              <w:rPr>
                                <w:b/>
                                <w:bCs/>
                                <w:sz w:val="16"/>
                                <w:szCs w:val="16"/>
                              </w:rPr>
                            </w:pPr>
                            <w:r>
                              <w:rPr>
                                <w:sz w:val="16"/>
                                <w:szCs w:val="16"/>
                              </w:rPr>
                              <w:t>Prevention of illness and early intervention</w:t>
                            </w:r>
                          </w:p>
                          <w:p w14:paraId="1285AAFC" w14:textId="270E1058" w:rsidR="004A7963" w:rsidRPr="004A7963" w:rsidRDefault="004A7963" w:rsidP="004A7963">
                            <w:pPr>
                              <w:pStyle w:val="ListParagraph"/>
                              <w:numPr>
                                <w:ilvl w:val="0"/>
                                <w:numId w:val="8"/>
                              </w:numPr>
                              <w:rPr>
                                <w:b/>
                                <w:bCs/>
                                <w:sz w:val="16"/>
                                <w:szCs w:val="16"/>
                              </w:rPr>
                            </w:pPr>
                            <w:r>
                              <w:rPr>
                                <w:sz w:val="16"/>
                                <w:szCs w:val="16"/>
                              </w:rPr>
                              <w:t>Cost savings by reducing hospital visits and medication errors</w:t>
                            </w:r>
                            <w:r w:rsidR="005C20B8">
                              <w:rPr>
                                <w:sz w:val="16"/>
                                <w:szCs w:val="16"/>
                              </w:rPr>
                              <w:t xml:space="preserve"> (NHS, 2023)</w:t>
                            </w:r>
                          </w:p>
                          <w:p w14:paraId="44ED1032" w14:textId="7402FB7A" w:rsidR="004A7963" w:rsidRPr="004A7963" w:rsidRDefault="004A7963" w:rsidP="004A7963">
                            <w:pPr>
                              <w:pStyle w:val="ListParagraph"/>
                              <w:numPr>
                                <w:ilvl w:val="0"/>
                                <w:numId w:val="8"/>
                              </w:numPr>
                              <w:rPr>
                                <w:b/>
                                <w:bCs/>
                                <w:sz w:val="16"/>
                                <w:szCs w:val="16"/>
                              </w:rPr>
                            </w:pPr>
                            <w:r>
                              <w:rPr>
                                <w:sz w:val="16"/>
                                <w:szCs w:val="16"/>
                              </w:rPr>
                              <w:t>Stronger, healthier communities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A40517" id="Text Box 34" o:spid="_x0000_s1063" type="#_x0000_t202" style="position:absolute;left:0;text-align:left;margin-left:-20.4pt;margin-top:13.65pt;width:456.75pt;height:145.1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" fillcolor="white [3201]" strokeweight=".5pt">
                <v:textbox>
                  <w:txbxContent>
                    <w:p w14:paraId="28A9D06E" w14:textId="16D597AD" w:rsidR="00060B41" w:rsidRDefault="00060B41">
                      <w:pPr>
                        <w:rPr>
                          <w:b/>
                          <w:bCs/>
                          <w:sz w:val="16"/>
                          <w:szCs w:val="16"/>
                        </w:rPr>
                      </w:pPr>
                      <w:r>
                        <w:rPr>
                          <w:b/>
                          <w:bCs/>
                          <w:sz w:val="16"/>
                          <w:szCs w:val="16"/>
                        </w:rPr>
                        <w:t>TWO CHALLENGES FACED BY PHARMACY SERVICES</w:t>
                      </w:r>
                    </w:p>
                    <w:p w14:paraId="7C1864EC" w14:textId="202A345A" w:rsidR="00060B41" w:rsidRPr="00060B41" w:rsidRDefault="00060B41" w:rsidP="00060B41">
                      <w:pPr>
                        <w:pStyle w:val="ListParagraph"/>
                        <w:numPr>
                          <w:ilvl w:val="0"/>
                          <w:numId w:val="7"/>
                        </w:numPr>
                        <w:rPr>
                          <w:sz w:val="16"/>
                          <w:szCs w:val="16"/>
                        </w:rPr>
                      </w:pPr>
                      <w:r w:rsidRPr="00060B41">
                        <w:rPr>
                          <w:sz w:val="16"/>
                          <w:szCs w:val="16"/>
                        </w:rPr>
                        <w:t>INCREASING DEMAND AND WORKFORCE PRESSURE – Growing populations, an ageing society, and more long-term conditions increase demand, while workforce shortages create pressure on pharmacists and staff.</w:t>
                      </w:r>
                      <w:r w:rsidR="00E04CCC">
                        <w:rPr>
                          <w:sz w:val="16"/>
                          <w:szCs w:val="16"/>
                        </w:rPr>
                        <w:t xml:space="preserve"> (PSNC, 2023)</w:t>
                      </w:r>
                    </w:p>
                    <w:p w14:paraId="476D78A6" w14:textId="31AD8775" w:rsidR="00060B41" w:rsidRDefault="00060B41" w:rsidP="00060B41">
                      <w:pPr>
                        <w:pStyle w:val="ListParagraph"/>
                        <w:numPr>
                          <w:ilvl w:val="0"/>
                          <w:numId w:val="7"/>
                        </w:numPr>
                        <w:rPr>
                          <w:sz w:val="16"/>
                          <w:szCs w:val="16"/>
                        </w:rPr>
                      </w:pPr>
                      <w:r w:rsidRPr="00060B41">
                        <w:rPr>
                          <w:sz w:val="16"/>
                          <w:szCs w:val="16"/>
                        </w:rPr>
                        <w:t>FUNDING AND SUSTAINABILITY – Rising medicine costs, funding constraints and reimbursement challenges can limit the ability to provide extended services and innovations.</w:t>
                      </w:r>
                    </w:p>
                    <w:p w14:paraId="78890BA8" w14:textId="3BEA1EE5" w:rsidR="004A7963" w:rsidRDefault="004A7963" w:rsidP="004A7963">
                      <w:pPr>
                        <w:rPr>
                          <w:b/>
                          <w:bCs/>
                          <w:sz w:val="16"/>
                          <w:szCs w:val="16"/>
                        </w:rPr>
                      </w:pPr>
                      <w:r w:rsidRPr="004A7963">
                        <w:rPr>
                          <w:b/>
                          <w:bCs/>
                          <w:sz w:val="16"/>
                          <w:szCs w:val="16"/>
                        </w:rPr>
                        <w:t>IMPACT ON INDIVIDUALS AND COMMUNITIES</w:t>
                      </w:r>
                    </w:p>
                    <w:p w14:paraId="4216DFBB" w14:textId="0B47C1B2" w:rsidR="004A7963" w:rsidRPr="004A7963" w:rsidRDefault="004A7963" w:rsidP="004A7963">
                      <w:pPr>
                        <w:pStyle w:val="ListParagraph"/>
                        <w:numPr>
                          <w:ilvl w:val="0"/>
                          <w:numId w:val="8"/>
                        </w:numPr>
                        <w:rPr>
                          <w:b/>
                          <w:bCs/>
                          <w:sz w:val="16"/>
                          <w:szCs w:val="16"/>
                        </w:rPr>
                      </w:pPr>
                      <w:r>
                        <w:rPr>
                          <w:sz w:val="16"/>
                          <w:szCs w:val="16"/>
                        </w:rPr>
                        <w:t>Better health outcomes through safe medicine use</w:t>
                      </w:r>
                      <w:r w:rsidR="00E04CCC">
                        <w:rPr>
                          <w:sz w:val="16"/>
                          <w:szCs w:val="16"/>
                        </w:rPr>
                        <w:t xml:space="preserve"> (WHO, 2020)</w:t>
                      </w:r>
                    </w:p>
                    <w:p w14:paraId="0F06649F" w14:textId="397C1562" w:rsidR="004A7963" w:rsidRPr="004A7963" w:rsidRDefault="004A7963" w:rsidP="004A7963">
                      <w:pPr>
                        <w:pStyle w:val="ListParagraph"/>
                        <w:numPr>
                          <w:ilvl w:val="0"/>
                          <w:numId w:val="8"/>
                        </w:numPr>
                        <w:rPr>
                          <w:b/>
                          <w:bCs/>
                          <w:sz w:val="16"/>
                          <w:szCs w:val="16"/>
                        </w:rPr>
                      </w:pPr>
                      <w:r>
                        <w:rPr>
                          <w:sz w:val="16"/>
                          <w:szCs w:val="16"/>
                        </w:rPr>
                        <w:t>Prevention of illness and early intervention</w:t>
                      </w:r>
                    </w:p>
                    <w:p w14:paraId="1285AAFC" w14:textId="270E1058" w:rsidR="004A7963" w:rsidRPr="004A7963" w:rsidRDefault="004A7963" w:rsidP="004A7963">
                      <w:pPr>
                        <w:pStyle w:val="ListParagraph"/>
                        <w:numPr>
                          <w:ilvl w:val="0"/>
                          <w:numId w:val="8"/>
                        </w:numPr>
                        <w:rPr>
                          <w:b/>
                          <w:bCs/>
                          <w:sz w:val="16"/>
                          <w:szCs w:val="16"/>
                        </w:rPr>
                      </w:pPr>
                      <w:r>
                        <w:rPr>
                          <w:sz w:val="16"/>
                          <w:szCs w:val="16"/>
                        </w:rPr>
                        <w:t>Cost savings by reducing hospital visits and medication errors</w:t>
                      </w:r>
                      <w:r w:rsidR="005C20B8">
                        <w:rPr>
                          <w:sz w:val="16"/>
                          <w:szCs w:val="16"/>
                        </w:rPr>
                        <w:t xml:space="preserve"> (NHS, 2023)</w:t>
                      </w:r>
                    </w:p>
                    <w:p w14:paraId="44ED1032" w14:textId="7402FB7A" w:rsidR="004A7963" w:rsidRPr="004A7963" w:rsidRDefault="004A7963" w:rsidP="004A7963">
                      <w:pPr>
                        <w:pStyle w:val="ListParagraph"/>
                        <w:numPr>
                          <w:ilvl w:val="0"/>
                          <w:numId w:val="8"/>
                        </w:numPr>
                        <w:rPr>
                          <w:b/>
                          <w:bCs/>
                          <w:sz w:val="16"/>
                          <w:szCs w:val="16"/>
                        </w:rPr>
                      </w:pPr>
                      <w:r>
                        <w:rPr>
                          <w:sz w:val="16"/>
                          <w:szCs w:val="16"/>
                        </w:rPr>
                        <w:t>Stronger, healthier communities</w:t>
                      </w:r>
                    </w:p>
                  </w:txbxContent>
                </v:textbox>
              </v:shape>
            </w:pict>
          </mc:Fallback>
        </mc:AlternateContent>
      </w:r>
    </w:p>
    <w:p w14:paraId="292FB0F1" w14:textId="4EE70469" w:rsidR="005541D6" w:rsidRPr="007C1B24" w:rsidRDefault="004A7963" w:rsidP="007F3689">
      <w:pPr>
        <w:pStyle w:val="ListParagraph"/>
        <w:rPr>
          <w:sz w:val="36"/>
          <w:szCs w:val="36"/>
        </w:rPr>
        <w:sectPr w:rsidR="005541D6" w:rsidRPr="007C1B24" w:rsidSect="00882394">
          <w:pgSz w:w="16838" w:h="11906" w:orient="landscape"/>
          <w:pgMar w:top="1440" w:right="1440" w:bottom="1440" w:left="1440" w:header="720" w:footer="720" w:gutter="0"/>
          <w:pgBorders w:offsetFrom="page">
            <w:top w:val="dashed" w:sz="4" w:space="24" w:color="auto"/>
            <w:left w:val="dashed" w:sz="4" w:space="24" w:color="auto"/>
            <w:bottom w:val="dashed" w:sz="4" w:space="24" w:color="auto"/>
            <w:right w:val="dashed" w:sz="4" w:space="24" w:color="auto"/>
          </w:pgBorders>
          <w:pgNumType w:start="0"/>
          <w:cols w:space="720"/>
          <w:titlePg/>
          <w:docGrid w:linePitch="360"/>
        </w:sectPr>
      </w:pPr>
      <w:r>
        <w:rPr>
          <w:noProof/>
          <w:sz w:val="36"/>
          <w:szCs w:val="36"/>
        </w:rPr>
        <mc:AlternateContent>
          <mc:Choice Requires="wps">
            <w:drawing>
              <wp:anchor distT="0" distB="0" distL="114300" distR="114300" simplePos="0" relativeHeight="251667456" behindDoc="0" locked="0" layoutInCell="1" allowOverlap="1" wp14:anchorId="1574CA09" wp14:editId="34877766">
                <wp:simplePos x="0" y="0"/>
                <wp:positionH relativeFrom="column">
                  <wp:posOffset>-282575</wp:posOffset>
                </wp:positionH>
                <wp:positionV relativeFrom="paragraph">
                  <wp:posOffset>1753803</wp:posOffset>
                </wp:positionV>
                <wp:extent cx="5781675" cy="390525"/>
                <wp:effectExtent l="0" t="0" r="28575" b="28575"/>
                <wp:wrapNone/>
                <wp:docPr id="889732075" name="Text Box 35"/>
                <wp:cNvGraphicFramePr/>
                <a:graphic xmlns:a="http://schemas.openxmlformats.org/drawingml/2006/main">
                  <a:graphicData uri="http://schemas.microsoft.com/office/word/2010/wordprocessingShape">
                    <wps:wsp>
                      <wps:cNvSpPr txBox="1"/>
                      <wps:spPr>
                        <a:xfrm>
                          <a:off x="0" y="0"/>
                          <a:ext cx="5781675" cy="390525"/>
                        </a:xfrm>
                        <a:prstGeom prst="rect">
                          <a:avLst/>
                        </a:prstGeom>
                        <a:solidFill>
                          <a:schemeClr val="lt1"/>
                        </a:solidFill>
                        <a:ln w="6350">
                          <a:solidFill>
                            <a:prstClr val="black"/>
                          </a:solidFill>
                        </a:ln>
                      </wps:spPr>
                      <wps:txbx>
                        <w:txbxContent>
                          <w:p w14:paraId="5B8D2EDC" w14:textId="3968E666" w:rsidR="004A7963" w:rsidRPr="00D47263" w:rsidRDefault="004A7963">
                            <w:pPr>
                              <w:rPr>
                                <w:rStyle w:val="IntenseReference"/>
                                <w:sz w:val="18"/>
                                <w:szCs w:val="18"/>
                              </w:rPr>
                            </w:pPr>
                            <w:r w:rsidRPr="00D47263">
                              <w:rPr>
                                <w:rStyle w:val="IntenseReference"/>
                                <w:sz w:val="18"/>
                                <w:szCs w:val="18"/>
                              </w:rPr>
                              <w:t xml:space="preserve">Pharmacy services do more than supply medicines – they provide expert advice, support healthier communities, and play a vital role in today’s health and social </w:t>
                            </w:r>
                            <w:r w:rsidR="002D4884" w:rsidRPr="00D47263">
                              <w:rPr>
                                <w:rStyle w:val="IntenseReference"/>
                                <w:sz w:val="18"/>
                                <w:szCs w:val="18"/>
                              </w:rPr>
                              <w:t>care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74CA09" id="Text Box 35" o:spid="_x0000_s1064" type="#_x0000_t202" style="position:absolute;left:0;text-align:left;margin-left:-22.25pt;margin-top:138.1pt;width:455.25pt;height:30.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" fillcolor="white [3201]" strokeweight=".5pt">
                <v:textbox>
                  <w:txbxContent>
                    <w:p w14:paraId="5B8D2EDC" w14:textId="3968E666" w:rsidR="004A7963" w:rsidRPr="00D47263" w:rsidRDefault="004A7963">
                      <w:pPr>
                        <w:rPr>
                          <w:rStyle w:val="IntenseReference"/>
                          <w:sz w:val="18"/>
                          <w:szCs w:val="18"/>
                        </w:rPr>
                      </w:pPr>
                      <w:r w:rsidRPr="00D47263">
                        <w:rPr>
                          <w:rStyle w:val="IntenseReference"/>
                          <w:sz w:val="18"/>
                          <w:szCs w:val="18"/>
                        </w:rPr>
                        <w:t xml:space="preserve">Pharmacy services do more than supply medicines – they provide expert advice, support healthier communities, and play a vital role in today’s health and social </w:t>
                      </w:r>
                      <w:r w:rsidR="002D4884" w:rsidRPr="00D47263">
                        <w:rPr>
                          <w:rStyle w:val="IntenseReference"/>
                          <w:sz w:val="18"/>
                          <w:szCs w:val="18"/>
                        </w:rPr>
                        <w:t>care system.</w:t>
                      </w:r>
                    </w:p>
                  </w:txbxContent>
                </v:textbox>
              </v:shape>
            </w:pict>
          </mc:Fallback>
        </mc:AlternateContent>
      </w:r>
    </w:p>
    <w:p w14:paraId="4C312CDE" w14:textId="77777777" w:rsidR="007F3689" w:rsidRDefault="007F3689" w:rsidP="00B24CC6">
      <w:pPr>
        <w:shd w:val="clear" w:color="auto" w:fill="FFFFFF"/>
        <w:spacing w:before="100" w:beforeAutospacing="1" w:after="100" w:afterAutospacing="1" w:line="240" w:lineRule="auto"/>
        <w:outlineLvl w:val="0"/>
        <w:rPr>
          <w:rFonts w:ascii="Arial" w:eastAsia="Times New Roman" w:hAnsi="Arial" w:cs="Arial"/>
          <w:b/>
          <w:bCs/>
          <w:color w:val="222222"/>
          <w:kern w:val="36"/>
          <w:sz w:val="22"/>
          <w:szCs w:val="22"/>
          <w:lang w:eastAsia="en-GB"/>
        </w:rPr>
      </w:pPr>
    </w:p>
    <w:p w14:paraId="45F37006" w14:textId="77777777" w:rsidR="007F3689" w:rsidRDefault="007F3689" w:rsidP="00B24CC6">
      <w:pPr>
        <w:shd w:val="clear" w:color="auto" w:fill="FFFFFF"/>
        <w:spacing w:before="100" w:beforeAutospacing="1" w:after="100" w:afterAutospacing="1" w:line="240" w:lineRule="auto"/>
        <w:outlineLvl w:val="0"/>
        <w:rPr>
          <w:rFonts w:ascii="Arial" w:eastAsia="Times New Roman" w:hAnsi="Arial" w:cs="Arial"/>
          <w:b/>
          <w:bCs/>
          <w:color w:val="222222"/>
          <w:kern w:val="36"/>
          <w:sz w:val="22"/>
          <w:szCs w:val="22"/>
          <w:lang w:eastAsia="en-GB"/>
        </w:rPr>
      </w:pPr>
    </w:p>
    <w:p w14:paraId="2FB85D7B" w14:textId="77777777" w:rsidR="007F3689" w:rsidRDefault="007F3689" w:rsidP="00B24CC6">
      <w:pPr>
        <w:shd w:val="clear" w:color="auto" w:fill="FFFFFF"/>
        <w:spacing w:before="100" w:beforeAutospacing="1" w:after="100" w:afterAutospacing="1" w:line="240" w:lineRule="auto"/>
        <w:outlineLvl w:val="0"/>
        <w:rPr>
          <w:rFonts w:ascii="Arial" w:eastAsia="Times New Roman" w:hAnsi="Arial" w:cs="Arial"/>
          <w:b/>
          <w:bCs/>
          <w:color w:val="222222"/>
          <w:kern w:val="36"/>
          <w:sz w:val="22"/>
          <w:szCs w:val="22"/>
          <w:lang w:eastAsia="en-GB"/>
        </w:rPr>
      </w:pPr>
    </w:p>
    <w:p w14:paraId="3C12A9C9" w14:textId="271D7258" w:rsidR="00B24CC6" w:rsidRPr="007C1B24" w:rsidRDefault="00B24CC6" w:rsidP="00B24CC6">
      <w:pPr>
        <w:shd w:val="clear" w:color="auto" w:fill="FFFFFF"/>
        <w:spacing w:before="100" w:beforeAutospacing="1" w:after="100" w:afterAutospacing="1" w:line="240" w:lineRule="auto"/>
        <w:outlineLvl w:val="0"/>
        <w:rPr>
          <w:rFonts w:ascii="Arial" w:eastAsia="Times New Roman" w:hAnsi="Arial" w:cs="Arial"/>
          <w:b/>
          <w:bCs/>
          <w:color w:val="222222"/>
          <w:kern w:val="36"/>
          <w:sz w:val="22"/>
          <w:szCs w:val="22"/>
          <w:lang w:eastAsia="en-GB"/>
        </w:rPr>
      </w:pPr>
      <w:r w:rsidRPr="007C1B24">
        <w:rPr>
          <w:rFonts w:ascii="Arial" w:eastAsia="Times New Roman" w:hAnsi="Arial" w:cs="Arial"/>
          <w:b/>
          <w:bCs/>
          <w:color w:val="222222"/>
          <w:kern w:val="36"/>
          <w:sz w:val="22"/>
          <w:szCs w:val="22"/>
          <w:lang w:eastAsia="en-GB"/>
        </w:rPr>
        <w:t>Community Mental Health Services: Origins, Current Function, and Significance</w:t>
      </w:r>
    </w:p>
    <w:p w14:paraId="3308546C" w14:textId="77777777" w:rsidR="00B24CC6" w:rsidRPr="007C1B24" w:rsidRDefault="00B24CC6" w:rsidP="00B24CC6">
      <w:pPr>
        <w:shd w:val="clear" w:color="auto" w:fill="FFFFFF"/>
        <w:spacing w:before="100" w:beforeAutospacing="1" w:after="100" w:afterAutospacing="1" w:line="240" w:lineRule="auto"/>
        <w:rPr>
          <w:rFonts w:ascii="Arial" w:eastAsia="Times New Roman" w:hAnsi="Arial" w:cs="Arial"/>
          <w:color w:val="222222"/>
          <w:sz w:val="22"/>
          <w:szCs w:val="22"/>
          <w:lang w:eastAsia="en-GB"/>
        </w:rPr>
      </w:pPr>
      <w:r w:rsidRPr="007C1B24">
        <w:rPr>
          <w:rFonts w:ascii="Arial" w:eastAsia="Times New Roman" w:hAnsi="Arial" w:cs="Arial"/>
          <w:color w:val="222222"/>
          <w:sz w:val="22"/>
          <w:szCs w:val="22"/>
          <w:lang w:eastAsia="en-GB"/>
        </w:rPr>
        <w:t>Community mental health services are an important part of health and social care in the United Kingdom. They provide support, treatment, and rehabilitation for individuals experiencing mental health difficulties while allowing them to remain within their local communities. These services were developed to replace the traditional institutional model of care and to promote recovery, independence, and social inclusion.</w:t>
      </w:r>
    </w:p>
    <w:p w14:paraId="619B79E4" w14:textId="77777777" w:rsidR="00B24CC6" w:rsidRPr="007C1B24" w:rsidRDefault="00B24CC6" w:rsidP="00B24CC6">
      <w:pPr>
        <w:shd w:val="clear" w:color="auto" w:fill="FFFFFF"/>
        <w:spacing w:before="100" w:beforeAutospacing="1" w:after="100" w:afterAutospacing="1" w:line="240" w:lineRule="auto"/>
        <w:rPr>
          <w:rFonts w:ascii="Arial" w:eastAsia="Times New Roman" w:hAnsi="Arial" w:cs="Arial"/>
          <w:color w:val="222222"/>
          <w:sz w:val="22"/>
          <w:szCs w:val="22"/>
          <w:lang w:eastAsia="en-GB"/>
        </w:rPr>
      </w:pPr>
      <w:r w:rsidRPr="007C1B24">
        <w:rPr>
          <w:rFonts w:ascii="Arial" w:eastAsia="Times New Roman" w:hAnsi="Arial" w:cs="Arial"/>
          <w:color w:val="222222"/>
          <w:sz w:val="22"/>
          <w:szCs w:val="22"/>
          <w:lang w:eastAsia="en-GB"/>
        </w:rPr>
        <w:t>Historically, mental health care in the UK was centred on large psychiatric hospitals and asylums. During the mid-twentieth century, concerns arose regarding the effectiveness of long-term institutionalisation, which often isolated people from society and limited their opportunities for independent living. As a result, the policy of deinstitutionalisation emerged during the 1950s and 1960s, encouraging treatment within community settings rather than hospitals. Community Mental Health Teams (CMHTs) were gradually introduced to provide multidisciplinary support closer to people’s homes, reflecting a shift towards person-centred care and recovery-focused practice (NHS England, 2019). This development was influenced by changing social attitudes towards mental illness, advances in psychiatric treatment, and a growing recognition of service users’ rights.</w:t>
      </w:r>
    </w:p>
    <w:p w14:paraId="24A004AF" w14:textId="77777777" w:rsidR="00B24CC6" w:rsidRPr="007C1B24" w:rsidRDefault="00B24CC6" w:rsidP="00B24CC6">
      <w:pPr>
        <w:shd w:val="clear" w:color="auto" w:fill="FFFFFF"/>
        <w:spacing w:before="100" w:beforeAutospacing="1" w:after="100" w:afterAutospacing="1" w:line="240" w:lineRule="auto"/>
        <w:rPr>
          <w:rFonts w:ascii="Arial" w:eastAsia="Times New Roman" w:hAnsi="Arial" w:cs="Arial"/>
          <w:color w:val="222222"/>
          <w:sz w:val="22"/>
          <w:szCs w:val="22"/>
          <w:lang w:eastAsia="en-GB"/>
        </w:rPr>
      </w:pPr>
      <w:r w:rsidRPr="007C1B24">
        <w:rPr>
          <w:rFonts w:ascii="Arial" w:eastAsia="Times New Roman" w:hAnsi="Arial" w:cs="Arial"/>
          <w:color w:val="222222"/>
          <w:sz w:val="22"/>
          <w:szCs w:val="22"/>
          <w:lang w:eastAsia="en-GB"/>
        </w:rPr>
        <w:t>Today, community mental health services operate through multidisciplinary teams that may include psychiatrists, mental health nurses, psychologists, social workers, occupational therapists, and support workers. Their primary aim is to provide assessment, treatment, care planning, and ongoing support for individuals with severe and enduring mental health conditions. Services commonly include psychological therapies, medication management, crisis intervention, physical health monitoring, employment support, and assistance with housing and social needs. Modern community mental health care emphasises integrated working between health services, social care, voluntary organisations, and local communities to provide holistic support (NHS England, 2024). Recent NHS reforms have further strengthened this approach by promoting personalised care and collaboration across primary care, secondary care, and community-based services.</w:t>
      </w:r>
    </w:p>
    <w:p w14:paraId="29E073C9" w14:textId="77777777" w:rsidR="00B24CC6" w:rsidRPr="007C1B24" w:rsidRDefault="00B24CC6" w:rsidP="00B24CC6">
      <w:pPr>
        <w:shd w:val="clear" w:color="auto" w:fill="FFFFFF"/>
        <w:spacing w:before="100" w:beforeAutospacing="1" w:after="100" w:afterAutospacing="1" w:line="240" w:lineRule="auto"/>
        <w:rPr>
          <w:rFonts w:ascii="Arial" w:eastAsia="Times New Roman" w:hAnsi="Arial" w:cs="Arial"/>
          <w:color w:val="222222"/>
          <w:sz w:val="22"/>
          <w:szCs w:val="22"/>
          <w:lang w:eastAsia="en-GB"/>
        </w:rPr>
      </w:pPr>
      <w:r w:rsidRPr="007C1B24">
        <w:rPr>
          <w:rFonts w:ascii="Arial" w:eastAsia="Times New Roman" w:hAnsi="Arial" w:cs="Arial"/>
          <w:color w:val="222222"/>
          <w:sz w:val="22"/>
          <w:szCs w:val="22"/>
          <w:lang w:eastAsia="en-GB"/>
        </w:rPr>
        <w:t>Although community mental health services offer many benefits, they also face several challenges. One strength of the current system is that it allows individuals to receive care in familiar surroundings, helping them maintain family relationships, employment, and community connections. Research suggests that community-based care can improve recovery outcomes and reduce the need for lengthy hospital admissions (Royal College of Psychiatrists, 2021). Furthermore, integrated community services aim to provide earlier intervention and more personalised support tailored to individual needs.</w:t>
      </w:r>
    </w:p>
    <w:p w14:paraId="54430EEE" w14:textId="54664F68" w:rsidR="007C1B24" w:rsidRDefault="00B24CC6" w:rsidP="00B24CC6">
      <w:pPr>
        <w:shd w:val="clear" w:color="auto" w:fill="FFFFFF"/>
        <w:spacing w:before="100" w:beforeAutospacing="1" w:after="100" w:afterAutospacing="1" w:line="240" w:lineRule="auto"/>
        <w:rPr>
          <w:rFonts w:ascii="Arial" w:eastAsia="Times New Roman" w:hAnsi="Arial" w:cs="Arial"/>
          <w:color w:val="222222"/>
          <w:sz w:val="22"/>
          <w:szCs w:val="22"/>
          <w:lang w:eastAsia="en-GB"/>
        </w:rPr>
      </w:pPr>
      <w:r w:rsidRPr="007C1B24">
        <w:rPr>
          <w:rFonts w:ascii="Arial" w:eastAsia="Times New Roman" w:hAnsi="Arial" w:cs="Arial"/>
          <w:color w:val="222222"/>
          <w:sz w:val="22"/>
          <w:szCs w:val="22"/>
          <w:lang w:eastAsia="en-GB"/>
        </w:rPr>
        <w:t>However, significant pressures remain. Rising demand for mental health support, workforce shortages, and limited resources can affect the quality and accessibility of services. Reports have highlighted concerns about long waiting times, high caseloads, and difficulties accessing specialist support in some areas of the country. These challenges may result in delays to treatment and increased pressure on healthcare professionals, potentially impacting service users’ experiences and outcomes (The Guardian, 2024). Therefore, while community mental health services have progressed considerably, continued investment and workforce development are required to meet growing demand effectively.</w:t>
      </w:r>
    </w:p>
    <w:p w14:paraId="4D1B18D3" w14:textId="77777777" w:rsidR="007C1B24" w:rsidRPr="007C1B24" w:rsidRDefault="007C1B24" w:rsidP="00B24CC6">
      <w:pPr>
        <w:shd w:val="clear" w:color="auto" w:fill="FFFFFF"/>
        <w:spacing w:before="100" w:beforeAutospacing="1" w:after="100" w:afterAutospacing="1" w:line="240" w:lineRule="auto"/>
        <w:rPr>
          <w:rFonts w:ascii="Arial" w:eastAsia="Times New Roman" w:hAnsi="Arial" w:cs="Arial"/>
          <w:color w:val="222222"/>
          <w:sz w:val="22"/>
          <w:szCs w:val="22"/>
          <w:lang w:eastAsia="en-GB"/>
        </w:rPr>
      </w:pPr>
    </w:p>
    <w:p w14:paraId="391DC1BF" w14:textId="77777777" w:rsidR="00B24CC6" w:rsidRPr="007C1B24" w:rsidRDefault="00B24CC6" w:rsidP="00B24CC6">
      <w:pPr>
        <w:shd w:val="clear" w:color="auto" w:fill="FFFFFF"/>
        <w:spacing w:before="100" w:beforeAutospacing="1" w:after="100" w:afterAutospacing="1" w:line="240" w:lineRule="auto"/>
        <w:rPr>
          <w:rFonts w:ascii="Arial" w:eastAsia="Times New Roman" w:hAnsi="Arial" w:cs="Arial"/>
          <w:color w:val="222222"/>
          <w:sz w:val="22"/>
          <w:szCs w:val="22"/>
          <w:lang w:eastAsia="en-GB"/>
        </w:rPr>
      </w:pPr>
      <w:r w:rsidRPr="007C1B24">
        <w:rPr>
          <w:rFonts w:ascii="Arial" w:eastAsia="Times New Roman" w:hAnsi="Arial" w:cs="Arial"/>
          <w:color w:val="222222"/>
          <w:sz w:val="22"/>
          <w:szCs w:val="22"/>
          <w:lang w:eastAsia="en-GB"/>
        </w:rPr>
        <w:t>The significance of community mental health services lies in their ability to enhance the quality of life of service users. By providing support within the community, these services promote independence, social inclusion, and empowerment. Individuals can remain connected to family, education, employment, and social networks while receiving appropriate care. Community-based support also helps reduce stigma by normalising mental health treatment within everyday settings. Additionally, early intervention and ongoing support can prevent mental health conditions from worsening, reducing the likelihood of crisis situations and hospital admissions. As a result, community mental health services play a crucial role in supporting recovery and improving overall wellbeing.</w:t>
      </w:r>
    </w:p>
    <w:p w14:paraId="459E9B8C" w14:textId="77777777" w:rsidR="00B24CC6" w:rsidRPr="007C1B24" w:rsidRDefault="00B24CC6" w:rsidP="00B24CC6">
      <w:pPr>
        <w:shd w:val="clear" w:color="auto" w:fill="FFFFFF"/>
        <w:spacing w:before="100" w:beforeAutospacing="1" w:after="100" w:afterAutospacing="1" w:line="240" w:lineRule="auto"/>
        <w:rPr>
          <w:rFonts w:ascii="Arial" w:eastAsia="Times New Roman" w:hAnsi="Arial" w:cs="Arial"/>
          <w:color w:val="222222"/>
          <w:sz w:val="22"/>
          <w:szCs w:val="22"/>
          <w:lang w:eastAsia="en-GB"/>
        </w:rPr>
      </w:pPr>
      <w:r w:rsidRPr="007C1B24">
        <w:rPr>
          <w:rFonts w:ascii="Arial" w:eastAsia="Times New Roman" w:hAnsi="Arial" w:cs="Arial"/>
          <w:color w:val="222222"/>
          <w:sz w:val="22"/>
          <w:szCs w:val="22"/>
          <w:lang w:eastAsia="en-GB"/>
        </w:rPr>
        <w:t>In conclusion, community mental health services have evolved from a historical shift away from institutional care towards a more person-centred and community-based approach. Despite challenges such as increasing demand and workforce pressures, these services remain essential in promoting recovery, independence, and social inclusion. Their continued development is vital to improving the quality of life for individuals experiencing mental health difficulties.</w:t>
      </w:r>
    </w:p>
    <w:p w14:paraId="0659416D" w14:textId="77777777" w:rsidR="007115F6" w:rsidRPr="007C1B24" w:rsidRDefault="007115F6" w:rsidP="0E9990DD">
      <w:pPr>
        <w:pStyle w:val="ListParagraph"/>
        <w:rPr>
          <w:sz w:val="22"/>
          <w:szCs w:val="22"/>
        </w:rPr>
      </w:pPr>
    </w:p>
    <w:p w14:paraId="7121ADFE" w14:textId="57BF0E1D" w:rsidR="0E9990DD" w:rsidRPr="007C1B24" w:rsidRDefault="0E9990DD" w:rsidP="0EDC75FE">
      <w:pPr>
        <w:pStyle w:val="ListParagraph"/>
        <w:rPr>
          <w:sz w:val="22"/>
          <w:szCs w:val="22"/>
        </w:rPr>
      </w:pPr>
    </w:p>
    <w:p w14:paraId="34284DD0" w14:textId="02B725CC" w:rsidR="0E9990DD" w:rsidRDefault="0E9990DD" w:rsidP="0EDC75FE">
      <w:pPr>
        <w:pStyle w:val="ListParagraph"/>
        <w:rPr>
          <w:sz w:val="36"/>
          <w:szCs w:val="36"/>
        </w:rPr>
      </w:pPr>
    </w:p>
    <w:p w14:paraId="127FADAD" w14:textId="5BFCE413" w:rsidR="0E9990DD" w:rsidRDefault="0E9990DD" w:rsidP="0EDC75FE">
      <w:pPr>
        <w:pStyle w:val="ListParagraph"/>
        <w:rPr>
          <w:sz w:val="36"/>
          <w:szCs w:val="36"/>
        </w:rPr>
      </w:pPr>
    </w:p>
    <w:p w14:paraId="5594FCC8" w14:textId="185AF86A" w:rsidR="0E9990DD" w:rsidRDefault="0E9990DD" w:rsidP="0EDC75FE">
      <w:pPr>
        <w:pStyle w:val="ListParagraph"/>
        <w:rPr>
          <w:sz w:val="36"/>
          <w:szCs w:val="36"/>
        </w:rPr>
      </w:pPr>
    </w:p>
    <w:p w14:paraId="4B7E133E" w14:textId="7F2DF524" w:rsidR="0E9990DD" w:rsidRDefault="0E9990DD" w:rsidP="0EDC75FE">
      <w:pPr>
        <w:pStyle w:val="ListParagraph"/>
        <w:rPr>
          <w:sz w:val="36"/>
          <w:szCs w:val="36"/>
        </w:rPr>
      </w:pPr>
    </w:p>
    <w:p w14:paraId="75ED29F0" w14:textId="11C074CA" w:rsidR="0E9990DD" w:rsidRDefault="0E9990DD" w:rsidP="0EDC75FE">
      <w:pPr>
        <w:pStyle w:val="ListParagraph"/>
        <w:rPr>
          <w:sz w:val="36"/>
          <w:szCs w:val="36"/>
        </w:rPr>
      </w:pPr>
    </w:p>
    <w:p w14:paraId="4791262F" w14:textId="258E94BE" w:rsidR="0E9990DD" w:rsidRDefault="0E9990DD" w:rsidP="0EDC75FE">
      <w:pPr>
        <w:pStyle w:val="ListParagraph"/>
        <w:rPr>
          <w:sz w:val="36"/>
          <w:szCs w:val="36"/>
        </w:rPr>
      </w:pPr>
    </w:p>
    <w:p w14:paraId="3C941B27" w14:textId="6ECD0DE7" w:rsidR="0E9990DD" w:rsidRDefault="0E9990DD" w:rsidP="0EDC75FE">
      <w:pPr>
        <w:pStyle w:val="ListParagraph"/>
        <w:rPr>
          <w:sz w:val="36"/>
          <w:szCs w:val="36"/>
        </w:rPr>
      </w:pPr>
    </w:p>
    <w:p w14:paraId="092ED5F3" w14:textId="6A155680" w:rsidR="0E9990DD" w:rsidRDefault="0E9990DD" w:rsidP="0EDC75FE">
      <w:pPr>
        <w:pStyle w:val="ListParagraph"/>
        <w:rPr>
          <w:sz w:val="36"/>
          <w:szCs w:val="36"/>
        </w:rPr>
      </w:pPr>
    </w:p>
    <w:p w14:paraId="3AE2BF82" w14:textId="46B8CEBE" w:rsidR="0E9990DD" w:rsidRDefault="0E9990DD" w:rsidP="0EDC75FE">
      <w:pPr>
        <w:pStyle w:val="ListParagraph"/>
        <w:rPr>
          <w:sz w:val="36"/>
          <w:szCs w:val="36"/>
        </w:rPr>
      </w:pPr>
    </w:p>
    <w:p w14:paraId="4D440410" w14:textId="4C30EC02" w:rsidR="00227987" w:rsidRDefault="00227987" w:rsidP="007949BB">
      <w:pPr>
        <w:rPr>
          <w:sz w:val="36"/>
          <w:szCs w:val="36"/>
        </w:rPr>
      </w:pPr>
    </w:p>
    <w:p w14:paraId="2D00C720" w14:textId="77777777" w:rsidR="007C1B24" w:rsidRDefault="007C1B24" w:rsidP="00DF7467">
      <w:pPr>
        <w:ind w:left="720"/>
        <w:jc w:val="center"/>
        <w:rPr>
          <w:sz w:val="36"/>
          <w:szCs w:val="36"/>
        </w:rPr>
      </w:pPr>
    </w:p>
    <w:p w14:paraId="6B94142E" w14:textId="77777777" w:rsidR="002560A8" w:rsidRDefault="002560A8" w:rsidP="004B30A8">
      <w:pPr>
        <w:ind w:left="720"/>
        <w:jc w:val="center"/>
        <w:rPr>
          <w:rFonts w:ascii="Arial" w:hAnsi="Arial" w:cs="Arial"/>
          <w:sz w:val="22"/>
          <w:szCs w:val="22"/>
        </w:rPr>
      </w:pPr>
    </w:p>
    <w:p w14:paraId="193E424B" w14:textId="77777777" w:rsidR="002560A8" w:rsidRDefault="002560A8" w:rsidP="004B30A8">
      <w:pPr>
        <w:ind w:left="720"/>
        <w:jc w:val="center"/>
        <w:rPr>
          <w:rFonts w:ascii="Arial" w:hAnsi="Arial" w:cs="Arial"/>
          <w:sz w:val="22"/>
          <w:szCs w:val="22"/>
        </w:rPr>
      </w:pPr>
    </w:p>
    <w:p w14:paraId="0B3B3D29" w14:textId="77777777" w:rsidR="002560A8" w:rsidRDefault="002560A8" w:rsidP="004B30A8">
      <w:pPr>
        <w:ind w:left="720"/>
        <w:jc w:val="center"/>
        <w:rPr>
          <w:rFonts w:ascii="Arial" w:hAnsi="Arial" w:cs="Arial"/>
          <w:sz w:val="22"/>
          <w:szCs w:val="22"/>
        </w:rPr>
      </w:pPr>
    </w:p>
    <w:p w14:paraId="4F91F409" w14:textId="77777777" w:rsidR="002560A8" w:rsidRDefault="002560A8" w:rsidP="004B30A8">
      <w:pPr>
        <w:ind w:left="720"/>
        <w:jc w:val="center"/>
        <w:rPr>
          <w:rFonts w:ascii="Arial" w:hAnsi="Arial" w:cs="Arial"/>
          <w:sz w:val="22"/>
          <w:szCs w:val="22"/>
        </w:rPr>
      </w:pPr>
    </w:p>
    <w:p w14:paraId="50296E9F" w14:textId="77777777" w:rsidR="002560A8" w:rsidRDefault="002560A8" w:rsidP="004B30A8">
      <w:pPr>
        <w:ind w:left="720"/>
        <w:jc w:val="center"/>
        <w:rPr>
          <w:rFonts w:ascii="Arial" w:hAnsi="Arial" w:cs="Arial"/>
          <w:sz w:val="22"/>
          <w:szCs w:val="22"/>
        </w:rPr>
      </w:pPr>
    </w:p>
    <w:p w14:paraId="260F210C" w14:textId="2D4BCDF8" w:rsidR="007C1B24" w:rsidRDefault="00DF7467" w:rsidP="004B30A8">
      <w:pPr>
        <w:ind w:left="720"/>
        <w:jc w:val="center"/>
        <w:rPr>
          <w:rFonts w:ascii="Arial" w:hAnsi="Arial" w:cs="Arial"/>
          <w:sz w:val="22"/>
          <w:szCs w:val="22"/>
        </w:rPr>
      </w:pPr>
      <w:r w:rsidRPr="007F3689">
        <w:rPr>
          <w:rFonts w:ascii="Arial" w:hAnsi="Arial" w:cs="Arial"/>
          <w:sz w:val="22"/>
          <w:szCs w:val="22"/>
        </w:rPr>
        <w:lastRenderedPageBreak/>
        <w:t>REFERENCES</w:t>
      </w:r>
    </w:p>
    <w:p w14:paraId="7607BE45" w14:textId="77777777" w:rsidR="007949BB" w:rsidRDefault="007949BB" w:rsidP="004B30A8">
      <w:pPr>
        <w:ind w:left="720"/>
        <w:jc w:val="center"/>
        <w:rPr>
          <w:rFonts w:ascii="Arial" w:hAnsi="Arial" w:cs="Arial"/>
          <w:sz w:val="22"/>
          <w:szCs w:val="22"/>
        </w:rPr>
      </w:pPr>
    </w:p>
    <w:p w14:paraId="1031C218" w14:textId="77777777" w:rsidR="007949BB" w:rsidRPr="007F3689" w:rsidRDefault="007949BB" w:rsidP="004B30A8">
      <w:pPr>
        <w:ind w:left="720"/>
        <w:jc w:val="center"/>
        <w:rPr>
          <w:rFonts w:ascii="Arial" w:hAnsi="Arial" w:cs="Arial"/>
          <w:sz w:val="22"/>
          <w:szCs w:val="22"/>
        </w:rPr>
      </w:pPr>
    </w:p>
    <w:p w14:paraId="2461FDCE" w14:textId="31B998C4" w:rsidR="007F3689" w:rsidRPr="007F3689" w:rsidRDefault="007C1B24" w:rsidP="007F3689">
      <w:pPr>
        <w:numPr>
          <w:ilvl w:val="0"/>
          <w:numId w:val="9"/>
        </w:numPr>
        <w:shd w:val="clear" w:color="auto" w:fill="FFFFFF"/>
        <w:spacing w:after="0" w:line="240" w:lineRule="auto"/>
        <w:rPr>
          <w:rFonts w:ascii="Arial" w:eastAsia="Times New Roman" w:hAnsi="Arial" w:cs="Arial"/>
          <w:color w:val="222222"/>
          <w:sz w:val="22"/>
          <w:szCs w:val="22"/>
          <w:lang w:eastAsia="en-GB"/>
        </w:rPr>
      </w:pPr>
      <w:r w:rsidRPr="007F3689">
        <w:rPr>
          <w:rFonts w:ascii="Arial" w:eastAsia="Times New Roman" w:hAnsi="Arial" w:cs="Arial"/>
          <w:color w:val="222222"/>
          <w:sz w:val="22"/>
          <w:szCs w:val="22"/>
          <w:lang w:eastAsia="en-GB"/>
        </w:rPr>
        <w:t>Department of Health and Social Care (DHSC) (2022) </w:t>
      </w:r>
      <w:r w:rsidRPr="007F3689">
        <w:rPr>
          <w:rFonts w:ascii="Arial" w:eastAsia="Times New Roman" w:hAnsi="Arial" w:cs="Arial"/>
          <w:i/>
          <w:iCs/>
          <w:color w:val="222222"/>
          <w:sz w:val="22"/>
          <w:szCs w:val="22"/>
          <w:lang w:eastAsia="en-GB"/>
        </w:rPr>
        <w:t>Pharmacy First: Expanding Pharmacy Services</w:t>
      </w:r>
      <w:r w:rsidRPr="007F3689">
        <w:rPr>
          <w:rFonts w:ascii="Arial" w:eastAsia="Times New Roman" w:hAnsi="Arial" w:cs="Arial"/>
          <w:color w:val="222222"/>
          <w:sz w:val="22"/>
          <w:szCs w:val="22"/>
          <w:lang w:eastAsia="en-GB"/>
        </w:rPr>
        <w:t>. Available at: </w:t>
      </w:r>
      <w:hyperlink r:id="rId16" w:tgtFrame="_blank" w:history="1">
        <w:r w:rsidRPr="007F3689">
          <w:rPr>
            <w:rFonts w:ascii="Arial" w:eastAsia="Times New Roman" w:hAnsi="Arial" w:cs="Arial"/>
            <w:color w:val="0000EE"/>
            <w:sz w:val="22"/>
            <w:szCs w:val="22"/>
            <w:u w:val="single"/>
            <w:lang w:eastAsia="en-GB"/>
          </w:rPr>
          <w:t>https://www.gov.uk/government/publications/pharmacy-first-expanded-services</w:t>
        </w:r>
      </w:hyperlink>
      <w:r w:rsidRPr="007F3689">
        <w:rPr>
          <w:rFonts w:ascii="Arial" w:eastAsia="Times New Roman" w:hAnsi="Arial" w:cs="Arial"/>
          <w:color w:val="222222"/>
          <w:sz w:val="22"/>
          <w:szCs w:val="22"/>
          <w:lang w:eastAsia="en-GB"/>
        </w:rPr>
        <w:t> (Accessed: 13 June 2026).</w:t>
      </w:r>
    </w:p>
    <w:p w14:paraId="1DCD182D" w14:textId="438DE2D2" w:rsidR="007F3689" w:rsidRPr="007F3689" w:rsidRDefault="007C1B24" w:rsidP="007F3689">
      <w:pPr>
        <w:pStyle w:val="ListParagraph"/>
        <w:numPr>
          <w:ilvl w:val="0"/>
          <w:numId w:val="9"/>
        </w:numPr>
        <w:shd w:val="clear" w:color="auto" w:fill="FFFFFF"/>
        <w:spacing w:after="0" w:line="240" w:lineRule="auto"/>
        <w:rPr>
          <w:rFonts w:ascii="Arial" w:eastAsia="Times New Roman" w:hAnsi="Arial" w:cs="Arial"/>
          <w:color w:val="222222"/>
          <w:sz w:val="22"/>
          <w:szCs w:val="22"/>
          <w:lang w:eastAsia="en-GB"/>
        </w:rPr>
      </w:pPr>
      <w:r w:rsidRPr="007F3689">
        <w:rPr>
          <w:rFonts w:ascii="Arial" w:eastAsia="Times New Roman" w:hAnsi="Arial" w:cs="Arial"/>
          <w:color w:val="222222"/>
          <w:sz w:val="22"/>
          <w:szCs w:val="22"/>
          <w:lang w:eastAsia="en-GB"/>
        </w:rPr>
        <w:t>General Pharmaceutical Council (GPhC) (2024) </w:t>
      </w:r>
      <w:r w:rsidRPr="007F3689">
        <w:rPr>
          <w:rFonts w:ascii="Arial" w:eastAsia="Times New Roman" w:hAnsi="Arial" w:cs="Arial"/>
          <w:i/>
          <w:iCs/>
          <w:color w:val="222222"/>
          <w:sz w:val="22"/>
          <w:szCs w:val="22"/>
          <w:lang w:eastAsia="en-GB"/>
        </w:rPr>
        <w:t>Standards for Pharmacy Professionals</w:t>
      </w:r>
      <w:r w:rsidRPr="007F3689">
        <w:rPr>
          <w:rFonts w:ascii="Arial" w:eastAsia="Times New Roman" w:hAnsi="Arial" w:cs="Arial"/>
          <w:color w:val="222222"/>
          <w:sz w:val="22"/>
          <w:szCs w:val="22"/>
          <w:lang w:eastAsia="en-GB"/>
        </w:rPr>
        <w:t>. Available at: </w:t>
      </w:r>
      <w:hyperlink r:id="rId17" w:tgtFrame="_blank" w:history="1">
        <w:r w:rsidRPr="007F3689">
          <w:rPr>
            <w:rFonts w:ascii="Arial" w:eastAsia="Times New Roman" w:hAnsi="Arial" w:cs="Arial"/>
            <w:color w:val="0000EE"/>
            <w:sz w:val="22"/>
            <w:szCs w:val="22"/>
            <w:u w:val="single"/>
            <w:lang w:eastAsia="en-GB"/>
          </w:rPr>
          <w:t>https://www.pharmacyregulation.org</w:t>
        </w:r>
      </w:hyperlink>
      <w:r w:rsidRPr="007F3689">
        <w:rPr>
          <w:rFonts w:ascii="Arial" w:eastAsia="Times New Roman" w:hAnsi="Arial" w:cs="Arial"/>
          <w:color w:val="222222"/>
          <w:sz w:val="22"/>
          <w:szCs w:val="22"/>
          <w:lang w:eastAsia="en-GB"/>
        </w:rPr>
        <w:t> (Accessed: 13 June 2026).</w:t>
      </w:r>
    </w:p>
    <w:p w14:paraId="323F2D89" w14:textId="50670A23" w:rsidR="007F3689" w:rsidRPr="007F3689" w:rsidRDefault="007C1B24" w:rsidP="007F3689">
      <w:pPr>
        <w:numPr>
          <w:ilvl w:val="0"/>
          <w:numId w:val="9"/>
        </w:numPr>
        <w:shd w:val="clear" w:color="auto" w:fill="FFFFFF"/>
        <w:spacing w:after="0" w:line="240" w:lineRule="auto"/>
        <w:rPr>
          <w:rFonts w:ascii="Arial" w:eastAsia="Times New Roman" w:hAnsi="Arial" w:cs="Arial"/>
          <w:color w:val="222222"/>
          <w:sz w:val="22"/>
          <w:szCs w:val="22"/>
          <w:lang w:eastAsia="en-GB"/>
        </w:rPr>
      </w:pPr>
      <w:r w:rsidRPr="007F3689">
        <w:rPr>
          <w:rFonts w:ascii="Arial" w:eastAsia="Times New Roman" w:hAnsi="Arial" w:cs="Arial"/>
          <w:color w:val="222222"/>
          <w:sz w:val="22"/>
          <w:szCs w:val="22"/>
          <w:lang w:eastAsia="en-GB"/>
        </w:rPr>
        <w:t>National Health Service (NHS) (2023) </w:t>
      </w:r>
      <w:r w:rsidRPr="007F3689">
        <w:rPr>
          <w:rFonts w:ascii="Arial" w:eastAsia="Times New Roman" w:hAnsi="Arial" w:cs="Arial"/>
          <w:i/>
          <w:iCs/>
          <w:color w:val="222222"/>
          <w:sz w:val="22"/>
          <w:szCs w:val="22"/>
          <w:lang w:eastAsia="en-GB"/>
        </w:rPr>
        <w:t>Community Pharmacy Services</w:t>
      </w:r>
      <w:r w:rsidRPr="007F3689">
        <w:rPr>
          <w:rFonts w:ascii="Arial" w:eastAsia="Times New Roman" w:hAnsi="Arial" w:cs="Arial"/>
          <w:color w:val="222222"/>
          <w:sz w:val="22"/>
          <w:szCs w:val="22"/>
          <w:lang w:eastAsia="en-GB"/>
        </w:rPr>
        <w:t>. Available at: </w:t>
      </w:r>
      <w:hyperlink r:id="rId18" w:tgtFrame="_blank" w:history="1">
        <w:r w:rsidRPr="007F3689">
          <w:rPr>
            <w:rFonts w:ascii="Arial" w:eastAsia="Times New Roman" w:hAnsi="Arial" w:cs="Arial"/>
            <w:color w:val="0000EE"/>
            <w:sz w:val="22"/>
            <w:szCs w:val="22"/>
            <w:u w:val="single"/>
            <w:lang w:eastAsia="en-GB"/>
          </w:rPr>
          <w:t>https://www.nhs.uk/conditions/pharmacy-services/</w:t>
        </w:r>
      </w:hyperlink>
      <w:r w:rsidRPr="007F3689">
        <w:rPr>
          <w:rFonts w:ascii="Arial" w:eastAsia="Times New Roman" w:hAnsi="Arial" w:cs="Arial"/>
          <w:color w:val="222222"/>
          <w:sz w:val="22"/>
          <w:szCs w:val="22"/>
          <w:lang w:eastAsia="en-GB"/>
        </w:rPr>
        <w:t> (Accessed: 13 June 2026).</w:t>
      </w:r>
    </w:p>
    <w:p w14:paraId="1D28CDAC" w14:textId="561DAFEC" w:rsidR="007F3689" w:rsidRPr="007F3689" w:rsidRDefault="007C1B24" w:rsidP="007F3689">
      <w:pPr>
        <w:pStyle w:val="NormalWeb"/>
        <w:numPr>
          <w:ilvl w:val="0"/>
          <w:numId w:val="9"/>
        </w:numPr>
        <w:shd w:val="clear" w:color="auto" w:fill="FFFFFF"/>
        <w:rPr>
          <w:rFonts w:ascii="Arial" w:hAnsi="Arial" w:cs="Arial"/>
          <w:color w:val="222222"/>
          <w:sz w:val="22"/>
          <w:szCs w:val="22"/>
        </w:rPr>
      </w:pPr>
      <w:r w:rsidRPr="007F3689">
        <w:rPr>
          <w:rFonts w:ascii="Arial" w:hAnsi="Arial" w:cs="Arial"/>
          <w:color w:val="222222"/>
          <w:sz w:val="22"/>
          <w:szCs w:val="22"/>
        </w:rPr>
        <w:t>NHS England. (2019). </w:t>
      </w:r>
      <w:r w:rsidRPr="007F3689">
        <w:rPr>
          <w:rFonts w:ascii="Arial" w:hAnsi="Arial" w:cs="Arial"/>
          <w:i/>
          <w:iCs/>
          <w:color w:val="222222"/>
          <w:sz w:val="22"/>
          <w:szCs w:val="22"/>
        </w:rPr>
        <w:t>The Community Mental Health Framework for Adults and Older Adults</w:t>
      </w:r>
      <w:r w:rsidRPr="007F3689">
        <w:rPr>
          <w:rFonts w:ascii="Arial" w:hAnsi="Arial" w:cs="Arial"/>
          <w:color w:val="222222"/>
          <w:sz w:val="22"/>
          <w:szCs w:val="22"/>
        </w:rPr>
        <w:t>. Available at: </w:t>
      </w:r>
      <w:hyperlink r:id="rId19" w:tgtFrame="_blank" w:history="1">
        <w:r w:rsidRPr="007F3689">
          <w:rPr>
            <w:rStyle w:val="Hyperlink"/>
            <w:rFonts w:ascii="Arial" w:hAnsi="Arial" w:cs="Arial"/>
            <w:color w:val="1155CC"/>
            <w:sz w:val="22"/>
            <w:szCs w:val="22"/>
          </w:rPr>
          <w:t>https://www.england.nhs.uk/publication/the-community-mental-health-framework-for-adults-and-older-adults/</w:t>
        </w:r>
      </w:hyperlink>
      <w:r w:rsidRPr="007F3689">
        <w:rPr>
          <w:rFonts w:ascii="Arial" w:hAnsi="Arial" w:cs="Arial"/>
          <w:color w:val="222222"/>
          <w:sz w:val="22"/>
          <w:szCs w:val="22"/>
        </w:rPr>
        <w:t> (Accessed: 11 June 2026).</w:t>
      </w:r>
    </w:p>
    <w:p w14:paraId="6196BF68" w14:textId="5F1D26F2" w:rsidR="007F3689" w:rsidRPr="007F3689" w:rsidRDefault="007C1B24" w:rsidP="007F3689">
      <w:pPr>
        <w:pStyle w:val="NormalWeb"/>
        <w:numPr>
          <w:ilvl w:val="0"/>
          <w:numId w:val="9"/>
        </w:numPr>
        <w:shd w:val="clear" w:color="auto" w:fill="FFFFFF"/>
        <w:rPr>
          <w:rFonts w:ascii="Arial" w:hAnsi="Arial" w:cs="Arial"/>
          <w:color w:val="222222"/>
          <w:sz w:val="22"/>
          <w:szCs w:val="22"/>
        </w:rPr>
      </w:pPr>
      <w:r w:rsidRPr="007F3689">
        <w:rPr>
          <w:rFonts w:ascii="Arial" w:hAnsi="Arial" w:cs="Arial"/>
          <w:color w:val="222222"/>
          <w:sz w:val="22"/>
          <w:szCs w:val="22"/>
        </w:rPr>
        <w:t>NHS England. (2024). </w:t>
      </w:r>
      <w:r w:rsidRPr="007F3689">
        <w:rPr>
          <w:rFonts w:ascii="Arial" w:hAnsi="Arial" w:cs="Arial"/>
          <w:i/>
          <w:iCs/>
          <w:color w:val="222222"/>
          <w:sz w:val="22"/>
          <w:szCs w:val="22"/>
        </w:rPr>
        <w:t>Community Mental Health Services</w:t>
      </w:r>
      <w:r w:rsidRPr="007F3689">
        <w:rPr>
          <w:rFonts w:ascii="Arial" w:hAnsi="Arial" w:cs="Arial"/>
          <w:color w:val="222222"/>
          <w:sz w:val="22"/>
          <w:szCs w:val="22"/>
        </w:rPr>
        <w:t>. Available at: </w:t>
      </w:r>
      <w:hyperlink r:id="rId20" w:tgtFrame="_blank" w:history="1">
        <w:r w:rsidRPr="007F3689">
          <w:rPr>
            <w:rStyle w:val="Hyperlink"/>
            <w:rFonts w:ascii="Arial" w:hAnsi="Arial" w:cs="Arial"/>
            <w:color w:val="1155CC"/>
            <w:sz w:val="22"/>
            <w:szCs w:val="22"/>
          </w:rPr>
          <w:t>https://www.england.nhs.uk/mental-health/adults/cmhs/</w:t>
        </w:r>
      </w:hyperlink>
      <w:r w:rsidRPr="007F3689">
        <w:rPr>
          <w:rFonts w:ascii="Arial" w:hAnsi="Arial" w:cs="Arial"/>
          <w:color w:val="222222"/>
          <w:sz w:val="22"/>
          <w:szCs w:val="22"/>
        </w:rPr>
        <w:t> (Accessed: 11June 2026).  </w:t>
      </w:r>
    </w:p>
    <w:p w14:paraId="5D5967DE" w14:textId="77777777" w:rsidR="007C1B24" w:rsidRPr="007F3689" w:rsidRDefault="007C1B24" w:rsidP="005C20B8">
      <w:pPr>
        <w:numPr>
          <w:ilvl w:val="0"/>
          <w:numId w:val="9"/>
        </w:numPr>
        <w:shd w:val="clear" w:color="auto" w:fill="FFFFFF"/>
        <w:spacing w:after="0" w:line="240" w:lineRule="auto"/>
        <w:rPr>
          <w:rFonts w:ascii="Arial" w:eastAsia="Times New Roman" w:hAnsi="Arial" w:cs="Arial"/>
          <w:color w:val="222222"/>
          <w:sz w:val="22"/>
          <w:szCs w:val="22"/>
          <w:lang w:eastAsia="en-GB"/>
        </w:rPr>
      </w:pPr>
      <w:r w:rsidRPr="007F3689">
        <w:rPr>
          <w:rFonts w:ascii="Arial" w:eastAsia="Times New Roman" w:hAnsi="Arial" w:cs="Arial"/>
          <w:color w:val="222222"/>
          <w:sz w:val="22"/>
          <w:szCs w:val="22"/>
          <w:lang w:eastAsia="en-GB"/>
        </w:rPr>
        <w:t>Pharmaceutical Services Negotiating Committee (PSNC) (2023) </w:t>
      </w:r>
      <w:r w:rsidRPr="007F3689">
        <w:rPr>
          <w:rFonts w:ascii="Arial" w:eastAsia="Times New Roman" w:hAnsi="Arial" w:cs="Arial"/>
          <w:i/>
          <w:iCs/>
          <w:color w:val="222222"/>
          <w:sz w:val="22"/>
          <w:szCs w:val="22"/>
          <w:lang w:eastAsia="en-GB"/>
        </w:rPr>
        <w:t>Community Pharmacy Contractual Framework</w:t>
      </w:r>
      <w:r w:rsidRPr="007F3689">
        <w:rPr>
          <w:rFonts w:ascii="Arial" w:eastAsia="Times New Roman" w:hAnsi="Arial" w:cs="Arial"/>
          <w:color w:val="222222"/>
          <w:sz w:val="22"/>
          <w:szCs w:val="22"/>
          <w:lang w:eastAsia="en-GB"/>
        </w:rPr>
        <w:t>. Available at: </w:t>
      </w:r>
      <w:hyperlink r:id="rId21" w:tgtFrame="_blank" w:history="1">
        <w:r w:rsidRPr="007F3689">
          <w:rPr>
            <w:rFonts w:ascii="Arial" w:eastAsia="Times New Roman" w:hAnsi="Arial" w:cs="Arial"/>
            <w:color w:val="0000EE"/>
            <w:sz w:val="22"/>
            <w:szCs w:val="22"/>
            <w:u w:val="single"/>
            <w:lang w:eastAsia="en-GB"/>
          </w:rPr>
          <w:t>https://psnc.org.uk/our-news/the-pharmacy-contractual-framework/</w:t>
        </w:r>
      </w:hyperlink>
      <w:r w:rsidRPr="007F3689">
        <w:rPr>
          <w:rFonts w:ascii="Arial" w:eastAsia="Times New Roman" w:hAnsi="Arial" w:cs="Arial"/>
          <w:color w:val="222222"/>
          <w:sz w:val="22"/>
          <w:szCs w:val="22"/>
          <w:lang w:eastAsia="en-GB"/>
        </w:rPr>
        <w:t> (Accessed: 13 June 2026).</w:t>
      </w:r>
    </w:p>
    <w:p w14:paraId="49F28F2F" w14:textId="77777777" w:rsidR="007C1B24" w:rsidRPr="007F3689" w:rsidRDefault="007C1B24" w:rsidP="007C1B24">
      <w:pPr>
        <w:pStyle w:val="NormalWeb"/>
        <w:numPr>
          <w:ilvl w:val="0"/>
          <w:numId w:val="9"/>
        </w:numPr>
        <w:shd w:val="clear" w:color="auto" w:fill="FFFFFF"/>
        <w:rPr>
          <w:rFonts w:ascii="Arial" w:hAnsi="Arial" w:cs="Arial"/>
          <w:color w:val="222222"/>
          <w:sz w:val="22"/>
          <w:szCs w:val="22"/>
        </w:rPr>
      </w:pPr>
      <w:r w:rsidRPr="007F3689">
        <w:rPr>
          <w:rFonts w:ascii="Arial" w:hAnsi="Arial" w:cs="Arial"/>
          <w:color w:val="222222"/>
          <w:sz w:val="22"/>
          <w:szCs w:val="22"/>
        </w:rPr>
        <w:t>Royal College of Psychiatrists. (2021). </w:t>
      </w:r>
      <w:r w:rsidRPr="007F3689">
        <w:rPr>
          <w:rFonts w:ascii="Arial" w:hAnsi="Arial" w:cs="Arial"/>
          <w:i/>
          <w:iCs/>
          <w:color w:val="222222"/>
          <w:sz w:val="22"/>
          <w:szCs w:val="22"/>
        </w:rPr>
        <w:t>The Community Mental Health Framework for Adults and Older Adults</w:t>
      </w:r>
      <w:r w:rsidRPr="007F3689">
        <w:rPr>
          <w:rFonts w:ascii="Arial" w:hAnsi="Arial" w:cs="Arial"/>
          <w:color w:val="222222"/>
          <w:sz w:val="22"/>
          <w:szCs w:val="22"/>
        </w:rPr>
        <w:t>. Available at: </w:t>
      </w:r>
      <w:hyperlink r:id="rId22" w:tgtFrame="_blank" w:history="1">
        <w:r w:rsidRPr="007F3689">
          <w:rPr>
            <w:rStyle w:val="Hyperlink"/>
            <w:rFonts w:ascii="Arial" w:hAnsi="Arial" w:cs="Arial"/>
            <w:color w:val="1155CC"/>
            <w:sz w:val="22"/>
            <w:szCs w:val="22"/>
          </w:rPr>
          <w:t>https://www.rcpsych.ac.uk/improving-care/nccmh/service-design-and-development/community-framework</w:t>
        </w:r>
      </w:hyperlink>
      <w:r w:rsidRPr="007F3689">
        <w:rPr>
          <w:rFonts w:ascii="Arial" w:hAnsi="Arial" w:cs="Arial"/>
          <w:color w:val="222222"/>
          <w:sz w:val="22"/>
          <w:szCs w:val="22"/>
        </w:rPr>
        <w:t> (Accessed: 11 June 2026).  </w:t>
      </w:r>
    </w:p>
    <w:p w14:paraId="796BC840" w14:textId="77777777" w:rsidR="007C1B24" w:rsidRPr="007F3689" w:rsidRDefault="007C1B24" w:rsidP="005C20B8">
      <w:pPr>
        <w:numPr>
          <w:ilvl w:val="0"/>
          <w:numId w:val="9"/>
        </w:numPr>
        <w:shd w:val="clear" w:color="auto" w:fill="FFFFFF"/>
        <w:spacing w:after="0" w:line="240" w:lineRule="auto"/>
        <w:rPr>
          <w:rFonts w:ascii="Arial" w:eastAsia="Times New Roman" w:hAnsi="Arial" w:cs="Arial"/>
          <w:color w:val="222222"/>
          <w:sz w:val="22"/>
          <w:szCs w:val="22"/>
          <w:lang w:eastAsia="en-GB"/>
        </w:rPr>
      </w:pPr>
      <w:r w:rsidRPr="007F3689">
        <w:rPr>
          <w:rFonts w:ascii="Arial" w:eastAsia="Times New Roman" w:hAnsi="Arial" w:cs="Arial"/>
          <w:color w:val="222222"/>
          <w:sz w:val="22"/>
          <w:szCs w:val="22"/>
          <w:lang w:eastAsia="en-GB"/>
        </w:rPr>
        <w:t>Royal Pharmaceutical Society (RPS) (2023) </w:t>
      </w:r>
      <w:r w:rsidRPr="007F3689">
        <w:rPr>
          <w:rFonts w:ascii="Arial" w:eastAsia="Times New Roman" w:hAnsi="Arial" w:cs="Arial"/>
          <w:i/>
          <w:iCs/>
          <w:color w:val="222222"/>
          <w:sz w:val="22"/>
          <w:szCs w:val="22"/>
          <w:lang w:eastAsia="en-GB"/>
        </w:rPr>
        <w:t>The Value of Pharmacy</w:t>
      </w:r>
      <w:r w:rsidRPr="007F3689">
        <w:rPr>
          <w:rFonts w:ascii="Arial" w:eastAsia="Times New Roman" w:hAnsi="Arial" w:cs="Arial"/>
          <w:color w:val="222222"/>
          <w:sz w:val="22"/>
          <w:szCs w:val="22"/>
          <w:lang w:eastAsia="en-GB"/>
        </w:rPr>
        <w:t>. Available at: </w:t>
      </w:r>
      <w:hyperlink r:id="rId23" w:tgtFrame="_blank" w:history="1">
        <w:r w:rsidRPr="007F3689">
          <w:rPr>
            <w:rFonts w:ascii="Arial" w:eastAsia="Times New Roman" w:hAnsi="Arial" w:cs="Arial"/>
            <w:color w:val="0000EE"/>
            <w:sz w:val="22"/>
            <w:szCs w:val="22"/>
            <w:u w:val="single"/>
            <w:lang w:eastAsia="en-GB"/>
          </w:rPr>
          <w:t>https://www.rpharms.com/our-campaigns/value-of-pharmacy</w:t>
        </w:r>
      </w:hyperlink>
      <w:r w:rsidRPr="007F3689">
        <w:rPr>
          <w:rFonts w:ascii="Arial" w:eastAsia="Times New Roman" w:hAnsi="Arial" w:cs="Arial"/>
          <w:color w:val="222222"/>
          <w:sz w:val="22"/>
          <w:szCs w:val="22"/>
          <w:lang w:eastAsia="en-GB"/>
        </w:rPr>
        <w:t> (Accessed: 13 June 2026).</w:t>
      </w:r>
    </w:p>
    <w:p w14:paraId="36EE38B6" w14:textId="77777777" w:rsidR="007C1B24" w:rsidRPr="007F3689" w:rsidRDefault="007C1B24" w:rsidP="007C1B24">
      <w:pPr>
        <w:pStyle w:val="NormalWeb"/>
        <w:numPr>
          <w:ilvl w:val="0"/>
          <w:numId w:val="9"/>
        </w:numPr>
        <w:shd w:val="clear" w:color="auto" w:fill="FFFFFF"/>
        <w:rPr>
          <w:rFonts w:ascii="Arial" w:hAnsi="Arial" w:cs="Arial"/>
          <w:color w:val="222222"/>
          <w:sz w:val="22"/>
          <w:szCs w:val="22"/>
        </w:rPr>
      </w:pPr>
      <w:r w:rsidRPr="007F3689">
        <w:rPr>
          <w:rFonts w:ascii="Arial" w:hAnsi="Arial" w:cs="Arial"/>
          <w:color w:val="222222"/>
          <w:sz w:val="22"/>
          <w:szCs w:val="22"/>
        </w:rPr>
        <w:t>The Guardian. (2024). </w:t>
      </w:r>
      <w:r w:rsidRPr="007F3689">
        <w:rPr>
          <w:rFonts w:ascii="Arial" w:hAnsi="Arial" w:cs="Arial"/>
          <w:i/>
          <w:iCs/>
          <w:color w:val="222222"/>
          <w:sz w:val="22"/>
          <w:szCs w:val="22"/>
        </w:rPr>
        <w:t>Mental health services are beset by complex and profound problems</w:t>
      </w:r>
      <w:r w:rsidRPr="007F3689">
        <w:rPr>
          <w:rFonts w:ascii="Arial" w:hAnsi="Arial" w:cs="Arial"/>
          <w:color w:val="222222"/>
          <w:sz w:val="22"/>
          <w:szCs w:val="22"/>
        </w:rPr>
        <w:t>. Available at: </w:t>
      </w:r>
      <w:hyperlink r:id="rId24" w:tgtFrame="_blank" w:history="1">
        <w:r w:rsidRPr="007F3689">
          <w:rPr>
            <w:rStyle w:val="Hyperlink"/>
            <w:rFonts w:ascii="Arial" w:hAnsi="Arial" w:cs="Arial"/>
            <w:color w:val="1155CC"/>
            <w:sz w:val="22"/>
            <w:szCs w:val="22"/>
          </w:rPr>
          <w:t>https://www.theguardian.com/society/article/2024/aug/16/mental-health-services-are-beset-by-complex-and-profound-problems</w:t>
        </w:r>
      </w:hyperlink>
      <w:r w:rsidRPr="007F3689">
        <w:rPr>
          <w:rFonts w:ascii="Arial" w:hAnsi="Arial" w:cs="Arial"/>
          <w:color w:val="222222"/>
          <w:sz w:val="22"/>
          <w:szCs w:val="22"/>
        </w:rPr>
        <w:t> (Accessed: 11 June 2026).  </w:t>
      </w:r>
    </w:p>
    <w:p w14:paraId="6C026286" w14:textId="77777777" w:rsidR="007C1B24" w:rsidRDefault="007C1B24" w:rsidP="007C1B24">
      <w:pPr>
        <w:numPr>
          <w:ilvl w:val="0"/>
          <w:numId w:val="9"/>
        </w:numPr>
        <w:shd w:val="clear" w:color="auto" w:fill="FFFFFF"/>
        <w:spacing w:after="0" w:line="240" w:lineRule="auto"/>
        <w:rPr>
          <w:rFonts w:ascii="Arial" w:eastAsia="Times New Roman" w:hAnsi="Arial" w:cs="Arial"/>
          <w:color w:val="222222"/>
          <w:sz w:val="22"/>
          <w:szCs w:val="22"/>
          <w:lang w:eastAsia="en-GB"/>
        </w:rPr>
      </w:pPr>
      <w:r w:rsidRPr="007F3689">
        <w:rPr>
          <w:rFonts w:ascii="Arial" w:eastAsia="Times New Roman" w:hAnsi="Arial" w:cs="Arial"/>
          <w:color w:val="222222"/>
          <w:sz w:val="22"/>
          <w:szCs w:val="22"/>
          <w:lang w:eastAsia="en-GB"/>
        </w:rPr>
        <w:t>UK Government (2014) </w:t>
      </w:r>
      <w:r w:rsidRPr="007F3689">
        <w:rPr>
          <w:rFonts w:ascii="Arial" w:eastAsia="Times New Roman" w:hAnsi="Arial" w:cs="Arial"/>
          <w:i/>
          <w:iCs/>
          <w:color w:val="222222"/>
          <w:sz w:val="22"/>
          <w:szCs w:val="22"/>
          <w:lang w:eastAsia="en-GB"/>
        </w:rPr>
        <w:t>Health and Social Care Act 2012</w:t>
      </w:r>
      <w:r w:rsidRPr="007F3689">
        <w:rPr>
          <w:rFonts w:ascii="Arial" w:eastAsia="Times New Roman" w:hAnsi="Arial" w:cs="Arial"/>
          <w:color w:val="222222"/>
          <w:sz w:val="22"/>
          <w:szCs w:val="22"/>
          <w:lang w:eastAsia="en-GB"/>
        </w:rPr>
        <w:t>. Available at: </w:t>
      </w:r>
      <w:hyperlink r:id="rId25" w:tgtFrame="_blank" w:history="1">
        <w:r w:rsidRPr="007F3689">
          <w:rPr>
            <w:rFonts w:ascii="Arial" w:eastAsia="Times New Roman" w:hAnsi="Arial" w:cs="Arial"/>
            <w:color w:val="0000EE"/>
            <w:sz w:val="22"/>
            <w:szCs w:val="22"/>
            <w:u w:val="single"/>
            <w:lang w:eastAsia="en-GB"/>
          </w:rPr>
          <w:t>https://www.legislation.gov.uk/ukpga/2012/7/contents</w:t>
        </w:r>
      </w:hyperlink>
      <w:r w:rsidRPr="007F3689">
        <w:rPr>
          <w:rFonts w:ascii="Arial" w:eastAsia="Times New Roman" w:hAnsi="Arial" w:cs="Arial"/>
          <w:color w:val="222222"/>
          <w:sz w:val="22"/>
          <w:szCs w:val="22"/>
          <w:lang w:eastAsia="en-GB"/>
        </w:rPr>
        <w:t> (Accessed: 13 June 2026).</w:t>
      </w:r>
    </w:p>
    <w:p w14:paraId="71DC5488" w14:textId="77777777" w:rsidR="007F3689" w:rsidRPr="007F3689" w:rsidRDefault="007F3689" w:rsidP="007F3689">
      <w:pPr>
        <w:shd w:val="clear" w:color="auto" w:fill="FFFFFF"/>
        <w:spacing w:after="0" w:line="240" w:lineRule="auto"/>
        <w:ind w:left="720"/>
        <w:rPr>
          <w:rFonts w:ascii="Arial" w:eastAsia="Times New Roman" w:hAnsi="Arial" w:cs="Arial"/>
          <w:color w:val="222222"/>
          <w:sz w:val="22"/>
          <w:szCs w:val="22"/>
          <w:lang w:eastAsia="en-GB"/>
        </w:rPr>
      </w:pPr>
    </w:p>
    <w:p w14:paraId="328AA8AA" w14:textId="77777777" w:rsidR="007C1B24" w:rsidRDefault="007C1B24" w:rsidP="007C1B24">
      <w:pPr>
        <w:numPr>
          <w:ilvl w:val="0"/>
          <w:numId w:val="9"/>
        </w:numPr>
        <w:shd w:val="clear" w:color="auto" w:fill="FFFFFF"/>
        <w:spacing w:after="0" w:line="240" w:lineRule="auto"/>
        <w:rPr>
          <w:rFonts w:ascii="Arial" w:eastAsia="Times New Roman" w:hAnsi="Arial" w:cs="Arial"/>
          <w:color w:val="222222"/>
          <w:sz w:val="22"/>
          <w:szCs w:val="22"/>
          <w:lang w:eastAsia="en-GB"/>
        </w:rPr>
      </w:pPr>
      <w:r w:rsidRPr="007F3689">
        <w:rPr>
          <w:rFonts w:ascii="Arial" w:eastAsia="Times New Roman" w:hAnsi="Arial" w:cs="Arial"/>
          <w:color w:val="222222"/>
          <w:sz w:val="22"/>
          <w:szCs w:val="22"/>
          <w:lang w:eastAsia="en-GB"/>
        </w:rPr>
        <w:t>UK Government (2018) </w:t>
      </w:r>
      <w:r w:rsidRPr="007F3689">
        <w:rPr>
          <w:rFonts w:ascii="Arial" w:eastAsia="Times New Roman" w:hAnsi="Arial" w:cs="Arial"/>
          <w:i/>
          <w:iCs/>
          <w:color w:val="222222"/>
          <w:sz w:val="22"/>
          <w:szCs w:val="22"/>
          <w:lang w:eastAsia="en-GB"/>
        </w:rPr>
        <w:t>Data Protection Act 2018</w:t>
      </w:r>
      <w:r w:rsidRPr="007F3689">
        <w:rPr>
          <w:rFonts w:ascii="Arial" w:eastAsia="Times New Roman" w:hAnsi="Arial" w:cs="Arial"/>
          <w:color w:val="222222"/>
          <w:sz w:val="22"/>
          <w:szCs w:val="22"/>
          <w:lang w:eastAsia="en-GB"/>
        </w:rPr>
        <w:t>. Available at: </w:t>
      </w:r>
      <w:hyperlink r:id="rId26" w:tgtFrame="_blank" w:history="1">
        <w:r w:rsidRPr="007F3689">
          <w:rPr>
            <w:rFonts w:ascii="Arial" w:eastAsia="Times New Roman" w:hAnsi="Arial" w:cs="Arial"/>
            <w:color w:val="0000EE"/>
            <w:sz w:val="22"/>
            <w:szCs w:val="22"/>
            <w:u w:val="single"/>
            <w:lang w:eastAsia="en-GB"/>
          </w:rPr>
          <w:t>https://www.legislation.gov.uk/ukpga/2018/12/contents</w:t>
        </w:r>
      </w:hyperlink>
      <w:r w:rsidRPr="007F3689">
        <w:rPr>
          <w:rFonts w:ascii="Arial" w:eastAsia="Times New Roman" w:hAnsi="Arial" w:cs="Arial"/>
          <w:color w:val="222222"/>
          <w:sz w:val="22"/>
          <w:szCs w:val="22"/>
          <w:lang w:eastAsia="en-GB"/>
        </w:rPr>
        <w:t> (Accessed: 13 June 2026).</w:t>
      </w:r>
    </w:p>
    <w:p w14:paraId="755F8F38" w14:textId="77777777" w:rsidR="007F3689" w:rsidRPr="007F3689" w:rsidRDefault="007F3689" w:rsidP="007F3689">
      <w:pPr>
        <w:shd w:val="clear" w:color="auto" w:fill="FFFFFF"/>
        <w:spacing w:after="0" w:line="240" w:lineRule="auto"/>
        <w:rPr>
          <w:rFonts w:ascii="Arial" w:eastAsia="Times New Roman" w:hAnsi="Arial" w:cs="Arial"/>
          <w:color w:val="222222"/>
          <w:sz w:val="22"/>
          <w:szCs w:val="22"/>
          <w:lang w:eastAsia="en-GB"/>
        </w:rPr>
      </w:pPr>
    </w:p>
    <w:p w14:paraId="0B9E6166" w14:textId="62C8186B" w:rsidR="007C1B24" w:rsidRPr="007F3689" w:rsidRDefault="007C1B24" w:rsidP="007F3689">
      <w:pPr>
        <w:pStyle w:val="ListParagraph"/>
        <w:numPr>
          <w:ilvl w:val="0"/>
          <w:numId w:val="9"/>
        </w:numPr>
        <w:shd w:val="clear" w:color="auto" w:fill="FFFFFF"/>
        <w:spacing w:after="0" w:line="240" w:lineRule="auto"/>
        <w:rPr>
          <w:rFonts w:ascii="Arial" w:eastAsia="Times New Roman" w:hAnsi="Arial" w:cs="Arial"/>
          <w:color w:val="222222"/>
          <w:sz w:val="22"/>
          <w:szCs w:val="22"/>
          <w:lang w:eastAsia="en-GB"/>
        </w:rPr>
      </w:pPr>
      <w:r w:rsidRPr="007F3689">
        <w:rPr>
          <w:rFonts w:ascii="Arial" w:eastAsia="Times New Roman" w:hAnsi="Arial" w:cs="Arial"/>
          <w:color w:val="222222"/>
          <w:sz w:val="22"/>
          <w:szCs w:val="22"/>
          <w:lang w:eastAsia="en-GB"/>
        </w:rPr>
        <w:t>World Health Organization (WHO) (2020) </w:t>
      </w:r>
      <w:r w:rsidRPr="007F3689">
        <w:rPr>
          <w:rFonts w:ascii="Arial" w:eastAsia="Times New Roman" w:hAnsi="Arial" w:cs="Arial"/>
          <w:i/>
          <w:iCs/>
          <w:color w:val="222222"/>
          <w:sz w:val="22"/>
          <w:szCs w:val="22"/>
          <w:lang w:eastAsia="en-GB"/>
        </w:rPr>
        <w:t>The Role of the Pharmacist in the Health System</w:t>
      </w:r>
      <w:r w:rsidRPr="007F3689">
        <w:rPr>
          <w:rFonts w:ascii="Arial" w:eastAsia="Times New Roman" w:hAnsi="Arial" w:cs="Arial"/>
          <w:color w:val="222222"/>
          <w:sz w:val="22"/>
          <w:szCs w:val="22"/>
          <w:lang w:eastAsia="en-GB"/>
        </w:rPr>
        <w:t>. Available at: </w:t>
      </w:r>
      <w:hyperlink r:id="rId27" w:tgtFrame="_blank" w:history="1">
        <w:r w:rsidRPr="007F3689">
          <w:rPr>
            <w:rFonts w:ascii="Arial" w:eastAsia="Times New Roman" w:hAnsi="Arial" w:cs="Arial"/>
            <w:color w:val="0000EE"/>
            <w:sz w:val="22"/>
            <w:szCs w:val="22"/>
            <w:u w:val="single"/>
            <w:lang w:eastAsia="en-GB"/>
          </w:rPr>
          <w:t>https://www.who.int/publications</w:t>
        </w:r>
      </w:hyperlink>
      <w:r w:rsidRPr="007F3689">
        <w:rPr>
          <w:rFonts w:ascii="Arial" w:eastAsia="Times New Roman" w:hAnsi="Arial" w:cs="Arial"/>
          <w:color w:val="222222"/>
          <w:sz w:val="22"/>
          <w:szCs w:val="22"/>
          <w:lang w:eastAsia="en-GB"/>
        </w:rPr>
        <w:t> (Accessed: 13 June 2026)</w:t>
      </w:r>
    </w:p>
    <w:p w14:paraId="69F0ED85" w14:textId="66542943" w:rsidR="004B30A8" w:rsidRPr="007F3689" w:rsidRDefault="007F3689" w:rsidP="007C1B24">
      <w:pPr>
        <w:pStyle w:val="ListParagraph"/>
        <w:numPr>
          <w:ilvl w:val="0"/>
          <w:numId w:val="9"/>
        </w:numPr>
        <w:shd w:val="clear" w:color="auto" w:fill="FFFFFF"/>
        <w:spacing w:after="0" w:line="240" w:lineRule="auto"/>
        <w:rPr>
          <w:rFonts w:ascii="Arial" w:eastAsia="Times New Roman" w:hAnsi="Arial" w:cs="Arial"/>
          <w:color w:val="222222"/>
          <w:sz w:val="22"/>
          <w:szCs w:val="22"/>
          <w:lang w:eastAsia="en-GB"/>
        </w:rPr>
      </w:pPr>
      <w:r w:rsidRPr="007F3689">
        <w:rPr>
          <w:rFonts w:ascii="Arial" w:hAnsi="Arial" w:cs="Arial"/>
          <w:color w:val="222222"/>
          <w:sz w:val="22"/>
          <w:szCs w:val="22"/>
          <w:shd w:val="clear" w:color="auto" w:fill="FFFFFF"/>
        </w:rPr>
        <w:t>iStock (n.d.) Inside pharmacy stock photos and images. Available at: </w:t>
      </w:r>
      <w:hyperlink r:id="rId28" w:tgtFrame="_blank" w:history="1">
        <w:r w:rsidRPr="007F3689">
          <w:rPr>
            <w:rFonts w:ascii="Arial" w:hAnsi="Arial" w:cs="Arial"/>
            <w:color w:val="1155CC"/>
            <w:sz w:val="22"/>
            <w:szCs w:val="22"/>
            <w:u w:val="single"/>
            <w:shd w:val="clear" w:color="auto" w:fill="FFFFFF"/>
          </w:rPr>
          <w:t>https://www.istockphoto.com/photos/inside-pharmacy</w:t>
        </w:r>
      </w:hyperlink>
      <w:r w:rsidRPr="007F3689">
        <w:rPr>
          <w:rFonts w:ascii="Arial" w:hAnsi="Arial" w:cs="Arial"/>
          <w:color w:val="222222"/>
          <w:sz w:val="22"/>
          <w:szCs w:val="22"/>
          <w:shd w:val="clear" w:color="auto" w:fill="FFFFFF"/>
        </w:rPr>
        <w:t> (Accessed: 21 June 2026).  </w:t>
      </w:r>
    </w:p>
    <w:sectPr w:rsidR="004B30A8" w:rsidRPr="007F3689" w:rsidSect="002560A8">
      <w:pgSz w:w="11906" w:h="16838"/>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4BFC9" w14:textId="77777777" w:rsidR="00AF1363" w:rsidRDefault="00AF1363">
      <w:pPr>
        <w:spacing w:after="0" w:line="240" w:lineRule="auto"/>
      </w:pPr>
      <w:r>
        <w:separator/>
      </w:r>
    </w:p>
  </w:endnote>
  <w:endnote w:type="continuationSeparator" w:id="0">
    <w:p w14:paraId="4361AA09" w14:textId="77777777" w:rsidR="00AF1363" w:rsidRDefault="00AF1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4FC33" w14:textId="6EC02EEA" w:rsidR="0E9990DD" w:rsidRDefault="009A09A9" w:rsidP="009A09A9">
    <w:pPr>
      <w:pStyle w:val="Footer"/>
      <w:jc w:val="center"/>
    </w:pPr>
    <w: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05B47" w14:textId="5DD4B287" w:rsidR="00D47263" w:rsidRDefault="00D47263" w:rsidP="009A09A9">
    <w:pPr>
      <w:pStyle w:val="Footer"/>
      <w:tabs>
        <w:tab w:val="center" w:pos="6979"/>
        <w:tab w:val="left" w:pos="7800"/>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0FE59" w14:textId="77777777" w:rsidR="00AF1363" w:rsidRDefault="00AF1363">
      <w:pPr>
        <w:spacing w:after="0" w:line="240" w:lineRule="auto"/>
      </w:pPr>
      <w:r>
        <w:separator/>
      </w:r>
    </w:p>
  </w:footnote>
  <w:footnote w:type="continuationSeparator" w:id="0">
    <w:p w14:paraId="69A670FC" w14:textId="77777777" w:rsidR="00AF1363" w:rsidRDefault="00AF13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E9990DD" w14:paraId="04A1D608" w14:textId="77777777" w:rsidTr="0E9990DD">
      <w:trPr>
        <w:trHeight w:val="300"/>
      </w:trPr>
      <w:tc>
        <w:tcPr>
          <w:tcW w:w="3005" w:type="dxa"/>
        </w:tcPr>
        <w:p w14:paraId="274129FF" w14:textId="520D1CFA" w:rsidR="0E9990DD" w:rsidRDefault="0E9990DD" w:rsidP="0E9990DD">
          <w:pPr>
            <w:pStyle w:val="Header"/>
            <w:ind w:left="-115"/>
            <w:rPr>
              <w:sz w:val="32"/>
              <w:szCs w:val="32"/>
            </w:rPr>
          </w:pPr>
        </w:p>
      </w:tc>
      <w:tc>
        <w:tcPr>
          <w:tcW w:w="3005" w:type="dxa"/>
        </w:tcPr>
        <w:p w14:paraId="081DF635" w14:textId="742BFC4F" w:rsidR="0E9990DD" w:rsidRDefault="0E9990DD" w:rsidP="0E9990DD">
          <w:pPr>
            <w:pStyle w:val="Header"/>
            <w:jc w:val="center"/>
          </w:pPr>
        </w:p>
      </w:tc>
      <w:tc>
        <w:tcPr>
          <w:tcW w:w="3005" w:type="dxa"/>
        </w:tcPr>
        <w:p w14:paraId="39A415D1" w14:textId="3F8750B7" w:rsidR="0E9990DD" w:rsidRDefault="0E9990DD" w:rsidP="0E9990DD">
          <w:pPr>
            <w:pStyle w:val="Header"/>
            <w:ind w:right="-115"/>
            <w:jc w:val="right"/>
          </w:pPr>
        </w:p>
      </w:tc>
    </w:tr>
  </w:tbl>
  <w:p w14:paraId="6847EE92" w14:textId="744FA5CB" w:rsidR="0E9990DD" w:rsidRDefault="0E9990DD" w:rsidP="0E9990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D567"/>
      </v:shape>
    </w:pict>
  </w:numPicBullet>
  <w:abstractNum w:abstractNumId="0" w15:restartNumberingAfterBreak="0">
    <w:nsid w:val="04FE37A4"/>
    <w:multiLevelType w:val="hybridMultilevel"/>
    <w:tmpl w:val="8F9A97E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C6896"/>
    <w:multiLevelType w:val="hybridMultilevel"/>
    <w:tmpl w:val="458C5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3613EC"/>
    <w:multiLevelType w:val="hybridMultilevel"/>
    <w:tmpl w:val="EA403F1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84637F"/>
    <w:multiLevelType w:val="multilevel"/>
    <w:tmpl w:val="84ECC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4FC792"/>
    <w:multiLevelType w:val="hybridMultilevel"/>
    <w:tmpl w:val="042C5EFE"/>
    <w:lvl w:ilvl="0" w:tplc="B254CB80">
      <w:start w:val="1"/>
      <w:numFmt w:val="bullet"/>
      <w:lvlText w:val=""/>
      <w:lvlJc w:val="left"/>
      <w:pPr>
        <w:ind w:left="1080" w:hanging="360"/>
      </w:pPr>
      <w:rPr>
        <w:rFonts w:ascii="Symbol" w:hAnsi="Symbol" w:hint="default"/>
      </w:rPr>
    </w:lvl>
    <w:lvl w:ilvl="1" w:tplc="78749ADE">
      <w:start w:val="1"/>
      <w:numFmt w:val="bullet"/>
      <w:lvlText w:val="o"/>
      <w:lvlJc w:val="left"/>
      <w:pPr>
        <w:ind w:left="1800" w:hanging="360"/>
      </w:pPr>
      <w:rPr>
        <w:rFonts w:ascii="Courier New" w:hAnsi="Courier New" w:hint="default"/>
      </w:rPr>
    </w:lvl>
    <w:lvl w:ilvl="2" w:tplc="B406CD06">
      <w:start w:val="1"/>
      <w:numFmt w:val="bullet"/>
      <w:lvlText w:val=""/>
      <w:lvlJc w:val="left"/>
      <w:pPr>
        <w:ind w:left="2520" w:hanging="360"/>
      </w:pPr>
      <w:rPr>
        <w:rFonts w:ascii="Wingdings" w:hAnsi="Wingdings" w:hint="default"/>
      </w:rPr>
    </w:lvl>
    <w:lvl w:ilvl="3" w:tplc="EC0E7182">
      <w:start w:val="1"/>
      <w:numFmt w:val="bullet"/>
      <w:lvlText w:val=""/>
      <w:lvlJc w:val="left"/>
      <w:pPr>
        <w:ind w:left="3240" w:hanging="360"/>
      </w:pPr>
      <w:rPr>
        <w:rFonts w:ascii="Symbol" w:hAnsi="Symbol" w:hint="default"/>
      </w:rPr>
    </w:lvl>
    <w:lvl w:ilvl="4" w:tplc="05C2417E">
      <w:start w:val="1"/>
      <w:numFmt w:val="bullet"/>
      <w:lvlText w:val="o"/>
      <w:lvlJc w:val="left"/>
      <w:pPr>
        <w:ind w:left="3960" w:hanging="360"/>
      </w:pPr>
      <w:rPr>
        <w:rFonts w:ascii="Courier New" w:hAnsi="Courier New" w:hint="default"/>
      </w:rPr>
    </w:lvl>
    <w:lvl w:ilvl="5" w:tplc="FCF61304">
      <w:start w:val="1"/>
      <w:numFmt w:val="bullet"/>
      <w:lvlText w:val=""/>
      <w:lvlJc w:val="left"/>
      <w:pPr>
        <w:ind w:left="4680" w:hanging="360"/>
      </w:pPr>
      <w:rPr>
        <w:rFonts w:ascii="Wingdings" w:hAnsi="Wingdings" w:hint="default"/>
      </w:rPr>
    </w:lvl>
    <w:lvl w:ilvl="6" w:tplc="BDD055C6">
      <w:start w:val="1"/>
      <w:numFmt w:val="bullet"/>
      <w:lvlText w:val=""/>
      <w:lvlJc w:val="left"/>
      <w:pPr>
        <w:ind w:left="5400" w:hanging="360"/>
      </w:pPr>
      <w:rPr>
        <w:rFonts w:ascii="Symbol" w:hAnsi="Symbol" w:hint="default"/>
      </w:rPr>
    </w:lvl>
    <w:lvl w:ilvl="7" w:tplc="0DB89BEE">
      <w:start w:val="1"/>
      <w:numFmt w:val="bullet"/>
      <w:lvlText w:val="o"/>
      <w:lvlJc w:val="left"/>
      <w:pPr>
        <w:ind w:left="6120" w:hanging="360"/>
      </w:pPr>
      <w:rPr>
        <w:rFonts w:ascii="Courier New" w:hAnsi="Courier New" w:hint="default"/>
      </w:rPr>
    </w:lvl>
    <w:lvl w:ilvl="8" w:tplc="6A1AC4B6">
      <w:start w:val="1"/>
      <w:numFmt w:val="bullet"/>
      <w:lvlText w:val=""/>
      <w:lvlJc w:val="left"/>
      <w:pPr>
        <w:ind w:left="6840" w:hanging="360"/>
      </w:pPr>
      <w:rPr>
        <w:rFonts w:ascii="Wingdings" w:hAnsi="Wingdings" w:hint="default"/>
      </w:rPr>
    </w:lvl>
  </w:abstractNum>
  <w:abstractNum w:abstractNumId="5" w15:restartNumberingAfterBreak="0">
    <w:nsid w:val="596B203C"/>
    <w:multiLevelType w:val="hybridMultilevel"/>
    <w:tmpl w:val="C5EA4F2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4758D8"/>
    <w:multiLevelType w:val="hybridMultilevel"/>
    <w:tmpl w:val="5FD4A3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2C740E"/>
    <w:multiLevelType w:val="multilevel"/>
    <w:tmpl w:val="38A47D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102A74"/>
    <w:multiLevelType w:val="hybridMultilevel"/>
    <w:tmpl w:val="C9F8B8A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2D7987"/>
    <w:multiLevelType w:val="hybridMultilevel"/>
    <w:tmpl w:val="1E46B2D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4304198">
    <w:abstractNumId w:val="4"/>
  </w:num>
  <w:num w:numId="2" w16cid:durableId="542642169">
    <w:abstractNumId w:val="1"/>
  </w:num>
  <w:num w:numId="3" w16cid:durableId="1179811650">
    <w:abstractNumId w:val="6"/>
  </w:num>
  <w:num w:numId="4" w16cid:durableId="917247083">
    <w:abstractNumId w:val="0"/>
  </w:num>
  <w:num w:numId="5" w16cid:durableId="436218424">
    <w:abstractNumId w:val="5"/>
  </w:num>
  <w:num w:numId="6" w16cid:durableId="1592542508">
    <w:abstractNumId w:val="8"/>
  </w:num>
  <w:num w:numId="7" w16cid:durableId="1453590715">
    <w:abstractNumId w:val="2"/>
  </w:num>
  <w:num w:numId="8" w16cid:durableId="1125001498">
    <w:abstractNumId w:val="9"/>
  </w:num>
  <w:num w:numId="9" w16cid:durableId="676732431">
    <w:abstractNumId w:val="3"/>
  </w:num>
  <w:num w:numId="10" w16cid:durableId="17126555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1E8F55"/>
    <w:rsid w:val="00060B41"/>
    <w:rsid w:val="001F754B"/>
    <w:rsid w:val="00227987"/>
    <w:rsid w:val="002560A8"/>
    <w:rsid w:val="002C38E3"/>
    <w:rsid w:val="002D4884"/>
    <w:rsid w:val="00402CA1"/>
    <w:rsid w:val="0046609A"/>
    <w:rsid w:val="004740BF"/>
    <w:rsid w:val="004806C7"/>
    <w:rsid w:val="004A7963"/>
    <w:rsid w:val="004B30A8"/>
    <w:rsid w:val="005541D6"/>
    <w:rsid w:val="005A5B0C"/>
    <w:rsid w:val="005C20B8"/>
    <w:rsid w:val="007115F6"/>
    <w:rsid w:val="00783684"/>
    <w:rsid w:val="007949BB"/>
    <w:rsid w:val="007C1B24"/>
    <w:rsid w:val="007F354D"/>
    <w:rsid w:val="007F3689"/>
    <w:rsid w:val="00882394"/>
    <w:rsid w:val="009960D2"/>
    <w:rsid w:val="009A09A9"/>
    <w:rsid w:val="00A60D16"/>
    <w:rsid w:val="00AF1363"/>
    <w:rsid w:val="00B24CC6"/>
    <w:rsid w:val="00B75731"/>
    <w:rsid w:val="00B9575E"/>
    <w:rsid w:val="00BE6980"/>
    <w:rsid w:val="00D47263"/>
    <w:rsid w:val="00DA316C"/>
    <w:rsid w:val="00DF7467"/>
    <w:rsid w:val="00E04CCC"/>
    <w:rsid w:val="00E84CB6"/>
    <w:rsid w:val="00EB0D2A"/>
    <w:rsid w:val="00F065D7"/>
    <w:rsid w:val="036976F7"/>
    <w:rsid w:val="0CA73935"/>
    <w:rsid w:val="0E9990DD"/>
    <w:rsid w:val="0EDC75FE"/>
    <w:rsid w:val="1D5BCBBD"/>
    <w:rsid w:val="3B89A22E"/>
    <w:rsid w:val="40F8CFEC"/>
    <w:rsid w:val="48AE5D2C"/>
    <w:rsid w:val="4BC747DB"/>
    <w:rsid w:val="550FA6E0"/>
    <w:rsid w:val="59E4D04D"/>
    <w:rsid w:val="649EAFDF"/>
    <w:rsid w:val="66F46F53"/>
    <w:rsid w:val="67B51CF5"/>
    <w:rsid w:val="6E1E8F55"/>
    <w:rsid w:val="71BC8C09"/>
    <w:rsid w:val="7DA60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18296"/>
  <w15:chartTrackingRefBased/>
  <w15:docId w15:val="{B5411267-52F0-4BAE-9B81-3CD8CFEE4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0E9990DD"/>
    <w:pPr>
      <w:tabs>
        <w:tab w:val="center" w:pos="4680"/>
        <w:tab w:val="right" w:pos="9360"/>
      </w:tabs>
      <w:spacing w:after="0" w:line="240" w:lineRule="auto"/>
    </w:pPr>
  </w:style>
  <w:style w:type="paragraph" w:styleId="Footer">
    <w:name w:val="footer"/>
    <w:basedOn w:val="Normal"/>
    <w:link w:val="FooterChar"/>
    <w:uiPriority w:val="99"/>
    <w:unhideWhenUsed/>
    <w:rsid w:val="0E9990DD"/>
    <w:pPr>
      <w:tabs>
        <w:tab w:val="center" w:pos="4680"/>
        <w:tab w:val="right" w:pos="9360"/>
      </w:tabs>
      <w:spacing w:after="0" w:line="240" w:lineRule="auto"/>
    </w:pPr>
  </w:style>
  <w:style w:type="paragraph" w:styleId="ListParagraph">
    <w:name w:val="List Paragraph"/>
    <w:basedOn w:val="Normal"/>
    <w:uiPriority w:val="34"/>
    <w:qFormat/>
    <w:rsid w:val="0E9990DD"/>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7115F6"/>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7115F6"/>
    <w:rPr>
      <w:sz w:val="22"/>
      <w:szCs w:val="22"/>
      <w:lang w:val="en-US" w:eastAsia="en-US"/>
    </w:rPr>
  </w:style>
  <w:style w:type="character" w:styleId="Hyperlink">
    <w:name w:val="Hyperlink"/>
    <w:basedOn w:val="DefaultParagraphFont"/>
    <w:uiPriority w:val="99"/>
    <w:unhideWhenUsed/>
    <w:rsid w:val="00DF7467"/>
    <w:rPr>
      <w:color w:val="467886" w:themeColor="hyperlink"/>
      <w:u w:val="single"/>
    </w:rPr>
  </w:style>
  <w:style w:type="character" w:styleId="UnresolvedMention">
    <w:name w:val="Unresolved Mention"/>
    <w:basedOn w:val="DefaultParagraphFont"/>
    <w:uiPriority w:val="99"/>
    <w:semiHidden/>
    <w:unhideWhenUsed/>
    <w:rsid w:val="00DF7467"/>
    <w:rPr>
      <w:color w:val="605E5C"/>
      <w:shd w:val="clear" w:color="auto" w:fill="E1DFDD"/>
    </w:rPr>
  </w:style>
  <w:style w:type="paragraph" w:styleId="NormalWeb">
    <w:name w:val="Normal (Web)"/>
    <w:basedOn w:val="Normal"/>
    <w:uiPriority w:val="99"/>
    <w:semiHidden/>
    <w:unhideWhenUsed/>
    <w:rsid w:val="00B24CC6"/>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D47263"/>
  </w:style>
  <w:style w:type="character" w:styleId="IntenseReference">
    <w:name w:val="Intense Reference"/>
    <w:basedOn w:val="DefaultParagraphFont"/>
    <w:uiPriority w:val="32"/>
    <w:qFormat/>
    <w:rsid w:val="00D47263"/>
    <w:rPr>
      <w:b/>
      <w:bCs/>
      <w:smallCaps/>
      <w:color w:val="156082"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Colors" Target="diagrams/colors1.xml"/><Relationship Id="rId18" Type="http://schemas.openxmlformats.org/officeDocument/2006/relationships/hyperlink" Target="https://www.nhs.uk/conditions/pharmacy-services/" TargetMode="External"/><Relationship Id="rId26" Type="http://schemas.openxmlformats.org/officeDocument/2006/relationships/hyperlink" Target="https://www.legislation.gov.uk/ukpga/2018/12/contents" TargetMode="External"/><Relationship Id="rId3" Type="http://schemas.openxmlformats.org/officeDocument/2006/relationships/settings" Target="settings.xml"/><Relationship Id="rId21" Type="http://schemas.openxmlformats.org/officeDocument/2006/relationships/hyperlink" Target="https://psnc.org.uk/our-news/the-pharmacy-contractual-framework/" TargetMode="External"/><Relationship Id="rId7" Type="http://schemas.openxmlformats.org/officeDocument/2006/relationships/header" Target="header1.xml"/><Relationship Id="rId12" Type="http://schemas.openxmlformats.org/officeDocument/2006/relationships/diagramQuickStyle" Target="diagrams/quickStyle1.xml"/><Relationship Id="rId17" Type="http://schemas.openxmlformats.org/officeDocument/2006/relationships/hyperlink" Target="https://www.pharmacyregulation.org/" TargetMode="External"/><Relationship Id="rId25" Type="http://schemas.openxmlformats.org/officeDocument/2006/relationships/hyperlink" Target="https://www.legislation.gov.uk/ukpga/2012/7/contents" TargetMode="External"/><Relationship Id="rId2" Type="http://schemas.openxmlformats.org/officeDocument/2006/relationships/styles" Target="styles.xml"/><Relationship Id="rId16" Type="http://schemas.openxmlformats.org/officeDocument/2006/relationships/hyperlink" Target="https://www.gov.uk/government/publications/pharmacy-first-expanded-services" TargetMode="External"/><Relationship Id="rId20" Type="http://schemas.openxmlformats.org/officeDocument/2006/relationships/hyperlink" Target="https://www.england.nhs.uk/mental-health/adults/cmh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24" Type="http://schemas.openxmlformats.org/officeDocument/2006/relationships/hyperlink" Target="https://www.theguardian.com/society/article/2024/aug/16/mental-health-services-are-beset-by-complex-and-profound-problems" TargetMode="External"/><Relationship Id="rId5" Type="http://schemas.openxmlformats.org/officeDocument/2006/relationships/footnotes" Target="footnotes.xml"/><Relationship Id="rId15" Type="http://schemas.openxmlformats.org/officeDocument/2006/relationships/image" Target="media/image2.jpg"/><Relationship Id="rId23" Type="http://schemas.openxmlformats.org/officeDocument/2006/relationships/hyperlink" Target="https://www.rpharms.com/our-campaigns/value-of-pharmacy" TargetMode="External"/><Relationship Id="rId28" Type="http://schemas.openxmlformats.org/officeDocument/2006/relationships/hyperlink" Target="https://www.istockphoto.com/photos/inside-pharmacy" TargetMode="External"/><Relationship Id="rId10" Type="http://schemas.openxmlformats.org/officeDocument/2006/relationships/diagramData" Target="diagrams/data1.xml"/><Relationship Id="rId19" Type="http://schemas.openxmlformats.org/officeDocument/2006/relationships/hyperlink" Target="https://www.england.nhs.uk/publication/the-community-mental-health-framework-for-adults-and-older-adults/" TargetMode="External"/><Relationship Id="rId4" Type="http://schemas.openxmlformats.org/officeDocument/2006/relationships/webSettings" Target="webSettings.xml"/><Relationship Id="rId9" Type="http://schemas.openxmlformats.org/officeDocument/2006/relationships/footer" Target="footer2.xml"/><Relationship Id="rId14" Type="http://schemas.microsoft.com/office/2007/relationships/diagramDrawing" Target="diagrams/drawing1.xml"/><Relationship Id="rId22" Type="http://schemas.openxmlformats.org/officeDocument/2006/relationships/hyperlink" Target="https://www.rcpsych.ac.uk/improving-care/nccmh/service-design-and-development/community-framework" TargetMode="External"/><Relationship Id="rId27" Type="http://schemas.openxmlformats.org/officeDocument/2006/relationships/hyperlink" Target="https://www.who.int/publications" TargetMode="Externa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BDAC63-A42F-496A-B251-5E51E1F15CBC}" type="doc">
      <dgm:prSet loTypeId="urn:microsoft.com/office/officeart/2024/layout/BulletTimeline" loCatId="timeline" qsTypeId="urn:microsoft.com/office/officeart/2005/8/quickstyle/simple1" qsCatId="simple" csTypeId="urn:microsoft.com/office/officeart/2005/8/colors/accent1_2" csCatId="accent1" phldr="1"/>
      <dgm:spPr/>
      <dgm:t>
        <a:bodyPr/>
        <a:lstStyle/>
        <a:p>
          <a:endParaRPr lang="en-GB"/>
        </a:p>
      </dgm:t>
    </dgm:pt>
    <dgm:pt modelId="{84CB3E92-AC88-4541-BBEE-F0D8C28E2A24}">
      <dgm:prSet phldrT="Add an event" custT="1"/>
      <dgm:spPr/>
      <dgm:t>
        <a:bodyPr/>
        <a:lstStyle/>
        <a:p>
          <a:pPr>
            <a:defRPr b="1"/>
          </a:pPr>
          <a:r>
            <a:rPr lang="en-GB" sz="1100"/>
            <a:t>ANCIENT</a:t>
          </a:r>
          <a:r>
            <a:rPr lang="en-GB" sz="1500"/>
            <a:t> </a:t>
          </a:r>
          <a:r>
            <a:rPr lang="en-GB" sz="1100"/>
            <a:t>TIMES</a:t>
          </a:r>
        </a:p>
      </dgm:t>
    </dgm:pt>
    <dgm:pt modelId="{F662C427-A755-4524-B009-CAED4D5F74F0}" type="parTrans" cxnId="{4E25B077-0231-4133-A73B-AF90571A66FC}">
      <dgm:prSet/>
      <dgm:spPr/>
      <dgm:t>
        <a:bodyPr/>
        <a:lstStyle/>
        <a:p>
          <a:endParaRPr lang="en-GB"/>
        </a:p>
      </dgm:t>
    </dgm:pt>
    <dgm:pt modelId="{5B1A9F22-A70D-4D5B-BB9A-E859E76A185C}" type="sibTrans" cxnId="{4E25B077-0231-4133-A73B-AF90571A66FC}">
      <dgm:prSet/>
      <dgm:spPr/>
      <dgm:t>
        <a:bodyPr/>
        <a:lstStyle/>
        <a:p>
          <a:endParaRPr lang="en-GB"/>
        </a:p>
      </dgm:t>
    </dgm:pt>
    <dgm:pt modelId="{150CDB66-3028-4CD1-8694-F0AD4CEE2AEB}">
      <dgm:prSet phldrT="Write a description of the significance of this event" custT="1"/>
      <dgm:spPr/>
      <dgm:t>
        <a:bodyPr/>
        <a:lstStyle/>
        <a:p>
          <a:r>
            <a:rPr lang="en-GB" sz="800"/>
            <a:t>Preparation of herbal medicines by apothecaries</a:t>
          </a:r>
        </a:p>
      </dgm:t>
    </dgm:pt>
    <dgm:pt modelId="{08EEE69C-57D2-4D36-A2B1-F78F683249E8}" type="parTrans" cxnId="{22AEED47-DD30-4792-BD7D-1A75856A38F7}">
      <dgm:prSet/>
      <dgm:spPr/>
      <dgm:t>
        <a:bodyPr/>
        <a:lstStyle/>
        <a:p>
          <a:endParaRPr lang="en-GB"/>
        </a:p>
      </dgm:t>
    </dgm:pt>
    <dgm:pt modelId="{18F21AA6-47D9-47A2-811A-CACA1CC789E5}" type="sibTrans" cxnId="{22AEED47-DD30-4792-BD7D-1A75856A38F7}">
      <dgm:prSet/>
      <dgm:spPr/>
      <dgm:t>
        <a:bodyPr/>
        <a:lstStyle/>
        <a:p>
          <a:endParaRPr lang="en-GB"/>
        </a:p>
      </dgm:t>
    </dgm:pt>
    <dgm:pt modelId="{A0E6A9EA-80AE-4CD3-8996-F5C129345FE2}">
      <dgm:prSet phldrT="Add an event" custT="1"/>
      <dgm:spPr/>
      <dgm:t>
        <a:bodyPr/>
        <a:lstStyle/>
        <a:p>
          <a:pPr>
            <a:defRPr b="1"/>
          </a:pPr>
          <a:r>
            <a:rPr lang="en-GB" sz="1100"/>
            <a:t>1900s</a:t>
          </a:r>
        </a:p>
      </dgm:t>
    </dgm:pt>
    <dgm:pt modelId="{AF488764-60E5-49EB-A458-3543BF83ADDE}" type="parTrans" cxnId="{F4DB8BB3-FEBD-43DE-A86A-72A136998F78}">
      <dgm:prSet/>
      <dgm:spPr/>
      <dgm:t>
        <a:bodyPr/>
        <a:lstStyle/>
        <a:p>
          <a:endParaRPr lang="en-GB"/>
        </a:p>
      </dgm:t>
    </dgm:pt>
    <dgm:pt modelId="{0A25680A-AA81-4868-BBDF-BEC26D4A08FC}" type="sibTrans" cxnId="{F4DB8BB3-FEBD-43DE-A86A-72A136998F78}">
      <dgm:prSet/>
      <dgm:spPr/>
      <dgm:t>
        <a:bodyPr/>
        <a:lstStyle/>
        <a:p>
          <a:endParaRPr lang="en-GB"/>
        </a:p>
      </dgm:t>
    </dgm:pt>
    <dgm:pt modelId="{5BC183E2-D412-4430-86EF-101A64997BB1}">
      <dgm:prSet phldrT="Write a description of the significance of this event" custT="1"/>
      <dgm:spPr/>
      <dgm:t>
        <a:bodyPr/>
        <a:lstStyle/>
        <a:p>
          <a:r>
            <a:rPr lang="en-GB" sz="800"/>
            <a:t>Focus on safe dispensing and drug information</a:t>
          </a:r>
        </a:p>
      </dgm:t>
    </dgm:pt>
    <dgm:pt modelId="{3883B790-3004-44AC-A439-06BB453765F9}" type="parTrans" cxnId="{B192937E-F9E6-480B-A2F4-8ADF714605AC}">
      <dgm:prSet/>
      <dgm:spPr/>
      <dgm:t>
        <a:bodyPr/>
        <a:lstStyle/>
        <a:p>
          <a:endParaRPr lang="en-GB"/>
        </a:p>
      </dgm:t>
    </dgm:pt>
    <dgm:pt modelId="{0472763D-1DEC-4A38-A679-849AA053D957}" type="sibTrans" cxnId="{B192937E-F9E6-480B-A2F4-8ADF714605AC}">
      <dgm:prSet/>
      <dgm:spPr/>
      <dgm:t>
        <a:bodyPr/>
        <a:lstStyle/>
        <a:p>
          <a:endParaRPr lang="en-GB"/>
        </a:p>
      </dgm:t>
    </dgm:pt>
    <dgm:pt modelId="{06432F40-FEA5-48A0-B8A5-4D240E8820BD}">
      <dgm:prSet phldrT="Add an event" custT="1"/>
      <dgm:spPr/>
      <dgm:t>
        <a:bodyPr/>
        <a:lstStyle/>
        <a:p>
          <a:pPr>
            <a:defRPr b="1"/>
          </a:pPr>
          <a:r>
            <a:rPr lang="en-GB" sz="1100"/>
            <a:t>1800s</a:t>
          </a:r>
        </a:p>
      </dgm:t>
    </dgm:pt>
    <dgm:pt modelId="{5E647E0E-564F-4E96-ACD6-65D50ED49051}" type="parTrans" cxnId="{1EEB5B0D-4C2F-4848-95CC-89CD640D0AE8}">
      <dgm:prSet/>
      <dgm:spPr/>
      <dgm:t>
        <a:bodyPr/>
        <a:lstStyle/>
        <a:p>
          <a:endParaRPr lang="en-GB"/>
        </a:p>
      </dgm:t>
    </dgm:pt>
    <dgm:pt modelId="{9FF796B8-21C3-4C9D-A942-5E5C388EFBC5}" type="sibTrans" cxnId="{1EEB5B0D-4C2F-4848-95CC-89CD640D0AE8}">
      <dgm:prSet/>
      <dgm:spPr/>
      <dgm:t>
        <a:bodyPr/>
        <a:lstStyle/>
        <a:p>
          <a:endParaRPr lang="en-GB"/>
        </a:p>
      </dgm:t>
    </dgm:pt>
    <dgm:pt modelId="{A5860D4C-CCDB-4916-968A-C957C03113ED}">
      <dgm:prSet phldrT="Write a description of the significance of this event" custT="1"/>
      <dgm:spPr/>
      <dgm:t>
        <a:bodyPr/>
        <a:lstStyle/>
        <a:p>
          <a:r>
            <a:rPr lang="en-GB" sz="800"/>
            <a:t>Growth of pharmacies and regulation of medicines (WHO, 2020)</a:t>
          </a:r>
        </a:p>
      </dgm:t>
    </dgm:pt>
    <dgm:pt modelId="{B8BC6041-23D2-40FA-AB27-F115BB26FA84}" type="parTrans" cxnId="{3B9B75ED-BDF5-4568-94E6-0AFC5BE6441E}">
      <dgm:prSet/>
      <dgm:spPr/>
      <dgm:t>
        <a:bodyPr/>
        <a:lstStyle/>
        <a:p>
          <a:endParaRPr lang="en-GB"/>
        </a:p>
      </dgm:t>
    </dgm:pt>
    <dgm:pt modelId="{952506CC-9359-421B-B03E-B75F6A4B1E48}" type="sibTrans" cxnId="{3B9B75ED-BDF5-4568-94E6-0AFC5BE6441E}">
      <dgm:prSet/>
      <dgm:spPr/>
      <dgm:t>
        <a:bodyPr/>
        <a:lstStyle/>
        <a:p>
          <a:endParaRPr lang="en-GB"/>
        </a:p>
      </dgm:t>
    </dgm:pt>
    <dgm:pt modelId="{203C8F37-2680-42D1-832C-319F43E105E4}">
      <dgm:prSet phldrT="Add an event" custT="1"/>
      <dgm:spPr/>
      <dgm:t>
        <a:bodyPr/>
        <a:lstStyle/>
        <a:p>
          <a:pPr>
            <a:defRPr b="1"/>
          </a:pPr>
          <a:r>
            <a:rPr lang="en-GB" sz="1100"/>
            <a:t>TODAY</a:t>
          </a:r>
        </a:p>
      </dgm:t>
    </dgm:pt>
    <dgm:pt modelId="{7A8454FF-0D2C-4FEA-8954-04DB0F5C4EB0}" type="parTrans" cxnId="{8BD5932A-55EB-4363-94C1-8C2FC396D04A}">
      <dgm:prSet/>
      <dgm:spPr/>
      <dgm:t>
        <a:bodyPr/>
        <a:lstStyle/>
        <a:p>
          <a:endParaRPr lang="en-GB"/>
        </a:p>
      </dgm:t>
    </dgm:pt>
    <dgm:pt modelId="{7D150B41-A54D-4C38-9EC6-457A13210942}" type="sibTrans" cxnId="{8BD5932A-55EB-4363-94C1-8C2FC396D04A}">
      <dgm:prSet/>
      <dgm:spPr/>
      <dgm:t>
        <a:bodyPr/>
        <a:lstStyle/>
        <a:p>
          <a:endParaRPr lang="en-GB"/>
        </a:p>
      </dgm:t>
    </dgm:pt>
    <dgm:pt modelId="{28E1C20A-B7F2-468C-BC2A-8081BCAC74D4}">
      <dgm:prSet phldrT="Write a description of the significance of this event" custT="1"/>
      <dgm:spPr/>
      <dgm:t>
        <a:bodyPr/>
        <a:lstStyle/>
        <a:p>
          <a:r>
            <a:rPr lang="en-GB" sz="800"/>
            <a:t>Experienced roles in clinical care, prevention and public health (RPS, 2023)</a:t>
          </a:r>
        </a:p>
      </dgm:t>
    </dgm:pt>
    <dgm:pt modelId="{8CD14D74-BD0C-437C-8F2B-DADF21B70242}" type="parTrans" cxnId="{54CE70D6-027F-4514-BBD8-D4E794B68642}">
      <dgm:prSet/>
      <dgm:spPr/>
      <dgm:t>
        <a:bodyPr/>
        <a:lstStyle/>
        <a:p>
          <a:endParaRPr lang="en-GB"/>
        </a:p>
      </dgm:t>
    </dgm:pt>
    <dgm:pt modelId="{F001B8E0-E75F-4B25-8AA8-4DF97AB60952}" type="sibTrans" cxnId="{54CE70D6-027F-4514-BBD8-D4E794B68642}">
      <dgm:prSet/>
      <dgm:spPr/>
      <dgm:t>
        <a:bodyPr/>
        <a:lstStyle/>
        <a:p>
          <a:endParaRPr lang="en-GB"/>
        </a:p>
      </dgm:t>
    </dgm:pt>
    <dgm:pt modelId="{7F17069A-2C48-4D01-9A64-F9AA1962E366}" type="pres">
      <dgm:prSet presAssocID="{BFBDAC63-A42F-496A-B251-5E51E1F15CBC}" presName="root" presStyleCnt="0">
        <dgm:presLayoutVars>
          <dgm:dir/>
          <dgm:animLvl val="lvl"/>
        </dgm:presLayoutVars>
      </dgm:prSet>
      <dgm:spPr/>
    </dgm:pt>
    <dgm:pt modelId="{0D3D2E34-C016-4ABA-A72C-B9D57CC03B2F}" type="pres">
      <dgm:prSet presAssocID="{BFBDAC63-A42F-496A-B251-5E51E1F15CBC}" presName="divider" presStyleCnt="0"/>
      <dgm:spPr/>
    </dgm:pt>
    <dgm:pt modelId="{CFF62131-D5B4-414B-A608-31072F8BDAFE}" type="pres">
      <dgm:prSet presAssocID="{BFBDAC63-A42F-496A-B251-5E51E1F15CBC}" presName="rectBar" presStyleLbl="dkBgShp" presStyleIdx="0" presStyleCnt="6"/>
      <dgm:spPr>
        <a:gradFill rotWithShape="0">
          <a:gsLst>
            <a:gs pos="0">
              <a:schemeClr val="accent1">
                <a:tint val="76000"/>
              </a:schemeClr>
            </a:gs>
            <a:gs pos="100000">
              <a:schemeClr val="accent1">
                <a:tint val="76000"/>
              </a:schemeClr>
            </a:gs>
          </a:gsLst>
          <a:lin ang="0" scaled="0"/>
        </a:gradFill>
        <a:ln>
          <a:noFill/>
        </a:ln>
        <a:effectLst/>
      </dgm:spPr>
    </dgm:pt>
    <dgm:pt modelId="{9D9ACC98-AD0F-463C-BB47-02E206BC2CFA}" type="pres">
      <dgm:prSet presAssocID="{BFBDAC63-A42F-496A-B251-5E51E1F15CBC}" presName="chevronArrow" presStyleLbl="dkBgShp" presStyleIdx="1" presStyleCnt="6"/>
      <dgm:spPr>
        <a:gradFill rotWithShape="0">
          <a:gsLst>
            <a:gs pos="0">
              <a:schemeClr val="accent1">
                <a:tint val="76000"/>
              </a:schemeClr>
            </a:gs>
            <a:gs pos="100000">
              <a:schemeClr val="accent1">
                <a:tint val="76000"/>
              </a:schemeClr>
            </a:gs>
          </a:gsLst>
          <a:lin ang="0" scaled="0"/>
        </a:gradFill>
        <a:ln>
          <a:noFill/>
        </a:ln>
        <a:effectLst/>
      </dgm:spPr>
    </dgm:pt>
    <dgm:pt modelId="{11FF7376-10CC-480B-B2DC-8FB314624A68}" type="pres">
      <dgm:prSet presAssocID="{BFBDAC63-A42F-496A-B251-5E51E1F15CBC}" presName="nodes" presStyleCnt="0">
        <dgm:presLayoutVars>
          <dgm:chMax/>
          <dgm:chPref/>
          <dgm:animLvl val="lvl"/>
        </dgm:presLayoutVars>
      </dgm:prSet>
      <dgm:spPr/>
    </dgm:pt>
    <dgm:pt modelId="{A4D59267-3B36-44AB-A9E0-B5F4C879C9D2}" type="pres">
      <dgm:prSet presAssocID="{84CB3E92-AC88-4541-BBEE-F0D8C28E2A24}" presName="composite" presStyleCnt="0"/>
      <dgm:spPr/>
    </dgm:pt>
    <dgm:pt modelId="{85EE0CC6-8FB8-4F76-B6D4-15D2177002AC}" type="pres">
      <dgm:prSet presAssocID="{84CB3E92-AC88-4541-BBEE-F0D8C28E2A24}" presName="DropPinPlaceHolder" presStyleCnt="0"/>
      <dgm:spPr/>
    </dgm:pt>
    <dgm:pt modelId="{A2A86D5E-87FA-46FA-B65C-AF50F5B9FB47}" type="pres">
      <dgm:prSet presAssocID="{84CB3E92-AC88-4541-BBEE-F0D8C28E2A24}" presName="DropPin" presStyleLbl="alignNode1" presStyleIdx="0" presStyleCnt="4"/>
      <dgm:spPr/>
    </dgm:pt>
    <dgm:pt modelId="{1DFF94F8-464D-493C-9AAE-327BF839FE30}" type="pres">
      <dgm:prSet presAssocID="{84CB3E92-AC88-4541-BBEE-F0D8C28E2A24}" presName="Ellipse" presStyleLbl="fgAcc1" presStyleIdx="0" presStyleCnt="4"/>
      <dgm:spPr/>
    </dgm:pt>
    <dgm:pt modelId="{18BF360C-0EDA-492E-8D55-C783337D99C7}" type="pres">
      <dgm:prSet presAssocID="{84CB3E92-AC88-4541-BBEE-F0D8C28E2A24}" presName="L2TextContainer" presStyleLbl="revTx" presStyleIdx="0" presStyleCnt="8">
        <dgm:presLayoutVars>
          <dgm:bulletEnabled val="1"/>
        </dgm:presLayoutVars>
      </dgm:prSet>
      <dgm:spPr/>
    </dgm:pt>
    <dgm:pt modelId="{19C388C2-CEFD-4344-A634-2AA0A9BDB99D}" type="pres">
      <dgm:prSet presAssocID="{84CB3E92-AC88-4541-BBEE-F0D8C28E2A24}" presName="L1TextContainer" presStyleLbl="revTx" presStyleIdx="1" presStyleCnt="8">
        <dgm:presLayoutVars>
          <dgm:chMax val="1"/>
          <dgm:chPref val="1"/>
          <dgm:bulletEnabled val="1"/>
        </dgm:presLayoutVars>
      </dgm:prSet>
      <dgm:spPr/>
    </dgm:pt>
    <dgm:pt modelId="{7431901E-DD91-40A8-B21A-CFAB7AB35959}" type="pres">
      <dgm:prSet presAssocID="{84CB3E92-AC88-4541-BBEE-F0D8C28E2A24}" presName="ConnectLine" presStyleLbl="dkBgShp" presStyleIdx="2" presStyleCnt="6"/>
      <dgm:spPr/>
    </dgm:pt>
    <dgm:pt modelId="{901DA70B-BD09-4E3F-8125-852DB0ED4CCF}" type="pres">
      <dgm:prSet presAssocID="{84CB3E92-AC88-4541-BBEE-F0D8C28E2A24}" presName="ConnectorPoint" presStyleCnt="0"/>
      <dgm:spPr/>
    </dgm:pt>
    <dgm:pt modelId="{9F60AAF7-7028-45B7-AABA-6DD09206CD97}" type="pres">
      <dgm:prSet presAssocID="{84CB3E92-AC88-4541-BBEE-F0D8C28E2A24}" presName="Bullet" presStyleLbl="lnNode1" presStyleIdx="0" presStyleCnt="4"/>
      <dgm:spPr/>
    </dgm:pt>
    <dgm:pt modelId="{53D7F1B5-FD1C-4727-8993-836E3ACB587B}" type="pres">
      <dgm:prSet presAssocID="{84CB3E92-AC88-4541-BBEE-F0D8C28E2A24}" presName="EmptyPlaceHolder" presStyleCnt="0"/>
      <dgm:spPr/>
    </dgm:pt>
    <dgm:pt modelId="{D9CD13AD-02CB-4B8A-A0F9-536A5E0B4F8B}" type="pres">
      <dgm:prSet presAssocID="{5B1A9F22-A70D-4D5B-BB9A-E859E76A185C}" presName="spaceBetweenRectangles" presStyleCnt="0"/>
      <dgm:spPr/>
    </dgm:pt>
    <dgm:pt modelId="{52506BB9-2D3B-4E2D-81CB-C34129D34C8C}" type="pres">
      <dgm:prSet presAssocID="{A0E6A9EA-80AE-4CD3-8996-F5C129345FE2}" presName="composite" presStyleCnt="0"/>
      <dgm:spPr/>
    </dgm:pt>
    <dgm:pt modelId="{181BCDFB-F744-4247-A9EE-2BD664DB5DB1}" type="pres">
      <dgm:prSet presAssocID="{A0E6A9EA-80AE-4CD3-8996-F5C129345FE2}" presName="DropPinPlaceHolder" presStyleCnt="0"/>
      <dgm:spPr/>
    </dgm:pt>
    <dgm:pt modelId="{1BD62808-5747-4769-87A9-5E229CAC3438}" type="pres">
      <dgm:prSet presAssocID="{A0E6A9EA-80AE-4CD3-8996-F5C129345FE2}" presName="DropPin" presStyleLbl="alignNode1" presStyleIdx="1" presStyleCnt="4"/>
      <dgm:spPr/>
    </dgm:pt>
    <dgm:pt modelId="{3E11C77A-93E8-431E-BEF8-A2BD5F092F19}" type="pres">
      <dgm:prSet presAssocID="{A0E6A9EA-80AE-4CD3-8996-F5C129345FE2}" presName="Ellipse" presStyleLbl="fgAcc1" presStyleIdx="1" presStyleCnt="4"/>
      <dgm:spPr/>
    </dgm:pt>
    <dgm:pt modelId="{16224AB8-1A53-493B-AAA7-FBD1A03714BE}" type="pres">
      <dgm:prSet presAssocID="{A0E6A9EA-80AE-4CD3-8996-F5C129345FE2}" presName="L2TextContainer" presStyleLbl="revTx" presStyleIdx="2" presStyleCnt="8">
        <dgm:presLayoutVars>
          <dgm:bulletEnabled val="1"/>
        </dgm:presLayoutVars>
      </dgm:prSet>
      <dgm:spPr/>
    </dgm:pt>
    <dgm:pt modelId="{DC3455D5-F69B-44A2-A0C1-DFB2FBD46CAD}" type="pres">
      <dgm:prSet presAssocID="{A0E6A9EA-80AE-4CD3-8996-F5C129345FE2}" presName="L1TextContainer" presStyleLbl="revTx" presStyleIdx="3" presStyleCnt="8" custLinFactY="-171182" custLinFactNeighborX="59199" custLinFactNeighborY="-200000">
        <dgm:presLayoutVars>
          <dgm:chMax val="1"/>
          <dgm:chPref val="1"/>
          <dgm:bulletEnabled val="1"/>
        </dgm:presLayoutVars>
      </dgm:prSet>
      <dgm:spPr/>
    </dgm:pt>
    <dgm:pt modelId="{EA41B0BB-0BFB-4701-AE65-494523489F40}" type="pres">
      <dgm:prSet presAssocID="{A0E6A9EA-80AE-4CD3-8996-F5C129345FE2}" presName="ConnectLine" presStyleLbl="dkBgShp" presStyleIdx="3" presStyleCnt="6"/>
      <dgm:spPr/>
    </dgm:pt>
    <dgm:pt modelId="{CCC8FEC7-46A5-4485-B185-F8721E001B11}" type="pres">
      <dgm:prSet presAssocID="{A0E6A9EA-80AE-4CD3-8996-F5C129345FE2}" presName="ConnectorPoint" presStyleCnt="0"/>
      <dgm:spPr/>
    </dgm:pt>
    <dgm:pt modelId="{CA7EFE16-267E-4CC9-8F70-F2617B13883B}" type="pres">
      <dgm:prSet presAssocID="{A0E6A9EA-80AE-4CD3-8996-F5C129345FE2}" presName="Bullet" presStyleLbl="lnNode1" presStyleIdx="1" presStyleCnt="4"/>
      <dgm:spPr/>
    </dgm:pt>
    <dgm:pt modelId="{F0A6CAFA-7DA6-40D6-8800-73E55DAAE6D0}" type="pres">
      <dgm:prSet presAssocID="{A0E6A9EA-80AE-4CD3-8996-F5C129345FE2}" presName="EmptyPlaceHolder" presStyleCnt="0"/>
      <dgm:spPr/>
    </dgm:pt>
    <dgm:pt modelId="{5AE65B75-BAFC-4788-BFAE-9DE8CA5B614D}" type="pres">
      <dgm:prSet presAssocID="{0A25680A-AA81-4868-BBDF-BEC26D4A08FC}" presName="spaceBetweenRectangles" presStyleCnt="0"/>
      <dgm:spPr/>
    </dgm:pt>
    <dgm:pt modelId="{E5160B13-2691-4901-BF82-7FF7F4E0DF6D}" type="pres">
      <dgm:prSet presAssocID="{06432F40-FEA5-48A0-B8A5-4D240E8820BD}" presName="composite" presStyleCnt="0"/>
      <dgm:spPr/>
    </dgm:pt>
    <dgm:pt modelId="{F9D1BAB3-0C55-41C4-8040-2253E35420BD}" type="pres">
      <dgm:prSet presAssocID="{06432F40-FEA5-48A0-B8A5-4D240E8820BD}" presName="DropPinPlaceHolder" presStyleCnt="0"/>
      <dgm:spPr/>
    </dgm:pt>
    <dgm:pt modelId="{C8FD7E53-BA44-45A1-9B03-4BDD5722D7DD}" type="pres">
      <dgm:prSet presAssocID="{06432F40-FEA5-48A0-B8A5-4D240E8820BD}" presName="DropPin" presStyleLbl="alignNode1" presStyleIdx="2" presStyleCnt="4"/>
      <dgm:spPr/>
    </dgm:pt>
    <dgm:pt modelId="{4E31A03C-FDF9-4D4E-AFD8-7CFA54147834}" type="pres">
      <dgm:prSet presAssocID="{06432F40-FEA5-48A0-B8A5-4D240E8820BD}" presName="Ellipse" presStyleLbl="fgAcc1" presStyleIdx="2" presStyleCnt="4"/>
      <dgm:spPr/>
    </dgm:pt>
    <dgm:pt modelId="{8050AC53-3E8E-4B01-A0D0-D84D503D94CB}" type="pres">
      <dgm:prSet presAssocID="{06432F40-FEA5-48A0-B8A5-4D240E8820BD}" presName="L2TextContainer" presStyleLbl="revTx" presStyleIdx="4" presStyleCnt="8">
        <dgm:presLayoutVars>
          <dgm:bulletEnabled val="1"/>
        </dgm:presLayoutVars>
      </dgm:prSet>
      <dgm:spPr/>
    </dgm:pt>
    <dgm:pt modelId="{95C25AC8-BB5D-406A-9561-D8367E0EE945}" type="pres">
      <dgm:prSet presAssocID="{06432F40-FEA5-48A0-B8A5-4D240E8820BD}" presName="L1TextContainer" presStyleLbl="revTx" presStyleIdx="5" presStyleCnt="8" custLinFactY="161701" custLinFactNeighborX="-63035" custLinFactNeighborY="200000">
        <dgm:presLayoutVars>
          <dgm:chMax val="1"/>
          <dgm:chPref val="1"/>
          <dgm:bulletEnabled val="1"/>
        </dgm:presLayoutVars>
      </dgm:prSet>
      <dgm:spPr/>
    </dgm:pt>
    <dgm:pt modelId="{DE0E98A9-BA39-44C7-A3AB-AF7DCF63B73B}" type="pres">
      <dgm:prSet presAssocID="{06432F40-FEA5-48A0-B8A5-4D240E8820BD}" presName="ConnectLine" presStyleLbl="dkBgShp" presStyleIdx="4" presStyleCnt="6"/>
      <dgm:spPr/>
    </dgm:pt>
    <dgm:pt modelId="{C0EEA82F-A05B-4312-B666-C5BB0843D778}" type="pres">
      <dgm:prSet presAssocID="{06432F40-FEA5-48A0-B8A5-4D240E8820BD}" presName="ConnectorPoint" presStyleCnt="0"/>
      <dgm:spPr/>
    </dgm:pt>
    <dgm:pt modelId="{02F29436-7A50-4C3F-ABAB-60C89B2084F3}" type="pres">
      <dgm:prSet presAssocID="{06432F40-FEA5-48A0-B8A5-4D240E8820BD}" presName="Bullet" presStyleLbl="lnNode1" presStyleIdx="2" presStyleCnt="4"/>
      <dgm:spPr/>
    </dgm:pt>
    <dgm:pt modelId="{DCBEC3D2-112E-47D6-8B2D-C92073611485}" type="pres">
      <dgm:prSet presAssocID="{06432F40-FEA5-48A0-B8A5-4D240E8820BD}" presName="EmptyPlaceHolder" presStyleCnt="0"/>
      <dgm:spPr/>
    </dgm:pt>
    <dgm:pt modelId="{E333202F-B23E-4E85-8D5E-D8C0245B33C8}" type="pres">
      <dgm:prSet presAssocID="{9FF796B8-21C3-4C9D-A942-5E5C388EFBC5}" presName="spaceBetweenRectangles" presStyleCnt="0"/>
      <dgm:spPr/>
    </dgm:pt>
    <dgm:pt modelId="{B97E1839-3E77-435D-B492-09842A97AA1D}" type="pres">
      <dgm:prSet presAssocID="{203C8F37-2680-42D1-832C-319F43E105E4}" presName="composite" presStyleCnt="0"/>
      <dgm:spPr/>
    </dgm:pt>
    <dgm:pt modelId="{20957D81-02F9-4AC3-B402-ACC78D0B71B0}" type="pres">
      <dgm:prSet presAssocID="{203C8F37-2680-42D1-832C-319F43E105E4}" presName="DropPinPlaceHolder" presStyleCnt="0"/>
      <dgm:spPr/>
    </dgm:pt>
    <dgm:pt modelId="{4EE2CD72-747E-49D9-A660-CF75A327831C}" type="pres">
      <dgm:prSet presAssocID="{203C8F37-2680-42D1-832C-319F43E105E4}" presName="DropPin" presStyleLbl="alignNode1" presStyleIdx="3" presStyleCnt="4"/>
      <dgm:spPr/>
    </dgm:pt>
    <dgm:pt modelId="{D4CD7BDB-C707-4ABD-902C-C1E2373630FD}" type="pres">
      <dgm:prSet presAssocID="{203C8F37-2680-42D1-832C-319F43E105E4}" presName="Ellipse" presStyleLbl="fgAcc1" presStyleIdx="3" presStyleCnt="4"/>
      <dgm:spPr/>
    </dgm:pt>
    <dgm:pt modelId="{43681E94-2FC9-47EB-AAB6-7078CFD2E453}" type="pres">
      <dgm:prSet presAssocID="{203C8F37-2680-42D1-832C-319F43E105E4}" presName="L2TextContainer" presStyleLbl="revTx" presStyleIdx="6" presStyleCnt="8">
        <dgm:presLayoutVars>
          <dgm:bulletEnabled val="1"/>
        </dgm:presLayoutVars>
      </dgm:prSet>
      <dgm:spPr/>
    </dgm:pt>
    <dgm:pt modelId="{7B012FB8-18E8-4EE7-A20E-389B0B7D85CB}" type="pres">
      <dgm:prSet presAssocID="{203C8F37-2680-42D1-832C-319F43E105E4}" presName="L1TextContainer" presStyleLbl="revTx" presStyleIdx="7" presStyleCnt="8" custLinFactNeighborX="420" custLinFactNeighborY="-25835">
        <dgm:presLayoutVars>
          <dgm:chMax val="1"/>
          <dgm:chPref val="1"/>
          <dgm:bulletEnabled val="1"/>
        </dgm:presLayoutVars>
      </dgm:prSet>
      <dgm:spPr/>
    </dgm:pt>
    <dgm:pt modelId="{1F10963A-26A9-4349-B34B-83E79F6EB258}" type="pres">
      <dgm:prSet presAssocID="{203C8F37-2680-42D1-832C-319F43E105E4}" presName="ConnectLine" presStyleLbl="dkBgShp" presStyleIdx="5" presStyleCnt="6"/>
      <dgm:spPr/>
    </dgm:pt>
    <dgm:pt modelId="{BAE86EEA-E0E2-4DCD-8134-8BD00621C96E}" type="pres">
      <dgm:prSet presAssocID="{203C8F37-2680-42D1-832C-319F43E105E4}" presName="ConnectorPoint" presStyleCnt="0"/>
      <dgm:spPr/>
    </dgm:pt>
    <dgm:pt modelId="{C6C1C298-83D8-4331-99DF-4785ACF2057D}" type="pres">
      <dgm:prSet presAssocID="{203C8F37-2680-42D1-832C-319F43E105E4}" presName="Bullet" presStyleLbl="lnNode1" presStyleIdx="3" presStyleCnt="4"/>
      <dgm:spPr/>
    </dgm:pt>
    <dgm:pt modelId="{5ABFF639-9DDE-4EFD-85EB-EA972461337A}" type="pres">
      <dgm:prSet presAssocID="{203C8F37-2680-42D1-832C-319F43E105E4}" presName="EmptyPlaceHolder" presStyleCnt="0"/>
      <dgm:spPr/>
    </dgm:pt>
  </dgm:ptLst>
  <dgm:cxnLst>
    <dgm:cxn modelId="{3C268103-82F6-48B3-8672-532876AC77F0}" type="presOf" srcId="{A0E6A9EA-80AE-4CD3-8996-F5C129345FE2}" destId="{DC3455D5-F69B-44A2-A0C1-DFB2FBD46CAD}" srcOrd="0" destOrd="0" presId="urn:microsoft.com/office/officeart/2024/layout/BulletTimeline"/>
    <dgm:cxn modelId="{1EEB5B0D-4C2F-4848-95CC-89CD640D0AE8}" srcId="{BFBDAC63-A42F-496A-B251-5E51E1F15CBC}" destId="{06432F40-FEA5-48A0-B8A5-4D240E8820BD}" srcOrd="2" destOrd="0" parTransId="{5E647E0E-564F-4E96-ACD6-65D50ED49051}" sibTransId="{9FF796B8-21C3-4C9D-A942-5E5C388EFBC5}"/>
    <dgm:cxn modelId="{B03AAF16-DD49-485B-9CCD-13ED84FBB920}" type="presOf" srcId="{203C8F37-2680-42D1-832C-319F43E105E4}" destId="{7B012FB8-18E8-4EE7-A20E-389B0B7D85CB}" srcOrd="0" destOrd="0" presId="urn:microsoft.com/office/officeart/2024/layout/BulletTimeline"/>
    <dgm:cxn modelId="{439B8326-A123-4839-84BA-250AEC15FDAE}" type="presOf" srcId="{06432F40-FEA5-48A0-B8A5-4D240E8820BD}" destId="{95C25AC8-BB5D-406A-9561-D8367E0EE945}" srcOrd="0" destOrd="0" presId="urn:microsoft.com/office/officeart/2024/layout/BulletTimeline"/>
    <dgm:cxn modelId="{8BD5932A-55EB-4363-94C1-8C2FC396D04A}" srcId="{BFBDAC63-A42F-496A-B251-5E51E1F15CBC}" destId="{203C8F37-2680-42D1-832C-319F43E105E4}" srcOrd="3" destOrd="0" parTransId="{7A8454FF-0D2C-4FEA-8954-04DB0F5C4EB0}" sibTransId="{7D150B41-A54D-4C38-9EC6-457A13210942}"/>
    <dgm:cxn modelId="{22AEED47-DD30-4792-BD7D-1A75856A38F7}" srcId="{84CB3E92-AC88-4541-BBEE-F0D8C28E2A24}" destId="{150CDB66-3028-4CD1-8694-F0AD4CEE2AEB}" srcOrd="0" destOrd="0" parTransId="{08EEE69C-57D2-4D36-A2B1-F78F683249E8}" sibTransId="{18F21AA6-47D9-47A2-811A-CACA1CC789E5}"/>
    <dgm:cxn modelId="{E6B81355-1CEA-41D7-99A2-AD05175109B7}" type="presOf" srcId="{28E1C20A-B7F2-468C-BC2A-8081BCAC74D4}" destId="{43681E94-2FC9-47EB-AAB6-7078CFD2E453}" srcOrd="0" destOrd="0" presId="urn:microsoft.com/office/officeart/2024/layout/BulletTimeline"/>
    <dgm:cxn modelId="{4E25B077-0231-4133-A73B-AF90571A66FC}" srcId="{BFBDAC63-A42F-496A-B251-5E51E1F15CBC}" destId="{84CB3E92-AC88-4541-BBEE-F0D8C28E2A24}" srcOrd="0" destOrd="0" parTransId="{F662C427-A755-4524-B009-CAED4D5F74F0}" sibTransId="{5B1A9F22-A70D-4D5B-BB9A-E859E76A185C}"/>
    <dgm:cxn modelId="{B192937E-F9E6-480B-A2F4-8ADF714605AC}" srcId="{A0E6A9EA-80AE-4CD3-8996-F5C129345FE2}" destId="{5BC183E2-D412-4430-86EF-101A64997BB1}" srcOrd="0" destOrd="0" parTransId="{3883B790-3004-44AC-A439-06BB453765F9}" sibTransId="{0472763D-1DEC-4A38-A679-849AA053D957}"/>
    <dgm:cxn modelId="{E425898A-8B0A-4BBB-A47E-F996903EF16E}" type="presOf" srcId="{BFBDAC63-A42F-496A-B251-5E51E1F15CBC}" destId="{7F17069A-2C48-4D01-9A64-F9AA1962E366}" srcOrd="0" destOrd="0" presId="urn:microsoft.com/office/officeart/2024/layout/BulletTimeline"/>
    <dgm:cxn modelId="{059C64AB-04AA-4DD5-881F-1F9FFC444157}" type="presOf" srcId="{150CDB66-3028-4CD1-8694-F0AD4CEE2AEB}" destId="{18BF360C-0EDA-492E-8D55-C783337D99C7}" srcOrd="0" destOrd="0" presId="urn:microsoft.com/office/officeart/2024/layout/BulletTimeline"/>
    <dgm:cxn modelId="{CA9DB1AF-FA55-4976-9CC8-82177F6C0901}" type="presOf" srcId="{84CB3E92-AC88-4541-BBEE-F0D8C28E2A24}" destId="{19C388C2-CEFD-4344-A634-2AA0A9BDB99D}" srcOrd="0" destOrd="0" presId="urn:microsoft.com/office/officeart/2024/layout/BulletTimeline"/>
    <dgm:cxn modelId="{F4DB8BB3-FEBD-43DE-A86A-72A136998F78}" srcId="{BFBDAC63-A42F-496A-B251-5E51E1F15CBC}" destId="{A0E6A9EA-80AE-4CD3-8996-F5C129345FE2}" srcOrd="1" destOrd="0" parTransId="{AF488764-60E5-49EB-A458-3543BF83ADDE}" sibTransId="{0A25680A-AA81-4868-BBDF-BEC26D4A08FC}"/>
    <dgm:cxn modelId="{10964ACB-E07D-4FC2-B79C-C482F21185D8}" type="presOf" srcId="{A5860D4C-CCDB-4916-968A-C957C03113ED}" destId="{8050AC53-3E8E-4B01-A0D0-D84D503D94CB}" srcOrd="0" destOrd="0" presId="urn:microsoft.com/office/officeart/2024/layout/BulletTimeline"/>
    <dgm:cxn modelId="{89DC2ED5-4580-4995-9EC4-86F18C0F6708}" type="presOf" srcId="{5BC183E2-D412-4430-86EF-101A64997BB1}" destId="{16224AB8-1A53-493B-AAA7-FBD1A03714BE}" srcOrd="0" destOrd="0" presId="urn:microsoft.com/office/officeart/2024/layout/BulletTimeline"/>
    <dgm:cxn modelId="{54CE70D6-027F-4514-BBD8-D4E794B68642}" srcId="{203C8F37-2680-42D1-832C-319F43E105E4}" destId="{28E1C20A-B7F2-468C-BC2A-8081BCAC74D4}" srcOrd="0" destOrd="0" parTransId="{8CD14D74-BD0C-437C-8F2B-DADF21B70242}" sibTransId="{F001B8E0-E75F-4B25-8AA8-4DF97AB60952}"/>
    <dgm:cxn modelId="{3B9B75ED-BDF5-4568-94E6-0AFC5BE6441E}" srcId="{06432F40-FEA5-48A0-B8A5-4D240E8820BD}" destId="{A5860D4C-CCDB-4916-968A-C957C03113ED}" srcOrd="0" destOrd="0" parTransId="{B8BC6041-23D2-40FA-AB27-F115BB26FA84}" sibTransId="{952506CC-9359-421B-B03E-B75F6A4B1E48}"/>
    <dgm:cxn modelId="{32046EBC-CE38-4D64-8B73-5F5B9AD1F333}" type="presParOf" srcId="{7F17069A-2C48-4D01-9A64-F9AA1962E366}" destId="{0D3D2E34-C016-4ABA-A72C-B9D57CC03B2F}" srcOrd="0" destOrd="0" presId="urn:microsoft.com/office/officeart/2024/layout/BulletTimeline"/>
    <dgm:cxn modelId="{6CDF2F68-F785-4CF4-A63D-478DEAF731F6}" type="presParOf" srcId="{0D3D2E34-C016-4ABA-A72C-B9D57CC03B2F}" destId="{CFF62131-D5B4-414B-A608-31072F8BDAFE}" srcOrd="0" destOrd="0" presId="urn:microsoft.com/office/officeart/2024/layout/BulletTimeline"/>
    <dgm:cxn modelId="{9DA08FF9-AB11-43F2-A4DC-E5F52904AD13}" type="presParOf" srcId="{0D3D2E34-C016-4ABA-A72C-B9D57CC03B2F}" destId="{9D9ACC98-AD0F-463C-BB47-02E206BC2CFA}" srcOrd="1" destOrd="0" presId="urn:microsoft.com/office/officeart/2024/layout/BulletTimeline"/>
    <dgm:cxn modelId="{D2B366E3-CDFA-4C9D-A5E0-6EFB02B9C89E}" type="presParOf" srcId="{7F17069A-2C48-4D01-9A64-F9AA1962E366}" destId="{11FF7376-10CC-480B-B2DC-8FB314624A68}" srcOrd="1" destOrd="0" presId="urn:microsoft.com/office/officeart/2024/layout/BulletTimeline"/>
    <dgm:cxn modelId="{C631D5A7-A7C2-4932-A03B-FF3C43AFDF23}" type="presParOf" srcId="{11FF7376-10CC-480B-B2DC-8FB314624A68}" destId="{A4D59267-3B36-44AB-A9E0-B5F4C879C9D2}" srcOrd="0" destOrd="0" presId="urn:microsoft.com/office/officeart/2024/layout/BulletTimeline"/>
    <dgm:cxn modelId="{294EF2F9-ECCD-41DF-9F86-1FD5252AAC75}" type="presParOf" srcId="{A4D59267-3B36-44AB-A9E0-B5F4C879C9D2}" destId="{85EE0CC6-8FB8-4F76-B6D4-15D2177002AC}" srcOrd="0" destOrd="0" presId="urn:microsoft.com/office/officeart/2024/layout/BulletTimeline"/>
    <dgm:cxn modelId="{8BD9BD30-5D4E-4012-A590-9AA555A2CF6C}" type="presParOf" srcId="{85EE0CC6-8FB8-4F76-B6D4-15D2177002AC}" destId="{A2A86D5E-87FA-46FA-B65C-AF50F5B9FB47}" srcOrd="0" destOrd="0" presId="urn:microsoft.com/office/officeart/2024/layout/BulletTimeline"/>
    <dgm:cxn modelId="{A48BD7A7-FB9D-4BBC-95C0-2ED6ADC902DA}" type="presParOf" srcId="{85EE0CC6-8FB8-4F76-B6D4-15D2177002AC}" destId="{1DFF94F8-464D-493C-9AAE-327BF839FE30}" srcOrd="1" destOrd="0" presId="urn:microsoft.com/office/officeart/2024/layout/BulletTimeline"/>
    <dgm:cxn modelId="{94FEB394-086E-46CB-A8AC-615868772D98}" type="presParOf" srcId="{A4D59267-3B36-44AB-A9E0-B5F4C879C9D2}" destId="{18BF360C-0EDA-492E-8D55-C783337D99C7}" srcOrd="1" destOrd="0" presId="urn:microsoft.com/office/officeart/2024/layout/BulletTimeline"/>
    <dgm:cxn modelId="{290CA951-2632-4F75-9F18-22102AF83033}" type="presParOf" srcId="{A4D59267-3B36-44AB-A9E0-B5F4C879C9D2}" destId="{19C388C2-CEFD-4344-A634-2AA0A9BDB99D}" srcOrd="2" destOrd="0" presId="urn:microsoft.com/office/officeart/2024/layout/BulletTimeline"/>
    <dgm:cxn modelId="{BEF8250A-4449-4F3E-BE31-3CD8E118F5C4}" type="presParOf" srcId="{A4D59267-3B36-44AB-A9E0-B5F4C879C9D2}" destId="{7431901E-DD91-40A8-B21A-CFAB7AB35959}" srcOrd="3" destOrd="0" presId="urn:microsoft.com/office/officeart/2024/layout/BulletTimeline"/>
    <dgm:cxn modelId="{8736919B-247F-4D71-A385-580C1F69ABF7}" type="presParOf" srcId="{A4D59267-3B36-44AB-A9E0-B5F4C879C9D2}" destId="{901DA70B-BD09-4E3F-8125-852DB0ED4CCF}" srcOrd="4" destOrd="0" presId="urn:microsoft.com/office/officeart/2024/layout/BulletTimeline"/>
    <dgm:cxn modelId="{4CD7D019-D64B-42BE-9858-3F6313459C5C}" type="presParOf" srcId="{901DA70B-BD09-4E3F-8125-852DB0ED4CCF}" destId="{9F60AAF7-7028-45B7-AABA-6DD09206CD97}" srcOrd="0" destOrd="0" presId="urn:microsoft.com/office/officeart/2024/layout/BulletTimeline"/>
    <dgm:cxn modelId="{3CDF586A-2A28-40F3-BF11-272BAECE5293}" type="presParOf" srcId="{A4D59267-3B36-44AB-A9E0-B5F4C879C9D2}" destId="{53D7F1B5-FD1C-4727-8993-836E3ACB587B}" srcOrd="5" destOrd="0" presId="urn:microsoft.com/office/officeart/2024/layout/BulletTimeline"/>
    <dgm:cxn modelId="{7A1A38B7-42CA-4F7D-BBAB-18EA3FB30442}" type="presParOf" srcId="{11FF7376-10CC-480B-B2DC-8FB314624A68}" destId="{D9CD13AD-02CB-4B8A-A0F9-536A5E0B4F8B}" srcOrd="1" destOrd="0" presId="urn:microsoft.com/office/officeart/2024/layout/BulletTimeline"/>
    <dgm:cxn modelId="{6BBE2A04-73B6-4569-A128-A4B4175CA7DD}" type="presParOf" srcId="{11FF7376-10CC-480B-B2DC-8FB314624A68}" destId="{52506BB9-2D3B-4E2D-81CB-C34129D34C8C}" srcOrd="2" destOrd="0" presId="urn:microsoft.com/office/officeart/2024/layout/BulletTimeline"/>
    <dgm:cxn modelId="{AE4E64F7-4C99-476C-BFC8-D45E5C8BD858}" type="presParOf" srcId="{52506BB9-2D3B-4E2D-81CB-C34129D34C8C}" destId="{181BCDFB-F744-4247-A9EE-2BD664DB5DB1}" srcOrd="0" destOrd="0" presId="urn:microsoft.com/office/officeart/2024/layout/BulletTimeline"/>
    <dgm:cxn modelId="{9507DBE4-93F2-4040-BCB2-AC39423CEB50}" type="presParOf" srcId="{181BCDFB-F744-4247-A9EE-2BD664DB5DB1}" destId="{1BD62808-5747-4769-87A9-5E229CAC3438}" srcOrd="0" destOrd="0" presId="urn:microsoft.com/office/officeart/2024/layout/BulletTimeline"/>
    <dgm:cxn modelId="{0434ED37-D3FD-42D4-9A40-82D9E7156AA7}" type="presParOf" srcId="{181BCDFB-F744-4247-A9EE-2BD664DB5DB1}" destId="{3E11C77A-93E8-431E-BEF8-A2BD5F092F19}" srcOrd="1" destOrd="0" presId="urn:microsoft.com/office/officeart/2024/layout/BulletTimeline"/>
    <dgm:cxn modelId="{13575B49-154C-42C6-B534-360E95ABAEE7}" type="presParOf" srcId="{52506BB9-2D3B-4E2D-81CB-C34129D34C8C}" destId="{16224AB8-1A53-493B-AAA7-FBD1A03714BE}" srcOrd="1" destOrd="0" presId="urn:microsoft.com/office/officeart/2024/layout/BulletTimeline"/>
    <dgm:cxn modelId="{0E7CC4D7-5AC1-436C-B02A-F40DD0B26314}" type="presParOf" srcId="{52506BB9-2D3B-4E2D-81CB-C34129D34C8C}" destId="{DC3455D5-F69B-44A2-A0C1-DFB2FBD46CAD}" srcOrd="2" destOrd="0" presId="urn:microsoft.com/office/officeart/2024/layout/BulletTimeline"/>
    <dgm:cxn modelId="{2E37D6D0-2B11-486D-A172-62B37CFE8FB8}" type="presParOf" srcId="{52506BB9-2D3B-4E2D-81CB-C34129D34C8C}" destId="{EA41B0BB-0BFB-4701-AE65-494523489F40}" srcOrd="3" destOrd="0" presId="urn:microsoft.com/office/officeart/2024/layout/BulletTimeline"/>
    <dgm:cxn modelId="{29292414-DC8B-4CC4-8FEA-85AB550D0B4F}" type="presParOf" srcId="{52506BB9-2D3B-4E2D-81CB-C34129D34C8C}" destId="{CCC8FEC7-46A5-4485-B185-F8721E001B11}" srcOrd="4" destOrd="0" presId="urn:microsoft.com/office/officeart/2024/layout/BulletTimeline"/>
    <dgm:cxn modelId="{F26C6EC4-8B6D-45AE-8AA6-8902A2313F13}" type="presParOf" srcId="{CCC8FEC7-46A5-4485-B185-F8721E001B11}" destId="{CA7EFE16-267E-4CC9-8F70-F2617B13883B}" srcOrd="0" destOrd="0" presId="urn:microsoft.com/office/officeart/2024/layout/BulletTimeline"/>
    <dgm:cxn modelId="{E419CC01-D168-46CA-AEE5-3935B3910EE4}" type="presParOf" srcId="{52506BB9-2D3B-4E2D-81CB-C34129D34C8C}" destId="{F0A6CAFA-7DA6-40D6-8800-73E55DAAE6D0}" srcOrd="5" destOrd="0" presId="urn:microsoft.com/office/officeart/2024/layout/BulletTimeline"/>
    <dgm:cxn modelId="{3DE7B802-D1CD-4B87-B4B3-5D468E73951E}" type="presParOf" srcId="{11FF7376-10CC-480B-B2DC-8FB314624A68}" destId="{5AE65B75-BAFC-4788-BFAE-9DE8CA5B614D}" srcOrd="3" destOrd="0" presId="urn:microsoft.com/office/officeart/2024/layout/BulletTimeline"/>
    <dgm:cxn modelId="{350F8D82-B451-4406-B4FD-BBA160483059}" type="presParOf" srcId="{11FF7376-10CC-480B-B2DC-8FB314624A68}" destId="{E5160B13-2691-4901-BF82-7FF7F4E0DF6D}" srcOrd="4" destOrd="0" presId="urn:microsoft.com/office/officeart/2024/layout/BulletTimeline"/>
    <dgm:cxn modelId="{FECF9714-1BBD-47BA-A86C-E6E4BAF8A65C}" type="presParOf" srcId="{E5160B13-2691-4901-BF82-7FF7F4E0DF6D}" destId="{F9D1BAB3-0C55-41C4-8040-2253E35420BD}" srcOrd="0" destOrd="0" presId="urn:microsoft.com/office/officeart/2024/layout/BulletTimeline"/>
    <dgm:cxn modelId="{1929730F-CBED-4A6E-93CB-EB0BFF4B81C3}" type="presParOf" srcId="{F9D1BAB3-0C55-41C4-8040-2253E35420BD}" destId="{C8FD7E53-BA44-45A1-9B03-4BDD5722D7DD}" srcOrd="0" destOrd="0" presId="urn:microsoft.com/office/officeart/2024/layout/BulletTimeline"/>
    <dgm:cxn modelId="{FF913870-A86D-483B-BC0E-3FF2692DA89F}" type="presParOf" srcId="{F9D1BAB3-0C55-41C4-8040-2253E35420BD}" destId="{4E31A03C-FDF9-4D4E-AFD8-7CFA54147834}" srcOrd="1" destOrd="0" presId="urn:microsoft.com/office/officeart/2024/layout/BulletTimeline"/>
    <dgm:cxn modelId="{363FFC17-BD4B-43EF-9D40-15CC160F7FAD}" type="presParOf" srcId="{E5160B13-2691-4901-BF82-7FF7F4E0DF6D}" destId="{8050AC53-3E8E-4B01-A0D0-D84D503D94CB}" srcOrd="1" destOrd="0" presId="urn:microsoft.com/office/officeart/2024/layout/BulletTimeline"/>
    <dgm:cxn modelId="{EBC56F8F-C7E8-446E-A384-24D809BAC24A}" type="presParOf" srcId="{E5160B13-2691-4901-BF82-7FF7F4E0DF6D}" destId="{95C25AC8-BB5D-406A-9561-D8367E0EE945}" srcOrd="2" destOrd="0" presId="urn:microsoft.com/office/officeart/2024/layout/BulletTimeline"/>
    <dgm:cxn modelId="{11CD79E1-4009-430B-9BF8-22BDF929A893}" type="presParOf" srcId="{E5160B13-2691-4901-BF82-7FF7F4E0DF6D}" destId="{DE0E98A9-BA39-44C7-A3AB-AF7DCF63B73B}" srcOrd="3" destOrd="0" presId="urn:microsoft.com/office/officeart/2024/layout/BulletTimeline"/>
    <dgm:cxn modelId="{792449AD-62B0-49B1-B490-AE5BDDD49C9C}" type="presParOf" srcId="{E5160B13-2691-4901-BF82-7FF7F4E0DF6D}" destId="{C0EEA82F-A05B-4312-B666-C5BB0843D778}" srcOrd="4" destOrd="0" presId="urn:microsoft.com/office/officeart/2024/layout/BulletTimeline"/>
    <dgm:cxn modelId="{CE0317E4-E20C-445F-8DCD-928520A6C54E}" type="presParOf" srcId="{C0EEA82F-A05B-4312-B666-C5BB0843D778}" destId="{02F29436-7A50-4C3F-ABAB-60C89B2084F3}" srcOrd="0" destOrd="0" presId="urn:microsoft.com/office/officeart/2024/layout/BulletTimeline"/>
    <dgm:cxn modelId="{DAFE2788-68BC-4D2F-8D66-6773E4B44345}" type="presParOf" srcId="{E5160B13-2691-4901-BF82-7FF7F4E0DF6D}" destId="{DCBEC3D2-112E-47D6-8B2D-C92073611485}" srcOrd="5" destOrd="0" presId="urn:microsoft.com/office/officeart/2024/layout/BulletTimeline"/>
    <dgm:cxn modelId="{99427BB1-81BA-4E9B-9BED-ABB0DF306957}" type="presParOf" srcId="{11FF7376-10CC-480B-B2DC-8FB314624A68}" destId="{E333202F-B23E-4E85-8D5E-D8C0245B33C8}" srcOrd="5" destOrd="0" presId="urn:microsoft.com/office/officeart/2024/layout/BulletTimeline"/>
    <dgm:cxn modelId="{B78C66FA-75BB-4FA5-A812-BF8393F28696}" type="presParOf" srcId="{11FF7376-10CC-480B-B2DC-8FB314624A68}" destId="{B97E1839-3E77-435D-B492-09842A97AA1D}" srcOrd="6" destOrd="0" presId="urn:microsoft.com/office/officeart/2024/layout/BulletTimeline"/>
    <dgm:cxn modelId="{696CEED7-468C-43D0-8476-1B54BF2B9DB8}" type="presParOf" srcId="{B97E1839-3E77-435D-B492-09842A97AA1D}" destId="{20957D81-02F9-4AC3-B402-ACC78D0B71B0}" srcOrd="0" destOrd="0" presId="urn:microsoft.com/office/officeart/2024/layout/BulletTimeline"/>
    <dgm:cxn modelId="{4A4FD02D-59AB-4924-A07B-8FD397D561D9}" type="presParOf" srcId="{20957D81-02F9-4AC3-B402-ACC78D0B71B0}" destId="{4EE2CD72-747E-49D9-A660-CF75A327831C}" srcOrd="0" destOrd="0" presId="urn:microsoft.com/office/officeart/2024/layout/BulletTimeline"/>
    <dgm:cxn modelId="{F21346B5-6235-436B-A52B-6332F8D8FF07}" type="presParOf" srcId="{20957D81-02F9-4AC3-B402-ACC78D0B71B0}" destId="{D4CD7BDB-C707-4ABD-902C-C1E2373630FD}" srcOrd="1" destOrd="0" presId="urn:microsoft.com/office/officeart/2024/layout/BulletTimeline"/>
    <dgm:cxn modelId="{76AB4F6B-4089-41D0-9C04-EDB4C4AF9489}" type="presParOf" srcId="{B97E1839-3E77-435D-B492-09842A97AA1D}" destId="{43681E94-2FC9-47EB-AAB6-7078CFD2E453}" srcOrd="1" destOrd="0" presId="urn:microsoft.com/office/officeart/2024/layout/BulletTimeline"/>
    <dgm:cxn modelId="{960F3B51-112B-42C5-A195-5F6EE8B93CC0}" type="presParOf" srcId="{B97E1839-3E77-435D-B492-09842A97AA1D}" destId="{7B012FB8-18E8-4EE7-A20E-389B0B7D85CB}" srcOrd="2" destOrd="0" presId="urn:microsoft.com/office/officeart/2024/layout/BulletTimeline"/>
    <dgm:cxn modelId="{0172FFB2-5EE5-4273-8004-74D06DBF3158}" type="presParOf" srcId="{B97E1839-3E77-435D-B492-09842A97AA1D}" destId="{1F10963A-26A9-4349-B34B-83E79F6EB258}" srcOrd="3" destOrd="0" presId="urn:microsoft.com/office/officeart/2024/layout/BulletTimeline"/>
    <dgm:cxn modelId="{0D44CAFB-8A94-4FCD-97BC-C5E20CC814FA}" type="presParOf" srcId="{B97E1839-3E77-435D-B492-09842A97AA1D}" destId="{BAE86EEA-E0E2-4DCD-8134-8BD00621C96E}" srcOrd="4" destOrd="0" presId="urn:microsoft.com/office/officeart/2024/layout/BulletTimeline"/>
    <dgm:cxn modelId="{36257674-ACD6-48CF-A33B-B301C8BC2961}" type="presParOf" srcId="{BAE86EEA-E0E2-4DCD-8134-8BD00621C96E}" destId="{C6C1C298-83D8-4331-99DF-4785ACF2057D}" srcOrd="0" destOrd="0" presId="urn:microsoft.com/office/officeart/2024/layout/BulletTimeline"/>
    <dgm:cxn modelId="{4C49533A-C578-4820-A704-153D2C7F01AE}" type="presParOf" srcId="{B97E1839-3E77-435D-B492-09842A97AA1D}" destId="{5ABFF639-9DDE-4EFD-85EB-EA972461337A}" srcOrd="5" destOrd="0" presId="urn:microsoft.com/office/officeart/2024/layout/BulletTimeline"/>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F62131-D5B4-414B-A608-31072F8BDAFE}">
      <dsp:nvSpPr>
        <dsp:cNvPr id="0" name=""/>
        <dsp:cNvSpPr/>
      </dsp:nvSpPr>
      <dsp:spPr>
        <a:xfrm>
          <a:off x="0" y="711946"/>
          <a:ext cx="3400737" cy="14382"/>
        </a:xfrm>
        <a:prstGeom prst="rect">
          <a:avLst/>
        </a:prstGeom>
        <a:gradFill rotWithShape="0">
          <a:gsLst>
            <a:gs pos="0">
              <a:schemeClr val="accent1">
                <a:tint val="76000"/>
              </a:schemeClr>
            </a:gs>
            <a:gs pos="100000">
              <a:schemeClr val="accent1">
                <a:tint val="76000"/>
              </a:schemeClr>
            </a:gs>
          </a:gsLst>
          <a:lin ang="0" scaled="0"/>
        </a:gradFill>
        <a:ln>
          <a:noFill/>
        </a:ln>
        <a:effectLst/>
      </dsp:spPr>
      <dsp:style>
        <a:lnRef idx="0">
          <a:scrgbClr r="0" g="0" b="0"/>
        </a:lnRef>
        <a:fillRef idx="1">
          <a:scrgbClr r="0" g="0" b="0"/>
        </a:fillRef>
        <a:effectRef idx="0">
          <a:scrgbClr r="0" g="0" b="0"/>
        </a:effectRef>
        <a:fontRef idx="minor"/>
      </dsp:style>
    </dsp:sp>
    <dsp:sp modelId="{9D9ACC98-AD0F-463C-BB47-02E206BC2CFA}">
      <dsp:nvSpPr>
        <dsp:cNvPr id="0" name=""/>
        <dsp:cNvSpPr/>
      </dsp:nvSpPr>
      <dsp:spPr>
        <a:xfrm>
          <a:off x="3328098" y="661606"/>
          <a:ext cx="86296" cy="115062"/>
        </a:xfrm>
        <a:prstGeom prst="chevron">
          <a:avLst>
            <a:gd name="adj" fmla="val 75000"/>
          </a:avLst>
        </a:prstGeom>
        <a:gradFill rotWithShape="0">
          <a:gsLst>
            <a:gs pos="0">
              <a:schemeClr val="accent1">
                <a:tint val="76000"/>
              </a:schemeClr>
            </a:gs>
            <a:gs pos="100000">
              <a:schemeClr val="accent1">
                <a:tint val="76000"/>
              </a:schemeClr>
            </a:gs>
          </a:gsLst>
          <a:lin ang="0" scaled="0"/>
        </a:gradFill>
        <a:ln>
          <a:noFill/>
        </a:ln>
        <a:effectLst/>
      </dsp:spPr>
      <dsp:style>
        <a:lnRef idx="0">
          <a:scrgbClr r="0" g="0" b="0"/>
        </a:lnRef>
        <a:fillRef idx="1">
          <a:scrgbClr r="0" g="0" b="0"/>
        </a:fillRef>
        <a:effectRef idx="0">
          <a:scrgbClr r="0" g="0" b="0"/>
        </a:effectRef>
        <a:fontRef idx="minor"/>
      </dsp:style>
    </dsp:sp>
    <dsp:sp modelId="{18BF360C-0EDA-492E-8D55-C783337D99C7}">
      <dsp:nvSpPr>
        <dsp:cNvPr id="0" name=""/>
        <dsp:cNvSpPr/>
      </dsp:nvSpPr>
      <dsp:spPr>
        <a:xfrm>
          <a:off x="184515" y="327926"/>
          <a:ext cx="1133302" cy="33367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355600">
            <a:lnSpc>
              <a:spcPct val="90000"/>
            </a:lnSpc>
            <a:spcBef>
              <a:spcPct val="0"/>
            </a:spcBef>
            <a:spcAft>
              <a:spcPct val="35000"/>
            </a:spcAft>
            <a:buNone/>
          </a:pPr>
          <a:r>
            <a:rPr lang="en-GB" sz="800" kern="1200"/>
            <a:t>Preparation of herbal medicines by apothecaries</a:t>
          </a:r>
        </a:p>
      </dsp:txBody>
      <dsp:txXfrm>
        <a:off x="184515" y="327926"/>
        <a:ext cx="1133302" cy="333679"/>
      </dsp:txXfrm>
    </dsp:sp>
    <dsp:sp modelId="{19C388C2-CEFD-4344-A634-2AA0A9BDB99D}">
      <dsp:nvSpPr>
        <dsp:cNvPr id="0" name=""/>
        <dsp:cNvSpPr/>
      </dsp:nvSpPr>
      <dsp:spPr>
        <a:xfrm>
          <a:off x="184515" y="155333"/>
          <a:ext cx="1133302" cy="1725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488950">
            <a:lnSpc>
              <a:spcPct val="90000"/>
            </a:lnSpc>
            <a:spcBef>
              <a:spcPct val="0"/>
            </a:spcBef>
            <a:spcAft>
              <a:spcPct val="35000"/>
            </a:spcAft>
            <a:buNone/>
            <a:defRPr b="1"/>
          </a:pPr>
          <a:r>
            <a:rPr lang="en-GB" sz="1100" kern="1200"/>
            <a:t>ANCIENT</a:t>
          </a:r>
          <a:r>
            <a:rPr lang="en-GB" sz="1500" kern="1200"/>
            <a:t> </a:t>
          </a:r>
          <a:r>
            <a:rPr lang="en-GB" sz="1100" kern="1200"/>
            <a:t>TIMES</a:t>
          </a:r>
        </a:p>
      </dsp:txBody>
      <dsp:txXfrm>
        <a:off x="184515" y="155333"/>
        <a:ext cx="1133302" cy="172593"/>
      </dsp:txXfrm>
    </dsp:sp>
    <dsp:sp modelId="{7431901E-DD91-40A8-B21A-CFAB7AB35959}">
      <dsp:nvSpPr>
        <dsp:cNvPr id="0" name=""/>
        <dsp:cNvSpPr/>
      </dsp:nvSpPr>
      <dsp:spPr>
        <a:xfrm>
          <a:off x="86713" y="143827"/>
          <a:ext cx="11506" cy="575310"/>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6224AB8-1A53-493B-AAA7-FBD1A03714BE}">
      <dsp:nvSpPr>
        <dsp:cNvPr id="0" name=""/>
        <dsp:cNvSpPr/>
      </dsp:nvSpPr>
      <dsp:spPr>
        <a:xfrm>
          <a:off x="1538131" y="350556"/>
          <a:ext cx="1133302" cy="2703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355600">
            <a:lnSpc>
              <a:spcPct val="90000"/>
            </a:lnSpc>
            <a:spcBef>
              <a:spcPct val="0"/>
            </a:spcBef>
            <a:spcAft>
              <a:spcPct val="35000"/>
            </a:spcAft>
            <a:buNone/>
          </a:pPr>
          <a:r>
            <a:rPr lang="en-GB" sz="800" kern="1200"/>
            <a:t>Focus on safe dispensing and drug information</a:t>
          </a:r>
        </a:p>
      </dsp:txBody>
      <dsp:txXfrm>
        <a:off x="1538131" y="350556"/>
        <a:ext cx="1133302" cy="270395"/>
      </dsp:txXfrm>
    </dsp:sp>
    <dsp:sp modelId="{DC3455D5-F69B-44A2-A0C1-DFB2FBD46CAD}">
      <dsp:nvSpPr>
        <dsp:cNvPr id="0" name=""/>
        <dsp:cNvSpPr/>
      </dsp:nvSpPr>
      <dsp:spPr>
        <a:xfrm>
          <a:off x="1538131" y="172210"/>
          <a:ext cx="1133302" cy="17834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488950">
            <a:lnSpc>
              <a:spcPct val="90000"/>
            </a:lnSpc>
            <a:spcBef>
              <a:spcPct val="0"/>
            </a:spcBef>
            <a:spcAft>
              <a:spcPct val="35000"/>
            </a:spcAft>
            <a:buNone/>
            <a:defRPr b="1"/>
          </a:pPr>
          <a:r>
            <a:rPr lang="en-GB" sz="1100" kern="1200"/>
            <a:t>1900s</a:t>
          </a:r>
        </a:p>
      </dsp:txBody>
      <dsp:txXfrm>
        <a:off x="1538131" y="172210"/>
        <a:ext cx="1133302" cy="178346"/>
      </dsp:txXfrm>
    </dsp:sp>
    <dsp:sp modelId="{EA41B0BB-0BFB-4701-AE65-494523489F40}">
      <dsp:nvSpPr>
        <dsp:cNvPr id="0" name=""/>
        <dsp:cNvSpPr/>
      </dsp:nvSpPr>
      <dsp:spPr>
        <a:xfrm>
          <a:off x="769425" y="719137"/>
          <a:ext cx="11506" cy="575310"/>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F60AAF7-7028-45B7-AABA-6DD09206CD97}">
      <dsp:nvSpPr>
        <dsp:cNvPr id="0" name=""/>
        <dsp:cNvSpPr/>
      </dsp:nvSpPr>
      <dsp:spPr>
        <a:xfrm>
          <a:off x="62550" y="689221"/>
          <a:ext cx="59832" cy="5983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A7EFE16-267E-4CC9-8F70-F2617B13883B}">
      <dsp:nvSpPr>
        <dsp:cNvPr id="0" name=""/>
        <dsp:cNvSpPr/>
      </dsp:nvSpPr>
      <dsp:spPr>
        <a:xfrm>
          <a:off x="745262" y="689221"/>
          <a:ext cx="59832" cy="5983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050AC53-3E8E-4B01-A0D0-D84D503D94CB}">
      <dsp:nvSpPr>
        <dsp:cNvPr id="0" name=""/>
        <dsp:cNvSpPr/>
      </dsp:nvSpPr>
      <dsp:spPr>
        <a:xfrm>
          <a:off x="835563" y="952197"/>
          <a:ext cx="1133302" cy="33367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355600">
            <a:lnSpc>
              <a:spcPct val="90000"/>
            </a:lnSpc>
            <a:spcBef>
              <a:spcPct val="0"/>
            </a:spcBef>
            <a:spcAft>
              <a:spcPct val="35000"/>
            </a:spcAft>
            <a:buNone/>
          </a:pPr>
          <a:r>
            <a:rPr lang="en-GB" sz="800" kern="1200"/>
            <a:t>Growth of pharmacies and regulation of medicines (WHO, 2020)</a:t>
          </a:r>
        </a:p>
      </dsp:txBody>
      <dsp:txXfrm>
        <a:off x="835563" y="952197"/>
        <a:ext cx="1133302" cy="333679"/>
      </dsp:txXfrm>
    </dsp:sp>
    <dsp:sp modelId="{95C25AC8-BB5D-406A-9561-D8367E0EE945}">
      <dsp:nvSpPr>
        <dsp:cNvPr id="0" name=""/>
        <dsp:cNvSpPr/>
      </dsp:nvSpPr>
      <dsp:spPr>
        <a:xfrm>
          <a:off x="835563" y="779604"/>
          <a:ext cx="1133302" cy="1725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488950">
            <a:lnSpc>
              <a:spcPct val="90000"/>
            </a:lnSpc>
            <a:spcBef>
              <a:spcPct val="0"/>
            </a:spcBef>
            <a:spcAft>
              <a:spcPct val="35000"/>
            </a:spcAft>
            <a:buNone/>
            <a:defRPr b="1"/>
          </a:pPr>
          <a:r>
            <a:rPr lang="en-GB" sz="1100" kern="1200"/>
            <a:t>1800s</a:t>
          </a:r>
        </a:p>
      </dsp:txBody>
      <dsp:txXfrm>
        <a:off x="835563" y="779604"/>
        <a:ext cx="1133302" cy="172593"/>
      </dsp:txXfrm>
    </dsp:sp>
    <dsp:sp modelId="{DE0E98A9-BA39-44C7-A3AB-AF7DCF63B73B}">
      <dsp:nvSpPr>
        <dsp:cNvPr id="0" name=""/>
        <dsp:cNvSpPr/>
      </dsp:nvSpPr>
      <dsp:spPr>
        <a:xfrm>
          <a:off x="1452137" y="143827"/>
          <a:ext cx="11506" cy="575310"/>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3681E94-2FC9-47EB-AAB6-7078CFD2E453}">
      <dsp:nvSpPr>
        <dsp:cNvPr id="0" name=""/>
        <dsp:cNvSpPr/>
      </dsp:nvSpPr>
      <dsp:spPr>
        <a:xfrm>
          <a:off x="2237412" y="966469"/>
          <a:ext cx="1133302" cy="2703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355600">
            <a:lnSpc>
              <a:spcPct val="90000"/>
            </a:lnSpc>
            <a:spcBef>
              <a:spcPct val="0"/>
            </a:spcBef>
            <a:spcAft>
              <a:spcPct val="35000"/>
            </a:spcAft>
            <a:buNone/>
          </a:pPr>
          <a:r>
            <a:rPr lang="en-GB" sz="800" kern="1200"/>
            <a:t>Experienced roles in clinical care, prevention and public health (RPS, 2023)</a:t>
          </a:r>
        </a:p>
      </dsp:txBody>
      <dsp:txXfrm>
        <a:off x="2237412" y="966469"/>
        <a:ext cx="1133302" cy="270395"/>
      </dsp:txXfrm>
    </dsp:sp>
    <dsp:sp modelId="{7B012FB8-18E8-4EE7-A20E-389B0B7D85CB}">
      <dsp:nvSpPr>
        <dsp:cNvPr id="0" name=""/>
        <dsp:cNvSpPr/>
      </dsp:nvSpPr>
      <dsp:spPr>
        <a:xfrm>
          <a:off x="2237412" y="788123"/>
          <a:ext cx="1133302" cy="17834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488950">
            <a:lnSpc>
              <a:spcPct val="90000"/>
            </a:lnSpc>
            <a:spcBef>
              <a:spcPct val="0"/>
            </a:spcBef>
            <a:spcAft>
              <a:spcPct val="35000"/>
            </a:spcAft>
            <a:buNone/>
            <a:defRPr b="1"/>
          </a:pPr>
          <a:r>
            <a:rPr lang="en-GB" sz="1100" kern="1200"/>
            <a:t>TODAY</a:t>
          </a:r>
        </a:p>
      </dsp:txBody>
      <dsp:txXfrm>
        <a:off x="2237412" y="788123"/>
        <a:ext cx="1133302" cy="178346"/>
      </dsp:txXfrm>
    </dsp:sp>
    <dsp:sp modelId="{1F10963A-26A9-4349-B34B-83E79F6EB258}">
      <dsp:nvSpPr>
        <dsp:cNvPr id="0" name=""/>
        <dsp:cNvSpPr/>
      </dsp:nvSpPr>
      <dsp:spPr>
        <a:xfrm>
          <a:off x="2134850" y="719137"/>
          <a:ext cx="11506" cy="575310"/>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2F29436-7A50-4C3F-ABAB-60C89B2084F3}">
      <dsp:nvSpPr>
        <dsp:cNvPr id="0" name=""/>
        <dsp:cNvSpPr/>
      </dsp:nvSpPr>
      <dsp:spPr>
        <a:xfrm>
          <a:off x="1427974" y="689221"/>
          <a:ext cx="59832" cy="5983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6C1C298-83D8-4331-99DF-4785ACF2057D}">
      <dsp:nvSpPr>
        <dsp:cNvPr id="0" name=""/>
        <dsp:cNvSpPr/>
      </dsp:nvSpPr>
      <dsp:spPr>
        <a:xfrm>
          <a:off x="2110687" y="689221"/>
          <a:ext cx="59832" cy="5983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24/layout/BulletTimeline">
  <dgm:title val=""/>
  <dgm:desc val=""/>
  <dgm:catLst>
    <dgm:cat type="process" pri="7450"/>
    <dgm:cat type="timeline" pri="100"/>
  </dgm:catLst>
  <dgm:sampData>
    <dgm:dataModel>
      <dgm:ptLst>
        <dgm:pt modelId="0" type="doc"/>
        <dgm:pt modelId="10">
          <dgm:prSet phldrT="Add an event" phldr="1"/>
        </dgm:pt>
        <dgm:pt modelId="11">
          <dgm:prSet phldrT="Write a description of the significance of this event" phldr="1"/>
        </dgm:pt>
        <dgm:pt modelId="20">
          <dgm:prSet phldrT="Add an event" phldr="1"/>
        </dgm:pt>
        <dgm:pt modelId="21">
          <dgm:prSet phldrT="Write a description of the significance of this event" phldr="1"/>
        </dgm:pt>
        <dgm:pt modelId="30">
          <dgm:prSet phldrT="Add an event" phldr="1"/>
        </dgm:pt>
        <dgm:pt modelId="31">
          <dgm:prSet phldrT="Write a description of the significance of this event" phldr="1"/>
        </dgm:pt>
        <dgm:pt modelId="40">
          <dgm:prSet phldrT="Add an event" phldr="1"/>
        </dgm:pt>
        <dgm:pt modelId="41">
          <dgm:prSet phldrT="Write a description of the significance of this event" phldr="1"/>
        </dgm:pt>
        <dgm:pt modelId="50">
          <dgm:prSet phldrT="Add an event" phldr="1"/>
        </dgm:pt>
        <dgm:pt modelId="51">
          <dgm:prSet phldrT="Write a description of the significance of this event" phldr="1"/>
        </dgm:pt>
      </dgm:ptLst>
      <dgm:cxnLst>
        <dgm:cxn modelId="100" srcId="0" destId="10" srcOrd="0" destOrd="0"/>
        <dgm:cxn modelId="12" srcId="10" destId="11" srcOrd="0" destOrd="0"/>
        <dgm:cxn modelId="101" srcId="0" destId="20" srcOrd="1" destOrd="0"/>
        <dgm:cxn modelId="22" srcId="20" destId="21" srcOrd="0" destOrd="0"/>
        <dgm:cxn modelId="102" srcId="0" destId="30" srcOrd="2" destOrd="0"/>
        <dgm:cxn modelId="32" srcId="30" destId="31" srcOrd="0" destOrd="0"/>
        <dgm:cxn modelId="103" srcId="0" destId="40" srcOrd="3" destOrd="0"/>
        <dgm:cxn modelId="42" srcId="40" destId="41" srcOrd="0" destOrd="0"/>
        <dgm:cxn modelId="104" srcId="0" destId="50" srcOrd="4" destOrd="0"/>
        <dgm:cxn modelId="52" srcId="50" destId="5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
    <dgm:varLst>
      <dgm:dir/>
      <dgm:animLvl val="lvl"/>
    </dgm:varLst>
    <dgm:alg type="composite"/>
    <dgm:shape xmlns:r="http://schemas.openxmlformats.org/officeDocument/2006/relationships" r:blip="">
      <dgm:adjLst/>
    </dgm:shape>
    <dgm:constrLst>
      <dgm:constr type="w" for="ch" forName="divider" refType="w"/>
      <dgm:constr type="h" for="ch" forName="divider" refType="h" fact="0.1"/>
      <dgm:constr type="ctrY" for="ch" forName="divider" refType="h" fact="0.5"/>
      <dgm:constr type="l" for="ch" forName="divider"/>
      <dgm:constr type="w" for="ch" forName="nodes" refType="w"/>
      <dgm:constr type="h" for="ch" forName="nodes" refType="h" fact="0.8"/>
      <dgm:constr type="ctrY" for="ch" forName="nodes" refType="h" fact="0.5"/>
    </dgm:constrLst>
    <dgm:layoutNode name="divider">
      <dgm:alg type="composite"/>
      <dgm:shape xmlns:r="http://schemas.openxmlformats.org/officeDocument/2006/relationships" r:blip="">
        <dgm:adjLst/>
      </dgm:shape>
      <dgm:presOf/>
      <dgm:choose name="DividerDirection">
        <dgm:if name="DividerLTR" func="var" arg="dir" op="equ" val="norm">
          <dgm:constrLst>
            <dgm:constr type="w" for="ch" forName="rectBar" refType="w" fact="0.996"/>
            <dgm:constr type="h" for="ch" forName="rectBar" refType="h" fact="0.1"/>
            <dgm:constr type="l" for="ch" forName="rectBar"/>
            <dgm:constr type="ctrY" for="ch" forName="rectBar" refType="h" fact="0.5"/>
            <dgm:constr type="w" for="ch" forName="chevronArrow" refType="h" fact="0.6"/>
            <dgm:constr type="h" for="ch" forName="chevronArrow" refType="h" fact="0.8"/>
            <dgm:constr type="r" for="ch" forName="chevronArrow" refType="w"/>
            <dgm:constr type="ctrY" for="ch" forName="chevronArrow" refType="h" fact="0.5"/>
          </dgm:constrLst>
        </dgm:if>
        <dgm:else name="DividerRTL">
          <dgm:constrLst>
            <dgm:constr type="w" for="ch" forName="rectBar" refType="w" fact="0.996"/>
            <dgm:constr type="h" for="ch" forName="rectBar" refType="h" fact="0.1"/>
            <dgm:constr type="r" for="ch" forName="rectBar" refType="w"/>
            <dgm:constr type="ctrY" for="ch" forName="rectBar" refType="h" fact="0.5"/>
            <dgm:constr type="w" for="ch" forName="chevronArrow" refType="h" fact="0.6"/>
            <dgm:constr type="h" for="ch" forName="chevronArrow" refType="h" fact="0.8"/>
            <dgm:constr type="l" for="ch" forName="chevronArrow"/>
            <dgm:constr type="ctrY" for="ch" forName="chevronArrow" refType="h" fact="0.5"/>
          </dgm:constrLst>
        </dgm:else>
      </dgm:choose>
      <dgm:ruleLst/>
      <dgm:layoutNode name="rectBar" styleLbl="dkBgShp">
        <dgm:alg type="sp"/>
        <dgm:shape xmlns:r="http://schemas.openxmlformats.org/officeDocument/2006/relationships" type="rect" r:blip="" zOrderOff="-1">
          <dgm:adjLst/>
          <dgm:extLst>
            <a:ext uri="{B698B0E9-8C71-41B9-8309-B3DCBF30829C}">
              <dgm1612:spPr xmlns:dgm1612="http://schemas.microsoft.com/office/drawing/2016/12/diagram">
                <a:gradFill rotWithShape="0">
                  <a:gsLst>
                    <a:gs pos="0">
                      <a:schemeClr val="accent1">
                        <a:tint val="76000"/>
                      </a:schemeClr>
                    </a:gs>
                    <a:gs pos="100000">
                      <a:schemeClr val="accent1">
                        <a:tint val="76000"/>
                      </a:schemeClr>
                    </a:gs>
                  </a:gsLst>
                  <a:lin ang="0" scaled="0"/>
                </a:gradFill>
              </dgm1612:spPr>
            </a:ext>
          </dgm:extLst>
        </dgm:shape>
        <dgm:presOf/>
        <dgm:constrLst/>
        <dgm:ruleLst/>
      </dgm:layoutNode>
      <dgm:layoutNode name="chevronArrow" styleLbl="dkBgShp">
        <dgm:alg type="sp"/>
        <dgm:choose name="ChevronDir">
          <dgm:if name="ChevronLTR" func="var" arg="dir" op="equ" val="norm">
            <dgm:shape xmlns:r="http://schemas.openxmlformats.org/officeDocument/2006/relationships" type="chevron" r:blip="" zOrderOff="-1">
              <dgm:adjLst>
                <dgm:adj idx="1" val="0.75"/>
              </dgm:adjLst>
              <dgm:extLst>
                <a:ext uri="{B698B0E9-8C71-41B9-8309-B3DCBF30829C}">
                  <dgm1612:spPr xmlns:dgm1612="http://schemas.microsoft.com/office/drawing/2016/12/diagram">
                    <a:gradFill rotWithShape="0">
                      <a:gsLst>
                        <a:gs pos="0">
                          <a:schemeClr val="accent1">
                            <a:tint val="76000"/>
                          </a:schemeClr>
                        </a:gs>
                        <a:gs pos="100000">
                          <a:schemeClr val="accent1">
                            <a:tint val="76000"/>
                          </a:schemeClr>
                        </a:gs>
                      </a:gsLst>
                      <a:lin ang="0" scaled="0"/>
                    </a:gradFill>
                  </dgm1612:spPr>
                </a:ext>
              </dgm:extLst>
            </dgm:shape>
          </dgm:if>
          <dgm:else name="ChevronRTL">
            <dgm:shape xmlns:r="http://schemas.openxmlformats.org/officeDocument/2006/relationships" rot="180" type="chevron" r:blip="" zOrderOff="-1">
              <dgm:adjLst>
                <dgm:adj idx="1" val="0.75"/>
              </dgm:adjLst>
              <dgm:extLst>
                <a:ext uri="{B698B0E9-8C71-41B9-8309-B3DCBF30829C}">
                  <dgm1612:spPr xmlns:dgm1612="http://schemas.microsoft.com/office/drawing/2016/12/diagram">
                    <a:gradFill rotWithShape="0">
                      <a:gsLst>
                        <a:gs pos="0">
                          <a:schemeClr val="accent1">
                            <a:tint val="76000"/>
                          </a:schemeClr>
                        </a:gs>
                        <a:gs pos="100000">
                          <a:schemeClr val="accent1">
                            <a:tint val="76000"/>
                          </a:schemeClr>
                        </a:gs>
                      </a:gsLst>
                      <a:lin ang="0" scaled="0"/>
                    </a:gradFill>
                  </dgm1612:spPr>
                </a:ext>
              </dgm:extLst>
            </dgm:shape>
          </dgm:else>
        </dgm:choose>
        <dgm:presOf/>
        <dgm:constrLst/>
        <dgm:ruleLst/>
      </dgm:layoutNode>
    </dgm:layoutNode>
    <dgm:layoutNode name="nodes">
      <dgm:varLst>
        <dgm:chMax/>
        <dgm:chPref/>
        <dgm:animLvl val="lvl"/>
      </dgm:varLst>
      <dgm:choose name="Name1">
        <dgm:if name="Name2" func="var" arg="dir" op="equ" val="norm">
          <dgm:alg type="lin">
            <dgm:param type="fallback" val="1D"/>
          </dgm:alg>
        </dgm:if>
        <dgm:else name="Name3">
          <dgm:alg type="lin">
            <dgm:param type="linDir" val="fromR"/>
            <dgm:param type="fallback" val="1D"/>
          </dgm:alg>
        </dgm:else>
      </dgm:choose>
      <dgm:shape xmlns:r="http://schemas.openxmlformats.org/officeDocument/2006/relationships" r:blip="">
        <dgm:adjLst/>
      </dgm:shape>
      <dgm:constrLst>
        <dgm:constr type="primFontSz" for="des" forName="L1TextContainer" val="20"/>
        <dgm:constr type="primFontSz" for="des" forName="L2TextContainer" refType="primFontSz" refFor="des" refForName="L1TextContainer" op="equ" fact="0.75"/>
        <dgm:constr type="w" for="ch" forName="composite" refType="w"/>
        <dgm:constr type="h" for="ch" forName="composite" refType="h"/>
        <dgm:constr type="w" for="ch" forName="spaceBetweenRectangles" refType="w" refFor="ch" refForName="composite" fact="-0.5"/>
        <dgm:constr type="w" for="ch" ptType="sibTrans" op="equ"/>
        <dgm:constr type="primFontSz" for="des" forName="L1TextContainer" op="equ"/>
        <dgm:constr type="primFontSz" for="des" forName="L2TextContainer" op="equ"/>
        <dgm:constr type="primFontSz" for="des" forName="L1TextContainer1" val="20"/>
        <dgm:constr type="primFontSz" for="des" forName="L2TextContainer1" refType="primFontSz" refFor="des" refForName="L1TextContainer1" op="equ" fact="0.75"/>
        <dgm:constr type="w" for="ch" forName="composite1" refType="w"/>
        <dgm:constr type="h" for="ch" forName="composite1" refType="h"/>
        <dgm:constr type="w" for="ch" forName="spaceBetweenRectangles1" refType="w" refFor="ch" refForName="composite1" fact="0.28"/>
        <dgm:constr type="primFontSz" for="des" forName="L1TextContainer1" op="equ"/>
        <dgm:constr type="primFontSz" for="des" forName="L2TextContainer1" op="equ"/>
      </dgm:constrLst>
      <dgm:choose name="LayoutBasedOnCountOfNodes">
        <dgm:if name="LessThanOrEqualToTwoNodes" axis="ch" ptType="node" func="cnt" op="lte" val="2">
          <dgm:forEach name="nodesForEach1" axis="ch" ptType="node">
            <dgm:layoutNode name="composite1">
              <dgm:alg type="composite"/>
              <dgm:shape xmlns:r="http://schemas.openxmlformats.org/officeDocument/2006/relationships" r:blip="">
                <dgm:adjLst/>
              </dgm:shape>
              <dgm:choose name="CaseForLayoutDirection1">
                <dgm:if name="CaseForLayoutDirectionLTR1" func="var" arg="dir" op="equ" val="norm">
                  <dgm:choose name="CaseForPlacingNodesAboveAndBelowDividerLTR1">
                    <dgm:if name="CaseForPlacingNodeAboveDividerLTR1" axis="self" ptType="node" func="posOdd" op="equ" val="1">
                      <dgm:constrLst>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DropPinPlaceHolder1" refType="h" fact="0.16"/>
                        <dgm:constr type="h" for="ch" forName="DropPinPlaceHolder1" refType="h" fact="0.16"/>
                        <dgm:constr type="t" for="ch" forName="DropPinPlaceHolder1" refType="h" fact="0"/>
                        <dgm:constr type="l" for="ch" forName="DropPinPlaceHolder1" refType="w" fact="0"/>
                        <dgm:constr type="w" for="ch" forName="L2TextContainer1" refType="w" fact="0.83"/>
                        <dgm:constr type="l" for="ch" forName="L2TextContainer1" refType="r" refFor="ch" refForName="DropPinPlaceHolder1"/>
                        <dgm:constr type="t" for="ch" forName="L2TextContainer1" refType="h" fact="0.16"/>
                        <dgm:constr type="b" for="ch" forName="L2TextContainer1" refType="h" fact="0.45"/>
                        <dgm:constr type="w" for="ch" forName="L1TextContainer1" refType="w" fact="0.83"/>
                        <dgm:constr type="l" for="ch" forName="L1TextContainer1" refType="r" refFor="ch" refForName="DropPinPlaceHolder1"/>
                        <dgm:constr type="t" for="ch" forName="L1TextContainer1" refType="h" fact="0.01"/>
                        <dgm:constr type="b" for="ch" forName="L1TextContainer1" refType="h" fact="0.16"/>
                        <dgm:constr type="w" for="ch" forName="ConnectLine1" refType="h" fact="0.01"/>
                        <dgm:constr type="ctrX" for="ch" forName="ConnectLine1" refType="ctrX" refFor="ch" refForName="DropPinPlaceHolder1"/>
                        <dgm:constr type="b" for="ch" forName="ConnectLine1" refType="h" fact="0.5"/>
                        <dgm:constr type="t" for="ch" forName="ConnectLine1" refType="b" refFor="ch" refForName="DropPinPlaceHolder1" fact="0"/>
                        <dgm:constr type="w" for="ch" forName="EmptyPlaceHolder1" refType="w"/>
                        <dgm:constr type="h" for="ch" forName="EmptyPlaceHolder1" refType="h" fact="0.5"/>
                        <dgm:constr type="t" for="ch" forName="EmptyPlaceHolder1" refType="h" fact="0.5"/>
                      </dgm:constrLst>
                    </dgm:if>
                    <dgm:else name="CaseForPlacingNodeBelowDividerLTR1">
                      <dgm:constrLst>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DropPinPlaceHolder1" refType="h" fact="0.16"/>
                        <dgm:constr type="h" for="ch" forName="DropPinPlaceHolder1" refType="h" fact="0.16"/>
                        <dgm:constr type="b" for="ch" forName="DropPinPlaceHolder1" refType="h"/>
                        <dgm:constr type="l" for="ch" forName="DropPinPlaceHolder1" refType="w" fact="0"/>
                        <dgm:constr type="w" for="ch" forName="L1TextContainer1" refType="w" fact="0.83"/>
                        <dgm:constr type="l" for="ch" forName="L1TextContainer1" refType="r" refFor="ch" refForName="DropPinPlaceHolder1"/>
                        <dgm:constr type="b" for="ch" forName="L1TextContainer1" refType="h" fact="0.755"/>
                        <dgm:constr type="t" for="ch" forName="L1TextContainer1" refType="h" fact="0.6"/>
                        <dgm:constr type="w" for="ch" forName="L2TextContainer1" refType="w" fact="0.83"/>
                        <dgm:constr type="l" for="ch" forName="L2TextContainer1" refType="r" refFor="ch" refForName="DropPinPlaceHolder1"/>
                        <dgm:constr type="b" for="ch" forName="L2TextContainer1" refType="h" fact="0.99"/>
                        <dgm:constr type="t" for="ch" forName="L2TextContainer1" refType="h" fact="0.755"/>
                        <dgm:constr type="w" for="ch" forName="ConnectLine1" refType="h" fact="0.01"/>
                        <dgm:constr type="ctrX" for="ch" forName="ConnectLine1" refType="ctrX" refFor="ch" refForName="DropPinPlaceHolder1"/>
                        <dgm:constr type="t" for="ch" forName="ConnectLine1" refType="h" fact="0.5"/>
                        <dgm:constr type="b" for="ch" forName="ConnectLine1" refType="b" refFor="ch" refForName="DropPinPlaceHolder1"/>
                        <dgm:constr type="w" for="ch" forName="EmptyPlaceHolder1" refType="w"/>
                        <dgm:constr type="h" for="ch" forName="EmptyPlaceHolder1" refType="h" fact="0.5"/>
                        <dgm:constr type="t" for="ch" forName="EmptyPlaceHolder1" refType="h" fact="0"/>
                      </dgm:constrLst>
                    </dgm:else>
                  </dgm:choose>
                </dgm:if>
                <dgm:else name="CaseForLayoutDirectionRTL1">
                  <dgm:choose name="CaseForPlacingNodesAboveAndBelowDividerRTL1">
                    <dgm:if name="CaseForPlacingNodeAboveDividerRTL1" axis="self" ptType="node" func="posOdd" op="equ" val="1">
                      <dgm:constrLst>
                        <dgm:constr type="w" for="ch" forName="L1TextContainer1" refType="w" fact="0.83"/>
                        <dgm:constr type="l" for="ch" forName="L1TextContainer1" refType="w" fact="0"/>
                        <dgm:constr type="t" for="ch" forName="L1TextContainer1" refType="h" fact="0.01"/>
                        <dgm:constr type="b" for="ch" forName="L1TextContainer1" refType="h" fact="0.16"/>
                        <dgm:constr type="w" for="ch" forName="L2TextContainer1" refType="w" fact="0.83"/>
                        <dgm:constr type="l" for="ch" forName="L2TextContainer1" refType="w" fact="0"/>
                        <dgm:constr type="t" for="ch" forName="L2TextContainer1" refType="h" fact="0.16"/>
                        <dgm:constr type="b" for="ch" forName="L2TextContainer1" refType="h" fact="0.45"/>
                        <dgm:constr type="w" for="ch" forName="DropPinPlaceHolder1" refType="h" fact="0.16"/>
                        <dgm:constr type="h" for="ch" forName="DropPinPlaceHolder1" refType="h" fact="0.16"/>
                        <dgm:constr type="t" for="ch" forName="DropPinPlaceHolder1" refType="h" fact="0"/>
                        <dgm:constr type="r" for="ch" forName="DropPinPlaceHolder1" refType="w"/>
                        <dgm:constr type="w" for="ch" forName="ConnectLine1" refType="h" fact="0.01"/>
                        <dgm:constr type="ctrX" for="ch" forName="ConnectLine1" refType="ctrX" refFor="ch" refForName="DropPinPlaceHolder1"/>
                        <dgm:constr type="b" for="ch" forName="ConnectLine1" refType="h" fact="0.5"/>
                        <dgm:constr type="t" for="ch" forName="ConnectLine1" refType="b" refFor="ch" refForName="DropPinPlaceHolder1" fact="0"/>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EmptyPlaceHolder1" refType="w"/>
                        <dgm:constr type="h" for="ch" forName="EmptyPlaceHolder1" refType="h" fact="0.5"/>
                        <dgm:constr type="t" for="ch" forName="EmptyPlaceHolder1" refType="h" fact="0.5"/>
                      </dgm:constrLst>
                    </dgm:if>
                    <dgm:else name="CaseForPlacingNodeBelowDividerRTL1">
                      <dgm:constrLst>
                        <dgm:constr type="w" for="ch" forName="L1TextContainer1" refType="w" fact="0.83"/>
                        <dgm:constr type="l" for="ch" forName="L1TextContainer1" refType="w" fact="0"/>
                        <dgm:constr type="b" for="ch" forName="L1TextContainer1" refType="h" fact="0.755"/>
                        <dgm:constr type="t" for="ch" forName="L1TextContainer1" refType="h" fact="0.6"/>
                        <dgm:constr type="w" for="ch" forName="L2TextContainer1" refType="w" fact="0.83"/>
                        <dgm:constr type="l" for="ch" forName="L2TextContainer1" refType="w" fact="0"/>
                        <dgm:constr type="b" for="ch" forName="L2TextContainer1" refType="h" fact="0.99"/>
                        <dgm:constr type="t" for="ch" forName="L2TextContainer1" refType="h" fact="0.755"/>
                        <dgm:constr type="w" for="ch" forName="DropPinPlaceHolder1" refType="h" fact="0.16"/>
                        <dgm:constr type="h" for="ch" forName="DropPinPlaceHolder1" refType="h" fact="0.16"/>
                        <dgm:constr type="b" for="ch" forName="DropPinPlaceHolder1" refType="h"/>
                        <dgm:constr type="r" for="ch" forName="DropPinPlaceHolder1" refType="w"/>
                        <dgm:constr type="w" for="ch" forName="ConnectLine1" refType="h" fact="0.01"/>
                        <dgm:constr type="ctrX" for="ch" forName="ConnectLine1" refType="ctrX" refFor="ch" refForName="DropPinPlaceHolder1"/>
                        <dgm:constr type="t" for="ch" forName="ConnectLine1" refType="h" fact="0.5"/>
                        <dgm:constr type="b" for="ch" forName="ConnectLine1" refType="b" refFor="ch" refForName="DropPinPlaceHolder1"/>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EmptyPlaceHolder1" refType="w"/>
                        <dgm:constr type="h" for="ch" forName="EmptyPlaceHolder1" refType="h" fact="0.5"/>
                        <dgm:constr type="t" for="ch" forName="EmptyPlaceHolder1" refType="h" fact="0"/>
                      </dgm:constrLst>
                    </dgm:else>
                  </dgm:choose>
                </dgm:else>
              </dgm:choose>
              <dgm:layoutNode name="DropPinPlaceHolder1">
                <dgm:alg type="composite"/>
                <dgm:shape xmlns:r="http://schemas.openxmlformats.org/officeDocument/2006/relationships" r:blip="">
                  <dgm:adjLst/>
                </dgm:shape>
                <dgm:constrLst>
                  <dgm:constr type="w" for="ch" forName="DropPin1" refType="w" fact="0"/>
                  <dgm:constr type="h" for="ch" forName="DropPin1" refType="h" fact="0"/>
                  <dgm:constr type="ctrX" for="ch" forName="DropPin1" refType="w" fact="0"/>
                  <dgm:constr type="ctrY" for="ch" forName="DropPin1" refType="h" fact="0"/>
                  <dgm:constr type="w" for="ch" forName="Ellipse1" refType="w" refFor="ch" refForName="DropPin1" fact="0"/>
                  <dgm:constr type="h" for="ch" forName="Ellipse1" refType="w" refFor="ch" refForName="DropPin1" fact="0"/>
                  <dgm:constr type="ctrX" for="ch" forName="Ellipse1" refType="ctrX" refFor="ch" refForName="DropPin1" fact="0"/>
                  <dgm:constr type="ctrY" for="ch" forName="Ellipse1" refType="ctrY" refFor="ch" refForName="DropPin1" fact="0"/>
                </dgm:constrLst>
                <dgm:layoutNode name="DropPin1" styleLbl="alignNode1">
                  <dgm:alg type="sp"/>
                  <dgm:choose name="CaseForPlacingTearDropAboveAndBelowDivider1">
                    <dgm:if name="CaseForPlacingTearDropAboveDivider1" axis="self" ptType="node" func="posOdd" op="equ" val="1">
                      <dgm:shape xmlns:r="http://schemas.openxmlformats.org/officeDocument/2006/relationships" rot="135" type="teardrop" r:blip="">
                        <dgm:adjLst>
                          <dgm:adj idx="1" val="1.15"/>
                        </dgm:adjLst>
                      </dgm:shape>
                    </dgm:if>
                    <dgm:else name="CaseForPlacingTearDropBelowDivider1">
                      <dgm:shape xmlns:r="http://schemas.openxmlformats.org/officeDocument/2006/relationships" rot="-45" type="teardrop" r:blip="">
                        <dgm:adjLst>
                          <dgm:adj idx="1" val="1.15"/>
                        </dgm:adjLst>
                      </dgm:shape>
                    </dgm:else>
                  </dgm:choose>
                  <dgm:presOf/>
                  <dgm:constrLst/>
                </dgm:layoutNode>
                <dgm:layoutNode name="Ellipse1" styleLbl="fgAcc1" moveWith="DropPin1">
                  <dgm:alg type="sp"/>
                  <dgm:shape xmlns:r="http://schemas.openxmlformats.org/officeDocument/2006/relationships" type="ellipse" r:blip="">
                    <dgm:adjLst/>
                  </dgm:shape>
                  <dgm:presOf/>
                  <dgm:constrLst/>
                </dgm:layoutNode>
              </dgm:layoutNode>
              <dgm:layoutNode name="L2TextContainer1" styleLbl="revTx" moveWith="L1TextContainer">
                <dgm:varLst>
                  <dgm:bulletEnabled val="1"/>
                </dgm:varLst>
                <dgm:choose name="casesForTxtDirLogic1">
                  <dgm:if name="Name771" axis="self" ptType="node" func="posOdd" op="equ" val="1">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if>
                  <dgm:else name="Name881">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else>
                </dgm:choose>
                <dgm:shape xmlns:r="http://schemas.openxmlformats.org/officeDocument/2006/relationships" type="rect" r:blip="">
                  <dgm:adjLst/>
                </dgm:shape>
                <dgm:presOf axis="des" ptType="node"/>
                <dgm:ruleLst>
                  <dgm:rule type="primFontSz" val="5" fact="NaN" max="NaN"/>
                </dgm:ruleLst>
              </dgm:layoutNode>
              <dgm:layoutNode name="L1TextContainer1" styleLbl="revTx">
                <dgm:varLst>
                  <dgm:chMax val="1"/>
                  <dgm:chPref val="1"/>
                  <dgm:bulletEnabled val="1"/>
                </dgm:varLst>
                <dgm:alg type="tx">
                  <dgm:param type="txAnchorVert" val="mid"/>
                  <dgm:param type="parTxLTRAlign" val="l"/>
                  <dgm:param type="parTxRTLAlign" val="l"/>
                </dgm:alg>
                <dgm:shape xmlns:r="http://schemas.openxmlformats.org/officeDocument/2006/relationships" type="rect" r:blip="">
                  <dgm:adjLst/>
                </dgm:shape>
                <dgm:presOf axis="self"/>
                <dgm:constrLst>
                  <dgm:constr type="lMarg"/>
                  <dgm:constr type="rMarg"/>
                  <dgm:constr type="tMarg"/>
                  <dgm:constr type="bMarg"/>
                </dgm:constrLst>
                <dgm:ruleLst>
                  <dgm:rule type="primFontSz" val="5" fact="NaN" max="NaN"/>
                </dgm:ruleLst>
              </dgm:layoutNode>
              <dgm:layoutNode name="ConnectLine1" styleLbl="dkBgShp">
                <dgm:alg type="sp"/>
                <dgm:shape xmlns:r="http://schemas.openxmlformats.org/officeDocument/2006/relationships" type="rect" r:blip="">
                  <dgm:adjLst/>
                </dgm:shape>
                <dgm:presOf/>
                <dgm:constrLst/>
              </dgm:layoutNode>
              <dgm:layoutNode name="ConnectorPoint1" moveWith="ConnectLine1">
                <dgm:alg type="composite"/>
                <dgm:shape xmlns:r="http://schemas.openxmlformats.org/officeDocument/2006/relationships" r:blip="">
                  <dgm:adjLst/>
                </dgm:shape>
                <dgm:presOf/>
                <dgm:constrLst>
                  <dgm:constr type="w" for="ch" forName="Bullet1" refType="w"/>
                  <dgm:constr type="h" for="ch" forName="Bullet1" refType="w"/>
                  <dgm:constr type="ctrX" for="ch" forName="Bullet1" refType="w" fact="0.5"/>
                  <dgm:constr type="ctrY" for="ch" forName="Bullet1" refType="h" fact="0.5"/>
                </dgm:constrLst>
                <dgm:layoutNode name="Bullet1" styleLbl="lnNode1">
                  <dgm:alg type="sp"/>
                  <dgm:shape xmlns:r="http://schemas.openxmlformats.org/officeDocument/2006/relationships" type="ellipse" r:blip="" zOrderOff="10">
                    <dgm:adjLst/>
                  </dgm:shape>
                  <dgm:presOf/>
                  <dgm:constrLst/>
                </dgm:layoutNode>
              </dgm:layoutNode>
              <dgm:layoutNode name="EmptyPlaceHolder1">
                <dgm:alg type="sp"/>
                <dgm:shape xmlns:r="http://schemas.openxmlformats.org/officeDocument/2006/relationships" r:blip="">
                  <dgm:adjLst/>
                </dgm:shape>
                <dgm:presOf/>
                <dgm:constrLst/>
              </dgm:layoutNode>
            </dgm:layoutNode>
            <dgm:forEach name="Name281" axis="followSib" ptType="sibTrans" cnt="1">
              <dgm:layoutNode name="spaceBetweenRectangles1">
                <dgm:alg type="sp"/>
                <dgm:shape xmlns:r="http://schemas.openxmlformats.org/officeDocument/2006/relationships" r:blip="">
                  <dgm:adjLst/>
                </dgm:shape>
                <dgm:presOf/>
                <dgm:constrLst/>
                <dgm:ruleLst/>
              </dgm:layoutNode>
            </dgm:forEach>
          </dgm:forEach>
        </dgm:if>
        <dgm:else name="MoreThanTwoNodes">
          <dgm:forEach name="nodesForEach" axis="ch" ptType="node">
            <dgm:layoutNode name="composite">
              <dgm:alg type="composite"/>
              <dgm:shape xmlns:r="http://schemas.openxmlformats.org/officeDocument/2006/relationships" r:blip="">
                <dgm:adjLst/>
              </dgm:shape>
              <dgm:choose name="CaseForLayoutDirection">
                <dgm:if name="CaseForLayoutDirectionLTR" func="var" arg="dir" op="equ" val="norm">
                  <dgm:choose name="CaseForPlacingNodesAboveAndBelowDividerLTR">
                    <dgm:if name="CaseForPlacingNodeAboveDividerLTR" axis="self" ptType="node" func="posOdd" op="equ" val="1">
                      <dgm:constrLst>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DropPinPlaceHolder" refType="h" fact="0.16"/>
                        <dgm:constr type="h" for="ch" forName="DropPinPlaceHolder" refType="h" fact="0.16"/>
                        <dgm:constr type="t" for="ch" forName="DropPinPlaceHolder" refType="h" fact="0"/>
                        <dgm:constr type="l" for="ch" forName="DropPinPlaceHolder" refType="w" fact="0"/>
                        <dgm:constr type="w" for="ch" forName="L2TextContainer" refType="w" fact="0.83"/>
                        <dgm:constr type="l" for="ch" forName="L2TextContainer" refType="r" refFor="ch" refForName="DropPinPlaceHolder"/>
                        <dgm:constr type="t" for="ch" forName="L2TextContainer" refType="h" fact="0.16"/>
                        <dgm:constr type="b" for="ch" forName="L2TextContainer" refType="h" fact="0.45"/>
                        <dgm:constr type="w" for="ch" forName="L1TextContainer" refType="w" fact="0.83"/>
                        <dgm:constr type="l" for="ch" forName="L1TextContainer" refType="r" refFor="ch" refForName="DropPinPlaceHolder"/>
                        <dgm:constr type="t" for="ch" forName="L1TextContainer" refType="h" fact="0.01"/>
                        <dgm:constr type="b" for="ch" forName="L1TextContainer" refType="h" fact="0.16"/>
                        <dgm:constr type="w" for="ch" forName="ConnectLine" refType="h" fact="0.01"/>
                        <dgm:constr type="ctrX" for="ch" forName="ConnectLine" refType="ctrX" refFor="ch" refForName="DropPinPlaceHolder"/>
                        <dgm:constr type="b" for="ch" forName="ConnectLine" refType="h" fact="0.5"/>
                        <dgm:constr type="t" for="ch" forName="ConnectLine" refType="b" refFor="ch" refForName="DropPinPlaceHolder" fact="0"/>
                        <dgm:constr type="w" for="ch" forName="EmptyPlaceHolder" refType="w"/>
                        <dgm:constr type="h" for="ch" forName="EmptyPlaceHolder" refType="h" fact="0.5"/>
                        <dgm:constr type="t" for="ch" forName="EmptyPlaceHolder" refType="h" fact="0.5"/>
                      </dgm:constrLst>
                    </dgm:if>
                    <dgm:else name="CaseForPlacingNodeBelowDividerLTR">
                      <dgm:constrLst>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DropPinPlaceHolder" refType="h" fact="0.16"/>
                        <dgm:constr type="h" for="ch" forName="DropPinPlaceHolder" refType="h" fact="0.16"/>
                        <dgm:constr type="b" for="ch" forName="DropPinPlaceHolder" refType="h"/>
                        <dgm:constr type="l" for="ch" forName="DropPinPlaceHolder" refType="w" fact="0"/>
                        <dgm:constr type="w" for="ch" forName="L1TextContainer" refType="w" fact="0.83"/>
                        <dgm:constr type="l" for="ch" forName="L1TextContainer" refType="r" refFor="ch" refForName="DropPinPlaceHolder"/>
                        <dgm:constr type="b" for="ch" forName="L1TextContainer" refType="h" fact="0.755"/>
                        <dgm:constr type="t" for="ch" forName="L1TextContainer" refType="h" fact="0.6"/>
                        <dgm:constr type="w" for="ch" forName="L2TextContainer" refType="w" fact="0.83"/>
                        <dgm:constr type="l" for="ch" forName="L2TextContainer" refType="r" refFor="ch" refForName="DropPinPlaceHolder"/>
                        <dgm:constr type="b" for="ch" forName="L2TextContainer" refType="h" fact="0.99"/>
                        <dgm:constr type="t" for="ch" forName="L2TextContainer" refType="h" fact="0.755"/>
                        <dgm:constr type="w" for="ch" forName="ConnectLine" refType="h" fact="0.01"/>
                        <dgm:constr type="ctrX" for="ch" forName="ConnectLine" refType="ctrX" refFor="ch" refForName="DropPinPlaceHolder"/>
                        <dgm:constr type="t" for="ch" forName="ConnectLine" refType="h" fact="0.5"/>
                        <dgm:constr type="b" for="ch" forName="ConnectLine" refType="b" refFor="ch" refForName="DropPinPlaceHolder"/>
                        <dgm:constr type="w" for="ch" forName="EmptyPlaceHolder" refType="w"/>
                        <dgm:constr type="h" for="ch" forName="EmptyPlaceHolder" refType="h" fact="0.5"/>
                        <dgm:constr type="t" for="ch" forName="EmptyPlaceHolder" refType="h" fact="0"/>
                      </dgm:constrLst>
                    </dgm:else>
                  </dgm:choose>
                </dgm:if>
                <dgm:else name="CaseForLayoutDirectionRTL">
                  <dgm:choose name="CaseForPlacingNodesAboveAndBelowDividerRTL">
                    <dgm:if name="CaseForPlacingNodeAboveDividerRTL" axis="self" ptType="node" func="posOdd" op="equ" val="1">
                      <dgm:constrLst>
                        <dgm:constr type="w" for="ch" forName="L1TextContainer" refType="w" fact="0.83"/>
                        <dgm:constr type="l" for="ch" forName="L1TextContainer" refType="w" fact="0"/>
                        <dgm:constr type="t" for="ch" forName="L1TextContainer" refType="h" fact="0.01"/>
                        <dgm:constr type="b" for="ch" forName="L1TextContainer" refType="h" fact="0.16"/>
                        <dgm:constr type="w" for="ch" forName="L2TextContainer" refType="w" fact="0.83"/>
                        <dgm:constr type="l" for="ch" forName="L2TextContainer" refType="w" fact="0"/>
                        <dgm:constr type="t" for="ch" forName="L2TextContainer" refType="h" fact="0.16"/>
                        <dgm:constr type="b" for="ch" forName="L2TextContainer" refType="h" fact="0.45"/>
                        <dgm:constr type="w" for="ch" forName="DropPinPlaceHolder" refType="h" fact="0.16"/>
                        <dgm:constr type="h" for="ch" forName="DropPinPlaceHolder" refType="h" fact="0.16"/>
                        <dgm:constr type="t" for="ch" forName="DropPinPlaceHolder" refType="h" fact="0"/>
                        <dgm:constr type="r" for="ch" forName="DropPinPlaceHolder" refType="w"/>
                        <dgm:constr type="w" for="ch" forName="ConnectLine" refType="h" fact="0.01"/>
                        <dgm:constr type="ctrX" for="ch" forName="ConnectLine" refType="ctrX" refFor="ch" refForName="DropPinPlaceHolder"/>
                        <dgm:constr type="b" for="ch" forName="ConnectLine" refType="h" fact="0.5"/>
                        <dgm:constr type="t" for="ch" forName="ConnectLine" refType="b" refFor="ch" refForName="DropPinPlaceHolder" fact="0"/>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EmptyPlaceHolder" refType="w"/>
                        <dgm:constr type="h" for="ch" forName="EmptyPlaceHolder" refType="h" fact="0.5"/>
                        <dgm:constr type="t" for="ch" forName="EmptyPlaceHolder" refType="h" fact="0.5"/>
                      </dgm:constrLst>
                    </dgm:if>
                    <dgm:else name="CaseForPlacingNodeBelowDividerRTL">
                      <dgm:constrLst>
                        <dgm:constr type="w" for="ch" forName="L1TextContainer" refType="w" fact="0.83"/>
                        <dgm:constr type="l" for="ch" forName="L1TextContainer" refType="w" fact="0"/>
                        <dgm:constr type="b" for="ch" forName="L1TextContainer" refType="h" fact="0.755"/>
                        <dgm:constr type="t" for="ch" forName="L1TextContainer" refType="h" fact="0.6"/>
                        <dgm:constr type="w" for="ch" forName="L2TextContainer" refType="w" fact="0.83"/>
                        <dgm:constr type="l" for="ch" forName="L2TextContainer" refType="w" fact="0"/>
                        <dgm:constr type="b" for="ch" forName="L2TextContainer" refType="h" fact="0.99"/>
                        <dgm:constr type="t" for="ch" forName="L2TextContainer" refType="h" fact="0.755"/>
                        <dgm:constr type="w" for="ch" forName="DropPinPlaceHolder" refType="h" fact="0.16"/>
                        <dgm:constr type="h" for="ch" forName="DropPinPlaceHolder" refType="h" fact="0.16"/>
                        <dgm:constr type="b" for="ch" forName="DropPinPlaceHolder" refType="h"/>
                        <dgm:constr type="r" for="ch" forName="DropPinPlaceHolder" refType="w"/>
                        <dgm:constr type="w" for="ch" forName="ConnectLine" refType="h" fact="0.01"/>
                        <dgm:constr type="ctrX" for="ch" forName="ConnectLine" refType="ctrX" refFor="ch" refForName="DropPinPlaceHolder"/>
                        <dgm:constr type="t" for="ch" forName="ConnectLine" refType="h" fact="0.5"/>
                        <dgm:constr type="b" for="ch" forName="ConnectLine" refType="b" refFor="ch" refForName="DropPinPlaceHolder"/>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EmptyPlaceHolder" refType="w"/>
                        <dgm:constr type="h" for="ch" forName="EmptyPlaceHolder" refType="h" fact="0.5"/>
                        <dgm:constr type="t" for="ch" forName="EmptyPlaceHolder" refType="h" fact="0"/>
                      </dgm:constrLst>
                    </dgm:else>
                  </dgm:choose>
                </dgm:else>
              </dgm:choose>
              <dgm:layoutNode name="DropPinPlaceHolder">
                <dgm:alg type="composite"/>
                <dgm:shape xmlns:r="http://schemas.openxmlformats.org/officeDocument/2006/relationships" r:blip="">
                  <dgm:adjLst/>
                </dgm:shape>
                <dgm:constrLst>
                  <dgm:constr type="w" for="ch" forName="DropPin" refType="w" fact="0"/>
                  <dgm:constr type="h" for="ch" forName="DropPin" refType="h" fact="0"/>
                  <dgm:constr type="ctrX" for="ch" forName="DropPin" refType="w" fact="0"/>
                  <dgm:constr type="ctrY" for="ch" forName="DropPin" refType="h" fact="0"/>
                  <dgm:constr type="w" for="ch" forName="Ellipse" refType="w" refFor="ch" refForName="DropPin" fact="0"/>
                  <dgm:constr type="h" for="ch" forName="Ellipse" refType="w" refFor="ch" refForName="DropPin" fact="0"/>
                  <dgm:constr type="ctrX" for="ch" forName="Ellipse" refType="ctrX" refFor="ch" refForName="DropPin" fact="0"/>
                  <dgm:constr type="ctrY" for="ch" forName="Ellipse" refType="ctrY" refFor="ch" refForName="DropPin" fact="0"/>
                </dgm:constrLst>
                <dgm:layoutNode name="DropPin" styleLbl="alignNode1">
                  <dgm:alg type="sp"/>
                  <dgm:choose name="CaseForPlacingTearDropAboveAndBelowDivider">
                    <dgm:if name="CaseForPlacingTearDropAboveDivider" axis="self" ptType="node" func="posOdd" op="equ" val="1">
                      <dgm:shape xmlns:r="http://schemas.openxmlformats.org/officeDocument/2006/relationships" rot="135" type="teardrop" r:blip="">
                        <dgm:adjLst>
                          <dgm:adj idx="1" val="1.15"/>
                        </dgm:adjLst>
                      </dgm:shape>
                    </dgm:if>
                    <dgm:else name="CaseForPlacingTearDropBelowDivider">
                      <dgm:shape xmlns:r="http://schemas.openxmlformats.org/officeDocument/2006/relationships" rot="-45" type="teardrop" r:blip="">
                        <dgm:adjLst>
                          <dgm:adj idx="1" val="1.15"/>
                        </dgm:adjLst>
                      </dgm:shape>
                    </dgm:else>
                  </dgm:choose>
                  <dgm:presOf/>
                  <dgm:constrLst/>
                </dgm:layoutNode>
                <dgm:layoutNode name="Ellipse" styleLbl="fgAcc1" moveWith="DropPin">
                  <dgm:alg type="sp"/>
                  <dgm:shape xmlns:r="http://schemas.openxmlformats.org/officeDocument/2006/relationships" type="ellipse" r:blip="">
                    <dgm:adjLst/>
                  </dgm:shape>
                  <dgm:presOf/>
                  <dgm:constrLst/>
                </dgm:layoutNode>
              </dgm:layoutNode>
              <dgm:layoutNode name="L2TextContainer" styleLbl="revTx" moveWith="L1TextContainer">
                <dgm:varLst>
                  <dgm:bulletEnabled val="1"/>
                </dgm:varLst>
                <dgm:choose name="casesForTxtDirLogic">
                  <dgm:if name="Name77" axis="self" ptType="node" func="posOdd" op="equ" val="1">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if>
                  <dgm:else name="Name88">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else>
                </dgm:choose>
                <dgm:shape xmlns:r="http://schemas.openxmlformats.org/officeDocument/2006/relationships" type="rect" r:blip="">
                  <dgm:adjLst/>
                </dgm:shape>
                <dgm:presOf axis="des" ptType="node"/>
                <dgm:ruleLst>
                  <dgm:rule type="primFontSz" val="5" fact="NaN" max="NaN"/>
                </dgm:ruleLst>
              </dgm:layoutNode>
              <dgm:layoutNode name="L1TextContainer" styleLbl="revTx">
                <dgm:varLst>
                  <dgm:chMax val="1"/>
                  <dgm:chPref val="1"/>
                  <dgm:bulletEnabled val="1"/>
                </dgm:varLst>
                <dgm:alg type="tx">
                  <dgm:param type="txAnchorVert" val="mid"/>
                  <dgm:param type="parTxLTRAlign" val="l"/>
                  <dgm:param type="parTxRTLAlign" val="l"/>
                </dgm:alg>
                <dgm:shape xmlns:r="http://schemas.openxmlformats.org/officeDocument/2006/relationships" type="rect" r:blip="">
                  <dgm:adjLst/>
                </dgm:shape>
                <dgm:presOf axis="self"/>
                <dgm:constrLst>
                  <dgm:constr type="lMarg"/>
                  <dgm:constr type="rMarg"/>
                  <dgm:constr type="tMarg"/>
                  <dgm:constr type="bMarg"/>
                </dgm:constrLst>
                <dgm:ruleLst>
                  <dgm:rule type="primFontSz" val="5" fact="NaN" max="NaN"/>
                </dgm:ruleLst>
              </dgm:layoutNode>
              <dgm:layoutNode name="ConnectLine" styleLbl="dkBgShp">
                <dgm:alg type="sp"/>
                <dgm:shape xmlns:r="http://schemas.openxmlformats.org/officeDocument/2006/relationships" type="rect" r:blip="">
                  <dgm:adjLst/>
                </dgm:shape>
                <dgm:presOf/>
                <dgm:constrLst/>
              </dgm:layoutNode>
              <dgm:layoutNode name="ConnectorPoint" moveWith="ConnectLine">
                <dgm:alg type="composite"/>
                <dgm:shape xmlns:r="http://schemas.openxmlformats.org/officeDocument/2006/relationships" r:blip="">
                  <dgm:adjLst/>
                </dgm:shape>
                <dgm:presOf/>
                <dgm:constrLst>
                  <dgm:constr type="w" for="ch" forName="Bullet" refType="w"/>
                  <dgm:constr type="h" for="ch" forName="Bullet" refType="w"/>
                  <dgm:constr type="ctrX" for="ch" forName="Bullet" refType="w" fact="0.5"/>
                  <dgm:constr type="ctrY" for="ch" forName="Bullet" refType="h" fact="0.5"/>
                </dgm:constrLst>
                <dgm:layoutNode name="Bullet" styleLbl="lnNode1">
                  <dgm:alg type="sp"/>
                  <dgm:shape xmlns:r="http://schemas.openxmlformats.org/officeDocument/2006/relationships" type="ellipse" r:blip="" zOrderOff="10">
                    <dgm:adjLst/>
                  </dgm:shape>
                  <dgm:presOf/>
                  <dgm:constrLst/>
                </dgm:layoutNode>
              </dgm:layoutNode>
              <dgm:layoutNode name="EmptyPlaceHolder">
                <dgm:alg type="sp"/>
                <dgm:shape xmlns:r="http://schemas.openxmlformats.org/officeDocument/2006/relationships" r:blip="">
                  <dgm:adjLst/>
                </dgm:shape>
                <dgm:presOf/>
                <dgm:constrLst/>
              </dgm:layoutNode>
            </dgm:layoutNode>
            <dgm:forEach name="Name28" axis="followSib" ptType="sibTrans" cnt="1">
              <dgm:layoutNode name="spaceBetweenRectangles">
                <dgm:alg type="sp"/>
                <dgm:shape xmlns:r="http://schemas.openxmlformats.org/officeDocument/2006/relationships" r:blip="">
                  <dgm:adjLst/>
                </dgm:shape>
                <dgm:presOf/>
                <dgm:constrLst/>
                <dgm:ruleLst/>
              </dgm:layoutNode>
            </dgm:forEach>
          </dgm:forEach>
        </dgm:else>
      </dgm:choose>
    </dgm:layoutNode>
  </dgm:layoutNode>
  <dgm:extLst>
    <a:ext uri="{68A01E43-0DF5-4B5B-8FA6-DAF915123BFB}">
      <dgm1612:lstStyle xmlns:dgm1612="http://schemas.microsoft.com/office/drawing/2016/12/diagram">
        <a:lvl1pPr>
          <a:defRPr b="1"/>
        </a:lvl1pPr>
      </dgm1612:lstStyle>
    </a:ext>
  </dgm:extLst>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1261</Words>
  <Characters>7189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2570)</dc:creator>
  <cp:keywords/>
  <dc:description/>
  <cp:lastModifiedBy>Kulsum Remtulla (2522570)</cp:lastModifiedBy>
  <cp:revision>3</cp:revision>
  <dcterms:created xsi:type="dcterms:W3CDTF">2026-06-21T16:43:00Z</dcterms:created>
  <dcterms:modified xsi:type="dcterms:W3CDTF">2026-06-21T16:44:00Z</dcterms:modified>
</cp:coreProperties>
</file>