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96567" w14:textId="08C38E29" w:rsidR="005123F5" w:rsidRDefault="004E408E">
      <w:pPr>
        <w:rPr>
          <w:color w:val="000000"/>
          <w:sz w:val="27"/>
          <w:szCs w:val="27"/>
        </w:rPr>
      </w:pPr>
      <w:r>
        <w:rPr>
          <w:color w:val="000000"/>
          <w:sz w:val="27"/>
          <w:szCs w:val="27"/>
        </w:rPr>
        <w:t>Question 1</w:t>
      </w:r>
    </w:p>
    <w:p w14:paraId="6EBD7731" w14:textId="34FBBD7C" w:rsidR="004E408E" w:rsidRDefault="0093588B">
      <w:pPr>
        <w:rPr>
          <w:color w:val="000000"/>
          <w:sz w:val="27"/>
          <w:szCs w:val="27"/>
        </w:rPr>
      </w:pPr>
      <w:r>
        <w:rPr>
          <w:color w:val="000000"/>
          <w:sz w:val="27"/>
          <w:szCs w:val="27"/>
        </w:rPr>
        <w:t xml:space="preserve">There are no witness statements in the IDPC, but </w:t>
      </w:r>
      <w:proofErr w:type="spellStart"/>
      <w:r>
        <w:rPr>
          <w:color w:val="000000"/>
          <w:sz w:val="27"/>
          <w:szCs w:val="27"/>
        </w:rPr>
        <w:t>i</w:t>
      </w:r>
      <w:proofErr w:type="spellEnd"/>
      <w:r>
        <w:rPr>
          <w:color w:val="000000"/>
          <w:sz w:val="27"/>
          <w:szCs w:val="27"/>
        </w:rPr>
        <w:t xml:space="preserve"> understand from the case summary that no one has provided a witness statement and there is no video footage of the incident</w:t>
      </w:r>
      <w:r w:rsidR="002B042E">
        <w:rPr>
          <w:color w:val="000000"/>
          <w:sz w:val="27"/>
          <w:szCs w:val="27"/>
        </w:rPr>
        <w:t xml:space="preserve"> and my case </w:t>
      </w:r>
      <w:r w:rsidR="00DF370C">
        <w:rPr>
          <w:color w:val="000000"/>
          <w:sz w:val="27"/>
          <w:szCs w:val="27"/>
        </w:rPr>
        <w:t xml:space="preserve">can be </w:t>
      </w:r>
      <w:r w:rsidR="001153DC">
        <w:rPr>
          <w:color w:val="000000"/>
          <w:sz w:val="27"/>
          <w:szCs w:val="27"/>
        </w:rPr>
        <w:t xml:space="preserve">release </w:t>
      </w:r>
      <w:r w:rsidR="003C2D20">
        <w:rPr>
          <w:color w:val="000000"/>
          <w:sz w:val="27"/>
          <w:szCs w:val="27"/>
        </w:rPr>
        <w:t xml:space="preserve">whit out evidence </w:t>
      </w:r>
      <w:r w:rsidR="00C71F9D">
        <w:rPr>
          <w:color w:val="000000"/>
          <w:sz w:val="27"/>
          <w:szCs w:val="27"/>
        </w:rPr>
        <w:t xml:space="preserve">can </w:t>
      </w:r>
      <w:r w:rsidR="00CD3BE7">
        <w:rPr>
          <w:color w:val="000000"/>
          <w:sz w:val="27"/>
          <w:szCs w:val="27"/>
        </w:rPr>
        <w:t xml:space="preserve">keep in arrest whit out </w:t>
      </w:r>
      <w:r w:rsidR="0075314F">
        <w:rPr>
          <w:color w:val="000000"/>
          <w:sz w:val="27"/>
          <w:szCs w:val="27"/>
        </w:rPr>
        <w:t>evidenc</w:t>
      </w:r>
      <w:r w:rsidR="00B476C6">
        <w:rPr>
          <w:color w:val="000000"/>
          <w:sz w:val="27"/>
          <w:szCs w:val="27"/>
        </w:rPr>
        <w:t xml:space="preserve">e </w:t>
      </w:r>
      <w:r w:rsidR="00BD5902">
        <w:t>The use of the power must be fully justified and officers exercising the power should consider if the necessary objectives can be met by other, less intrusive means. Absence of justification for exercising the power of arrest may lead to challenges should the case proceed to court. It could also lead to civil claims against police for unlawful arrest and false imprisonment. When the power of arrest is exercised it is essential that it is exercised in a non-discriminatory and proportionate manner which is compatible</w:t>
      </w:r>
      <w:r w:rsidR="005873FA">
        <w:t>.</w:t>
      </w:r>
      <w:r w:rsidR="005873FA" w:rsidRPr="005873FA">
        <w:t xml:space="preserve"> </w:t>
      </w:r>
      <w:r w:rsidR="005873FA">
        <w:t>The power of arrest is only exercisable if the constable has reasonable grounds for believing that it is necessary to arrest the person. The statutory criteria for what may constitute necessity are set out in paragraph 2.9 and it remains an operational decision at the discretion of the constable to decide: • which one or more of the necessity criteria (if any) applies to the individual; and • if any of the criteria do apply, whether to arrest, grant street bail after arrest, report for summons or for charging by post, issue a penalty notice or take any other action that is open to the officer</w:t>
      </w:r>
    </w:p>
    <w:p w14:paraId="4CB62799" w14:textId="08E15F6D" w:rsidR="00A1491C" w:rsidRDefault="00561D0E">
      <w:pPr>
        <w:rPr>
          <w:color w:val="000000"/>
          <w:sz w:val="27"/>
          <w:szCs w:val="27"/>
        </w:rPr>
      </w:pPr>
      <w:r>
        <w:rPr>
          <w:color w:val="000000"/>
          <w:sz w:val="27"/>
          <w:szCs w:val="27"/>
        </w:rPr>
        <w:t>Q</w:t>
      </w:r>
      <w:r w:rsidR="00A1491C">
        <w:rPr>
          <w:color w:val="000000"/>
          <w:sz w:val="27"/>
          <w:szCs w:val="27"/>
        </w:rPr>
        <w:t>ues</w:t>
      </w:r>
      <w:r>
        <w:rPr>
          <w:color w:val="000000"/>
          <w:sz w:val="27"/>
          <w:szCs w:val="27"/>
        </w:rPr>
        <w:t>tion 2</w:t>
      </w:r>
    </w:p>
    <w:p w14:paraId="0198401D" w14:textId="70999D00" w:rsidR="00561D0E" w:rsidRDefault="00561D0E">
      <w:r>
        <w:t>Prosecutors must be satisfied that there is sufficient evidence to provide a realistic prospect of conviction against each suspect on each charge*. They must consider what the defence case may be, and how it is likely to affect the prospects of conviction. A case which does not pass the evidential stage must not proceed, no matter how serious or sensitive it may be</w:t>
      </w:r>
      <w:r w:rsidR="00886158">
        <w:t>.</w:t>
      </w:r>
      <w:r w:rsidR="004E3466" w:rsidRPr="004E3466">
        <w:t xml:space="preserve"> </w:t>
      </w:r>
      <w:r w:rsidR="004E3466">
        <w:t xml:space="preserve">In most cases prosecutors should only consider whether a prosecution is in the public interest after considering whether there is sufficient evidence to prosecute. However, there will be cases where it is clear, prior to reviewing all the evidence, that the public interest does not require a prosecution. In these instances, prosecutors may decide that the case should not proceed </w:t>
      </w:r>
      <w:proofErr w:type="gramStart"/>
      <w:r w:rsidR="004E3466">
        <w:t>further</w:t>
      </w:r>
      <w:proofErr w:type="gramEnd"/>
    </w:p>
    <w:p w14:paraId="77B5E8F9" w14:textId="77777777" w:rsidR="002751F8" w:rsidRDefault="002751F8" w:rsidP="002751F8">
      <w:r>
        <w:t>Q</w:t>
      </w:r>
      <w:r w:rsidR="00667312">
        <w:t>ue</w:t>
      </w:r>
      <w:r>
        <w:t>stion 3</w:t>
      </w:r>
    </w:p>
    <w:p w14:paraId="03277CD6" w14:textId="0CF3955E" w:rsidR="002751F8" w:rsidRPr="002751F8" w:rsidRDefault="002751F8" w:rsidP="002751F8">
      <w:r>
        <w:rPr>
          <w:rFonts w:ascii="Arial" w:hAnsi="Arial" w:cs="Arial"/>
          <w:sz w:val="20"/>
          <w:szCs w:val="20"/>
        </w:rPr>
        <w:t xml:space="preserve">There are substantial grounds for believing that the defendant would commit an offence on bail by engaging in conduct that </w:t>
      </w:r>
      <w:proofErr w:type="gramStart"/>
      <w:r>
        <w:rPr>
          <w:rFonts w:ascii="Arial" w:hAnsi="Arial" w:cs="Arial"/>
          <w:sz w:val="20"/>
          <w:szCs w:val="20"/>
        </w:rPr>
        <w:t>would, or</w:t>
      </w:r>
      <w:proofErr w:type="gramEnd"/>
      <w:r>
        <w:rPr>
          <w:rFonts w:ascii="Arial" w:hAnsi="Arial" w:cs="Arial"/>
          <w:sz w:val="20"/>
          <w:szCs w:val="20"/>
        </w:rPr>
        <w:t xml:space="preserve"> would be likely to – (a) cause physical or mental injury to an </w:t>
      </w:r>
      <w:r>
        <w:rPr>
          <w:rFonts w:ascii="Arial" w:hAnsi="Arial" w:cs="Arial"/>
          <w:sz w:val="20"/>
          <w:szCs w:val="20"/>
          <w:u w:val="single"/>
        </w:rPr>
        <w:t>associated person</w:t>
      </w:r>
      <w:r>
        <w:rPr>
          <w:rFonts w:ascii="Arial" w:hAnsi="Arial" w:cs="Arial"/>
          <w:sz w:val="20"/>
          <w:szCs w:val="20"/>
        </w:rPr>
        <w:t xml:space="preserve">; or (b) an </w:t>
      </w:r>
      <w:r>
        <w:rPr>
          <w:rFonts w:ascii="Arial" w:hAnsi="Arial" w:cs="Arial"/>
          <w:sz w:val="20"/>
          <w:szCs w:val="20"/>
          <w:u w:val="single"/>
        </w:rPr>
        <w:t>associated person</w:t>
      </w:r>
      <w:r>
        <w:rPr>
          <w:rFonts w:ascii="Arial" w:hAnsi="Arial" w:cs="Arial"/>
          <w:sz w:val="20"/>
          <w:szCs w:val="20"/>
        </w:rPr>
        <w:t xml:space="preserve"> to fear physical or mental injury. </w:t>
      </w:r>
      <w:r>
        <w:rPr>
          <w:rFonts w:ascii="Arial" w:hAnsi="Arial" w:cs="Arial"/>
          <w:i/>
          <w:sz w:val="20"/>
          <w:szCs w:val="20"/>
        </w:rPr>
        <w:t>Associated person defined by Family Law Act -</w:t>
      </w:r>
    </w:p>
    <w:p w14:paraId="4B3182E9" w14:textId="1CECCA7A" w:rsidR="002751F8" w:rsidRDefault="002751F8" w:rsidP="002751F8">
      <w:pPr>
        <w:rPr>
          <w:rFonts w:ascii="Arial" w:hAnsi="Arial" w:cs="Arial"/>
          <w:i/>
          <w:sz w:val="20"/>
          <w:szCs w:val="20"/>
        </w:rPr>
      </w:pPr>
      <w:r>
        <w:rPr>
          <w:rFonts w:ascii="Arial" w:hAnsi="Arial" w:cs="Arial"/>
          <w:i/>
          <w:sz w:val="20"/>
          <w:szCs w:val="20"/>
        </w:rPr>
        <w:t xml:space="preserve">relatives, spouse/civil-partner, </w:t>
      </w:r>
      <w:proofErr w:type="gramStart"/>
      <w:r>
        <w:rPr>
          <w:rFonts w:ascii="Arial" w:hAnsi="Arial" w:cs="Arial"/>
          <w:i/>
          <w:sz w:val="20"/>
          <w:szCs w:val="20"/>
        </w:rPr>
        <w:t>cohabitants</w:t>
      </w:r>
      <w:proofErr w:type="gramEnd"/>
      <w:r>
        <w:rPr>
          <w:rFonts w:ascii="Arial" w:hAnsi="Arial" w:cs="Arial"/>
          <w:i/>
          <w:sz w:val="20"/>
          <w:szCs w:val="20"/>
        </w:rPr>
        <w:t xml:space="preserve"> or those in an intimate relationship of a significant duration</w:t>
      </w:r>
    </w:p>
    <w:p w14:paraId="0F0E93A6" w14:textId="607B12B7" w:rsidR="00097C8F" w:rsidRDefault="00097C8F" w:rsidP="002751F8">
      <w:pPr>
        <w:rPr>
          <w:rFonts w:ascii="Arial" w:hAnsi="Arial" w:cs="Arial"/>
          <w:i/>
          <w:sz w:val="20"/>
          <w:szCs w:val="20"/>
        </w:rPr>
      </w:pPr>
      <w:r>
        <w:rPr>
          <w:rFonts w:ascii="Arial" w:hAnsi="Arial" w:cs="Arial"/>
          <w:i/>
          <w:sz w:val="20"/>
          <w:szCs w:val="20"/>
        </w:rPr>
        <w:t>question 4</w:t>
      </w:r>
      <w:r w:rsidR="00186024">
        <w:rPr>
          <w:rFonts w:ascii="Arial" w:hAnsi="Arial" w:cs="Arial"/>
          <w:i/>
          <w:sz w:val="20"/>
          <w:szCs w:val="20"/>
        </w:rPr>
        <w:t>/a</w:t>
      </w:r>
    </w:p>
    <w:p w14:paraId="76161D9A" w14:textId="6BBC0722" w:rsidR="00276B17" w:rsidRDefault="00095A97" w:rsidP="00276B17">
      <w:pPr>
        <w:numPr>
          <w:ilvl w:val="0"/>
          <w:numId w:val="1"/>
        </w:numPr>
        <w:spacing w:after="0" w:line="240" w:lineRule="auto"/>
        <w:rPr>
          <w:rFonts w:ascii="Arial" w:hAnsi="Arial" w:cs="Arial"/>
          <w:sz w:val="20"/>
          <w:szCs w:val="20"/>
        </w:rPr>
      </w:pPr>
      <w:r>
        <w:rPr>
          <w:rFonts w:ascii="Arial" w:hAnsi="Arial" w:cs="Arial"/>
          <w:i/>
          <w:sz w:val="20"/>
          <w:szCs w:val="20"/>
        </w:rPr>
        <w:t>is not sui</w:t>
      </w:r>
      <w:r w:rsidR="002361DE">
        <w:rPr>
          <w:rFonts w:ascii="Arial" w:hAnsi="Arial" w:cs="Arial"/>
          <w:i/>
          <w:sz w:val="20"/>
          <w:szCs w:val="20"/>
        </w:rPr>
        <w:t xml:space="preserve">table for the </w:t>
      </w:r>
      <w:proofErr w:type="spellStart"/>
      <w:r w:rsidR="002361DE">
        <w:rPr>
          <w:rFonts w:ascii="Arial" w:hAnsi="Arial" w:cs="Arial"/>
          <w:i/>
          <w:sz w:val="20"/>
          <w:szCs w:val="20"/>
        </w:rPr>
        <w:t>cort</w:t>
      </w:r>
      <w:proofErr w:type="spellEnd"/>
      <w:r w:rsidR="002361DE">
        <w:rPr>
          <w:rFonts w:ascii="Arial" w:hAnsi="Arial" w:cs="Arial"/>
          <w:i/>
          <w:sz w:val="20"/>
          <w:szCs w:val="20"/>
        </w:rPr>
        <w:t xml:space="preserve"> </w:t>
      </w:r>
      <w:r w:rsidR="00276B17">
        <w:rPr>
          <w:rFonts w:ascii="Arial" w:hAnsi="Arial" w:cs="Arial"/>
          <w:sz w:val="20"/>
          <w:szCs w:val="20"/>
        </w:rPr>
        <w:t xml:space="preserve">There are substantial grounds for believing that the defendant would commit an offence on bail by engaging in conduct that </w:t>
      </w:r>
      <w:proofErr w:type="gramStart"/>
      <w:r w:rsidR="00276B17">
        <w:rPr>
          <w:rFonts w:ascii="Arial" w:hAnsi="Arial" w:cs="Arial"/>
          <w:sz w:val="20"/>
          <w:szCs w:val="20"/>
        </w:rPr>
        <w:t>would, or</w:t>
      </w:r>
      <w:proofErr w:type="gramEnd"/>
      <w:r w:rsidR="00276B17">
        <w:rPr>
          <w:rFonts w:ascii="Arial" w:hAnsi="Arial" w:cs="Arial"/>
          <w:sz w:val="20"/>
          <w:szCs w:val="20"/>
        </w:rPr>
        <w:t xml:space="preserve"> would be likely to cause physical or mental injury to an </w:t>
      </w:r>
      <w:r w:rsidR="00276B17">
        <w:rPr>
          <w:rFonts w:ascii="Arial" w:hAnsi="Arial" w:cs="Arial"/>
          <w:sz w:val="20"/>
          <w:szCs w:val="20"/>
          <w:u w:val="single"/>
        </w:rPr>
        <w:t>associated person</w:t>
      </w:r>
      <w:r w:rsidR="00276B17">
        <w:rPr>
          <w:rFonts w:ascii="Arial" w:hAnsi="Arial" w:cs="Arial"/>
          <w:sz w:val="20"/>
          <w:szCs w:val="20"/>
        </w:rPr>
        <w:t xml:space="preserve">; or an </w:t>
      </w:r>
      <w:r w:rsidR="00276B17">
        <w:rPr>
          <w:rFonts w:ascii="Arial" w:hAnsi="Arial" w:cs="Arial"/>
          <w:sz w:val="20"/>
          <w:szCs w:val="20"/>
          <w:u w:val="single"/>
        </w:rPr>
        <w:t>associated person</w:t>
      </w:r>
      <w:r w:rsidR="00276B17">
        <w:rPr>
          <w:rFonts w:ascii="Arial" w:hAnsi="Arial" w:cs="Arial"/>
          <w:sz w:val="20"/>
          <w:szCs w:val="20"/>
        </w:rPr>
        <w:t xml:space="preserve"> to fear physical or mental injury. </w:t>
      </w:r>
      <w:r w:rsidR="00276B17">
        <w:rPr>
          <w:rFonts w:ascii="Arial" w:hAnsi="Arial" w:cs="Arial"/>
          <w:i/>
          <w:sz w:val="20"/>
          <w:szCs w:val="20"/>
        </w:rPr>
        <w:t>Associated person defined by Family Law Act -</w:t>
      </w:r>
    </w:p>
    <w:p w14:paraId="00513136" w14:textId="3F2B8644" w:rsidR="00186024" w:rsidRDefault="00276B17" w:rsidP="00276B17">
      <w:pPr>
        <w:rPr>
          <w:rFonts w:ascii="Arial" w:hAnsi="Arial" w:cs="Arial"/>
          <w:i/>
          <w:sz w:val="20"/>
          <w:szCs w:val="20"/>
        </w:rPr>
      </w:pPr>
      <w:r>
        <w:rPr>
          <w:rFonts w:ascii="Arial" w:hAnsi="Arial" w:cs="Arial"/>
          <w:i/>
          <w:sz w:val="20"/>
          <w:szCs w:val="20"/>
        </w:rPr>
        <w:t xml:space="preserve">relatives, spouse/civil-partner, </w:t>
      </w:r>
      <w:proofErr w:type="gramStart"/>
      <w:r>
        <w:rPr>
          <w:rFonts w:ascii="Arial" w:hAnsi="Arial" w:cs="Arial"/>
          <w:i/>
          <w:sz w:val="20"/>
          <w:szCs w:val="20"/>
        </w:rPr>
        <w:t>cohabitants</w:t>
      </w:r>
      <w:proofErr w:type="gramEnd"/>
      <w:r>
        <w:rPr>
          <w:rFonts w:ascii="Arial" w:hAnsi="Arial" w:cs="Arial"/>
          <w:i/>
          <w:sz w:val="20"/>
          <w:szCs w:val="20"/>
        </w:rPr>
        <w:t xml:space="preserve"> or those in an intimate relationship of a significant duratio</w:t>
      </w:r>
      <w:r w:rsidR="004D1445">
        <w:rPr>
          <w:rFonts w:ascii="Arial" w:hAnsi="Arial" w:cs="Arial"/>
          <w:i/>
          <w:sz w:val="20"/>
          <w:szCs w:val="20"/>
        </w:rPr>
        <w:t>n</w:t>
      </w:r>
    </w:p>
    <w:p w14:paraId="103F3EE4" w14:textId="46C1FC29" w:rsidR="004D1445" w:rsidRDefault="00441286" w:rsidP="00276B17">
      <w:pPr>
        <w:rPr>
          <w:rFonts w:ascii="Arial" w:hAnsi="Arial" w:cs="Arial"/>
          <w:i/>
          <w:sz w:val="20"/>
          <w:szCs w:val="20"/>
        </w:rPr>
      </w:pPr>
      <w:r>
        <w:rPr>
          <w:rFonts w:ascii="Arial" w:hAnsi="Arial" w:cs="Arial"/>
          <w:i/>
          <w:sz w:val="20"/>
          <w:szCs w:val="20"/>
        </w:rPr>
        <w:t>question 4/b</w:t>
      </w:r>
    </w:p>
    <w:p w14:paraId="1E6AC8BD" w14:textId="3F33E177" w:rsidR="00097C8F" w:rsidRDefault="00DE50D3" w:rsidP="002751F8">
      <w:r>
        <w:t>cat</w:t>
      </w:r>
      <w:r w:rsidR="00D95457">
        <w:t xml:space="preserve">egory </w:t>
      </w:r>
      <w:proofErr w:type="gramStart"/>
      <w:r w:rsidR="00D95457">
        <w:t>3,harn</w:t>
      </w:r>
      <w:proofErr w:type="gramEnd"/>
      <w:r w:rsidR="00D95457">
        <w:t>3,</w:t>
      </w:r>
      <w:r w:rsidR="0095701D">
        <w:t>low,</w:t>
      </w:r>
    </w:p>
    <w:sectPr w:rsidR="00097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D157F9"/>
    <w:multiLevelType w:val="hybridMultilevel"/>
    <w:tmpl w:val="C0228636"/>
    <w:lvl w:ilvl="0" w:tplc="84BA7090">
      <w:start w:val="1"/>
      <w:numFmt w:val="lowerLetter"/>
      <w:lvlText w:val="%1."/>
      <w:lvlJc w:val="left"/>
      <w:pPr>
        <w:tabs>
          <w:tab w:val="num" w:pos="612"/>
        </w:tabs>
        <w:ind w:left="612" w:hanging="360"/>
      </w:pPr>
      <w:rPr>
        <w:b w:val="0"/>
        <w:sz w:val="20"/>
      </w:rPr>
    </w:lvl>
    <w:lvl w:ilvl="1" w:tplc="08090019">
      <w:start w:val="1"/>
      <w:numFmt w:val="lowerLetter"/>
      <w:lvlText w:val="%2."/>
      <w:lvlJc w:val="left"/>
      <w:pPr>
        <w:tabs>
          <w:tab w:val="num" w:pos="1332"/>
        </w:tabs>
        <w:ind w:left="1332" w:hanging="360"/>
      </w:pPr>
    </w:lvl>
    <w:lvl w:ilvl="2" w:tplc="0809001B">
      <w:start w:val="1"/>
      <w:numFmt w:val="lowerRoman"/>
      <w:lvlText w:val="%3."/>
      <w:lvlJc w:val="right"/>
      <w:pPr>
        <w:tabs>
          <w:tab w:val="num" w:pos="2052"/>
        </w:tabs>
        <w:ind w:left="2052" w:hanging="180"/>
      </w:pPr>
    </w:lvl>
    <w:lvl w:ilvl="3" w:tplc="0809000F">
      <w:start w:val="1"/>
      <w:numFmt w:val="decimal"/>
      <w:lvlText w:val="%4."/>
      <w:lvlJc w:val="left"/>
      <w:pPr>
        <w:tabs>
          <w:tab w:val="num" w:pos="2772"/>
        </w:tabs>
        <w:ind w:left="2772" w:hanging="360"/>
      </w:pPr>
    </w:lvl>
    <w:lvl w:ilvl="4" w:tplc="08090019">
      <w:start w:val="1"/>
      <w:numFmt w:val="lowerLetter"/>
      <w:lvlText w:val="%5."/>
      <w:lvlJc w:val="left"/>
      <w:pPr>
        <w:tabs>
          <w:tab w:val="num" w:pos="3492"/>
        </w:tabs>
        <w:ind w:left="3492" w:hanging="360"/>
      </w:pPr>
    </w:lvl>
    <w:lvl w:ilvl="5" w:tplc="0809001B">
      <w:start w:val="1"/>
      <w:numFmt w:val="lowerRoman"/>
      <w:lvlText w:val="%6."/>
      <w:lvlJc w:val="right"/>
      <w:pPr>
        <w:tabs>
          <w:tab w:val="num" w:pos="4212"/>
        </w:tabs>
        <w:ind w:left="4212" w:hanging="180"/>
      </w:pPr>
    </w:lvl>
    <w:lvl w:ilvl="6" w:tplc="0809000F">
      <w:start w:val="1"/>
      <w:numFmt w:val="decimal"/>
      <w:lvlText w:val="%7."/>
      <w:lvlJc w:val="left"/>
      <w:pPr>
        <w:tabs>
          <w:tab w:val="num" w:pos="4932"/>
        </w:tabs>
        <w:ind w:left="4932" w:hanging="360"/>
      </w:pPr>
    </w:lvl>
    <w:lvl w:ilvl="7" w:tplc="08090019">
      <w:start w:val="1"/>
      <w:numFmt w:val="lowerLetter"/>
      <w:lvlText w:val="%8."/>
      <w:lvlJc w:val="left"/>
      <w:pPr>
        <w:tabs>
          <w:tab w:val="num" w:pos="5652"/>
        </w:tabs>
        <w:ind w:left="5652" w:hanging="360"/>
      </w:pPr>
    </w:lvl>
    <w:lvl w:ilvl="8" w:tplc="0809001B">
      <w:start w:val="1"/>
      <w:numFmt w:val="lowerRoman"/>
      <w:lvlText w:val="%9."/>
      <w:lvlJc w:val="right"/>
      <w:pPr>
        <w:tabs>
          <w:tab w:val="num" w:pos="6372"/>
        </w:tabs>
        <w:ind w:left="6372" w:hanging="180"/>
      </w:pPr>
    </w:lvl>
  </w:abstractNum>
  <w:num w:numId="1" w16cid:durableId="11939557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317"/>
    <w:rsid w:val="00095A97"/>
    <w:rsid w:val="00097C8F"/>
    <w:rsid w:val="001153DC"/>
    <w:rsid w:val="00186024"/>
    <w:rsid w:val="00204295"/>
    <w:rsid w:val="00234093"/>
    <w:rsid w:val="002361DE"/>
    <w:rsid w:val="002751F8"/>
    <w:rsid w:val="00276B17"/>
    <w:rsid w:val="002B042E"/>
    <w:rsid w:val="003C2D20"/>
    <w:rsid w:val="00441286"/>
    <w:rsid w:val="004D1445"/>
    <w:rsid w:val="004D36F6"/>
    <w:rsid w:val="004E3466"/>
    <w:rsid w:val="004E408E"/>
    <w:rsid w:val="005123F5"/>
    <w:rsid w:val="00561D0E"/>
    <w:rsid w:val="005873FA"/>
    <w:rsid w:val="00595F20"/>
    <w:rsid w:val="00667312"/>
    <w:rsid w:val="0075314F"/>
    <w:rsid w:val="00886158"/>
    <w:rsid w:val="0093588B"/>
    <w:rsid w:val="0095679B"/>
    <w:rsid w:val="0095701D"/>
    <w:rsid w:val="00962DA2"/>
    <w:rsid w:val="009D1AE4"/>
    <w:rsid w:val="00A1491C"/>
    <w:rsid w:val="00AC5476"/>
    <w:rsid w:val="00B476C6"/>
    <w:rsid w:val="00BD5902"/>
    <w:rsid w:val="00C60317"/>
    <w:rsid w:val="00C71F9D"/>
    <w:rsid w:val="00CD3BE7"/>
    <w:rsid w:val="00D93CD0"/>
    <w:rsid w:val="00D95457"/>
    <w:rsid w:val="00DE50D3"/>
    <w:rsid w:val="00DF370C"/>
    <w:rsid w:val="00E3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540C"/>
  <w15:chartTrackingRefBased/>
  <w15:docId w15:val="{FDFB392F-8435-4CF6-AED8-1939F29A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1867">
      <w:bodyDiv w:val="1"/>
      <w:marLeft w:val="0"/>
      <w:marRight w:val="0"/>
      <w:marTop w:val="0"/>
      <w:marBottom w:val="0"/>
      <w:divBdr>
        <w:top w:val="none" w:sz="0" w:space="0" w:color="auto"/>
        <w:left w:val="none" w:sz="0" w:space="0" w:color="auto"/>
        <w:bottom w:val="none" w:sz="0" w:space="0" w:color="auto"/>
        <w:right w:val="none" w:sz="0" w:space="0" w:color="auto"/>
      </w:divBdr>
    </w:div>
    <w:div w:id="90518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0" ma:contentTypeDescription="Create a new document." ma:contentTypeScope="" ma:versionID="2811f8338cbd094984dc0fca7bef0f5e">
  <xsd:schema xmlns:xsd="http://www.w3.org/2001/XMLSchema" xmlns:xs="http://www.w3.org/2001/XMLSchema" xmlns:p="http://schemas.microsoft.com/office/2006/metadata/properties" targetNamespace="http://schemas.microsoft.com/office/2006/metadata/properties" ma:root="true" ma:fieldsID="144013f3e2e9715bd321c9b9eb2ae28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8804C9-F935-4D74-A1F1-53722CABA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0857B9D-23D3-4161-9832-D27149154BF0}">
  <ds:schemaRefs>
    <ds:schemaRef ds:uri="http://schemas.microsoft.com/sharepoint/v3/contenttype/forms"/>
  </ds:schemaRefs>
</ds:datastoreItem>
</file>

<file path=customXml/itemProps3.xml><?xml version="1.0" encoding="utf-8"?>
<ds:datastoreItem xmlns:ds="http://schemas.openxmlformats.org/officeDocument/2006/customXml" ds:itemID="{4D7E91E4-3954-4F65-933C-48538FC808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462</Words>
  <Characters>2640</Characters>
  <Application>Microsoft Office Word</Application>
  <DocSecurity>0</DocSecurity>
  <Lines>22</Lines>
  <Paragraphs>6</Paragraphs>
  <ScaleCrop>false</ScaleCrop>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abrani</dc:creator>
  <cp:keywords/>
  <dc:description/>
  <cp:lastModifiedBy>George Gabriel Abrani (2244462)</cp:lastModifiedBy>
  <cp:revision>2</cp:revision>
  <dcterms:created xsi:type="dcterms:W3CDTF">2023-08-21T15:12:00Z</dcterms:created>
  <dcterms:modified xsi:type="dcterms:W3CDTF">2023-08-21T15:12:00Z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