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C45522" w14:textId="77777777" w:rsidR="001934FE" w:rsidRPr="001A346D" w:rsidRDefault="001934FE" w:rsidP="005D662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Student: Azra Bi</w:t>
      </w:r>
    </w:p>
    <w:p w14:paraId="3702EB3E" w14:textId="77777777" w:rsidR="001934FE" w:rsidRPr="001A346D" w:rsidRDefault="001934FE" w:rsidP="005D662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</w:p>
    <w:p w14:paraId="060786F6" w14:textId="77777777" w:rsidR="001934FE" w:rsidRPr="001A346D" w:rsidRDefault="001934FE" w:rsidP="005D662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Student ID: 2312900</w:t>
      </w:r>
    </w:p>
    <w:p w14:paraId="69D1523F" w14:textId="3E16BC52" w:rsidR="001934FE" w:rsidRPr="001934FE" w:rsidRDefault="001934FE" w:rsidP="005D6627">
      <w:pPr>
        <w:spacing w:line="360" w:lineRule="auto"/>
        <w:jc w:val="center"/>
        <w:rPr>
          <w:rFonts w:ascii="Arial" w:hAnsi="Arial" w:cs="Arial"/>
          <w:b/>
          <w:bCs/>
          <w:color w:val="242130"/>
          <w:sz w:val="36"/>
          <w:szCs w:val="36"/>
          <w:shd w:val="clear" w:color="auto" w:fill="FFFFFF"/>
        </w:rPr>
      </w:pPr>
      <w:r w:rsidRPr="001A346D">
        <w:rPr>
          <w:rFonts w:ascii="Arial" w:hAnsi="Arial" w:cs="Arial"/>
          <w:b/>
          <w:bCs/>
          <w:sz w:val="36"/>
          <w:szCs w:val="36"/>
        </w:rPr>
        <w:t>Lecturer</w:t>
      </w:r>
      <w:r w:rsidRPr="001934FE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: </w:t>
      </w:r>
      <w:r w:rsidRPr="001934FE">
        <w:rPr>
          <w:rFonts w:ascii="Arial" w:hAnsi="Arial" w:cs="Arial"/>
          <w:b/>
          <w:bCs/>
          <w:color w:val="1D2125"/>
          <w:sz w:val="36"/>
          <w:szCs w:val="36"/>
          <w:shd w:val="clear" w:color="auto" w:fill="FFFFFF"/>
        </w:rPr>
        <w:t xml:space="preserve">Tomy </w:t>
      </w:r>
      <w:proofErr w:type="spellStart"/>
      <w:r w:rsidRPr="001934FE">
        <w:rPr>
          <w:rFonts w:ascii="Arial" w:hAnsi="Arial" w:cs="Arial"/>
          <w:b/>
          <w:bCs/>
          <w:color w:val="1D2125"/>
          <w:sz w:val="36"/>
          <w:szCs w:val="36"/>
          <w:shd w:val="clear" w:color="auto" w:fill="FFFFFF"/>
        </w:rPr>
        <w:t>Adattu</w:t>
      </w:r>
      <w:proofErr w:type="spellEnd"/>
      <w:r w:rsidRPr="001934FE">
        <w:rPr>
          <w:rFonts w:ascii="Arial" w:hAnsi="Arial" w:cs="Arial"/>
          <w:b/>
          <w:bCs/>
          <w:color w:val="1D2125"/>
          <w:sz w:val="36"/>
          <w:szCs w:val="36"/>
          <w:shd w:val="clear" w:color="auto" w:fill="FFFFFF"/>
        </w:rPr>
        <w:t xml:space="preserve"> Chacko</w:t>
      </w:r>
    </w:p>
    <w:p w14:paraId="4E4CD659" w14:textId="33D45AE0" w:rsidR="001934FE" w:rsidRPr="001934FE" w:rsidRDefault="001934FE" w:rsidP="005D6627">
      <w:pPr>
        <w:spacing w:before="120" w:after="120"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 xml:space="preserve">Module: </w:t>
      </w:r>
      <w:r w:rsidRPr="001934FE">
        <w:rPr>
          <w:rFonts w:ascii="Arial" w:hAnsi="Arial" w:cs="Arial"/>
          <w:b/>
          <w:bCs/>
          <w:sz w:val="36"/>
          <w:szCs w:val="36"/>
        </w:rPr>
        <w:t>Psychological Classifications and Provisions</w:t>
      </w:r>
    </w:p>
    <w:p w14:paraId="1E4D34A6" w14:textId="13CE7E33" w:rsidR="001934FE" w:rsidRPr="001934FE" w:rsidRDefault="001934FE" w:rsidP="005D662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12E97E27" w14:textId="69CF3B62" w:rsidR="001934FE" w:rsidRPr="001934FE" w:rsidRDefault="001934FE" w:rsidP="005D662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 xml:space="preserve">Module </w:t>
      </w:r>
      <w:r w:rsidRPr="00861355">
        <w:rPr>
          <w:rFonts w:ascii="Arial" w:hAnsi="Arial" w:cs="Arial"/>
          <w:b/>
          <w:bCs/>
          <w:sz w:val="36"/>
          <w:szCs w:val="36"/>
        </w:rPr>
        <w:t>code</w:t>
      </w:r>
      <w:r w:rsidRPr="001934FE">
        <w:rPr>
          <w:rFonts w:ascii="Arial" w:hAnsi="Arial" w:cs="Arial"/>
          <w:b/>
          <w:bCs/>
          <w:sz w:val="36"/>
          <w:szCs w:val="36"/>
        </w:rPr>
        <w:t>: BMHP6029</w:t>
      </w:r>
    </w:p>
    <w:p w14:paraId="22995A56" w14:textId="77777777" w:rsidR="001934FE" w:rsidRPr="001A346D" w:rsidRDefault="001934FE" w:rsidP="005D662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5088136B" w14:textId="6C6915A0" w:rsidR="001934FE" w:rsidRPr="001934FE" w:rsidRDefault="001934FE" w:rsidP="005D662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</w:rPr>
      </w:pPr>
      <w:r w:rsidRPr="001A346D">
        <w:rPr>
          <w:rFonts w:ascii="Arial" w:hAnsi="Arial" w:cs="Arial"/>
          <w:b/>
          <w:bCs/>
          <w:sz w:val="36"/>
          <w:szCs w:val="36"/>
        </w:rPr>
        <w:t>Assignment title</w:t>
      </w:r>
      <w:r w:rsidRPr="00861355">
        <w:rPr>
          <w:rFonts w:ascii="Arial" w:hAnsi="Arial" w:cs="Arial"/>
          <w:b/>
          <w:bCs/>
          <w:sz w:val="36"/>
          <w:szCs w:val="36"/>
        </w:rPr>
        <w:t>:</w:t>
      </w:r>
      <w:r w:rsidRPr="00861355">
        <w:rPr>
          <w:rFonts w:ascii="Arial" w:hAnsi="Arial" w:cs="Arial"/>
          <w:b/>
          <w:sz w:val="36"/>
          <w:szCs w:val="36"/>
        </w:rPr>
        <w:t xml:space="preserve"> </w:t>
      </w:r>
      <w:r w:rsidRPr="001934FE">
        <w:rPr>
          <w:rFonts w:ascii="Arial" w:hAnsi="Arial" w:cs="Arial"/>
          <w:b/>
          <w:bCs/>
          <w:sz w:val="36"/>
          <w:szCs w:val="36"/>
        </w:rPr>
        <w:t>Component 2: Written Assignment (Report)</w:t>
      </w:r>
    </w:p>
    <w:p w14:paraId="0F5DD015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D0471CC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F54C2FC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678245F1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2F97812E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54EFF633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5E6F3D85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C4D7A3B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96245EB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0CBEA17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2D800E8" w14:textId="4DDA7A6B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10766BEB" w14:textId="77777777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lastRenderedPageBreak/>
        <w:t>Table of Contents</w:t>
      </w:r>
    </w:p>
    <w:p w14:paraId="2A16CFB1" w14:textId="638E206A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Introduction............................................................................................................................ 3</w:t>
      </w:r>
    </w:p>
    <w:p w14:paraId="482A916B" w14:textId="546D20E5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Classification and Diagnosis.................................................................................................. 3</w:t>
      </w:r>
    </w:p>
    <w:p w14:paraId="241980BA" w14:textId="7BFCDC15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ICD-11 Classification ............................................................................................................. 3</w:t>
      </w:r>
    </w:p>
    <w:p w14:paraId="016C24A9" w14:textId="0911CF5D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Diagnostic Criteria and Process............................................................................................. 4</w:t>
      </w:r>
    </w:p>
    <w:p w14:paraId="2CC706A4" w14:textId="7AB7F208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Treatment and Rehabilitation................................................................................................. 4</w:t>
      </w:r>
    </w:p>
    <w:p w14:paraId="6A56919A" w14:textId="2804EDE4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Standard Treatment Approaches........................................................................................... 4</w:t>
      </w:r>
    </w:p>
    <w:p w14:paraId="161CA5FD" w14:textId="0000EFEE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Rehabilitation and Support ................................................................................................... 5</w:t>
      </w:r>
    </w:p>
    <w:p w14:paraId="64189F65" w14:textId="6F2C87CC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Current Debates and Emerging Issues.................................................................................. 5</w:t>
      </w:r>
    </w:p>
    <w:p w14:paraId="1FA7C048" w14:textId="36A4F77A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 xml:space="preserve">Recommendations.................................................................................................................. </w:t>
      </w:r>
      <w:r w:rsidR="00565E90">
        <w:rPr>
          <w:rFonts w:ascii="Arial" w:hAnsi="Arial" w:cs="Arial"/>
        </w:rPr>
        <w:t>7</w:t>
      </w:r>
    </w:p>
    <w:p w14:paraId="018854CA" w14:textId="75063E94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Conclusion ............................................................................................................................. 7</w:t>
      </w:r>
    </w:p>
    <w:p w14:paraId="33911BFA" w14:textId="59929D36" w:rsidR="001934FE" w:rsidRP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References............................................................................................................................. 8</w:t>
      </w:r>
    </w:p>
    <w:p w14:paraId="4E8E737A" w14:textId="77777777" w:rsid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</w:p>
    <w:p w14:paraId="66962E4D" w14:textId="77777777" w:rsidR="001F1B72" w:rsidRDefault="001F1B72" w:rsidP="001934FE">
      <w:pPr>
        <w:spacing w:line="360" w:lineRule="auto"/>
      </w:pPr>
    </w:p>
    <w:p w14:paraId="2B00DB6C" w14:textId="77777777" w:rsidR="001934FE" w:rsidRPr="001934FE" w:rsidRDefault="001934FE" w:rsidP="001934FE"/>
    <w:p w14:paraId="0CC3144C" w14:textId="77777777" w:rsidR="001934FE" w:rsidRPr="001934FE" w:rsidRDefault="001934FE" w:rsidP="001934FE"/>
    <w:p w14:paraId="7B772030" w14:textId="77777777" w:rsidR="001934FE" w:rsidRPr="001934FE" w:rsidRDefault="001934FE" w:rsidP="001934FE"/>
    <w:p w14:paraId="351CE490" w14:textId="77777777" w:rsidR="001934FE" w:rsidRPr="001934FE" w:rsidRDefault="001934FE" w:rsidP="001934FE"/>
    <w:p w14:paraId="3619CD48" w14:textId="77777777" w:rsidR="001934FE" w:rsidRPr="001934FE" w:rsidRDefault="001934FE" w:rsidP="001934FE"/>
    <w:p w14:paraId="6D9C1F8F" w14:textId="77777777" w:rsidR="001934FE" w:rsidRPr="001934FE" w:rsidRDefault="001934FE" w:rsidP="001934FE"/>
    <w:p w14:paraId="028BC318" w14:textId="46C82285" w:rsidR="001934FE" w:rsidRDefault="001934FE" w:rsidP="001934FE">
      <w:pPr>
        <w:tabs>
          <w:tab w:val="left" w:pos="3004"/>
        </w:tabs>
      </w:pPr>
      <w:r>
        <w:tab/>
      </w:r>
    </w:p>
    <w:p w14:paraId="06C8771F" w14:textId="77777777" w:rsidR="001934FE" w:rsidRDefault="001934FE" w:rsidP="001934FE">
      <w:pPr>
        <w:tabs>
          <w:tab w:val="left" w:pos="3004"/>
        </w:tabs>
      </w:pPr>
    </w:p>
    <w:p w14:paraId="21EB92A2" w14:textId="77777777" w:rsidR="001934FE" w:rsidRDefault="001934FE" w:rsidP="001934FE">
      <w:pPr>
        <w:tabs>
          <w:tab w:val="left" w:pos="3004"/>
        </w:tabs>
      </w:pPr>
    </w:p>
    <w:p w14:paraId="72189D04" w14:textId="77777777" w:rsidR="001934FE" w:rsidRDefault="001934FE" w:rsidP="001934FE">
      <w:pPr>
        <w:tabs>
          <w:tab w:val="left" w:pos="3004"/>
        </w:tabs>
      </w:pPr>
    </w:p>
    <w:p w14:paraId="589B7242" w14:textId="77777777" w:rsidR="001934FE" w:rsidRDefault="001934FE" w:rsidP="001934FE">
      <w:pPr>
        <w:tabs>
          <w:tab w:val="left" w:pos="3004"/>
        </w:tabs>
      </w:pPr>
    </w:p>
    <w:p w14:paraId="34F87701" w14:textId="77777777" w:rsidR="001934FE" w:rsidRDefault="001934FE" w:rsidP="001934FE">
      <w:pPr>
        <w:tabs>
          <w:tab w:val="left" w:pos="3004"/>
        </w:tabs>
      </w:pPr>
    </w:p>
    <w:p w14:paraId="2C92ED81" w14:textId="77777777" w:rsidR="001934FE" w:rsidRDefault="001934FE" w:rsidP="001934FE">
      <w:pPr>
        <w:tabs>
          <w:tab w:val="left" w:pos="3004"/>
        </w:tabs>
      </w:pPr>
    </w:p>
    <w:p w14:paraId="6B61DC2D" w14:textId="77777777" w:rsidR="001934FE" w:rsidRDefault="001934FE" w:rsidP="001934FE">
      <w:pPr>
        <w:tabs>
          <w:tab w:val="left" w:pos="3004"/>
        </w:tabs>
      </w:pPr>
    </w:p>
    <w:p w14:paraId="4C735E11" w14:textId="14A27FA1" w:rsidR="001934FE" w:rsidRPr="00553CD9" w:rsidRDefault="001934FE" w:rsidP="001934FE">
      <w:pPr>
        <w:tabs>
          <w:tab w:val="left" w:pos="3004"/>
        </w:tabs>
        <w:spacing w:line="360" w:lineRule="auto"/>
        <w:rPr>
          <w:rFonts w:ascii="Arial" w:hAnsi="Arial" w:cs="Arial"/>
          <w:b/>
          <w:bCs/>
        </w:rPr>
      </w:pPr>
      <w:r w:rsidRPr="00553CD9">
        <w:rPr>
          <w:rFonts w:ascii="Arial" w:hAnsi="Arial" w:cs="Arial"/>
          <w:b/>
          <w:bCs/>
        </w:rPr>
        <w:lastRenderedPageBreak/>
        <w:t>Introduction</w:t>
      </w:r>
    </w:p>
    <w:p w14:paraId="11176851" w14:textId="57883D9E" w:rsidR="001934FE" w:rsidRDefault="001934FE" w:rsidP="001934FE">
      <w:pPr>
        <w:tabs>
          <w:tab w:val="left" w:pos="3004"/>
        </w:tabs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Published by the World Health Organisation (WHO, 2022), the International Classification of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Diseases, Eleventh Revision (ICD-11) is an internationally standardised method of categorising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mental, behavioural and neurodevelopmental diseases in Chapter 6. One of these, Stereotyped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Movement Disorder (SMD), with the ICD code of 6A06, is a complicated neurodevelopmental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disorder which involves enduring, frequent, and apparent intentionless motor behaviours,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including hand flapping, body rocking, head banging, etc. (</w:t>
      </w:r>
      <w:proofErr w:type="spellStart"/>
      <w:r w:rsidRPr="001934FE">
        <w:rPr>
          <w:rFonts w:ascii="Arial" w:hAnsi="Arial" w:cs="Arial"/>
        </w:rPr>
        <w:t>Jachymek</w:t>
      </w:r>
      <w:proofErr w:type="spellEnd"/>
      <w:r w:rsidRPr="001934FE">
        <w:rPr>
          <w:rFonts w:ascii="Arial" w:hAnsi="Arial" w:cs="Arial"/>
        </w:rPr>
        <w:t xml:space="preserve"> et al., 2024). </w:t>
      </w:r>
      <w:r w:rsidR="00565E90">
        <w:rPr>
          <w:rFonts w:ascii="Arial" w:hAnsi="Arial" w:cs="Arial"/>
        </w:rPr>
        <w:t xml:space="preserve">These movements are repetitive and not caused by other medical conditions. </w:t>
      </w:r>
      <w:r w:rsidRPr="001934FE">
        <w:rPr>
          <w:rFonts w:ascii="Arial" w:hAnsi="Arial" w:cs="Arial"/>
        </w:rPr>
        <w:t>These are not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goal-oriented behaviours and tend to disrupt meta-social behaviour or cause self-injury. SMD is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 condition that can depend on or coexist with other conditions, like autism spectrum disorder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and intellectual disability, which makes it harder to diagnose and treat (</w:t>
      </w:r>
      <w:proofErr w:type="spellStart"/>
      <w:r w:rsidRPr="001934FE">
        <w:rPr>
          <w:rFonts w:ascii="Arial" w:hAnsi="Arial" w:cs="Arial"/>
        </w:rPr>
        <w:t>Arvigo</w:t>
      </w:r>
      <w:proofErr w:type="spellEnd"/>
      <w:r w:rsidRPr="001934FE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Schwartzman, 2021). The health issue is of clinical significance because of its high occurrence in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neurodivergent populations and sensory dysfunction and anxiety (De Lima et al., 2023). Socially,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the issue of SMD has stigma, inclusion, and access to care implications, and a subtle depiction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beyond just straightforward medical attitudes is essential. This report is a critical review of SMD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against the ICD-11 category, diagnostic model, and management and rehabilitation strategies, as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it relates to contemporary controversies on neurodiversity, reclassification and conceptualisations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of modern psychiatry and behavioural science.</w:t>
      </w:r>
    </w:p>
    <w:p w14:paraId="2E3104CF" w14:textId="77777777" w:rsidR="001934FE" w:rsidRDefault="001934FE" w:rsidP="001934FE">
      <w:pPr>
        <w:rPr>
          <w:rFonts w:ascii="Arial" w:hAnsi="Arial" w:cs="Arial"/>
        </w:rPr>
      </w:pPr>
    </w:p>
    <w:p w14:paraId="5E78A511" w14:textId="77777777" w:rsidR="001934FE" w:rsidRPr="001934FE" w:rsidRDefault="001934FE" w:rsidP="001934FE">
      <w:pPr>
        <w:spacing w:line="360" w:lineRule="auto"/>
        <w:rPr>
          <w:rFonts w:ascii="Arial" w:hAnsi="Arial" w:cs="Arial"/>
          <w:b/>
          <w:bCs/>
        </w:rPr>
      </w:pPr>
      <w:r w:rsidRPr="001934FE">
        <w:rPr>
          <w:rFonts w:ascii="Arial" w:hAnsi="Arial" w:cs="Arial"/>
          <w:b/>
          <w:bCs/>
        </w:rPr>
        <w:t>Classification and Diagnosis</w:t>
      </w:r>
    </w:p>
    <w:p w14:paraId="55615EBB" w14:textId="77777777" w:rsidR="001934FE" w:rsidRPr="00553CD9" w:rsidRDefault="001934FE" w:rsidP="001934F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553CD9">
        <w:rPr>
          <w:rFonts w:ascii="Arial" w:hAnsi="Arial" w:cs="Arial"/>
          <w:b/>
          <w:bCs/>
          <w:i/>
          <w:iCs/>
        </w:rPr>
        <w:t>ICD-11 Classification</w:t>
      </w:r>
    </w:p>
    <w:p w14:paraId="6B88CF53" w14:textId="049BE473" w:rsid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Stereotyped Movement Disorder falls under 6A06 within the larger group of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Neurodevelopmental Disorders, which describes a condition that has an onset that happens early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in life and entails a personal, social, or academic dysfunction (World Health Organisation, 2022).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SMD can be described as a continuing habit of repetitive, seemingly pointless motor action (via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flapping of hands, banging of head or rocking of the body) that disrupts normal everyday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functioning or causes bodily harm. Notably, ICD-11 differentiates between SMD and other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disorders that have overlapping behavioural characteristics: tics, stereotyped movements that are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rhythmic and not sudden and abrupt like tic disorders and intrusive thoughts, which are common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to obsessive-compulsive disorder (OCD), or autism spectrum disorder, which are not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accompanied by stereotyped movements (Yang and Li, 2025). The term disorder is an addiction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to a medicalised approach that fulfils ICD-11 clinical intent but has been criticised for</w:t>
      </w:r>
      <w:r>
        <w:rPr>
          <w:rFonts w:ascii="Arial" w:hAnsi="Arial" w:cs="Arial"/>
        </w:rPr>
        <w:t xml:space="preserve"> </w:t>
      </w:r>
      <w:proofErr w:type="spellStart"/>
      <w:r w:rsidRPr="001934FE">
        <w:rPr>
          <w:rFonts w:ascii="Arial" w:hAnsi="Arial" w:cs="Arial"/>
        </w:rPr>
        <w:t>pathologising</w:t>
      </w:r>
      <w:proofErr w:type="spellEnd"/>
      <w:r w:rsidRPr="001934FE">
        <w:rPr>
          <w:rFonts w:ascii="Arial" w:hAnsi="Arial" w:cs="Arial"/>
        </w:rPr>
        <w:t xml:space="preserve"> behaviour claimed to have adaptive sensory or self-regulation roles in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 xml:space="preserve">neurodivergent persons (Wang et al., 2026). Such terminology, </w:t>
      </w:r>
      <w:r w:rsidRPr="001934FE">
        <w:rPr>
          <w:rFonts w:ascii="Arial" w:hAnsi="Arial" w:cs="Arial"/>
        </w:rPr>
        <w:lastRenderedPageBreak/>
        <w:t>according to critics, over- and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under-profiles the deep-seated neuronal and behavioural processes, coded by discouraging biases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on the deficit, instead of praising the breadth of functional neurological and behavioural diversity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present in experimental neurodevelopmental circumstances (Thom and McDougle, 2023).</w:t>
      </w:r>
    </w:p>
    <w:p w14:paraId="3721F22F" w14:textId="77777777" w:rsidR="001934FE" w:rsidRDefault="001934FE" w:rsidP="001934FE">
      <w:pPr>
        <w:rPr>
          <w:rFonts w:ascii="Arial" w:hAnsi="Arial" w:cs="Arial"/>
        </w:rPr>
      </w:pPr>
    </w:p>
    <w:p w14:paraId="6DC26071" w14:textId="77777777" w:rsidR="001934FE" w:rsidRPr="00553CD9" w:rsidRDefault="001934FE" w:rsidP="001934FE">
      <w:pPr>
        <w:spacing w:line="360" w:lineRule="auto"/>
        <w:rPr>
          <w:rFonts w:ascii="Arial" w:hAnsi="Arial" w:cs="Arial"/>
          <w:b/>
          <w:bCs/>
        </w:rPr>
      </w:pPr>
      <w:r w:rsidRPr="00553CD9">
        <w:rPr>
          <w:rFonts w:ascii="Arial" w:hAnsi="Arial" w:cs="Arial"/>
          <w:b/>
          <w:bCs/>
        </w:rPr>
        <w:t>Diagnostic Criteria and Process</w:t>
      </w:r>
    </w:p>
    <w:p w14:paraId="4BDAC0F5" w14:textId="7E620827" w:rsid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Under ICD-11, to identify SMD, one must have repetitive and apparently purposeless motor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behaviours (choosing to wave hands, rock the body, or self-harm) which persist at least four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weeks, and cause severe inconvenience to regular functioning or cause self-harm (World Health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Organisation, 2022). Another medical or neurodevelopmental disorder, including autism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spectrum disorder, Tourette's syndrome, or obsessive-compulsive disorder (OCD), should not be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the best explanation for these movements. Likewise, SMD is also classified under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Neurodevelopmental Disorders in the DSM-5-TR, but with more emphasis on when the onset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occurred during the developmental course and distinction of stereotypies, tics, or compulsions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(Aliyev and Ünal, 2025). In both models, clinical diagnosis is largely based on the behavioural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observation and a fine history of development that is often supplemented with a series of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standardised methods, such as the Repetitive Behaviour Scale Revised (RBS-R), that quantifies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the frequency and severity of repetitive behaviours (Salehi et al., 2025). Nevertheless, the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reliability of the diagnostic findings is limited by the overlap of symptoms with ASD and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intellectual disabilities, in which stereotypical behaviours have become a natural occurrence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(Lachance et al., 2022). Also, differences in cultural background perception of such movements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can cause under- or over-diagnosis, and that is why culturally aware assessment frameworks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reflecting the distinction between pathological and adaptive repetitive behaviours are needed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(</w:t>
      </w:r>
      <w:proofErr w:type="spellStart"/>
      <w:r w:rsidRPr="001934FE">
        <w:rPr>
          <w:rFonts w:ascii="Arial" w:hAnsi="Arial" w:cs="Arial"/>
        </w:rPr>
        <w:t>Chawarska</w:t>
      </w:r>
      <w:proofErr w:type="spellEnd"/>
      <w:r w:rsidRPr="001934FE">
        <w:rPr>
          <w:rFonts w:ascii="Arial" w:hAnsi="Arial" w:cs="Arial"/>
        </w:rPr>
        <w:t xml:space="preserve"> et al., 2025).</w:t>
      </w:r>
    </w:p>
    <w:p w14:paraId="52A3CD58" w14:textId="77777777" w:rsidR="001934FE" w:rsidRDefault="001934FE" w:rsidP="001934FE">
      <w:pPr>
        <w:spacing w:line="360" w:lineRule="auto"/>
        <w:rPr>
          <w:rFonts w:ascii="Arial" w:hAnsi="Arial" w:cs="Arial"/>
        </w:rPr>
      </w:pPr>
    </w:p>
    <w:p w14:paraId="11D47302" w14:textId="77777777" w:rsidR="001934FE" w:rsidRPr="00553CD9" w:rsidRDefault="001934FE" w:rsidP="001934F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1934FE">
        <w:rPr>
          <w:rFonts w:ascii="Arial" w:hAnsi="Arial" w:cs="Arial"/>
          <w:b/>
          <w:bCs/>
        </w:rPr>
        <w:t>Treatment and Rehabilitation</w:t>
      </w:r>
    </w:p>
    <w:p w14:paraId="1E4CC57B" w14:textId="77777777" w:rsidR="001934FE" w:rsidRPr="00553CD9" w:rsidRDefault="001934FE" w:rsidP="001934FE">
      <w:pPr>
        <w:spacing w:line="360" w:lineRule="auto"/>
        <w:rPr>
          <w:rFonts w:ascii="Arial" w:hAnsi="Arial" w:cs="Arial"/>
          <w:b/>
          <w:bCs/>
          <w:i/>
          <w:iCs/>
        </w:rPr>
      </w:pPr>
      <w:r w:rsidRPr="00553CD9">
        <w:rPr>
          <w:rFonts w:ascii="Arial" w:hAnsi="Arial" w:cs="Arial"/>
          <w:b/>
          <w:bCs/>
          <w:i/>
          <w:iCs/>
        </w:rPr>
        <w:t>Standard Treatment Approaches</w:t>
      </w:r>
    </w:p>
    <w:p w14:paraId="16592073" w14:textId="55329129" w:rsid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Primary SMD treatment involves behavioural and, in some situations, pharmacological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treatment. Applied Behaviour Analysis (ABA), Habit Reversal Therapy (HRT), and Cognitive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Behavioural Therapy (CBT) are behaviour-based interventions that are aimed at minimising the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rate or severity of stereotyped movements and maximising adaptive behaviours. An example is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ABA, which uses reinforcement methods to influence behaviour, and its role has been confirmed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by controlled studies that allow a denial in the frequency of stereotypy (</w:t>
      </w:r>
      <w:proofErr w:type="spellStart"/>
      <w:r w:rsidRPr="001934FE">
        <w:rPr>
          <w:rFonts w:ascii="Arial" w:hAnsi="Arial" w:cs="Arial"/>
        </w:rPr>
        <w:t>Mantzoros</w:t>
      </w:r>
      <w:proofErr w:type="spellEnd"/>
      <w:r w:rsidRPr="001934FE">
        <w:rPr>
          <w:rFonts w:ascii="Arial" w:hAnsi="Arial" w:cs="Arial"/>
        </w:rPr>
        <w:t xml:space="preserve"> et al., 2022).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 xml:space="preserve">HRT works to substitute the stereotypical behaviours with other </w:t>
      </w:r>
      <w:r w:rsidRPr="001934FE">
        <w:rPr>
          <w:rFonts w:ascii="Arial" w:hAnsi="Arial" w:cs="Arial"/>
        </w:rPr>
        <w:lastRenderedPageBreak/>
        <w:t>socially acceptable behaviours,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and CBT aids a person to build up awareness and self-controlling mechanisms. Critics suggest,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however, that such methods may be inclined to suppress behaviour more than to determine the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functional or sensory meaning of the stereotypies, which may have psychologically malicious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effects (Hunter, 2022). Drugs, either selective serotonin reuptake inhibitors (SSRIs) or atypical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antipsychotics like risperidone, are only used when serious or self-harming. There is a suggestion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that risperidone may alleviate repetitive behaviours, especially in the comorbid presence of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aggression, and this behaviour creates risks of adverse effects and low simplification. The NICE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guidelines (NG11) (2015) to manage challenging behaviour in learning disabilities support a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multimodal approach to behavioural intervention, environmental modification and cautious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pharmacological approach and endorse the principle of least intrusive intervention.</w:t>
      </w:r>
    </w:p>
    <w:p w14:paraId="2CBA8F01" w14:textId="77777777" w:rsidR="001934FE" w:rsidRDefault="001934FE" w:rsidP="001934FE">
      <w:pPr>
        <w:rPr>
          <w:rFonts w:ascii="Arial" w:hAnsi="Arial" w:cs="Arial"/>
        </w:rPr>
      </w:pPr>
    </w:p>
    <w:p w14:paraId="6995D4E5" w14:textId="77777777" w:rsidR="001934FE" w:rsidRPr="00553CD9" w:rsidRDefault="001934FE" w:rsidP="001934FE">
      <w:pPr>
        <w:spacing w:line="360" w:lineRule="auto"/>
        <w:rPr>
          <w:rFonts w:ascii="Arial" w:hAnsi="Arial" w:cs="Arial"/>
          <w:b/>
          <w:bCs/>
        </w:rPr>
      </w:pPr>
      <w:r w:rsidRPr="00553CD9">
        <w:rPr>
          <w:rFonts w:ascii="Arial" w:hAnsi="Arial" w:cs="Arial"/>
          <w:b/>
          <w:bCs/>
        </w:rPr>
        <w:t>Rehabilitation and Support</w:t>
      </w:r>
    </w:p>
    <w:p w14:paraId="64544C2B" w14:textId="55325A09" w:rsidR="001934FE" w:rsidRDefault="001934FE" w:rsidP="001934FE">
      <w:pPr>
        <w:spacing w:line="360" w:lineRule="auto"/>
        <w:rPr>
          <w:rFonts w:ascii="Arial" w:hAnsi="Arial" w:cs="Arial"/>
        </w:rPr>
      </w:pPr>
      <w:r w:rsidRPr="001934FE">
        <w:rPr>
          <w:rFonts w:ascii="Arial" w:hAnsi="Arial" w:cs="Arial"/>
        </w:rPr>
        <w:t>Rehabilitation of SMD focuses on symptom suppression, as well as on functional adaptation,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harm reduction, and family education, which is a recommendation of ICD-11 (World Health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Organisation, 2022). Sensory integration strategies and occupational therapy seek to consider the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underlying sense sensitivities which tend to spur stereotyped movements, generate organised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environments, and lessen stressors (</w:t>
      </w:r>
      <w:proofErr w:type="spellStart"/>
      <w:r w:rsidRPr="001934FE">
        <w:rPr>
          <w:rFonts w:ascii="Arial" w:hAnsi="Arial" w:cs="Arial"/>
        </w:rPr>
        <w:t>Nyakoe</w:t>
      </w:r>
      <w:proofErr w:type="spellEnd"/>
      <w:r w:rsidRPr="001934FE">
        <w:rPr>
          <w:rFonts w:ascii="Arial" w:hAnsi="Arial" w:cs="Arial"/>
        </w:rPr>
        <w:t>, 2024). Multidisciplinary collaboration models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Community-based rehabilitation models promote the collaborative approach involving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psychologists, occupational therapists, educational workers, and caregivers to assist social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participation and everyday activities. There is evidence that interventions involving the family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can help to improve outcomes through learning and alleviating stress on the caregiver (Kim and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Kim, 2024). However, there are still shortcomings. Existing models of rehabilitation are often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culturally insensitive, and the intervention protocols are mostly chosen in Western settings,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which may decrease the effectiveness in other populations (Reis et al., 2022). In addition, most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of the literature is short-term, with long-term effectiveness yet unknown. It is also emphasised by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critics that the traditional methods of rehabilitation often neglect the neurodiversity view,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considering only the negative behaviours as deficits but not as adaptive strategies, which restricts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the person-centred care (Days et al., 2023). Although the current treatment and rehabilitation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approaches have quantifiable positive results, there are still ethical and conceptual dilemmas that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signal the necessity of methods that effectively combine behavioural management and</w:t>
      </w:r>
      <w:r>
        <w:rPr>
          <w:rFonts w:ascii="Arial" w:hAnsi="Arial" w:cs="Arial"/>
        </w:rPr>
        <w:t xml:space="preserve"> </w:t>
      </w:r>
      <w:r w:rsidRPr="001934FE">
        <w:rPr>
          <w:rFonts w:ascii="Arial" w:hAnsi="Arial" w:cs="Arial"/>
        </w:rPr>
        <w:t>consideration of the functional neurodiversity.</w:t>
      </w:r>
    </w:p>
    <w:p w14:paraId="636916B1" w14:textId="77777777" w:rsidR="00F00317" w:rsidRDefault="00F00317" w:rsidP="00F00317">
      <w:pPr>
        <w:rPr>
          <w:rFonts w:ascii="Arial" w:hAnsi="Arial" w:cs="Arial"/>
        </w:rPr>
      </w:pPr>
    </w:p>
    <w:p w14:paraId="59887484" w14:textId="77777777" w:rsidR="00F00317" w:rsidRPr="00F00317" w:rsidRDefault="00F00317" w:rsidP="00F00317">
      <w:pPr>
        <w:spacing w:line="360" w:lineRule="auto"/>
        <w:rPr>
          <w:rFonts w:ascii="Arial" w:hAnsi="Arial" w:cs="Arial"/>
          <w:b/>
          <w:bCs/>
        </w:rPr>
      </w:pPr>
      <w:r w:rsidRPr="00F00317">
        <w:rPr>
          <w:rFonts w:ascii="Arial" w:hAnsi="Arial" w:cs="Arial"/>
          <w:b/>
          <w:bCs/>
        </w:rPr>
        <w:t>Current Debates and Emerging Issues</w:t>
      </w:r>
    </w:p>
    <w:p w14:paraId="61B30AF5" w14:textId="142337B0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lastRenderedPageBreak/>
        <w:t>SMD classification and management continue to be the topic of debate, especially as associated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with the neurodiversity movement. One debate issue is whether pathology should be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automatically applied to repetitive behaviours. Critics argue that such behaviours are usually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adaptive, such as self-regulation, there to stir up sensory or address anxiety instead of being a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sign of pathology (Thom and McDougle, 2023). The neurodiversity approach serves to criticise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the medical model that prevails in ICD-11 by indicating that categorising such behaviours as a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disorder poses a risk of stigmatising neurodivergent people and supports the deficit-based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 xml:space="preserve">conceptualisations. As Ahieieva-Karkashadze and </w:t>
      </w:r>
      <w:proofErr w:type="spellStart"/>
      <w:r w:rsidRPr="00F00317">
        <w:rPr>
          <w:rFonts w:ascii="Arial" w:hAnsi="Arial" w:cs="Arial"/>
        </w:rPr>
        <w:t>Lymar</w:t>
      </w:r>
      <w:proofErr w:type="spellEnd"/>
      <w:r w:rsidRPr="00F00317">
        <w:rPr>
          <w:rFonts w:ascii="Arial" w:hAnsi="Arial" w:cs="Arial"/>
        </w:rPr>
        <w:t xml:space="preserve"> (2023) assert, campaigns to make the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labelling of stereotyped behaviours under neutral terms like Behavioural Phenomena under a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functional deal, which identifies functional roles but avoids a diagnosis of disorder. This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reclassification may help to decrease unwarranted medicalisation and retain a means of assisting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when their behaviours are destructive or disturbing.</w:t>
      </w:r>
    </w:p>
    <w:p w14:paraId="34891FA1" w14:textId="153460DD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Ethics also complicate the practice of treatment. Stereotype-suppressing interventions may be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coercive, which may result in psychological distress or a lack of self-expression (Oswald, 2025).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The issue of cultural relativity is also essential; there is a chance that some repetitive behaviours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can be socially tolerated or even appreciated in that or that interpretation of behaviours cannot be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generalised (Thalmayer et al., 2022). Similarly, new neurobiological studies indicate that SMD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can be associated with the dysfunction of basal ganglia and atypical cortico-striatal pathways,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implying that functional behaviours are based on detectable neural processes (Mancini et al.,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2021). Such a dual attitude underlines the necessity of the combination of neurobiological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knowledge with the consideration of functional adaptation and social background.</w:t>
      </w:r>
    </w:p>
    <w:p w14:paraId="3852FD55" w14:textId="2B1CB2C3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These debates are directly related to policy and practice. Identifying as a disorder affects service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access and educational placements as well as funding of health services, especially in the UK,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where services can frequently be distributed based on a formal diagnosis (Allsopp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Kinderman, 2021). Proponents of person-centred and inclusive care maintain that provision of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services should strive to ensure functionality and engagement, and not simply aim at behaviour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reduction. Recent research by Thom and McDougle (2023) contributes to this argument by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showing that neurodiversity-informed strategies result in a better quality of life with no emphasis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on the removal of repetitive behaviours. As a result, some of the current discussions have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revealed a conflict between medicalised approaches, enabling clinical and funding frameworks,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and neurodiversity informed approaches, prioritising autonomy, adaptive functionalism,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ethical intervention. Such discussions are also becoming a dominant part of clinical practice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 xml:space="preserve">policy frameworks, causing a new </w:t>
      </w:r>
      <w:r w:rsidRPr="00F00317">
        <w:rPr>
          <w:rFonts w:ascii="Arial" w:hAnsi="Arial" w:cs="Arial"/>
        </w:rPr>
        <w:lastRenderedPageBreak/>
        <w:t>revisiting of the diagnostic labels, intervention preferences,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and supporting mechanisms in place of the need to support people with stereotyped movements.</w:t>
      </w:r>
    </w:p>
    <w:p w14:paraId="0A3EE83D" w14:textId="77777777" w:rsidR="00F00317" w:rsidRDefault="00F00317" w:rsidP="00F00317">
      <w:pPr>
        <w:rPr>
          <w:rFonts w:ascii="Arial" w:hAnsi="Arial" w:cs="Arial"/>
        </w:rPr>
      </w:pPr>
    </w:p>
    <w:p w14:paraId="3C18879F" w14:textId="77777777" w:rsidR="00F00317" w:rsidRPr="00F00317" w:rsidRDefault="00F00317" w:rsidP="00F00317">
      <w:pPr>
        <w:spacing w:line="360" w:lineRule="auto"/>
        <w:rPr>
          <w:rFonts w:ascii="Arial" w:hAnsi="Arial" w:cs="Arial"/>
          <w:b/>
          <w:bCs/>
        </w:rPr>
      </w:pPr>
      <w:r w:rsidRPr="00F00317">
        <w:rPr>
          <w:rFonts w:ascii="Arial" w:hAnsi="Arial" w:cs="Arial"/>
          <w:b/>
          <w:bCs/>
        </w:rPr>
        <w:t>Recommendations</w:t>
      </w:r>
    </w:p>
    <w:p w14:paraId="4476C437" w14:textId="07EB5EAC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On the critical analysis of SMD, it is possible to make a number of suggestions to enhance the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classification, diagnosis, treatment, rehabilitation, policy, and research. First, the classification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must take a dual-framework approach, with the medical view of ICD-11 and the use of language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that is neurodiverse and considers the role of repetitive behaviours, both in clinical need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functional benefits (Days et al., 2023). Clinicians should be educated in cross-disciplinary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training to effectively identify SMD among other similar disorders like autism spectrum disorder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and obsessive-compulsive disorder to reduce erroneous diagnoses and unsuitable treatment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(Yang and Li, 2025). Person-centred approaches to treatment must be non-coercive in nature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 xml:space="preserve">respectful of individual autonomy, and originally incorporate </w:t>
      </w:r>
      <w:proofErr w:type="spellStart"/>
      <w:r w:rsidRPr="00F00317">
        <w:rPr>
          <w:rFonts w:ascii="Arial" w:hAnsi="Arial" w:cs="Arial"/>
        </w:rPr>
        <w:t>neuroaffirmative</w:t>
      </w:r>
      <w:proofErr w:type="spellEnd"/>
      <w:r w:rsidRPr="00F00317">
        <w:rPr>
          <w:rFonts w:ascii="Arial" w:hAnsi="Arial" w:cs="Arial"/>
        </w:rPr>
        <w:t xml:space="preserve"> practice without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relying heavily on suppression-oriented behavioural therapies (Thom and McDougle, 2023). The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rehabilitation programs must consolidate community and family support to integrate sensory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saturation and occupational therapy to encourage functional solutions and harm mitigation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(</w:t>
      </w:r>
      <w:proofErr w:type="spellStart"/>
      <w:r w:rsidRPr="00F00317">
        <w:rPr>
          <w:rFonts w:ascii="Arial" w:hAnsi="Arial" w:cs="Arial"/>
        </w:rPr>
        <w:t>Nyakoe</w:t>
      </w:r>
      <w:proofErr w:type="spellEnd"/>
      <w:r w:rsidRPr="00F00317">
        <w:rPr>
          <w:rFonts w:ascii="Arial" w:hAnsi="Arial" w:cs="Arial"/>
        </w:rPr>
        <w:t>, 2024). The policy actions ought to make sure that they will fund inclusive interventions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in educational and developmental settings because structured support can increase the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participation level and quality of life (Allsopp and Kinderman, 2021). Lastly, it ought to be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conducted through longitudinal and culturally varied studies aimed at studying the adaptive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functional dimensions of stereotypies to advance evidence-based and context-specific practice.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Taken together, these policy suggestions are expected to strike a balance between clinical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management and an effort to respect the neurodivergent experience, ethical concerns,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inclusive care models.</w:t>
      </w:r>
    </w:p>
    <w:p w14:paraId="4BD317DC" w14:textId="77777777" w:rsidR="00F00317" w:rsidRDefault="00F00317" w:rsidP="00F00317">
      <w:pPr>
        <w:rPr>
          <w:rFonts w:ascii="Arial" w:hAnsi="Arial" w:cs="Arial"/>
        </w:rPr>
      </w:pPr>
    </w:p>
    <w:p w14:paraId="2D073824" w14:textId="77777777" w:rsidR="00F00317" w:rsidRPr="00F00317" w:rsidRDefault="00F00317" w:rsidP="00F00317">
      <w:pPr>
        <w:spacing w:line="360" w:lineRule="auto"/>
        <w:rPr>
          <w:rFonts w:ascii="Arial" w:hAnsi="Arial" w:cs="Arial"/>
          <w:b/>
          <w:bCs/>
        </w:rPr>
      </w:pPr>
      <w:r w:rsidRPr="00F00317">
        <w:rPr>
          <w:rFonts w:ascii="Arial" w:hAnsi="Arial" w:cs="Arial"/>
          <w:b/>
          <w:bCs/>
        </w:rPr>
        <w:t>Conclusion</w:t>
      </w:r>
    </w:p>
    <w:p w14:paraId="508A5226" w14:textId="10A97F6A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ICD-11 6A06 offers a systematic approach to the interpretation of Stereotyped Movement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Disorder, but its classification is still contested, especially on the issue of the dominant role in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medical and functional views. Diagnostic and treatment methods have evolved to provide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evidence-based behavioural and drug-based interventions, yet they still represent a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predominantly medical paradigm. There is a growing influence of ethical, cultural,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neurodiversity-informed arguments to shape the ways in which SMD is conceptualised and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 xml:space="preserve">treated, with the notion that there are adaptive/self-regulatory attributes of repetitive </w:t>
      </w:r>
      <w:r w:rsidRPr="00F00317">
        <w:rPr>
          <w:rFonts w:ascii="Arial" w:hAnsi="Arial" w:cs="Arial"/>
        </w:rPr>
        <w:lastRenderedPageBreak/>
        <w:t>behaviours.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Going forward, multidisciplinary, person-centred and community-based model is important in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providing inclusive, ethical and effective care in individuals with SMD.</w:t>
      </w:r>
    </w:p>
    <w:p w14:paraId="2BD249FD" w14:textId="77777777" w:rsidR="00F00317" w:rsidRDefault="00F00317" w:rsidP="00F00317">
      <w:pPr>
        <w:spacing w:line="360" w:lineRule="auto"/>
        <w:rPr>
          <w:rFonts w:ascii="Arial" w:hAnsi="Arial" w:cs="Arial"/>
        </w:rPr>
      </w:pPr>
    </w:p>
    <w:p w14:paraId="208A8D98" w14:textId="77777777" w:rsidR="00F00317" w:rsidRPr="00F00317" w:rsidRDefault="00F00317" w:rsidP="00F00317">
      <w:pPr>
        <w:rPr>
          <w:rFonts w:ascii="Arial" w:hAnsi="Arial" w:cs="Arial"/>
        </w:rPr>
      </w:pPr>
    </w:p>
    <w:p w14:paraId="46F9CEF6" w14:textId="77777777" w:rsidR="00F00317" w:rsidRPr="00F00317" w:rsidRDefault="00F00317" w:rsidP="00F00317">
      <w:pPr>
        <w:rPr>
          <w:rFonts w:ascii="Arial" w:hAnsi="Arial" w:cs="Arial"/>
        </w:rPr>
      </w:pPr>
    </w:p>
    <w:p w14:paraId="38DCE107" w14:textId="77777777" w:rsidR="00F00317" w:rsidRPr="00F00317" w:rsidRDefault="00F00317" w:rsidP="00F00317">
      <w:pPr>
        <w:rPr>
          <w:rFonts w:ascii="Arial" w:hAnsi="Arial" w:cs="Arial"/>
          <w:b/>
          <w:bCs/>
        </w:rPr>
      </w:pPr>
    </w:p>
    <w:p w14:paraId="6A0EBF7A" w14:textId="77777777" w:rsidR="00F00317" w:rsidRPr="00F00317" w:rsidRDefault="00F00317" w:rsidP="00F00317">
      <w:pPr>
        <w:spacing w:line="360" w:lineRule="auto"/>
        <w:rPr>
          <w:rFonts w:ascii="Arial" w:hAnsi="Arial" w:cs="Arial"/>
          <w:b/>
          <w:bCs/>
        </w:rPr>
      </w:pPr>
      <w:r w:rsidRPr="00F00317">
        <w:rPr>
          <w:rFonts w:ascii="Arial" w:hAnsi="Arial" w:cs="Arial"/>
          <w:b/>
          <w:bCs/>
        </w:rPr>
        <w:t>References</w:t>
      </w:r>
    </w:p>
    <w:p w14:paraId="13D04F8E" w14:textId="12401509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 xml:space="preserve">Ahieieva-Karkashadze, V.O. and </w:t>
      </w:r>
      <w:proofErr w:type="spellStart"/>
      <w:r w:rsidRPr="00F00317">
        <w:rPr>
          <w:rFonts w:ascii="Arial" w:hAnsi="Arial" w:cs="Arial"/>
        </w:rPr>
        <w:t>Lymar</w:t>
      </w:r>
      <w:proofErr w:type="spellEnd"/>
      <w:r w:rsidRPr="00F00317">
        <w:rPr>
          <w:rFonts w:ascii="Arial" w:hAnsi="Arial" w:cs="Arial"/>
        </w:rPr>
        <w:t>, M.Y., 2023. Stereotypes: Definition of the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phenomenon and its implementation in translation. Scientific Notes of VI Vernadsky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Taurida National University, 1(2), pp.168-172.</w:t>
      </w:r>
    </w:p>
    <w:p w14:paraId="07485E6F" w14:textId="77777777" w:rsidR="00F00317" w:rsidRDefault="00F00317" w:rsidP="00F00317">
      <w:pPr>
        <w:spacing w:line="360" w:lineRule="auto"/>
        <w:rPr>
          <w:rFonts w:ascii="Arial" w:hAnsi="Arial" w:cs="Arial"/>
        </w:rPr>
      </w:pPr>
    </w:p>
    <w:p w14:paraId="493B631D" w14:textId="41A89456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Aliyev, E.S.A. and Ünal, D., 2025. Motor skills and neurological soft signs: Are they only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clinical differences or reflection of distinct etiopathogenesis in tic disorder and primary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stereotypic movement disorder?. Brain and Development, 47(4), p.104377.</w:t>
      </w:r>
    </w:p>
    <w:p w14:paraId="1624FF19" w14:textId="77777777" w:rsidR="00F00317" w:rsidRPr="00F00317" w:rsidRDefault="00F00317" w:rsidP="00F00317">
      <w:pPr>
        <w:spacing w:line="360" w:lineRule="auto"/>
        <w:rPr>
          <w:rFonts w:ascii="Arial" w:hAnsi="Arial" w:cs="Arial"/>
        </w:rPr>
      </w:pPr>
    </w:p>
    <w:p w14:paraId="567B0BED" w14:textId="31BC2F76" w:rsidR="00F00317" w:rsidRDefault="00F00317" w:rsidP="00F00317">
      <w:pPr>
        <w:spacing w:line="360" w:lineRule="auto"/>
        <w:rPr>
          <w:rFonts w:ascii="Arial" w:hAnsi="Arial" w:cs="Arial"/>
        </w:rPr>
      </w:pPr>
      <w:r w:rsidRPr="00F00317">
        <w:rPr>
          <w:rFonts w:ascii="Arial" w:hAnsi="Arial" w:cs="Arial"/>
        </w:rPr>
        <w:t>Allsopp, K. and Kinderman, P., 2021. The use of diagnoses in mental health service eligibility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and exclusion criteria. Journal of Mental Health, 30(1), pp.97-103.</w:t>
      </w:r>
    </w:p>
    <w:p w14:paraId="54EF6547" w14:textId="77777777" w:rsidR="00F00317" w:rsidRDefault="00F00317" w:rsidP="00F00317">
      <w:pPr>
        <w:rPr>
          <w:rFonts w:ascii="Arial" w:hAnsi="Arial" w:cs="Arial"/>
        </w:rPr>
      </w:pPr>
    </w:p>
    <w:p w14:paraId="6BF6885C" w14:textId="77777777" w:rsidR="005D6627" w:rsidRDefault="00F00317" w:rsidP="00F00317">
      <w:pPr>
        <w:spacing w:line="360" w:lineRule="auto"/>
        <w:rPr>
          <w:rFonts w:ascii="Arial" w:hAnsi="Arial" w:cs="Arial"/>
        </w:rPr>
      </w:pPr>
      <w:proofErr w:type="spellStart"/>
      <w:r w:rsidRPr="00F00317">
        <w:rPr>
          <w:rFonts w:ascii="Arial" w:hAnsi="Arial" w:cs="Arial"/>
        </w:rPr>
        <w:t>Arvigo</w:t>
      </w:r>
      <w:proofErr w:type="spellEnd"/>
      <w:r w:rsidRPr="00F00317">
        <w:rPr>
          <w:rFonts w:ascii="Arial" w:hAnsi="Arial" w:cs="Arial"/>
        </w:rPr>
        <w:t>, M.C. and Schwartzman, J.S., Stereotyped movement disorder associated with language</w:t>
      </w:r>
      <w:r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delay-data from case report that contribute to differential diagnosis.</w:t>
      </w:r>
      <w:r w:rsidR="005D6627">
        <w:rPr>
          <w:rFonts w:ascii="Arial" w:hAnsi="Arial" w:cs="Arial"/>
        </w:rPr>
        <w:t xml:space="preserve"> </w:t>
      </w:r>
    </w:p>
    <w:p w14:paraId="302D3CAD" w14:textId="77777777" w:rsidR="005D6627" w:rsidRDefault="005D6627" w:rsidP="00F00317">
      <w:pPr>
        <w:spacing w:line="360" w:lineRule="auto"/>
        <w:rPr>
          <w:rFonts w:ascii="Arial" w:hAnsi="Arial" w:cs="Arial"/>
        </w:rPr>
      </w:pPr>
    </w:p>
    <w:p w14:paraId="36EE1818" w14:textId="2CA31964" w:rsidR="00F00317" w:rsidRDefault="00F00317" w:rsidP="005D6627">
      <w:pPr>
        <w:spacing w:line="360" w:lineRule="auto"/>
        <w:rPr>
          <w:rFonts w:ascii="Arial" w:hAnsi="Arial" w:cs="Arial"/>
        </w:rPr>
      </w:pPr>
      <w:proofErr w:type="spellStart"/>
      <w:r w:rsidRPr="00F00317">
        <w:rPr>
          <w:rFonts w:ascii="Arial" w:hAnsi="Arial" w:cs="Arial"/>
        </w:rPr>
        <w:t>Chawarska</w:t>
      </w:r>
      <w:proofErr w:type="spellEnd"/>
      <w:r w:rsidRPr="00F00317">
        <w:rPr>
          <w:rFonts w:ascii="Arial" w:hAnsi="Arial" w:cs="Arial"/>
        </w:rPr>
        <w:t xml:space="preserve">, K., Fernandez, T.V., </w:t>
      </w:r>
      <w:proofErr w:type="spellStart"/>
      <w:r w:rsidRPr="00F00317">
        <w:rPr>
          <w:rFonts w:ascii="Arial" w:hAnsi="Arial" w:cs="Arial"/>
        </w:rPr>
        <w:t>Milgramm</w:t>
      </w:r>
      <w:proofErr w:type="spellEnd"/>
      <w:r w:rsidRPr="00F00317">
        <w:rPr>
          <w:rFonts w:ascii="Arial" w:hAnsi="Arial" w:cs="Arial"/>
        </w:rPr>
        <w:t>, A., Volkmar, F., Torres</w:t>
      </w:r>
      <w:r w:rsidRPr="00F00317">
        <w:rPr>
          <w:rFonts w:ascii="Cambria Math" w:hAnsi="Cambria Math" w:cs="Cambria Math"/>
        </w:rPr>
        <w:t>‐</w:t>
      </w:r>
      <w:r w:rsidRPr="00F00317">
        <w:rPr>
          <w:rFonts w:ascii="Arial" w:hAnsi="Arial" w:cs="Arial"/>
        </w:rPr>
        <w:t>Viso, M., Powell, K.,</w:t>
      </w:r>
      <w:r w:rsidR="005D6627"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Vernetti, A., Macari, S. and Morgan, C., 2025. Motor stereotypies in toddlers with and</w:t>
      </w:r>
      <w:r w:rsidR="005D6627"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without autism: A transdiagnostic dimension. Journal of Child Psychology and</w:t>
      </w:r>
      <w:r w:rsidR="005D6627">
        <w:rPr>
          <w:rFonts w:ascii="Arial" w:hAnsi="Arial" w:cs="Arial"/>
        </w:rPr>
        <w:t xml:space="preserve"> </w:t>
      </w:r>
      <w:r w:rsidRPr="00F00317">
        <w:rPr>
          <w:rFonts w:ascii="Arial" w:hAnsi="Arial" w:cs="Arial"/>
        </w:rPr>
        <w:t>Psychiatry.</w:t>
      </w:r>
    </w:p>
    <w:p w14:paraId="50B93B23" w14:textId="77777777" w:rsidR="007E4433" w:rsidRDefault="007E4433" w:rsidP="005D6627">
      <w:pPr>
        <w:spacing w:line="360" w:lineRule="auto"/>
        <w:rPr>
          <w:rFonts w:ascii="Arial" w:hAnsi="Arial" w:cs="Arial"/>
        </w:rPr>
      </w:pPr>
    </w:p>
    <w:p w14:paraId="7B86E08B" w14:textId="734D4F5E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Day, S., Laver, K., Jeon, Y.H., Radford, K. and Low, L.F., 2023. Frameworks for cultural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adaptation of psychosocial interventions: A systematic review with narrative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synthesis. Dementia, 22(8), pp.1921-1949.</w:t>
      </w:r>
    </w:p>
    <w:p w14:paraId="4A4E2136" w14:textId="77777777" w:rsidR="007E4433" w:rsidRPr="005D6627" w:rsidRDefault="007E4433" w:rsidP="005D6627">
      <w:pPr>
        <w:spacing w:line="360" w:lineRule="auto"/>
        <w:rPr>
          <w:rFonts w:ascii="Arial" w:hAnsi="Arial" w:cs="Arial"/>
        </w:rPr>
      </w:pPr>
    </w:p>
    <w:p w14:paraId="35E18214" w14:textId="0DDB5FD1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lastRenderedPageBreak/>
        <w:t xml:space="preserve">de Lima, T.A., </w:t>
      </w:r>
      <w:proofErr w:type="spellStart"/>
      <w:r w:rsidRPr="005D6627">
        <w:rPr>
          <w:rFonts w:ascii="Arial" w:hAnsi="Arial" w:cs="Arial"/>
        </w:rPr>
        <w:t>Zuanetti</w:t>
      </w:r>
      <w:proofErr w:type="spellEnd"/>
      <w:r w:rsidRPr="005D6627">
        <w:rPr>
          <w:rFonts w:ascii="Arial" w:hAnsi="Arial" w:cs="Arial"/>
        </w:rPr>
        <w:t>, P.A., Nunes, M.E.N. and Hamad, A.P.A., 2023. Differential diagnosis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between autism spectrum disorder and other developmental disorders with emphasis on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the preschool period. World Journal of </w:t>
      </w:r>
      <w:proofErr w:type="spellStart"/>
      <w:r w:rsidRPr="005D6627">
        <w:rPr>
          <w:rFonts w:ascii="Arial" w:hAnsi="Arial" w:cs="Arial"/>
        </w:rPr>
        <w:t>Pediatrics</w:t>
      </w:r>
      <w:proofErr w:type="spellEnd"/>
      <w:r w:rsidRPr="005D6627">
        <w:rPr>
          <w:rFonts w:ascii="Arial" w:hAnsi="Arial" w:cs="Arial"/>
        </w:rPr>
        <w:t>, 19(8), pp.715-726.</w:t>
      </w:r>
    </w:p>
    <w:p w14:paraId="0B6A0C5F" w14:textId="77777777" w:rsidR="005D6627" w:rsidRDefault="005D6627" w:rsidP="005D6627">
      <w:pPr>
        <w:spacing w:line="360" w:lineRule="auto"/>
        <w:rPr>
          <w:rFonts w:ascii="Arial" w:hAnsi="Arial" w:cs="Arial"/>
        </w:rPr>
      </w:pPr>
    </w:p>
    <w:p w14:paraId="7E4F2BA1" w14:textId="35FC59B0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Hunter, J., 2022. An investigation of stereotypy in relation to sleep disturbance in children on the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autism spectrum: effectiveness of functional behaviour assessment-based interventions.</w:t>
      </w:r>
    </w:p>
    <w:p w14:paraId="37E7E65B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270B2C4D" w14:textId="013E0381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 xml:space="preserve">Jachymek, A., </w:t>
      </w:r>
      <w:proofErr w:type="spellStart"/>
      <w:r w:rsidRPr="005D6627">
        <w:rPr>
          <w:rFonts w:ascii="Arial" w:hAnsi="Arial" w:cs="Arial"/>
        </w:rPr>
        <w:t>Gmitrzuk</w:t>
      </w:r>
      <w:proofErr w:type="spellEnd"/>
      <w:r w:rsidRPr="005D6627">
        <w:rPr>
          <w:rFonts w:ascii="Arial" w:hAnsi="Arial" w:cs="Arial"/>
        </w:rPr>
        <w:t xml:space="preserve">, J., Malinka, Z., </w:t>
      </w:r>
      <w:proofErr w:type="spellStart"/>
      <w:r w:rsidRPr="005D6627">
        <w:rPr>
          <w:rFonts w:ascii="Arial" w:hAnsi="Arial" w:cs="Arial"/>
        </w:rPr>
        <w:t>Wiśniewska</w:t>
      </w:r>
      <w:proofErr w:type="spellEnd"/>
      <w:r w:rsidRPr="005D6627">
        <w:rPr>
          <w:rFonts w:ascii="Arial" w:hAnsi="Arial" w:cs="Arial"/>
        </w:rPr>
        <w:t xml:space="preserve">, K., </w:t>
      </w:r>
      <w:proofErr w:type="spellStart"/>
      <w:r w:rsidRPr="005D6627">
        <w:rPr>
          <w:rFonts w:ascii="Arial" w:hAnsi="Arial" w:cs="Arial"/>
        </w:rPr>
        <w:t>Opatowska</w:t>
      </w:r>
      <w:proofErr w:type="spellEnd"/>
      <w:r w:rsidRPr="005D6627">
        <w:rPr>
          <w:rFonts w:ascii="Arial" w:hAnsi="Arial" w:cs="Arial"/>
        </w:rPr>
        <w:t>, M., Jakubiec, J.,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Kucharski, T. and Piotrowska, M., 2024. Level of knowledge of Stereotypic Movement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Disorders among paediatric population. An update on proper differential diagnosis and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management including physical exercise approach-comprehensive literature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review. Quality in Sport, 16, pp.52749-52749.</w:t>
      </w:r>
    </w:p>
    <w:p w14:paraId="12B99207" w14:textId="77777777" w:rsidR="005D6627" w:rsidRDefault="005D6627" w:rsidP="005D6627">
      <w:pPr>
        <w:rPr>
          <w:rFonts w:ascii="Arial" w:hAnsi="Arial" w:cs="Arial"/>
        </w:rPr>
      </w:pPr>
    </w:p>
    <w:p w14:paraId="453510D0" w14:textId="2AC9BD16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Kim, Y. and Kim, D.H., 2024. Interventions for family involvement enhance end-of-life care for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hospitalized patients: an integrative review. BMC nursing, 23(1), p.917.</w:t>
      </w:r>
    </w:p>
    <w:p w14:paraId="1676FFC7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1D462544" w14:textId="203ABAAA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 xml:space="preserve">Lachance, K., </w:t>
      </w:r>
      <w:proofErr w:type="spellStart"/>
      <w:r w:rsidRPr="005D6627">
        <w:rPr>
          <w:rFonts w:ascii="Arial" w:hAnsi="Arial" w:cs="Arial"/>
        </w:rPr>
        <w:t>Štětinová</w:t>
      </w:r>
      <w:proofErr w:type="spellEnd"/>
      <w:r w:rsidRPr="005D6627">
        <w:rPr>
          <w:rFonts w:ascii="Arial" w:hAnsi="Arial" w:cs="Arial"/>
        </w:rPr>
        <w:t>, K., Rieske, R. and Peer, S., 2022. Repetitive behavior scale for early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childhood (RBS-EC): psychometrics and developmental effects with a community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sample. Child Psychiatry &amp; Human Development, 53(5), pp.863-875.</w:t>
      </w:r>
    </w:p>
    <w:p w14:paraId="0759A743" w14:textId="77777777" w:rsidR="005D6627" w:rsidRDefault="005D6627" w:rsidP="005D6627">
      <w:pPr>
        <w:rPr>
          <w:rFonts w:ascii="Arial" w:hAnsi="Arial" w:cs="Arial"/>
        </w:rPr>
      </w:pPr>
    </w:p>
    <w:p w14:paraId="5B086405" w14:textId="5D85540D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Mancini, A., Ghiglieri, V., Parnetti, L., Calabresi, P. and Di Filippo, M., 2021. Neuro-immune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cross-talk in the striatum: from basal ganglia physiology to circuit dysfunction. Frontiers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in immunology, 12, p.644294.</w:t>
      </w:r>
    </w:p>
    <w:p w14:paraId="44D48D39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5F2682E0" w14:textId="49E99E9D" w:rsidR="005D6627" w:rsidRDefault="005D6627" w:rsidP="005D6627">
      <w:pPr>
        <w:spacing w:line="360" w:lineRule="auto"/>
        <w:rPr>
          <w:rFonts w:ascii="Arial" w:hAnsi="Arial" w:cs="Arial"/>
        </w:rPr>
      </w:pPr>
      <w:proofErr w:type="spellStart"/>
      <w:r w:rsidRPr="005D6627">
        <w:rPr>
          <w:rFonts w:ascii="Arial" w:hAnsi="Arial" w:cs="Arial"/>
        </w:rPr>
        <w:t>Mantzoros</w:t>
      </w:r>
      <w:proofErr w:type="spellEnd"/>
      <w:r w:rsidRPr="005D6627">
        <w:rPr>
          <w:rFonts w:ascii="Arial" w:hAnsi="Arial" w:cs="Arial"/>
        </w:rPr>
        <w:t>, T., McCoy, A.R. and Lee, D.L., 2022. Treatments for automatically reinforced vocal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stereotypy for individuals with autism spectrum disorder: A literature and meta</w:t>
      </w:r>
      <w:r w:rsidRPr="005D6627">
        <w:rPr>
          <w:rFonts w:ascii="Cambria Math" w:hAnsi="Cambria Math" w:cs="Cambria Math"/>
        </w:rPr>
        <w:t>‐</w:t>
      </w:r>
      <w:r w:rsidRPr="005D6627">
        <w:rPr>
          <w:rFonts w:ascii="Arial" w:hAnsi="Arial" w:cs="Arial"/>
        </w:rPr>
        <w:t>analytic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review. </w:t>
      </w:r>
      <w:proofErr w:type="spellStart"/>
      <w:r w:rsidRPr="005D6627">
        <w:rPr>
          <w:rFonts w:ascii="Arial" w:hAnsi="Arial" w:cs="Arial"/>
        </w:rPr>
        <w:t>Behavioral</w:t>
      </w:r>
      <w:proofErr w:type="spellEnd"/>
      <w:r w:rsidRPr="005D6627">
        <w:rPr>
          <w:rFonts w:ascii="Arial" w:hAnsi="Arial" w:cs="Arial"/>
        </w:rPr>
        <w:t xml:space="preserve"> Interventions, 37(2), pp.485-504.</w:t>
      </w:r>
    </w:p>
    <w:p w14:paraId="4A10E624" w14:textId="77777777" w:rsidR="005D6627" w:rsidRDefault="005D6627" w:rsidP="005D6627">
      <w:pPr>
        <w:rPr>
          <w:rFonts w:ascii="Arial" w:hAnsi="Arial" w:cs="Arial"/>
        </w:rPr>
      </w:pPr>
    </w:p>
    <w:p w14:paraId="53DF88CB" w14:textId="66310E79" w:rsidR="005D6627" w:rsidRP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NICE (2015). Challenging behaviour and learning disabilities: prevention and interventions for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people with learning disabilities whose behaviour </w:t>
      </w:r>
      <w:proofErr w:type="gramStart"/>
      <w:r w:rsidRPr="005D6627">
        <w:rPr>
          <w:rFonts w:ascii="Arial" w:hAnsi="Arial" w:cs="Arial"/>
        </w:rPr>
        <w:t>challenges .</w:t>
      </w:r>
      <w:proofErr w:type="gramEnd"/>
      <w:r w:rsidRPr="005D6627">
        <w:rPr>
          <w:rFonts w:ascii="Arial" w:hAnsi="Arial" w:cs="Arial"/>
        </w:rPr>
        <w:t xml:space="preserve"> Nice.org.uk.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Available at: </w:t>
      </w:r>
      <w:hyperlink r:id="rId6" w:history="1">
        <w:r w:rsidRPr="004F22A7">
          <w:rPr>
            <w:rStyle w:val="Hyperlink"/>
            <w:rFonts w:ascii="Arial" w:hAnsi="Arial" w:cs="Arial"/>
          </w:rPr>
          <w:t>https://www.nice.org.uk/guidance/ng11/resources/challenging-behaviour-</w:t>
        </w:r>
      </w:hyperlink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and-learning-</w:t>
      </w:r>
      <w:r w:rsidRPr="005D6627">
        <w:rPr>
          <w:rFonts w:ascii="Arial" w:hAnsi="Arial" w:cs="Arial"/>
        </w:rPr>
        <w:lastRenderedPageBreak/>
        <w:t>disabilities-prevention-and-interventions-for-people-with-learning-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disabilities-whose-behaviour-challenges-1837266392005 [Accessed 10 Nov. 2025].</w:t>
      </w:r>
    </w:p>
    <w:p w14:paraId="418FC6B0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6244F776" w14:textId="66638EF1" w:rsidR="005D6627" w:rsidRDefault="005D6627" w:rsidP="005D6627">
      <w:pPr>
        <w:spacing w:line="360" w:lineRule="auto"/>
        <w:rPr>
          <w:rFonts w:ascii="Arial" w:hAnsi="Arial" w:cs="Arial"/>
        </w:rPr>
      </w:pPr>
      <w:proofErr w:type="spellStart"/>
      <w:r w:rsidRPr="005D6627">
        <w:rPr>
          <w:rFonts w:ascii="Arial" w:hAnsi="Arial" w:cs="Arial"/>
        </w:rPr>
        <w:t>Nyakoe</w:t>
      </w:r>
      <w:proofErr w:type="spellEnd"/>
      <w:r w:rsidRPr="005D6627">
        <w:rPr>
          <w:rFonts w:ascii="Arial" w:hAnsi="Arial" w:cs="Arial"/>
        </w:rPr>
        <w:t xml:space="preserve">, M., 2024. Addressing Classroom </w:t>
      </w:r>
      <w:proofErr w:type="spellStart"/>
      <w:r w:rsidRPr="005D6627">
        <w:rPr>
          <w:rFonts w:ascii="Arial" w:hAnsi="Arial" w:cs="Arial"/>
        </w:rPr>
        <w:t>Behaviors</w:t>
      </w:r>
      <w:proofErr w:type="spellEnd"/>
      <w:r w:rsidRPr="005D6627">
        <w:rPr>
          <w:rFonts w:ascii="Arial" w:hAnsi="Arial" w:cs="Arial"/>
        </w:rPr>
        <w:t xml:space="preserve"> Through Sensory-Informed Design </w:t>
      </w:r>
      <w:proofErr w:type="gramStart"/>
      <w:r w:rsidRPr="005D6627">
        <w:rPr>
          <w:rFonts w:ascii="Arial" w:hAnsi="Arial" w:cs="Arial"/>
        </w:rPr>
        <w:t>And</w:t>
      </w:r>
      <w:proofErr w:type="gramEnd"/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Instruction </w:t>
      </w:r>
      <w:proofErr w:type="gramStart"/>
      <w:r w:rsidRPr="005D6627">
        <w:rPr>
          <w:rFonts w:ascii="Arial" w:hAnsi="Arial" w:cs="Arial"/>
        </w:rPr>
        <w:t>To</w:t>
      </w:r>
      <w:proofErr w:type="gramEnd"/>
      <w:r w:rsidRPr="005D6627">
        <w:rPr>
          <w:rFonts w:ascii="Arial" w:hAnsi="Arial" w:cs="Arial"/>
        </w:rPr>
        <w:t xml:space="preserve"> Support Performance </w:t>
      </w:r>
      <w:proofErr w:type="gramStart"/>
      <w:r w:rsidRPr="005D6627">
        <w:rPr>
          <w:rFonts w:ascii="Arial" w:hAnsi="Arial" w:cs="Arial"/>
        </w:rPr>
        <w:t>And</w:t>
      </w:r>
      <w:proofErr w:type="gramEnd"/>
      <w:r w:rsidRPr="005D6627">
        <w:rPr>
          <w:rFonts w:ascii="Arial" w:hAnsi="Arial" w:cs="Arial"/>
        </w:rPr>
        <w:t xml:space="preserve"> Participation.</w:t>
      </w:r>
    </w:p>
    <w:p w14:paraId="31829832" w14:textId="77777777" w:rsidR="007E4433" w:rsidRDefault="007E4433" w:rsidP="005D6627">
      <w:pPr>
        <w:spacing w:line="360" w:lineRule="auto"/>
        <w:rPr>
          <w:rFonts w:ascii="Arial" w:hAnsi="Arial" w:cs="Arial"/>
        </w:rPr>
      </w:pPr>
    </w:p>
    <w:p w14:paraId="5D58298A" w14:textId="4C3C2146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Oswald, E., 2025. Psychology Across the Spectrum: Self-Regulation and Emotional Control in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Autism Spectrum Disorder.</w:t>
      </w:r>
    </w:p>
    <w:p w14:paraId="26CFC2C9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10A5C655" w14:textId="254C0E97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Pascucci, A., Gerber, F., Besson, M. and Kosel, M., 2025. Antipsychotic Medication for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Behaviours that Challenge in Individuals with Intellectual Disabilities: </w:t>
      </w:r>
      <w:proofErr w:type="gramStart"/>
      <w:r w:rsidRPr="005D6627">
        <w:rPr>
          <w:rFonts w:ascii="Arial" w:hAnsi="Arial" w:cs="Arial"/>
        </w:rPr>
        <w:t>a</w:t>
      </w:r>
      <w:proofErr w:type="gramEnd"/>
      <w:r w:rsidRPr="005D6627">
        <w:rPr>
          <w:rFonts w:ascii="Arial" w:hAnsi="Arial" w:cs="Arial"/>
        </w:rPr>
        <w:t xml:space="preserve"> Clinically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Informed Review. Frontiers in Psychiatry, 16, p.1609408.</w:t>
      </w:r>
    </w:p>
    <w:p w14:paraId="7F284CEB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28A2A50D" w14:textId="0599F237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Reis, F.J., Nijs, J., Parker, R., Sharma, S. and Wideman, T.H., 2022. Culture and musculoskeletal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pain: strategies, challenges, and future directions to develop culturally sensitive physical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therapy care. Brazilian Journal of Physical Therapy, 26(5), p.100442.</w:t>
      </w:r>
    </w:p>
    <w:p w14:paraId="6CD2F41E" w14:textId="73EC153C" w:rsidR="005D6627" w:rsidRPr="005D6627" w:rsidRDefault="005D6627" w:rsidP="005D662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4DE38A1" w14:textId="74581664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 xml:space="preserve">Salehi, A.M., Chegini, S.B., Esmaeili, F., </w:t>
      </w:r>
      <w:proofErr w:type="spellStart"/>
      <w:r w:rsidRPr="005D6627">
        <w:rPr>
          <w:rFonts w:ascii="Arial" w:hAnsi="Arial" w:cs="Arial"/>
        </w:rPr>
        <w:t>Rabiei</w:t>
      </w:r>
      <w:proofErr w:type="spellEnd"/>
      <w:r w:rsidRPr="005D6627">
        <w:rPr>
          <w:rFonts w:ascii="Arial" w:hAnsi="Arial" w:cs="Arial"/>
        </w:rPr>
        <w:t xml:space="preserve">, N., </w:t>
      </w:r>
      <w:proofErr w:type="spellStart"/>
      <w:r w:rsidRPr="005D6627">
        <w:rPr>
          <w:rFonts w:ascii="Arial" w:hAnsi="Arial" w:cs="Arial"/>
        </w:rPr>
        <w:t>Jenabi</w:t>
      </w:r>
      <w:proofErr w:type="spellEnd"/>
      <w:r w:rsidRPr="005D6627">
        <w:rPr>
          <w:rFonts w:ascii="Arial" w:hAnsi="Arial" w:cs="Arial"/>
        </w:rPr>
        <w:t>, E. and Rezaei, M., 2025. The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Psychometric Properties of the Iranian Version of Repetitive Behavior Scale</w:t>
      </w:r>
      <w:r w:rsidRPr="005D6627">
        <w:rPr>
          <w:rFonts w:ascii="Cambria Math" w:hAnsi="Cambria Math" w:cs="Cambria Math"/>
        </w:rPr>
        <w:t>‐</w:t>
      </w:r>
      <w:r w:rsidRPr="005D6627">
        <w:rPr>
          <w:rFonts w:ascii="Arial" w:hAnsi="Arial" w:cs="Arial"/>
        </w:rPr>
        <w:t>Revised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(RBS</w:t>
      </w:r>
      <w:r w:rsidRPr="005D6627">
        <w:rPr>
          <w:rFonts w:ascii="Cambria Math" w:hAnsi="Cambria Math" w:cs="Cambria Math"/>
        </w:rPr>
        <w:t>‐</w:t>
      </w:r>
      <w:r w:rsidRPr="005D6627">
        <w:rPr>
          <w:rFonts w:ascii="Arial" w:hAnsi="Arial" w:cs="Arial"/>
        </w:rPr>
        <w:t xml:space="preserve">R) Questionnaire in Children </w:t>
      </w:r>
      <w:proofErr w:type="gramStart"/>
      <w:r w:rsidRPr="005D6627">
        <w:rPr>
          <w:rFonts w:ascii="Arial" w:hAnsi="Arial" w:cs="Arial"/>
        </w:rPr>
        <w:t>With</w:t>
      </w:r>
      <w:proofErr w:type="gramEnd"/>
      <w:r w:rsidRPr="005D6627">
        <w:rPr>
          <w:rFonts w:ascii="Arial" w:hAnsi="Arial" w:cs="Arial"/>
        </w:rPr>
        <w:t xml:space="preserve"> Autism Spectrum Disorder. Health Science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Reports, 8(7), p.e70984.</w:t>
      </w:r>
    </w:p>
    <w:p w14:paraId="6346D154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2846EB51" w14:textId="2CF9A4C2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 xml:space="preserve">Thalmayer, A.G., Saucier, G. and </w:t>
      </w:r>
      <w:proofErr w:type="spellStart"/>
      <w:r w:rsidRPr="005D6627">
        <w:rPr>
          <w:rFonts w:ascii="Arial" w:hAnsi="Arial" w:cs="Arial"/>
        </w:rPr>
        <w:t>Rotzinger</w:t>
      </w:r>
      <w:proofErr w:type="spellEnd"/>
      <w:r w:rsidRPr="005D6627">
        <w:rPr>
          <w:rFonts w:ascii="Arial" w:hAnsi="Arial" w:cs="Arial"/>
        </w:rPr>
        <w:t>, J.S., 2022. Absolutism, relativism, and universalism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in personality traits across cultures: The case of the big five. Journal of Cross-Cultural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Psychology, 53(7-8), pp.935-956.</w:t>
      </w:r>
    </w:p>
    <w:p w14:paraId="28CE1F00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4B361E86" w14:textId="0DF85EE4" w:rsid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 xml:space="preserve">Thom, R.P. and McDougle, C.J., 2023. Repetitive thoughts and </w:t>
      </w:r>
      <w:proofErr w:type="spellStart"/>
      <w:r w:rsidRPr="005D6627">
        <w:rPr>
          <w:rFonts w:ascii="Arial" w:hAnsi="Arial" w:cs="Arial"/>
        </w:rPr>
        <w:t>behaviors</w:t>
      </w:r>
      <w:proofErr w:type="spellEnd"/>
      <w:r w:rsidRPr="005D6627">
        <w:rPr>
          <w:rFonts w:ascii="Arial" w:hAnsi="Arial" w:cs="Arial"/>
        </w:rPr>
        <w:t xml:space="preserve"> in autism spectrum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disorder: A symptom-based framework for novel therapeutics. ACS Chemical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Neuroscience, 14(6), pp.1007-1016.</w:t>
      </w:r>
    </w:p>
    <w:p w14:paraId="67D9D1BD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7C687E83" w14:textId="2ED4D921" w:rsidR="005D6627" w:rsidRP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lastRenderedPageBreak/>
        <w:t xml:space="preserve">Thom, R.P. and McDougle, C.J., 2023. Repetitive thoughts and </w:t>
      </w:r>
      <w:proofErr w:type="spellStart"/>
      <w:r w:rsidRPr="005D6627">
        <w:rPr>
          <w:rFonts w:ascii="Arial" w:hAnsi="Arial" w:cs="Arial"/>
        </w:rPr>
        <w:t>behaviors</w:t>
      </w:r>
      <w:proofErr w:type="spellEnd"/>
      <w:r w:rsidRPr="005D6627">
        <w:rPr>
          <w:rFonts w:ascii="Arial" w:hAnsi="Arial" w:cs="Arial"/>
        </w:rPr>
        <w:t xml:space="preserve"> in autism spectrum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disorder: A symptom-based framework for novel therapeutics. ACS Chemical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Neuroscience, 14(6), pp.1007-1016.</w:t>
      </w:r>
    </w:p>
    <w:p w14:paraId="1F9B6F7F" w14:textId="63EAEFC4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63F623D6" w14:textId="6E840AD0" w:rsidR="005D6627" w:rsidRP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Wang, K., Qiu, F., Liu, J. and Yang, X., 2026. The effects of exercise intervention for restricted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and repetitive behavior in children with autism spectrum disorder: A network meta-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analysis. Journal of </w:t>
      </w:r>
      <w:proofErr w:type="spellStart"/>
      <w:r w:rsidRPr="005D6627">
        <w:rPr>
          <w:rFonts w:ascii="Arial" w:hAnsi="Arial" w:cs="Arial"/>
        </w:rPr>
        <w:t>Behavioral</w:t>
      </w:r>
      <w:proofErr w:type="spellEnd"/>
      <w:r w:rsidRPr="005D6627">
        <w:rPr>
          <w:rFonts w:ascii="Arial" w:hAnsi="Arial" w:cs="Arial"/>
        </w:rPr>
        <w:t xml:space="preserve"> and Cognitive Therapy, 36(1), p.100549.</w:t>
      </w:r>
    </w:p>
    <w:p w14:paraId="74C9B263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1356CA0A" w14:textId="0F802FA1" w:rsidR="005D6627" w:rsidRP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World Health Organization (2022). International classification of diseases (ICD).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www.who.int. Available at: </w:t>
      </w:r>
      <w:hyperlink r:id="rId7" w:history="1">
        <w:r w:rsidRPr="004F22A7">
          <w:rPr>
            <w:rStyle w:val="Hyperlink"/>
            <w:rFonts w:ascii="Arial" w:hAnsi="Arial" w:cs="Arial"/>
          </w:rPr>
          <w:t>https://www.who.int/standards/classifications/classification-</w:t>
        </w:r>
      </w:hyperlink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of-diseases [Accessed 10 Nov. 2025].</w:t>
      </w:r>
    </w:p>
    <w:p w14:paraId="0391A42C" w14:textId="77777777" w:rsidR="005D6627" w:rsidRPr="005D6627" w:rsidRDefault="005D6627" w:rsidP="005D6627">
      <w:pPr>
        <w:spacing w:line="360" w:lineRule="auto"/>
        <w:rPr>
          <w:rFonts w:ascii="Arial" w:hAnsi="Arial" w:cs="Arial"/>
        </w:rPr>
      </w:pPr>
    </w:p>
    <w:p w14:paraId="18F44B75" w14:textId="663DBED7" w:rsidR="005D6627" w:rsidRPr="005D6627" w:rsidRDefault="005D6627" w:rsidP="005D6627">
      <w:pPr>
        <w:spacing w:line="360" w:lineRule="auto"/>
        <w:rPr>
          <w:rFonts w:ascii="Arial" w:hAnsi="Arial" w:cs="Arial"/>
        </w:rPr>
      </w:pPr>
      <w:r w:rsidRPr="005D6627">
        <w:rPr>
          <w:rFonts w:ascii="Arial" w:hAnsi="Arial" w:cs="Arial"/>
        </w:rPr>
        <w:t>Yang, J. and Li, R., 2025. Systematic review and randomized controlled trial meta-analysis of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the effects of physical activity interventions and their components on repetitive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 xml:space="preserve">stereotyped </w:t>
      </w:r>
      <w:proofErr w:type="spellStart"/>
      <w:r w:rsidRPr="005D6627">
        <w:rPr>
          <w:rFonts w:ascii="Arial" w:hAnsi="Arial" w:cs="Arial"/>
        </w:rPr>
        <w:t>behaviors</w:t>
      </w:r>
      <w:proofErr w:type="spellEnd"/>
      <w:r w:rsidRPr="005D6627">
        <w:rPr>
          <w:rFonts w:ascii="Arial" w:hAnsi="Arial" w:cs="Arial"/>
        </w:rPr>
        <w:t xml:space="preserve"> in patients with autism spectrum disorder. Frontiers in</w:t>
      </w:r>
      <w:r>
        <w:rPr>
          <w:rFonts w:ascii="Arial" w:hAnsi="Arial" w:cs="Arial"/>
        </w:rPr>
        <w:t xml:space="preserve"> </w:t>
      </w:r>
      <w:r w:rsidRPr="005D6627">
        <w:rPr>
          <w:rFonts w:ascii="Arial" w:hAnsi="Arial" w:cs="Arial"/>
        </w:rPr>
        <w:t>Psychology, 16, p.1579345.</w:t>
      </w:r>
    </w:p>
    <w:sectPr w:rsidR="005D6627" w:rsidRPr="005D6627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5DD0438" w14:textId="77777777" w:rsidR="006E2A9F" w:rsidRDefault="006E2A9F" w:rsidP="005D6627">
      <w:pPr>
        <w:spacing w:after="0" w:line="240" w:lineRule="auto"/>
      </w:pPr>
      <w:r>
        <w:separator/>
      </w:r>
    </w:p>
  </w:endnote>
  <w:endnote w:type="continuationSeparator" w:id="0">
    <w:p w14:paraId="542C3AF0" w14:textId="77777777" w:rsidR="006E2A9F" w:rsidRDefault="006E2A9F" w:rsidP="005D66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3CCE8F" w14:textId="77777777" w:rsidR="006E2A9F" w:rsidRDefault="006E2A9F" w:rsidP="005D6627">
      <w:pPr>
        <w:spacing w:after="0" w:line="240" w:lineRule="auto"/>
      </w:pPr>
      <w:r>
        <w:separator/>
      </w:r>
    </w:p>
  </w:footnote>
  <w:footnote w:type="continuationSeparator" w:id="0">
    <w:p w14:paraId="48137383" w14:textId="77777777" w:rsidR="006E2A9F" w:rsidRDefault="006E2A9F" w:rsidP="005D66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9886142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006AD68" w14:textId="7428DF13" w:rsidR="00553CD9" w:rsidRDefault="00553CD9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713719" w14:textId="77777777" w:rsidR="00553CD9" w:rsidRDefault="00553C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34FE"/>
    <w:rsid w:val="00162FFD"/>
    <w:rsid w:val="00181021"/>
    <w:rsid w:val="0018314D"/>
    <w:rsid w:val="001934FE"/>
    <w:rsid w:val="001F1B72"/>
    <w:rsid w:val="004C5824"/>
    <w:rsid w:val="00553CD9"/>
    <w:rsid w:val="00565E90"/>
    <w:rsid w:val="005D6627"/>
    <w:rsid w:val="006E2A9F"/>
    <w:rsid w:val="007E4433"/>
    <w:rsid w:val="00892F5C"/>
    <w:rsid w:val="00925B33"/>
    <w:rsid w:val="00AC61C3"/>
    <w:rsid w:val="00BF3EEB"/>
    <w:rsid w:val="00CA2C2A"/>
    <w:rsid w:val="00D02512"/>
    <w:rsid w:val="00D96414"/>
    <w:rsid w:val="00DD1C81"/>
    <w:rsid w:val="00F00317"/>
    <w:rsid w:val="00F40F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7C26F"/>
  <w15:chartTrackingRefBased/>
  <w15:docId w15:val="{F4C769D4-A266-4E3B-ABFF-F498104B80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34FE"/>
  </w:style>
  <w:style w:type="paragraph" w:styleId="Heading1">
    <w:name w:val="heading 1"/>
    <w:basedOn w:val="Normal"/>
    <w:next w:val="Normal"/>
    <w:link w:val="Heading1Char"/>
    <w:uiPriority w:val="9"/>
    <w:qFormat/>
    <w:rsid w:val="001934F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34F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34F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34F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34F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34F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34F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34F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34F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34F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34F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34F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34F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34F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34F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34F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34F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34F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34F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34F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34F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34F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34F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34F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34F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34F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34F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34F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34FE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D6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627"/>
  </w:style>
  <w:style w:type="paragraph" w:styleId="Footer">
    <w:name w:val="footer"/>
    <w:basedOn w:val="Normal"/>
    <w:link w:val="FooterChar"/>
    <w:uiPriority w:val="99"/>
    <w:unhideWhenUsed/>
    <w:rsid w:val="005D662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627"/>
  </w:style>
  <w:style w:type="character" w:styleId="Hyperlink">
    <w:name w:val="Hyperlink"/>
    <w:basedOn w:val="DefaultParagraphFont"/>
    <w:uiPriority w:val="99"/>
    <w:unhideWhenUsed/>
    <w:rsid w:val="005D662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662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who.int/standards/classifications/classification-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nice.org.uk/guidance/ng11/resources/challenging-behaviour-" TargetMode="Externa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3211</Words>
  <Characters>18303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Azra Bi (2312900)</dc:creator>
  <cp:keywords/>
  <dc:description/>
  <cp:lastModifiedBy>Azra Bi (2312900)</cp:lastModifiedBy>
  <cp:revision>2</cp:revision>
  <dcterms:created xsi:type="dcterms:W3CDTF">2025-11-14T22:32:00Z</dcterms:created>
  <dcterms:modified xsi:type="dcterms:W3CDTF">2025-11-14T22:32:00Z</dcterms:modified>
</cp:coreProperties>
</file>