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numbering.xml" ContentType="application/vnd.openxmlformats-officedocument.wordprocessingml.numbering+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Types>
</file>

<file path=_rels/.rels><?xml version="1.0" encoding="UTF-8" standalone="yes"?>
<Relationships xmlns="http://schemas.openxmlformats.org/package/2006/relationships"><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360" w:lineRule="auto"/>
        <w:jc w:val="center"/>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02">
      <w:pPr>
        <w:spacing w:after="240" w:before="240" w:line="360" w:lineRule="auto"/>
        <w:jc w:val="center"/>
        <w:rPr>
          <w:rFonts w:ascii="Times New Roman" w:cs="Times New Roman" w:eastAsia="Times New Roman" w:hAnsi="Times New Roman"/>
          <w:b w:val="1"/>
          <w:sz w:val="26"/>
          <w:szCs w:val="26"/>
        </w:rPr>
      </w:pPr>
      <w:r w:rsidDel="00000000" w:rsidR="00000000" w:rsidRPr="00000000">
        <w:rPr>
          <w:rtl w:val="0"/>
        </w:rPr>
      </w:r>
    </w:p>
    <w:p w:rsidR="00000000" w:rsidDel="00000000" w:rsidP="00000000" w:rsidRDefault="00000000" w:rsidRPr="00000000" w14:paraId="00000003">
      <w:pPr>
        <w:spacing w:after="240" w:before="240" w:line="360" w:lineRule="auto"/>
        <w:jc w:val="center"/>
        <w:rPr>
          <w:rFonts w:ascii="Times New Roman" w:cs="Times New Roman" w:eastAsia="Times New Roman" w:hAnsi="Times New Roman"/>
          <w:b w:val="1"/>
          <w:sz w:val="38"/>
          <w:szCs w:val="38"/>
        </w:rPr>
      </w:pPr>
      <w:r w:rsidDel="00000000" w:rsidR="00000000" w:rsidRPr="00000000">
        <w:rPr>
          <w:rFonts w:ascii="Times New Roman" w:cs="Times New Roman" w:eastAsia="Times New Roman" w:hAnsi="Times New Roman"/>
          <w:b w:val="1"/>
          <w:sz w:val="38"/>
          <w:szCs w:val="38"/>
          <w:rtl w:val="0"/>
        </w:rPr>
        <w:t xml:space="preserve">ORGANISATIONAL CONSULTANCY</w:t>
      </w:r>
    </w:p>
    <w:p w:rsidR="00000000" w:rsidDel="00000000" w:rsidP="00000000" w:rsidRDefault="00000000" w:rsidRPr="00000000" w14:paraId="00000004">
      <w:pPr>
        <w:spacing w:after="240" w:before="240" w:line="360" w:lineRule="auto"/>
        <w:jc w:val="center"/>
        <w:rPr>
          <w:rFonts w:ascii="Times New Roman" w:cs="Times New Roman" w:eastAsia="Times New Roman" w:hAnsi="Times New Roman"/>
          <w:b w:val="1"/>
          <w:sz w:val="30"/>
          <w:szCs w:val="30"/>
        </w:rPr>
      </w:pPr>
      <w:r w:rsidDel="00000000" w:rsidR="00000000" w:rsidRPr="00000000">
        <w:rPr>
          <w:rtl w:val="0"/>
        </w:rPr>
      </w:r>
    </w:p>
    <w:p w:rsidR="00000000" w:rsidDel="00000000" w:rsidP="00000000" w:rsidRDefault="00000000" w:rsidRPr="00000000" w14:paraId="00000005">
      <w:pPr>
        <w:spacing w:after="240" w:before="240" w:line="360" w:lineRule="auto"/>
        <w:jc w:val="center"/>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6"/>
          <w:szCs w:val="26"/>
          <w:rtl w:val="0"/>
        </w:rPr>
        <w:t xml:space="preserve">Florentina Babache</w:t>
        <w:br w:type="textWrapping"/>
        <w:t xml:space="preserve">2240975 </w:t>
      </w:r>
    </w:p>
    <w:p w:rsidR="00000000" w:rsidDel="00000000" w:rsidP="00000000" w:rsidRDefault="00000000" w:rsidRPr="00000000" w14:paraId="00000006">
      <w:pPr>
        <w:spacing w:after="240" w:before="240" w:line="360" w:lineRule="auto"/>
        <w:jc w:val="center"/>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6"/>
          <w:szCs w:val="26"/>
          <w:rtl w:val="0"/>
        </w:rPr>
        <w:t xml:space="preserve">BMIH6005</w:t>
      </w:r>
    </w:p>
    <w:p w:rsidR="00000000" w:rsidDel="00000000" w:rsidP="00000000" w:rsidRDefault="00000000" w:rsidRPr="00000000" w14:paraId="00000007">
      <w:pPr>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6"/>
          <w:szCs w:val="26"/>
          <w:rtl w:val="0"/>
        </w:rPr>
        <w:t xml:space="preserve">Daniel Payne</w:t>
      </w:r>
      <w:r w:rsidDel="00000000" w:rsidR="00000000" w:rsidRPr="00000000">
        <w:rPr>
          <w:rtl w:val="0"/>
        </w:rPr>
      </w:r>
    </w:p>
    <w:p w:rsidR="00000000" w:rsidDel="00000000" w:rsidP="00000000" w:rsidRDefault="00000000" w:rsidRPr="00000000" w14:paraId="00000008">
      <w:pPr>
        <w:spacing w:after="240" w:before="24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9">
      <w:pPr>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6"/>
          <w:szCs w:val="26"/>
          <w:rtl w:val="0"/>
        </w:rPr>
        <w:t xml:space="preserve">CONSULTATION RELATED TO INCREASING EMPLOYEE TURNOVER RATE AT </w:t>
      </w:r>
      <w:hyperlink w:anchor="_mi63jq72w5kn">
        <w:r w:rsidDel="00000000" w:rsidR="00000000" w:rsidRPr="00000000">
          <w:rPr>
            <w:rFonts w:ascii="Times New Roman" w:cs="Times New Roman" w:eastAsia="Times New Roman" w:hAnsi="Times New Roman"/>
            <w:b w:val="1"/>
            <w:sz w:val="26"/>
            <w:szCs w:val="26"/>
            <w:rtl w:val="0"/>
          </w:rPr>
          <w:t xml:space="preserve">LONDON MARRIOTT HOTEL, COUNTY HALL</w:t>
        </w:r>
      </w:hyperlink>
      <w:r w:rsidDel="00000000" w:rsidR="00000000" w:rsidRPr="00000000">
        <w:rPr>
          <w:rtl w:val="0"/>
        </w:rPr>
      </w:r>
    </w:p>
    <w:p w:rsidR="00000000" w:rsidDel="00000000" w:rsidP="00000000" w:rsidRDefault="00000000" w:rsidRPr="00000000" w14:paraId="0000000A">
      <w:pPr>
        <w:spacing w:after="240" w:before="24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B">
      <w:pPr>
        <w:spacing w:after="240" w:before="24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C">
      <w:pPr>
        <w:spacing w:after="240" w:before="24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D">
      <w:pPr>
        <w:spacing w:after="240" w:before="24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E">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AI Acknowledgement:</w:t>
      </w:r>
    </w:p>
    <w:p w:rsidR="00000000" w:rsidDel="00000000" w:rsidP="00000000" w:rsidRDefault="00000000" w:rsidRPr="00000000" w14:paraId="0000000F">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I confirm that I have not used any AI tools in the research and creation of this assignment. I confirm that I have not presented any AI generated materials as my own work. I confirm I have copies of my drafts, notes, and other resources I have used, which I may be asked to provide in evidence.</w:t>
      </w:r>
      <w:r w:rsidDel="00000000" w:rsidR="00000000" w:rsidRPr="00000000">
        <w:rPr>
          <w:rtl w:val="0"/>
        </w:rPr>
      </w:r>
    </w:p>
    <w:p w:rsidR="00000000" w:rsidDel="00000000" w:rsidP="00000000" w:rsidRDefault="00000000" w:rsidRPr="00000000" w14:paraId="00000010">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Of Contents </w:t>
      </w:r>
    </w:p>
    <w:sdt>
      <w:sdtPr>
        <w:id w:val="-1147349094"/>
        <w:docPartObj>
          <w:docPartGallery w:val="Table of Contents"/>
          <w:docPartUnique w:val="1"/>
        </w:docPartObj>
      </w:sdtPr>
      <w:sdtContent>
        <w:p w:rsidR="00000000" w:rsidDel="00000000" w:rsidP="00000000" w:rsidRDefault="00000000" w:rsidRPr="00000000" w14:paraId="00000013">
          <w:pPr>
            <w:widowControl w:val="0"/>
            <w:tabs>
              <w:tab w:val="right" w:leader="none" w:pos="9025"/>
            </w:tabs>
            <w:spacing w:before="60" w:line="360" w:lineRule="auto"/>
            <w:jc w:val="both"/>
            <w:rPr>
              <w:rFonts w:ascii="Times New Roman" w:cs="Times New Roman" w:eastAsia="Times New Roman" w:hAnsi="Times New Roman"/>
              <w:b w:val="1"/>
              <w:sz w:val="24"/>
              <w:szCs w:val="24"/>
            </w:rPr>
          </w:pPr>
          <w:r w:rsidDel="00000000" w:rsidR="00000000" w:rsidRPr="00000000">
            <w:fldChar w:fldCharType="begin"/>
            <w:instrText xml:space="preserve"> TOC \h \u \z \t "Heading 1,1,Heading 2,2,Heading 3,3,Heading 4,4,Heading 5,5,Heading 6,6,"</w:instrText>
            <w:fldChar w:fldCharType="separate"/>
          </w:r>
          <w:r w:rsidDel="00000000" w:rsidR="00000000" w:rsidRPr="00000000">
            <w:fldChar w:fldCharType="begin"/>
            <w:instrText xml:space="preserve"> HYPERLINK \l "_kg1ffrxlygsd" </w:instrText>
            <w:fldChar w:fldCharType="separate"/>
          </w:r>
          <w:r w:rsidDel="00000000" w:rsidR="00000000" w:rsidRPr="00000000">
            <w:rPr>
              <w:rFonts w:ascii="Times New Roman" w:cs="Times New Roman" w:eastAsia="Times New Roman" w:hAnsi="Times New Roman"/>
              <w:b w:val="1"/>
              <w:sz w:val="24"/>
              <w:szCs w:val="24"/>
              <w:rtl w:val="0"/>
            </w:rPr>
            <w:t xml:space="preserve">Executive Summary</w:t>
            <w:tab/>
            <w:t xml:space="preserve">3</w:t>
          </w:r>
        </w:p>
        <w:p w:rsidR="00000000" w:rsidDel="00000000" w:rsidP="00000000" w:rsidRDefault="00000000" w:rsidRPr="00000000" w14:paraId="00000014">
          <w:pPr>
            <w:widowControl w:val="0"/>
            <w:tabs>
              <w:tab w:val="right" w:leader="none" w:pos="9025"/>
            </w:tabs>
            <w:spacing w:before="60" w:line="360" w:lineRule="auto"/>
            <w:jc w:val="both"/>
            <w:rPr>
              <w:rFonts w:ascii="Times New Roman" w:cs="Times New Roman" w:eastAsia="Times New Roman" w:hAnsi="Times New Roman"/>
              <w:b w:val="1"/>
              <w:sz w:val="24"/>
              <w:szCs w:val="24"/>
            </w:rPr>
          </w:pPr>
          <w:r w:rsidDel="00000000" w:rsidR="00000000" w:rsidRPr="00000000">
            <w:fldChar w:fldCharType="end"/>
          </w:r>
          <w:r w:rsidDel="00000000" w:rsidR="00000000" w:rsidRPr="00000000">
            <w:fldChar w:fldCharType="begin"/>
            <w:instrText xml:space="preserve"> HYPERLINK \l "_6xp54jnmxgu8" </w:instrText>
            <w:fldChar w:fldCharType="separate"/>
          </w:r>
          <w:r w:rsidDel="00000000" w:rsidR="00000000" w:rsidRPr="00000000">
            <w:rPr>
              <w:rFonts w:ascii="Times New Roman" w:cs="Times New Roman" w:eastAsia="Times New Roman" w:hAnsi="Times New Roman"/>
              <w:b w:val="1"/>
              <w:sz w:val="24"/>
              <w:szCs w:val="24"/>
              <w:rtl w:val="0"/>
            </w:rPr>
            <w:t xml:space="preserve">Introduction</w:t>
            <w:tab/>
            <w:t xml:space="preserve">6</w:t>
          </w:r>
        </w:p>
        <w:p w:rsidR="00000000" w:rsidDel="00000000" w:rsidP="00000000" w:rsidRDefault="00000000" w:rsidRPr="00000000" w14:paraId="00000015">
          <w:pPr>
            <w:widowControl w:val="0"/>
            <w:tabs>
              <w:tab w:val="right" w:leader="none" w:pos="9025"/>
            </w:tabs>
            <w:spacing w:before="60" w:line="360" w:lineRule="auto"/>
            <w:jc w:val="both"/>
            <w:rPr>
              <w:rFonts w:ascii="Times New Roman" w:cs="Times New Roman" w:eastAsia="Times New Roman" w:hAnsi="Times New Roman"/>
              <w:b w:val="1"/>
              <w:sz w:val="24"/>
              <w:szCs w:val="24"/>
            </w:rPr>
          </w:pPr>
          <w:r w:rsidDel="00000000" w:rsidR="00000000" w:rsidRPr="00000000">
            <w:fldChar w:fldCharType="end"/>
          </w:r>
          <w:r w:rsidDel="00000000" w:rsidR="00000000" w:rsidRPr="00000000">
            <w:fldChar w:fldCharType="begin"/>
            <w:instrText xml:space="preserve"> HYPERLINK \l "_suq0emexyx22" </w:instrText>
            <w:fldChar w:fldCharType="separate"/>
          </w:r>
          <w:r w:rsidDel="00000000" w:rsidR="00000000" w:rsidRPr="00000000">
            <w:rPr>
              <w:rFonts w:ascii="Times New Roman" w:cs="Times New Roman" w:eastAsia="Times New Roman" w:hAnsi="Times New Roman"/>
              <w:b w:val="1"/>
              <w:sz w:val="24"/>
              <w:szCs w:val="24"/>
              <w:rtl w:val="0"/>
            </w:rPr>
            <w:t xml:space="preserve">Analysis</w:t>
            <w:tab/>
            <w:t xml:space="preserve">8</w:t>
          </w:r>
        </w:p>
        <w:p w:rsidR="00000000" w:rsidDel="00000000" w:rsidP="00000000" w:rsidRDefault="00000000" w:rsidRPr="00000000" w14:paraId="00000016">
          <w:pPr>
            <w:widowControl w:val="0"/>
            <w:tabs>
              <w:tab w:val="right" w:leader="none" w:pos="9025"/>
            </w:tabs>
            <w:spacing w:before="60" w:line="360" w:lineRule="auto"/>
            <w:ind w:left="720" w:firstLine="0"/>
            <w:jc w:val="both"/>
            <w:rPr>
              <w:rFonts w:ascii="Times New Roman" w:cs="Times New Roman" w:eastAsia="Times New Roman" w:hAnsi="Times New Roman"/>
              <w:sz w:val="24"/>
              <w:szCs w:val="24"/>
            </w:rPr>
          </w:pPr>
          <w:r w:rsidDel="00000000" w:rsidR="00000000" w:rsidRPr="00000000">
            <w:fldChar w:fldCharType="end"/>
          </w:r>
          <w:r w:rsidDel="00000000" w:rsidR="00000000" w:rsidRPr="00000000">
            <w:fldChar w:fldCharType="begin"/>
            <w:instrText xml:space="preserve"> HYPERLINK \l "_2x1p8gvepvzr" </w:instrText>
            <w:fldChar w:fldCharType="separate"/>
          </w:r>
          <w:r w:rsidDel="00000000" w:rsidR="00000000" w:rsidRPr="00000000">
            <w:rPr>
              <w:rFonts w:ascii="Times New Roman" w:cs="Times New Roman" w:eastAsia="Times New Roman" w:hAnsi="Times New Roman"/>
              <w:sz w:val="24"/>
              <w:szCs w:val="24"/>
              <w:rtl w:val="0"/>
            </w:rPr>
            <w:t xml:space="preserve">Issue Identified by the Hotel:</w:t>
            <w:tab/>
            <w:t xml:space="preserve">8</w:t>
          </w:r>
        </w:p>
        <w:p w:rsidR="00000000" w:rsidDel="00000000" w:rsidP="00000000" w:rsidRDefault="00000000" w:rsidRPr="00000000" w14:paraId="00000017">
          <w:pPr>
            <w:widowControl w:val="0"/>
            <w:tabs>
              <w:tab w:val="right" w:leader="none" w:pos="9025"/>
            </w:tabs>
            <w:spacing w:before="60" w:line="360" w:lineRule="auto"/>
            <w:ind w:left="720" w:firstLine="0"/>
            <w:jc w:val="both"/>
            <w:rPr>
              <w:rFonts w:ascii="Times New Roman" w:cs="Times New Roman" w:eastAsia="Times New Roman" w:hAnsi="Times New Roman"/>
              <w:sz w:val="24"/>
              <w:szCs w:val="24"/>
            </w:rPr>
          </w:pPr>
          <w:r w:rsidDel="00000000" w:rsidR="00000000" w:rsidRPr="00000000">
            <w:fldChar w:fldCharType="end"/>
          </w:r>
          <w:r w:rsidDel="00000000" w:rsidR="00000000" w:rsidRPr="00000000">
            <w:fldChar w:fldCharType="begin"/>
            <w:instrText xml:space="preserve"> HYPERLINK \l "_2abhey4110ll" </w:instrText>
            <w:fldChar w:fldCharType="separate"/>
          </w:r>
          <w:r w:rsidDel="00000000" w:rsidR="00000000" w:rsidRPr="00000000">
            <w:rPr>
              <w:rFonts w:ascii="Times New Roman" w:cs="Times New Roman" w:eastAsia="Times New Roman" w:hAnsi="Times New Roman"/>
              <w:sz w:val="24"/>
              <w:szCs w:val="24"/>
              <w:rtl w:val="0"/>
            </w:rPr>
            <w:t xml:space="preserve">How is it impacting the Hotel?</w:t>
            <w:tab/>
            <w:t xml:space="preserve">8</w:t>
          </w:r>
        </w:p>
        <w:p w:rsidR="00000000" w:rsidDel="00000000" w:rsidP="00000000" w:rsidRDefault="00000000" w:rsidRPr="00000000" w14:paraId="00000018">
          <w:pPr>
            <w:widowControl w:val="0"/>
            <w:tabs>
              <w:tab w:val="right" w:leader="none" w:pos="9025"/>
            </w:tabs>
            <w:spacing w:before="60" w:line="360" w:lineRule="auto"/>
            <w:ind w:left="720" w:firstLine="0"/>
            <w:jc w:val="both"/>
            <w:rPr>
              <w:rFonts w:ascii="Times New Roman" w:cs="Times New Roman" w:eastAsia="Times New Roman" w:hAnsi="Times New Roman"/>
              <w:sz w:val="24"/>
              <w:szCs w:val="24"/>
            </w:rPr>
          </w:pPr>
          <w:r w:rsidDel="00000000" w:rsidR="00000000" w:rsidRPr="00000000">
            <w:fldChar w:fldCharType="end"/>
          </w:r>
          <w:r w:rsidDel="00000000" w:rsidR="00000000" w:rsidRPr="00000000">
            <w:fldChar w:fldCharType="begin"/>
            <w:instrText xml:space="preserve"> HYPERLINK \l "_wvrvbviu5cvu" </w:instrText>
            <w:fldChar w:fldCharType="separate"/>
          </w:r>
          <w:r w:rsidDel="00000000" w:rsidR="00000000" w:rsidRPr="00000000">
            <w:rPr>
              <w:rFonts w:ascii="Times New Roman" w:cs="Times New Roman" w:eastAsia="Times New Roman" w:hAnsi="Times New Roman"/>
              <w:sz w:val="24"/>
              <w:szCs w:val="24"/>
              <w:rtl w:val="0"/>
            </w:rPr>
            <w:t xml:space="preserve">What Are the Causes?</w:t>
            <w:tab/>
            <w:t xml:space="preserve">9</w:t>
          </w:r>
        </w:p>
        <w:p w:rsidR="00000000" w:rsidDel="00000000" w:rsidP="00000000" w:rsidRDefault="00000000" w:rsidRPr="00000000" w14:paraId="00000019">
          <w:pPr>
            <w:widowControl w:val="0"/>
            <w:tabs>
              <w:tab w:val="right" w:leader="none" w:pos="9025"/>
            </w:tabs>
            <w:spacing w:before="60" w:line="360" w:lineRule="auto"/>
            <w:ind w:left="720" w:firstLine="0"/>
            <w:jc w:val="both"/>
            <w:rPr>
              <w:rFonts w:ascii="Times New Roman" w:cs="Times New Roman" w:eastAsia="Times New Roman" w:hAnsi="Times New Roman"/>
              <w:sz w:val="24"/>
              <w:szCs w:val="24"/>
            </w:rPr>
          </w:pPr>
          <w:r w:rsidDel="00000000" w:rsidR="00000000" w:rsidRPr="00000000">
            <w:fldChar w:fldCharType="end"/>
          </w:r>
          <w:r w:rsidDel="00000000" w:rsidR="00000000" w:rsidRPr="00000000">
            <w:fldChar w:fldCharType="begin"/>
            <w:instrText xml:space="preserve"> HYPERLINK \l "_ozi03gaug1l7" </w:instrText>
            <w:fldChar w:fldCharType="separate"/>
          </w:r>
          <w:r w:rsidDel="00000000" w:rsidR="00000000" w:rsidRPr="00000000">
            <w:rPr>
              <w:rFonts w:ascii="Times New Roman" w:cs="Times New Roman" w:eastAsia="Times New Roman" w:hAnsi="Times New Roman"/>
              <w:sz w:val="24"/>
              <w:szCs w:val="24"/>
              <w:rtl w:val="0"/>
            </w:rPr>
            <w:t xml:space="preserve">Is Feedback an Issue?</w:t>
            <w:tab/>
            <w:t xml:space="preserve">9</w:t>
          </w:r>
        </w:p>
        <w:p w:rsidR="00000000" w:rsidDel="00000000" w:rsidP="00000000" w:rsidRDefault="00000000" w:rsidRPr="00000000" w14:paraId="0000001A">
          <w:pPr>
            <w:widowControl w:val="0"/>
            <w:tabs>
              <w:tab w:val="right" w:leader="none" w:pos="9025"/>
            </w:tabs>
            <w:spacing w:before="60" w:line="360" w:lineRule="auto"/>
            <w:ind w:left="720" w:firstLine="0"/>
            <w:jc w:val="both"/>
            <w:rPr>
              <w:rFonts w:ascii="Times New Roman" w:cs="Times New Roman" w:eastAsia="Times New Roman" w:hAnsi="Times New Roman"/>
              <w:sz w:val="24"/>
              <w:szCs w:val="24"/>
            </w:rPr>
          </w:pPr>
          <w:r w:rsidDel="00000000" w:rsidR="00000000" w:rsidRPr="00000000">
            <w:fldChar w:fldCharType="end"/>
          </w:r>
          <w:r w:rsidDel="00000000" w:rsidR="00000000" w:rsidRPr="00000000">
            <w:fldChar w:fldCharType="begin"/>
            <w:instrText xml:space="preserve"> HYPERLINK \l "_q9hlxxyinmtq" </w:instrText>
            <w:fldChar w:fldCharType="separate"/>
          </w:r>
          <w:r w:rsidDel="00000000" w:rsidR="00000000" w:rsidRPr="00000000">
            <w:rPr>
              <w:rFonts w:ascii="Times New Roman" w:cs="Times New Roman" w:eastAsia="Times New Roman" w:hAnsi="Times New Roman"/>
              <w:sz w:val="24"/>
              <w:szCs w:val="24"/>
              <w:rtl w:val="0"/>
            </w:rPr>
            <w:t xml:space="preserve">Reputational Issue?</w:t>
            <w:tab/>
            <w:t xml:space="preserve">9</w:t>
          </w:r>
        </w:p>
        <w:p w:rsidR="00000000" w:rsidDel="00000000" w:rsidP="00000000" w:rsidRDefault="00000000" w:rsidRPr="00000000" w14:paraId="0000001B">
          <w:pPr>
            <w:widowControl w:val="0"/>
            <w:tabs>
              <w:tab w:val="right" w:leader="none" w:pos="9025"/>
            </w:tabs>
            <w:spacing w:before="60" w:line="360" w:lineRule="auto"/>
            <w:ind w:left="720" w:firstLine="0"/>
            <w:jc w:val="both"/>
            <w:rPr>
              <w:rFonts w:ascii="Times New Roman" w:cs="Times New Roman" w:eastAsia="Times New Roman" w:hAnsi="Times New Roman"/>
              <w:sz w:val="24"/>
              <w:szCs w:val="24"/>
            </w:rPr>
          </w:pPr>
          <w:r w:rsidDel="00000000" w:rsidR="00000000" w:rsidRPr="00000000">
            <w:fldChar w:fldCharType="end"/>
          </w:r>
          <w:r w:rsidDel="00000000" w:rsidR="00000000" w:rsidRPr="00000000">
            <w:fldChar w:fldCharType="begin"/>
            <w:instrText xml:space="preserve"> HYPERLINK \l "_8zsbv4hb9h8" </w:instrText>
            <w:fldChar w:fldCharType="separate"/>
          </w:r>
          <w:r w:rsidDel="00000000" w:rsidR="00000000" w:rsidRPr="00000000">
            <w:rPr>
              <w:rFonts w:ascii="Times New Roman" w:cs="Times New Roman" w:eastAsia="Times New Roman" w:hAnsi="Times New Roman"/>
              <w:sz w:val="24"/>
              <w:szCs w:val="24"/>
              <w:rtl w:val="0"/>
            </w:rPr>
            <w:t xml:space="preserve">Income Related Issue:</w:t>
            <w:tab/>
            <w:t xml:space="preserve">9</w:t>
          </w:r>
        </w:p>
        <w:p w:rsidR="00000000" w:rsidDel="00000000" w:rsidP="00000000" w:rsidRDefault="00000000" w:rsidRPr="00000000" w14:paraId="0000001C">
          <w:pPr>
            <w:widowControl w:val="0"/>
            <w:tabs>
              <w:tab w:val="right" w:leader="none" w:pos="9025"/>
            </w:tabs>
            <w:spacing w:before="60" w:line="360" w:lineRule="auto"/>
            <w:ind w:left="720" w:firstLine="0"/>
            <w:jc w:val="both"/>
            <w:rPr>
              <w:rFonts w:ascii="Times New Roman" w:cs="Times New Roman" w:eastAsia="Times New Roman" w:hAnsi="Times New Roman"/>
              <w:sz w:val="24"/>
              <w:szCs w:val="24"/>
            </w:rPr>
          </w:pPr>
          <w:r w:rsidDel="00000000" w:rsidR="00000000" w:rsidRPr="00000000">
            <w:fldChar w:fldCharType="end"/>
          </w:r>
          <w:r w:rsidDel="00000000" w:rsidR="00000000" w:rsidRPr="00000000">
            <w:fldChar w:fldCharType="begin"/>
            <w:instrText xml:space="preserve"> HYPERLINK \l "_1iw6rqzh3szf" </w:instrText>
            <w:fldChar w:fldCharType="separate"/>
          </w:r>
          <w:r w:rsidDel="00000000" w:rsidR="00000000" w:rsidRPr="00000000">
            <w:rPr>
              <w:rFonts w:ascii="Times New Roman" w:cs="Times New Roman" w:eastAsia="Times New Roman" w:hAnsi="Times New Roman"/>
              <w:sz w:val="24"/>
              <w:szCs w:val="24"/>
              <w:rtl w:val="0"/>
            </w:rPr>
            <w:t xml:space="preserve">Scope Related Issue:</w:t>
            <w:tab/>
            <w:t xml:space="preserve">9</w:t>
          </w:r>
        </w:p>
        <w:p w:rsidR="00000000" w:rsidDel="00000000" w:rsidP="00000000" w:rsidRDefault="00000000" w:rsidRPr="00000000" w14:paraId="0000001D">
          <w:pPr>
            <w:widowControl w:val="0"/>
            <w:tabs>
              <w:tab w:val="right" w:leader="none" w:pos="9025"/>
            </w:tabs>
            <w:spacing w:before="60" w:line="360" w:lineRule="auto"/>
            <w:ind w:left="360" w:firstLine="0"/>
            <w:jc w:val="both"/>
            <w:rPr>
              <w:rFonts w:ascii="Times New Roman" w:cs="Times New Roman" w:eastAsia="Times New Roman" w:hAnsi="Times New Roman"/>
              <w:sz w:val="24"/>
              <w:szCs w:val="24"/>
            </w:rPr>
          </w:pPr>
          <w:r w:rsidDel="00000000" w:rsidR="00000000" w:rsidRPr="00000000">
            <w:fldChar w:fldCharType="end"/>
          </w:r>
          <w:r w:rsidDel="00000000" w:rsidR="00000000" w:rsidRPr="00000000">
            <w:fldChar w:fldCharType="begin"/>
            <w:instrText xml:space="preserve"> HYPERLINK \l "_k5lkukk7texz" </w:instrText>
            <w:fldChar w:fldCharType="separate"/>
          </w:r>
          <w:r w:rsidDel="00000000" w:rsidR="00000000" w:rsidRPr="00000000">
            <w:rPr>
              <w:rFonts w:ascii="Times New Roman" w:cs="Times New Roman" w:eastAsia="Times New Roman" w:hAnsi="Times New Roman"/>
              <w:sz w:val="24"/>
              <w:szCs w:val="24"/>
              <w:rtl w:val="0"/>
            </w:rPr>
            <w:t xml:space="preserve">STEEPLED Analysis of Employee Turnover at London Marriott Hotel County Hall</w:t>
            <w:tab/>
            <w:t xml:space="preserve">10</w:t>
          </w:r>
        </w:p>
        <w:p w:rsidR="00000000" w:rsidDel="00000000" w:rsidP="00000000" w:rsidRDefault="00000000" w:rsidRPr="00000000" w14:paraId="0000001E">
          <w:pPr>
            <w:widowControl w:val="0"/>
            <w:tabs>
              <w:tab w:val="right" w:leader="none" w:pos="9025"/>
            </w:tabs>
            <w:spacing w:before="60" w:line="360" w:lineRule="auto"/>
            <w:ind w:left="360" w:firstLine="0"/>
            <w:jc w:val="both"/>
            <w:rPr>
              <w:rFonts w:ascii="Times New Roman" w:cs="Times New Roman" w:eastAsia="Times New Roman" w:hAnsi="Times New Roman"/>
              <w:sz w:val="24"/>
              <w:szCs w:val="24"/>
            </w:rPr>
          </w:pPr>
          <w:r w:rsidDel="00000000" w:rsidR="00000000" w:rsidRPr="00000000">
            <w:fldChar w:fldCharType="end"/>
          </w:r>
          <w:r w:rsidDel="00000000" w:rsidR="00000000" w:rsidRPr="00000000">
            <w:fldChar w:fldCharType="begin"/>
            <w:instrText xml:space="preserve"> HYPERLINK \l "_eqtyrgeo2wyw" </w:instrText>
            <w:fldChar w:fldCharType="separate"/>
          </w:r>
          <w:r w:rsidDel="00000000" w:rsidR="00000000" w:rsidRPr="00000000">
            <w:rPr>
              <w:rFonts w:ascii="Times New Roman" w:cs="Times New Roman" w:eastAsia="Times New Roman" w:hAnsi="Times New Roman"/>
              <w:sz w:val="24"/>
              <w:szCs w:val="24"/>
              <w:rtl w:val="0"/>
            </w:rPr>
            <w:t xml:space="preserve">SWOT Analysis Of The Company</w:t>
            <w:tab/>
            <w:t xml:space="preserve">13</w:t>
          </w:r>
        </w:p>
        <w:p w:rsidR="00000000" w:rsidDel="00000000" w:rsidP="00000000" w:rsidRDefault="00000000" w:rsidRPr="00000000" w14:paraId="0000001F">
          <w:pPr>
            <w:widowControl w:val="0"/>
            <w:tabs>
              <w:tab w:val="right" w:leader="none" w:pos="9025"/>
            </w:tabs>
            <w:spacing w:before="60" w:line="360" w:lineRule="auto"/>
            <w:ind w:left="720" w:firstLine="0"/>
            <w:jc w:val="both"/>
            <w:rPr>
              <w:rFonts w:ascii="Times New Roman" w:cs="Times New Roman" w:eastAsia="Times New Roman" w:hAnsi="Times New Roman"/>
              <w:sz w:val="24"/>
              <w:szCs w:val="24"/>
            </w:rPr>
          </w:pPr>
          <w:r w:rsidDel="00000000" w:rsidR="00000000" w:rsidRPr="00000000">
            <w:fldChar w:fldCharType="end"/>
          </w:r>
          <w:r w:rsidDel="00000000" w:rsidR="00000000" w:rsidRPr="00000000">
            <w:fldChar w:fldCharType="begin"/>
            <w:instrText xml:space="preserve"> HYPERLINK \l "_4krf05pfthbp" </w:instrText>
            <w:fldChar w:fldCharType="separate"/>
          </w:r>
          <w:r w:rsidDel="00000000" w:rsidR="00000000" w:rsidRPr="00000000">
            <w:rPr>
              <w:rFonts w:ascii="Times New Roman" w:cs="Times New Roman" w:eastAsia="Times New Roman" w:hAnsi="Times New Roman"/>
              <w:sz w:val="24"/>
              <w:szCs w:val="24"/>
              <w:rtl w:val="0"/>
            </w:rPr>
            <w:t xml:space="preserve">Strengths: Established Corporate HR Framework</w:t>
            <w:tab/>
            <w:t xml:space="preserve">13</w:t>
          </w:r>
        </w:p>
        <w:p w:rsidR="00000000" w:rsidDel="00000000" w:rsidP="00000000" w:rsidRDefault="00000000" w:rsidRPr="00000000" w14:paraId="00000020">
          <w:pPr>
            <w:widowControl w:val="0"/>
            <w:tabs>
              <w:tab w:val="right" w:leader="none" w:pos="9025"/>
            </w:tabs>
            <w:spacing w:before="60" w:line="360" w:lineRule="auto"/>
            <w:ind w:left="720" w:firstLine="0"/>
            <w:jc w:val="both"/>
            <w:rPr>
              <w:rFonts w:ascii="Times New Roman" w:cs="Times New Roman" w:eastAsia="Times New Roman" w:hAnsi="Times New Roman"/>
              <w:sz w:val="24"/>
              <w:szCs w:val="24"/>
            </w:rPr>
          </w:pPr>
          <w:r w:rsidDel="00000000" w:rsidR="00000000" w:rsidRPr="00000000">
            <w:fldChar w:fldCharType="end"/>
          </w:r>
          <w:r w:rsidDel="00000000" w:rsidR="00000000" w:rsidRPr="00000000">
            <w:fldChar w:fldCharType="begin"/>
            <w:instrText xml:space="preserve"> HYPERLINK \l "_g4helzydbg1e" </w:instrText>
            <w:fldChar w:fldCharType="separate"/>
          </w:r>
          <w:r w:rsidDel="00000000" w:rsidR="00000000" w:rsidRPr="00000000">
            <w:rPr>
              <w:rFonts w:ascii="Times New Roman" w:cs="Times New Roman" w:eastAsia="Times New Roman" w:hAnsi="Times New Roman"/>
              <w:sz w:val="24"/>
              <w:szCs w:val="24"/>
              <w:rtl w:val="0"/>
            </w:rPr>
            <w:t xml:space="preserve">Weaknesses: Limited Flexibility in Localised Adaptation</w:t>
            <w:tab/>
            <w:t xml:space="preserve">13</w:t>
          </w:r>
        </w:p>
        <w:p w:rsidR="00000000" w:rsidDel="00000000" w:rsidP="00000000" w:rsidRDefault="00000000" w:rsidRPr="00000000" w14:paraId="00000021">
          <w:pPr>
            <w:widowControl w:val="0"/>
            <w:tabs>
              <w:tab w:val="right" w:leader="none" w:pos="9025"/>
            </w:tabs>
            <w:spacing w:before="60" w:line="360" w:lineRule="auto"/>
            <w:ind w:left="720" w:firstLine="0"/>
            <w:jc w:val="both"/>
            <w:rPr>
              <w:rFonts w:ascii="Times New Roman" w:cs="Times New Roman" w:eastAsia="Times New Roman" w:hAnsi="Times New Roman"/>
              <w:sz w:val="24"/>
              <w:szCs w:val="24"/>
            </w:rPr>
          </w:pPr>
          <w:r w:rsidDel="00000000" w:rsidR="00000000" w:rsidRPr="00000000">
            <w:fldChar w:fldCharType="end"/>
          </w:r>
          <w:r w:rsidDel="00000000" w:rsidR="00000000" w:rsidRPr="00000000">
            <w:fldChar w:fldCharType="begin"/>
            <w:instrText xml:space="preserve"> HYPERLINK \l "_nt3xo5fhja39" </w:instrText>
            <w:fldChar w:fldCharType="separate"/>
          </w:r>
          <w:r w:rsidDel="00000000" w:rsidR="00000000" w:rsidRPr="00000000">
            <w:rPr>
              <w:rFonts w:ascii="Times New Roman" w:cs="Times New Roman" w:eastAsia="Times New Roman" w:hAnsi="Times New Roman"/>
              <w:sz w:val="24"/>
              <w:szCs w:val="24"/>
              <w:rtl w:val="0"/>
            </w:rPr>
            <w:t xml:space="preserve">Opportunities: Expansion of TakeCare Initiatives</w:t>
            <w:tab/>
            <w:t xml:space="preserve">13</w:t>
          </w:r>
        </w:p>
        <w:p w:rsidR="00000000" w:rsidDel="00000000" w:rsidP="00000000" w:rsidRDefault="00000000" w:rsidRPr="00000000" w14:paraId="00000022">
          <w:pPr>
            <w:widowControl w:val="0"/>
            <w:tabs>
              <w:tab w:val="right" w:leader="none" w:pos="9025"/>
            </w:tabs>
            <w:spacing w:before="60" w:line="360" w:lineRule="auto"/>
            <w:ind w:left="720" w:firstLine="0"/>
            <w:jc w:val="both"/>
            <w:rPr>
              <w:rFonts w:ascii="Times New Roman" w:cs="Times New Roman" w:eastAsia="Times New Roman" w:hAnsi="Times New Roman"/>
              <w:sz w:val="24"/>
              <w:szCs w:val="24"/>
            </w:rPr>
          </w:pPr>
          <w:r w:rsidDel="00000000" w:rsidR="00000000" w:rsidRPr="00000000">
            <w:fldChar w:fldCharType="end"/>
          </w:r>
          <w:r w:rsidDel="00000000" w:rsidR="00000000" w:rsidRPr="00000000">
            <w:fldChar w:fldCharType="begin"/>
            <w:instrText xml:space="preserve"> HYPERLINK \l "_txmsuhumt4k5" </w:instrText>
            <w:fldChar w:fldCharType="separate"/>
          </w:r>
          <w:r w:rsidDel="00000000" w:rsidR="00000000" w:rsidRPr="00000000">
            <w:rPr>
              <w:rFonts w:ascii="Times New Roman" w:cs="Times New Roman" w:eastAsia="Times New Roman" w:hAnsi="Times New Roman"/>
              <w:sz w:val="24"/>
              <w:szCs w:val="24"/>
              <w:rtl w:val="0"/>
            </w:rPr>
            <w:t xml:space="preserve">Threats: Labour Market Pressures and Competitive Hiring</w:t>
            <w:tab/>
            <w:t xml:space="preserve">14</w:t>
          </w:r>
        </w:p>
        <w:p w:rsidR="00000000" w:rsidDel="00000000" w:rsidP="00000000" w:rsidRDefault="00000000" w:rsidRPr="00000000" w14:paraId="00000023">
          <w:pPr>
            <w:widowControl w:val="0"/>
            <w:tabs>
              <w:tab w:val="right" w:leader="none" w:pos="9025"/>
            </w:tabs>
            <w:spacing w:before="60" w:line="360" w:lineRule="auto"/>
            <w:ind w:left="360" w:firstLine="0"/>
            <w:jc w:val="both"/>
            <w:rPr>
              <w:rFonts w:ascii="Times New Roman" w:cs="Times New Roman" w:eastAsia="Times New Roman" w:hAnsi="Times New Roman"/>
              <w:sz w:val="24"/>
              <w:szCs w:val="24"/>
            </w:rPr>
          </w:pPr>
          <w:r w:rsidDel="00000000" w:rsidR="00000000" w:rsidRPr="00000000">
            <w:fldChar w:fldCharType="end"/>
          </w:r>
          <w:r w:rsidDel="00000000" w:rsidR="00000000" w:rsidRPr="00000000">
            <w:fldChar w:fldCharType="begin"/>
            <w:instrText xml:space="preserve"> HYPERLINK \l "_lhvccob67pv4" </w:instrText>
            <w:fldChar w:fldCharType="separate"/>
          </w:r>
          <w:r w:rsidDel="00000000" w:rsidR="00000000" w:rsidRPr="00000000">
            <w:rPr>
              <w:rFonts w:ascii="Times New Roman" w:cs="Times New Roman" w:eastAsia="Times New Roman" w:hAnsi="Times New Roman"/>
              <w:sz w:val="24"/>
              <w:szCs w:val="24"/>
              <w:rtl w:val="0"/>
            </w:rPr>
            <w:t xml:space="preserve">TOWS Analysis Of The Company</w:t>
            <w:tab/>
            <w:t xml:space="preserve">15</w:t>
          </w:r>
        </w:p>
        <w:p w:rsidR="00000000" w:rsidDel="00000000" w:rsidP="00000000" w:rsidRDefault="00000000" w:rsidRPr="00000000" w14:paraId="00000024">
          <w:pPr>
            <w:widowControl w:val="0"/>
            <w:tabs>
              <w:tab w:val="right" w:leader="none" w:pos="9025"/>
            </w:tabs>
            <w:spacing w:before="60" w:line="360" w:lineRule="auto"/>
            <w:jc w:val="both"/>
            <w:rPr>
              <w:rFonts w:ascii="Times New Roman" w:cs="Times New Roman" w:eastAsia="Times New Roman" w:hAnsi="Times New Roman"/>
              <w:b w:val="1"/>
              <w:sz w:val="24"/>
              <w:szCs w:val="24"/>
            </w:rPr>
          </w:pPr>
          <w:r w:rsidDel="00000000" w:rsidR="00000000" w:rsidRPr="00000000">
            <w:fldChar w:fldCharType="end"/>
          </w:r>
          <w:r w:rsidDel="00000000" w:rsidR="00000000" w:rsidRPr="00000000">
            <w:fldChar w:fldCharType="begin"/>
            <w:instrText xml:space="preserve"> HYPERLINK \l "_p2taxm7saseq" </w:instrText>
            <w:fldChar w:fldCharType="separate"/>
          </w:r>
          <w:r w:rsidDel="00000000" w:rsidR="00000000" w:rsidRPr="00000000">
            <w:rPr>
              <w:rFonts w:ascii="Times New Roman" w:cs="Times New Roman" w:eastAsia="Times New Roman" w:hAnsi="Times New Roman"/>
              <w:b w:val="1"/>
              <w:sz w:val="24"/>
              <w:szCs w:val="24"/>
              <w:rtl w:val="0"/>
            </w:rPr>
            <w:t xml:space="preserve">Recommendations and Change Management</w:t>
            <w:tab/>
            <w:t xml:space="preserve">15</w:t>
          </w:r>
        </w:p>
        <w:p w:rsidR="00000000" w:rsidDel="00000000" w:rsidP="00000000" w:rsidRDefault="00000000" w:rsidRPr="00000000" w14:paraId="00000025">
          <w:pPr>
            <w:widowControl w:val="0"/>
            <w:tabs>
              <w:tab w:val="right" w:leader="none" w:pos="9025"/>
            </w:tabs>
            <w:spacing w:before="60" w:line="360" w:lineRule="auto"/>
            <w:ind w:left="360" w:firstLine="0"/>
            <w:jc w:val="both"/>
            <w:rPr>
              <w:rFonts w:ascii="Times New Roman" w:cs="Times New Roman" w:eastAsia="Times New Roman" w:hAnsi="Times New Roman"/>
              <w:sz w:val="24"/>
              <w:szCs w:val="24"/>
            </w:rPr>
          </w:pPr>
          <w:r w:rsidDel="00000000" w:rsidR="00000000" w:rsidRPr="00000000">
            <w:fldChar w:fldCharType="end"/>
          </w:r>
          <w:r w:rsidDel="00000000" w:rsidR="00000000" w:rsidRPr="00000000">
            <w:fldChar w:fldCharType="begin"/>
            <w:instrText xml:space="preserve"> HYPERLINK \l "_o8bg1w32g4qm" </w:instrText>
            <w:fldChar w:fldCharType="separate"/>
          </w:r>
          <w:r w:rsidDel="00000000" w:rsidR="00000000" w:rsidRPr="00000000">
            <w:rPr>
              <w:rFonts w:ascii="Times New Roman" w:cs="Times New Roman" w:eastAsia="Times New Roman" w:hAnsi="Times New Roman"/>
              <w:sz w:val="24"/>
              <w:szCs w:val="24"/>
              <w:rtl w:val="0"/>
            </w:rPr>
            <w:t xml:space="preserve">Recommendations Based On The Issues</w:t>
            <w:tab/>
            <w:t xml:space="preserve">15</w:t>
          </w:r>
        </w:p>
        <w:p w:rsidR="00000000" w:rsidDel="00000000" w:rsidP="00000000" w:rsidRDefault="00000000" w:rsidRPr="00000000" w14:paraId="00000026">
          <w:pPr>
            <w:widowControl w:val="0"/>
            <w:tabs>
              <w:tab w:val="right" w:leader="none" w:pos="9025"/>
            </w:tabs>
            <w:spacing w:before="60" w:line="360" w:lineRule="auto"/>
            <w:ind w:left="360" w:firstLine="0"/>
            <w:jc w:val="both"/>
            <w:rPr>
              <w:rFonts w:ascii="Times New Roman" w:cs="Times New Roman" w:eastAsia="Times New Roman" w:hAnsi="Times New Roman"/>
              <w:sz w:val="24"/>
              <w:szCs w:val="24"/>
            </w:rPr>
          </w:pPr>
          <w:r w:rsidDel="00000000" w:rsidR="00000000" w:rsidRPr="00000000">
            <w:fldChar w:fldCharType="end"/>
          </w:r>
          <w:r w:rsidDel="00000000" w:rsidR="00000000" w:rsidRPr="00000000">
            <w:fldChar w:fldCharType="begin"/>
            <w:instrText xml:space="preserve"> HYPERLINK \l "_2k8mbbnnt76p" </w:instrText>
            <w:fldChar w:fldCharType="separate"/>
          </w:r>
          <w:r w:rsidDel="00000000" w:rsidR="00000000" w:rsidRPr="00000000">
            <w:rPr>
              <w:rFonts w:ascii="Times New Roman" w:cs="Times New Roman" w:eastAsia="Times New Roman" w:hAnsi="Times New Roman"/>
              <w:sz w:val="24"/>
              <w:szCs w:val="24"/>
              <w:rtl w:val="0"/>
            </w:rPr>
            <w:t xml:space="preserve">Change Management For Each Recommendation</w:t>
            <w:tab/>
            <w:t xml:space="preserve">17</w:t>
          </w:r>
        </w:p>
        <w:p w:rsidR="00000000" w:rsidDel="00000000" w:rsidP="00000000" w:rsidRDefault="00000000" w:rsidRPr="00000000" w14:paraId="00000027">
          <w:pPr>
            <w:widowControl w:val="0"/>
            <w:tabs>
              <w:tab w:val="right" w:leader="none" w:pos="9025"/>
            </w:tabs>
            <w:spacing w:before="60" w:line="360" w:lineRule="auto"/>
            <w:jc w:val="both"/>
            <w:rPr>
              <w:rFonts w:ascii="Times New Roman" w:cs="Times New Roman" w:eastAsia="Times New Roman" w:hAnsi="Times New Roman"/>
              <w:b w:val="1"/>
              <w:sz w:val="24"/>
              <w:szCs w:val="24"/>
            </w:rPr>
          </w:pPr>
          <w:r w:rsidDel="00000000" w:rsidR="00000000" w:rsidRPr="00000000">
            <w:fldChar w:fldCharType="end"/>
          </w:r>
          <w:r w:rsidDel="00000000" w:rsidR="00000000" w:rsidRPr="00000000">
            <w:fldChar w:fldCharType="begin"/>
            <w:instrText xml:space="preserve"> HYPERLINK \l "_v3fwo4yql30t" </w:instrText>
            <w:fldChar w:fldCharType="separate"/>
          </w:r>
          <w:r w:rsidDel="00000000" w:rsidR="00000000" w:rsidRPr="00000000">
            <w:rPr>
              <w:rFonts w:ascii="Times New Roman" w:cs="Times New Roman" w:eastAsia="Times New Roman" w:hAnsi="Times New Roman"/>
              <w:b w:val="1"/>
              <w:sz w:val="24"/>
              <w:szCs w:val="24"/>
              <w:rtl w:val="0"/>
            </w:rPr>
            <w:t xml:space="preserve">Measuring the Success of Each Recommendation</w:t>
            <w:tab/>
            <w:t xml:space="preserve">19</w:t>
          </w:r>
        </w:p>
        <w:p w:rsidR="00000000" w:rsidDel="00000000" w:rsidP="00000000" w:rsidRDefault="00000000" w:rsidRPr="00000000" w14:paraId="00000028">
          <w:pPr>
            <w:widowControl w:val="0"/>
            <w:tabs>
              <w:tab w:val="right" w:leader="none" w:pos="9025"/>
            </w:tabs>
            <w:spacing w:before="60" w:line="360" w:lineRule="auto"/>
            <w:ind w:left="360" w:firstLine="0"/>
            <w:jc w:val="both"/>
            <w:rPr>
              <w:rFonts w:ascii="Times New Roman" w:cs="Times New Roman" w:eastAsia="Times New Roman" w:hAnsi="Times New Roman"/>
              <w:sz w:val="24"/>
              <w:szCs w:val="24"/>
            </w:rPr>
          </w:pPr>
          <w:r w:rsidDel="00000000" w:rsidR="00000000" w:rsidRPr="00000000">
            <w:fldChar w:fldCharType="end"/>
          </w:r>
          <w:r w:rsidDel="00000000" w:rsidR="00000000" w:rsidRPr="00000000">
            <w:fldChar w:fldCharType="begin"/>
            <w:instrText xml:space="preserve"> HYPERLINK \l "_207suded59yl" </w:instrText>
            <w:fldChar w:fldCharType="separate"/>
          </w:r>
          <w:r w:rsidDel="00000000" w:rsidR="00000000" w:rsidRPr="00000000">
            <w:rPr>
              <w:rFonts w:ascii="Times New Roman" w:cs="Times New Roman" w:eastAsia="Times New Roman" w:hAnsi="Times New Roman"/>
              <w:sz w:val="24"/>
              <w:szCs w:val="24"/>
              <w:rtl w:val="0"/>
            </w:rPr>
            <w:t xml:space="preserve">Potential Benefits for the Hotel from Implementing Recommended Strategies</w:t>
            <w:tab/>
            <w:t xml:space="preserve">21</w:t>
          </w:r>
        </w:p>
        <w:p w:rsidR="00000000" w:rsidDel="00000000" w:rsidP="00000000" w:rsidRDefault="00000000" w:rsidRPr="00000000" w14:paraId="00000029">
          <w:pPr>
            <w:widowControl w:val="0"/>
            <w:tabs>
              <w:tab w:val="right" w:leader="none" w:pos="9025"/>
            </w:tabs>
            <w:spacing w:before="60" w:line="360" w:lineRule="auto"/>
            <w:ind w:left="360" w:firstLine="0"/>
            <w:jc w:val="both"/>
            <w:rPr>
              <w:rFonts w:ascii="Times New Roman" w:cs="Times New Roman" w:eastAsia="Times New Roman" w:hAnsi="Times New Roman"/>
              <w:sz w:val="24"/>
              <w:szCs w:val="24"/>
            </w:rPr>
          </w:pPr>
          <w:r w:rsidDel="00000000" w:rsidR="00000000" w:rsidRPr="00000000">
            <w:fldChar w:fldCharType="end"/>
          </w:r>
          <w:r w:rsidDel="00000000" w:rsidR="00000000" w:rsidRPr="00000000">
            <w:fldChar w:fldCharType="begin"/>
            <w:instrText xml:space="preserve"> HYPERLINK \l "_r6ncu1t5ytj2" </w:instrText>
            <w:fldChar w:fldCharType="separate"/>
          </w:r>
          <w:r w:rsidDel="00000000" w:rsidR="00000000" w:rsidRPr="00000000">
            <w:rPr>
              <w:rFonts w:ascii="Times New Roman" w:cs="Times New Roman" w:eastAsia="Times New Roman" w:hAnsi="Times New Roman"/>
              <w:sz w:val="24"/>
              <w:szCs w:val="24"/>
              <w:rtl w:val="0"/>
            </w:rPr>
            <w:t xml:space="preserve">Projected Budget for Implementing Strategic Recommendations at the London Marriott Hotel County Hall</w:t>
            <w:tab/>
            <w:t xml:space="preserve">22</w:t>
          </w:r>
        </w:p>
        <w:p w:rsidR="00000000" w:rsidDel="00000000" w:rsidP="00000000" w:rsidRDefault="00000000" w:rsidRPr="00000000" w14:paraId="0000002A">
          <w:pPr>
            <w:widowControl w:val="0"/>
            <w:tabs>
              <w:tab w:val="right" w:leader="none" w:pos="9025"/>
            </w:tabs>
            <w:spacing w:before="60" w:line="360" w:lineRule="auto"/>
            <w:jc w:val="both"/>
            <w:rPr>
              <w:rFonts w:ascii="Times New Roman" w:cs="Times New Roman" w:eastAsia="Times New Roman" w:hAnsi="Times New Roman"/>
              <w:b w:val="1"/>
              <w:sz w:val="24"/>
              <w:szCs w:val="24"/>
            </w:rPr>
          </w:pPr>
          <w:r w:rsidDel="00000000" w:rsidR="00000000" w:rsidRPr="00000000">
            <w:fldChar w:fldCharType="end"/>
          </w:r>
          <w:r w:rsidDel="00000000" w:rsidR="00000000" w:rsidRPr="00000000">
            <w:fldChar w:fldCharType="begin"/>
            <w:instrText xml:space="preserve"> HYPERLINK \l "_bohd2ydb5fud" </w:instrText>
            <w:fldChar w:fldCharType="separate"/>
          </w:r>
          <w:r w:rsidDel="00000000" w:rsidR="00000000" w:rsidRPr="00000000">
            <w:rPr>
              <w:rFonts w:ascii="Times New Roman" w:cs="Times New Roman" w:eastAsia="Times New Roman" w:hAnsi="Times New Roman"/>
              <w:b w:val="1"/>
              <w:sz w:val="24"/>
              <w:szCs w:val="24"/>
              <w:rtl w:val="0"/>
            </w:rPr>
            <w:t xml:space="preserve">Action Plan</w:t>
            <w:tab/>
            <w:t xml:space="preserve">23</w:t>
          </w:r>
        </w:p>
        <w:p w:rsidR="00000000" w:rsidDel="00000000" w:rsidP="00000000" w:rsidRDefault="00000000" w:rsidRPr="00000000" w14:paraId="0000002B">
          <w:pPr>
            <w:widowControl w:val="0"/>
            <w:tabs>
              <w:tab w:val="right" w:leader="none" w:pos="9025"/>
            </w:tabs>
            <w:spacing w:before="60" w:line="360" w:lineRule="auto"/>
            <w:jc w:val="both"/>
            <w:rPr>
              <w:rFonts w:ascii="Times New Roman" w:cs="Times New Roman" w:eastAsia="Times New Roman" w:hAnsi="Times New Roman"/>
              <w:b w:val="1"/>
              <w:sz w:val="24"/>
              <w:szCs w:val="24"/>
            </w:rPr>
          </w:pPr>
          <w:r w:rsidDel="00000000" w:rsidR="00000000" w:rsidRPr="00000000">
            <w:fldChar w:fldCharType="end"/>
          </w:r>
          <w:r w:rsidDel="00000000" w:rsidR="00000000" w:rsidRPr="00000000">
            <w:fldChar w:fldCharType="begin"/>
            <w:instrText xml:space="preserve"> HYPERLINK \l "_k7izveg37liy" </w:instrText>
            <w:fldChar w:fldCharType="separate"/>
          </w:r>
          <w:r w:rsidDel="00000000" w:rsidR="00000000" w:rsidRPr="00000000">
            <w:rPr>
              <w:rFonts w:ascii="Times New Roman" w:cs="Times New Roman" w:eastAsia="Times New Roman" w:hAnsi="Times New Roman"/>
              <w:b w:val="1"/>
              <w:sz w:val="24"/>
              <w:szCs w:val="24"/>
              <w:rtl w:val="0"/>
            </w:rPr>
            <w:t xml:space="preserve">Conclusion</w:t>
            <w:tab/>
            <w:t xml:space="preserve">25</w:t>
          </w:r>
        </w:p>
        <w:p w:rsidR="00000000" w:rsidDel="00000000" w:rsidP="00000000" w:rsidRDefault="00000000" w:rsidRPr="00000000" w14:paraId="0000002C">
          <w:pPr>
            <w:widowControl w:val="0"/>
            <w:tabs>
              <w:tab w:val="right" w:leader="none" w:pos="9025"/>
            </w:tabs>
            <w:spacing w:before="60" w:line="360" w:lineRule="auto"/>
            <w:jc w:val="both"/>
            <w:rPr>
              <w:rFonts w:ascii="Times New Roman" w:cs="Times New Roman" w:eastAsia="Times New Roman" w:hAnsi="Times New Roman"/>
              <w:b w:val="1"/>
              <w:sz w:val="24"/>
              <w:szCs w:val="24"/>
            </w:rPr>
          </w:pPr>
          <w:r w:rsidDel="00000000" w:rsidR="00000000" w:rsidRPr="00000000">
            <w:fldChar w:fldCharType="end"/>
          </w:r>
          <w:hyperlink w:anchor="_ixwmbfl4bcm7">
            <w:r w:rsidDel="00000000" w:rsidR="00000000" w:rsidRPr="00000000">
              <w:rPr>
                <w:rFonts w:ascii="Times New Roman" w:cs="Times New Roman" w:eastAsia="Times New Roman" w:hAnsi="Times New Roman"/>
                <w:b w:val="1"/>
                <w:sz w:val="24"/>
                <w:szCs w:val="24"/>
                <w:rtl w:val="0"/>
              </w:rPr>
              <w:t xml:space="preserve">References</w:t>
              <w:tab/>
              <w:t xml:space="preserve">27</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D">
      <w:pPr>
        <w:spacing w:after="240" w:before="240"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E">
      <w:pPr>
        <w:pStyle w:val="Heading1"/>
        <w:spacing w:after="240" w:before="240" w:line="360" w:lineRule="auto"/>
        <w:jc w:val="both"/>
        <w:rPr>
          <w:rFonts w:ascii="Times New Roman" w:cs="Times New Roman" w:eastAsia="Times New Roman" w:hAnsi="Times New Roman"/>
          <w:b w:val="1"/>
          <w:sz w:val="24"/>
          <w:szCs w:val="24"/>
        </w:rPr>
      </w:pPr>
      <w:bookmarkStart w:colFirst="0" w:colLast="0" w:name="_kg1ffrxlygsd" w:id="0"/>
      <w:bookmarkEnd w:id="0"/>
      <w:r w:rsidDel="00000000" w:rsidR="00000000" w:rsidRPr="00000000">
        <w:rPr>
          <w:rFonts w:ascii="Times New Roman" w:cs="Times New Roman" w:eastAsia="Times New Roman" w:hAnsi="Times New Roman"/>
          <w:b w:val="1"/>
          <w:sz w:val="24"/>
          <w:szCs w:val="24"/>
          <w:rtl w:val="0"/>
        </w:rPr>
        <w:t xml:space="preserve">Executive Summary </w:t>
      </w:r>
    </w:p>
    <w:p w:rsidR="00000000" w:rsidDel="00000000" w:rsidP="00000000" w:rsidRDefault="00000000" w:rsidRPr="00000000" w14:paraId="0000002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paper seeks to investigate a perennial problem of employee turnover at the London Marriott Hotel County Hall, a luxury hotel located on the bank of the River Thames. Nonetheless, this hotel has a stable market position and is a part of the prestigious Marriott International chain; however, the company has identified a tendency of staff turnover, which impacts service quality, employees’ motivation, and, consequently, the level of customer satisfaction. The phenomenon is associated with significant financial and operational challenges, such as high cost of recruitment and training of employees, reduced productivity due to poor service quality, and poor guest experience due to inconsistency. The objective of this paper is to assess the causes of this turnover crisis and to identify effective strategies that can be put in place to retain workers as well as enhance the organisation.</w:t>
      </w:r>
    </w:p>
    <w:p w:rsidR="00000000" w:rsidDel="00000000" w:rsidP="00000000" w:rsidRDefault="00000000" w:rsidRPr="00000000" w14:paraId="0000003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Due to the complex nature of the causes of attrition, the report makes use of three strategic management tools, namely STEEPLED analysis, SWOT analysis, and the TOWS matrix. Through the STEEPLED model, one can identify external macro-environmental conditions such as shifts in demographics, technological advancement, economic considerations, and social and ethical changes. This also discusses how changes in values of the millennial and Gen Z, Brexit in immigration policy, perceived additional regulation, and ethical perception of leadership affect dissatisfaction and voluntary turnover.</w:t>
      </w:r>
    </w:p>
    <w:p w:rsidR="00000000" w:rsidDel="00000000" w:rsidP="00000000" w:rsidRDefault="00000000" w:rsidRPr="00000000" w14:paraId="0000003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 the same time, the SWOT analysis reveals internal threats and opportunities for the hotel; Marriott’s global HR management; commitment to employees’ care through programs such as “TakeCare” and “Spirit to Serve”. Yet, it reveals important vulnerabilities, which are the absence of local policies, high rigidity of remuneration, shortage of training that is relevant to technological advancements, and weak feedback systems. The threats include labour market threats, which are threats posed by competition and inflation, while the opportunities include the green perspective in HRM and new employee markets, such as older employees and returning careers.</w:t>
      </w:r>
    </w:p>
    <w:p w:rsidR="00000000" w:rsidDel="00000000" w:rsidP="00000000" w:rsidRDefault="00000000" w:rsidRPr="00000000" w14:paraId="0000003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fill this gap, there is a necessity to employ the TOWS matrix, which enables one to come up with sound strategies. These are, for instance, having individual career management plans in place, using diversity-friendly training interventions, improving feedback and reward systems, and contextualising HR solutions for cost-of-living contingencies. The report finally suggests an integrated and situational approach to HRM that is broader than global homogenisation of people management practices while taking into account the local employment relations and organisational culture. Therefore, it is understood that the turnover crisis at the London Marriott Hotel County Hall can only be addressed through strategic alignment, leadership, and organisational measures. These efforts will, in addition, align with stabilising the workforce, increasing service standardisation, organisational flexibility, and thus, a better overall experience of the guest; all of which are crucial for the longevity in the competitive hospitality industry.</w:t>
      </w:r>
    </w:p>
    <w:p w:rsidR="00000000" w:rsidDel="00000000" w:rsidP="00000000" w:rsidRDefault="00000000" w:rsidRPr="00000000" w14:paraId="0000003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case, this research work brings out a systematic analysis of strategic and operational challenges which are characteristic of a hospitality organisation, followed by a clear set of recommendations based on change management theories and models. Five issues that need to be addressed to improve organisational performance are strategic misfit, inadequate project management, lack of motivation, inefficient external consultancy, and structural inflexibility, and potential solutions with the help of theoretical and practical examples.</w:t>
      </w:r>
    </w:p>
    <w:p w:rsidR="00000000" w:rsidDel="00000000" w:rsidP="00000000" w:rsidRDefault="00000000" w:rsidRPr="00000000" w14:paraId="0000003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First, it is suggested to achieve strategic clarity through stakeholders, which calls for engaging stakeholders in the process of developing organisational strategies to ensure that the expectations are well aligned with the organisational goals. In this paper, there is a discussion of the reasons why inclusive decision-making channels are useful based on strategy as practice concerning Whittington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(2020) and Kotter’s change model, suggesting that coherence, conflict, and commitment are all enhanced. Secondly, the inconsistency in the project execution is suggested to be solved through the professionalisation of the project management with the help of the PRINCE2 to structure the processes, determine the roles and improve the evaluation of the risks. Burnes’ (2014) concept of systemic readiness and structure integration also offers credence to this recommendation to enhance responsibility and accuracy in project implementation. Thirdly, the report emphasises the importance of the people aspect of motivation and the development of the staff. Based on Human Relations Theory and the study of Baron and Armstrong (2007), this recommendation entails encouraging communication, appreciation and participation to motivate, increase performance and decrease turnover. In the long term, emphasis is made on shifting the HR from a reactive role to a change agent role.</w:t>
      </w:r>
    </w:p>
    <w:p w:rsidR="00000000" w:rsidDel="00000000" w:rsidP="00000000" w:rsidRDefault="00000000" w:rsidRPr="00000000" w14:paraId="0000003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Fourth, the decision is made to hire external consultants to address the issue of ambiguity of the project scope and over-dependence on institutions. Contracts based on performance and knowledge transfer, as suggested by Kipping and Clark (2012), are seen as effective instruments for guaranteeing the delivery of services while at the same time building up the internal capability. Last but not least, the idea of adaptive growth through structures is considered, especially decentralisation and the involvement of middle managers in the implementation. Following O’Mahoney (2021), this recommendation is to maintain flexibility and responsiveness in the process of an organisation’s scaling.</w:t>
      </w:r>
    </w:p>
    <w:p w:rsidR="00000000" w:rsidDel="00000000" w:rsidP="00000000" w:rsidRDefault="00000000" w:rsidRPr="00000000" w14:paraId="0000003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Concerning each of the recommendations, change management strategies tied to Kotter’s 8-Step Model are proposed, as well as ways of measuring their success, such as stakeholder engagement scores, project audits, employee feedback, consultant’s return on investment, and innovation indices. The potential advantages include improving strategic coordination and effectiveness, better project performance, higher employee motivation, the effective incorporation of the consultancy, and an adaptable organisational structure. Therefore, the execution of these changes will improve current issues and allow the hotel to foster a strong, adaptive, and productive corporate culture for the ever-evolving and competitive hospitality industry.</w:t>
      </w:r>
    </w:p>
    <w:p w:rsidR="00000000" w:rsidDel="00000000" w:rsidP="00000000" w:rsidRDefault="00000000" w:rsidRPr="00000000" w14:paraId="00000037">
      <w:pPr>
        <w:spacing w:after="240" w:before="24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8">
      <w:pPr>
        <w:spacing w:after="240" w:before="240" w:line="360" w:lineRule="auto"/>
        <w:jc w:val="both"/>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39">
      <w:pPr>
        <w:pStyle w:val="Heading1"/>
        <w:spacing w:after="240" w:before="240" w:line="360" w:lineRule="auto"/>
        <w:jc w:val="both"/>
        <w:rPr>
          <w:rFonts w:ascii="Times New Roman" w:cs="Times New Roman" w:eastAsia="Times New Roman" w:hAnsi="Times New Roman"/>
          <w:b w:val="1"/>
          <w:sz w:val="24"/>
          <w:szCs w:val="24"/>
        </w:rPr>
      </w:pPr>
      <w:bookmarkStart w:colFirst="0" w:colLast="0" w:name="_6xp54jnmxgu8" w:id="1"/>
      <w:bookmarkEnd w:id="1"/>
      <w:r w:rsidDel="00000000" w:rsidR="00000000" w:rsidRPr="00000000">
        <w:rPr>
          <w:rFonts w:ascii="Times New Roman" w:cs="Times New Roman" w:eastAsia="Times New Roman" w:hAnsi="Times New Roman"/>
          <w:b w:val="1"/>
          <w:sz w:val="24"/>
          <w:szCs w:val="24"/>
          <w:rtl w:val="0"/>
        </w:rPr>
        <w:t xml:space="preserve">Introduction</w:t>
      </w:r>
    </w:p>
    <w:p w:rsidR="00000000" w:rsidDel="00000000" w:rsidP="00000000" w:rsidRDefault="00000000" w:rsidRPr="00000000" w14:paraId="0000003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London Marriott Hotel County Hall is a world-class hotel providing service accommodation situated on the bank of the River Thames near the Houses of Parliament and Big Ben. Having 200 beautifully decorated guest rooms and suites, business and first-class rooms, the hotel has always been a popular choice for any traveller. Nevertheless, the hotel has experienced numerous operational problems over the past few years to include a high employee turnover rate, especially among the affluent guests. This is a recurring problem, which leads to higher expenses in recruitment as well as staff training, low staff morale, and a decrease in guest satisfaction due to fluctuating quality of services.</w:t>
      </w:r>
    </w:p>
    <w:p w:rsidR="00000000" w:rsidDel="00000000" w:rsidP="00000000" w:rsidRDefault="00000000" w:rsidRPr="00000000" w14:paraId="0000003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2747963" cy="3819525"/>
            <wp:effectExtent b="12700" l="12700" r="12700" t="12700"/>
            <wp:docPr id="6" name="image4.png"/>
            <a:graphic>
              <a:graphicData uri="http://schemas.openxmlformats.org/drawingml/2006/picture">
                <pic:pic>
                  <pic:nvPicPr>
                    <pic:cNvPr id="0" name="image4.png"/>
                    <pic:cNvPicPr preferRelativeResize="0"/>
                  </pic:nvPicPr>
                  <pic:blipFill>
                    <a:blip r:embed="rId6"/>
                    <a:srcRect b="0" l="0" r="0" t="0"/>
                    <a:stretch>
                      <a:fillRect/>
                    </a:stretch>
                  </pic:blipFill>
                  <pic:spPr>
                    <a:xfrm>
                      <a:off x="0" y="0"/>
                      <a:ext cx="2747963" cy="3819525"/>
                    </a:xfrm>
                    <a:prstGeom prst="rect"/>
                    <a:ln w="12700">
                      <a:solidFill>
                        <a:srgbClr val="000000"/>
                      </a:solidFill>
                      <a:prstDash val="solid"/>
                    </a:ln>
                  </pic:spPr>
                </pic:pic>
              </a:graphicData>
            </a:graphic>
          </wp:inline>
        </w:drawing>
      </w:r>
      <w:r w:rsidDel="00000000" w:rsidR="00000000" w:rsidRPr="00000000">
        <w:rPr>
          <w:rFonts w:ascii="Times New Roman" w:cs="Times New Roman" w:eastAsia="Times New Roman" w:hAnsi="Times New Roman"/>
          <w:sz w:val="24"/>
          <w:szCs w:val="24"/>
        </w:rPr>
        <w:drawing>
          <wp:inline distB="114300" distT="114300" distL="114300" distR="114300">
            <wp:extent cx="2776538" cy="3819525"/>
            <wp:effectExtent b="12700" l="12700" r="12700" t="1270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776538" cy="3819525"/>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3C">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1: Rooms At the London Marriott Hotel County Hall</w:t>
      </w:r>
    </w:p>
    <w:p w:rsidR="00000000" w:rsidDel="00000000" w:rsidP="00000000" w:rsidRDefault="00000000" w:rsidRPr="00000000" w14:paraId="0000003D">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(Source: Marriott Bonvoy. 2025)</w:t>
      </w:r>
    </w:p>
    <w:p w:rsidR="00000000" w:rsidDel="00000000" w:rsidP="00000000" w:rsidRDefault="00000000" w:rsidRPr="00000000" w14:paraId="0000003E">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3835400"/>
            <wp:effectExtent b="25400" l="25400" r="25400" t="25400"/>
            <wp:docPr id="4" name="image6.png"/>
            <a:graphic>
              <a:graphicData uri="http://schemas.openxmlformats.org/drawingml/2006/picture">
                <pic:pic>
                  <pic:nvPicPr>
                    <pic:cNvPr id="0" name="image6.png"/>
                    <pic:cNvPicPr preferRelativeResize="0"/>
                  </pic:nvPicPr>
                  <pic:blipFill>
                    <a:blip r:embed="rId8"/>
                    <a:srcRect b="0" l="0" r="0" t="0"/>
                    <a:stretch>
                      <a:fillRect/>
                    </a:stretch>
                  </pic:blipFill>
                  <pic:spPr>
                    <a:xfrm>
                      <a:off x="0" y="0"/>
                      <a:ext cx="5731200" cy="38354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3F">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2: Situated By The Banks Of The Thames, The Structure Of London Marriott Hotel County Hall</w:t>
      </w:r>
    </w:p>
    <w:p w:rsidR="00000000" w:rsidDel="00000000" w:rsidP="00000000" w:rsidRDefault="00000000" w:rsidRPr="00000000" w14:paraId="00000040">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(Source: Marriott Bonvoy. 2025)</w:t>
      </w:r>
    </w:p>
    <w:p w:rsidR="00000000" w:rsidDel="00000000" w:rsidP="00000000" w:rsidRDefault="00000000" w:rsidRPr="00000000" w14:paraId="0000004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consultancy firm which was engaged to address this problem is Businessopedia Management Consultation, which is a strategic management consultancy firm with a special interest in human resources and organisational performance, and service delivery. Operating in the sphere of hospitality, Businessopedia offers services that help improve employee turnover, optimise a company’s effectiveness, and ensure its compliance with industry standards. Businessopedia, as an experienced hospitality consulting agency, is ready to determine the main reasons for the employee turnover in the London Marriott Hotel County Hall and find ways to deal with it.</w:t>
      </w:r>
    </w:p>
    <w:p w:rsidR="00000000" w:rsidDel="00000000" w:rsidP="00000000" w:rsidRDefault="00000000" w:rsidRPr="00000000" w14:paraId="0000004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paper seeks to establish the reasons for high turnover at the hotel and find solutions on how to retain employees to create a motivated workforce. Through identification of the various areas of concern that cause employee dissatisfaction and employee turnover, this report will give recommendations and solutions that will contribute towards improving the stability of the workforce, which in essence will be of benefit to the employees as well as the guests. For the analysis, several strategic management tools will be applied in the report. The use of STEEPLE analysis will therefore be used to look at the external environment that affects the employee turnover at the hotel, including the changes in the employment laws, the economic conditions, as well as the social changes that may affect the expectations of the employees. SWOT analysis will be applied to evaluate the internal environment of the hotel – employee engagement and organisational culture, and external threats that the hotel encounters in the recruitment and retention of employees. Last, the TOWS matrix will be used to obtain the strategic directions based on the conclusion of the SWOT analysis to show the direction to work on the problem of employee turnover and to improve overall organisational performance. This paper aims to explore the problem of turnover rate among the employees of the organisation, utilising the concepts of these frameworks to offer strategic recommendations. The overall objective is to assist the London Marriott Hotel County Hall in engendering its employees’ commitment, which should, in turn, lead to a decrease in turnover cost and an enhancement of the guests’ experience. The strategies will help to create a positive organisational culture, to provide opportunities for the employees’ training and development, as well as improve the company’s position in the sphere of hospitality.</w:t>
      </w:r>
    </w:p>
    <w:p w:rsidR="00000000" w:rsidDel="00000000" w:rsidP="00000000" w:rsidRDefault="00000000" w:rsidRPr="00000000" w14:paraId="00000043">
      <w:pPr>
        <w:pStyle w:val="Heading1"/>
        <w:spacing w:after="240" w:before="240" w:line="360" w:lineRule="auto"/>
        <w:jc w:val="both"/>
        <w:rPr>
          <w:rFonts w:ascii="Times New Roman" w:cs="Times New Roman" w:eastAsia="Times New Roman" w:hAnsi="Times New Roman"/>
          <w:b w:val="1"/>
          <w:sz w:val="24"/>
          <w:szCs w:val="24"/>
        </w:rPr>
      </w:pPr>
      <w:bookmarkStart w:colFirst="0" w:colLast="0" w:name="_suq0emexyx22" w:id="2"/>
      <w:bookmarkEnd w:id="2"/>
      <w:r w:rsidDel="00000000" w:rsidR="00000000" w:rsidRPr="00000000">
        <w:rPr>
          <w:rFonts w:ascii="Times New Roman" w:cs="Times New Roman" w:eastAsia="Times New Roman" w:hAnsi="Times New Roman"/>
          <w:b w:val="1"/>
          <w:sz w:val="24"/>
          <w:szCs w:val="24"/>
          <w:rtl w:val="0"/>
        </w:rPr>
        <w:t xml:space="preserve">Analysis </w:t>
      </w:r>
    </w:p>
    <w:p w:rsidR="00000000" w:rsidDel="00000000" w:rsidP="00000000" w:rsidRDefault="00000000" w:rsidRPr="00000000" w14:paraId="00000044">
      <w:pPr>
        <w:pStyle w:val="Heading3"/>
        <w:spacing w:after="240" w:before="240" w:line="360" w:lineRule="auto"/>
        <w:jc w:val="both"/>
        <w:rPr>
          <w:rFonts w:ascii="Times New Roman" w:cs="Times New Roman" w:eastAsia="Times New Roman" w:hAnsi="Times New Roman"/>
          <w:b w:val="1"/>
          <w:color w:val="000000"/>
          <w:sz w:val="24"/>
          <w:szCs w:val="24"/>
        </w:rPr>
      </w:pPr>
      <w:bookmarkStart w:colFirst="0" w:colLast="0" w:name="_2x1p8gvepvzr" w:id="3"/>
      <w:bookmarkEnd w:id="3"/>
      <w:r w:rsidDel="00000000" w:rsidR="00000000" w:rsidRPr="00000000">
        <w:rPr>
          <w:rFonts w:ascii="Times New Roman" w:cs="Times New Roman" w:eastAsia="Times New Roman" w:hAnsi="Times New Roman"/>
          <w:b w:val="1"/>
          <w:color w:val="000000"/>
          <w:sz w:val="24"/>
          <w:szCs w:val="24"/>
          <w:rtl w:val="0"/>
        </w:rPr>
        <w:t xml:space="preserve">Issue Identified by the Hotel:</w:t>
      </w:r>
    </w:p>
    <w:p w:rsidR="00000000" w:rsidDel="00000000" w:rsidP="00000000" w:rsidRDefault="00000000" w:rsidRPr="00000000" w14:paraId="00000045">
      <w:pPr>
        <w:spacing w:after="240" w:before="240"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rtl w:val="0"/>
        </w:rPr>
        <w:t xml:space="preserve">The London Marriott Hotel County Hall is grappling with a significant challenge: elevated employee turnover rates. This issue is not isolated but reflects a broader trend within the hospitality industry, where turnover rates can reach 30% annually (Orr, 2025). Specifically, Marriott International reported a global voluntary turnover rate of 22% in 2023 (Marriott, 2024).</w:t>
      </w:r>
      <w:r w:rsidDel="00000000" w:rsidR="00000000" w:rsidRPr="00000000">
        <w:rPr>
          <w:rtl w:val="0"/>
        </w:rPr>
      </w:r>
    </w:p>
    <w:p w:rsidR="00000000" w:rsidDel="00000000" w:rsidP="00000000" w:rsidRDefault="00000000" w:rsidRPr="00000000" w14:paraId="00000046">
      <w:pPr>
        <w:pStyle w:val="Heading3"/>
        <w:spacing w:after="240" w:before="240" w:line="360" w:lineRule="auto"/>
        <w:jc w:val="both"/>
        <w:rPr>
          <w:rFonts w:ascii="Times New Roman" w:cs="Times New Roman" w:eastAsia="Times New Roman" w:hAnsi="Times New Roman"/>
          <w:b w:val="1"/>
          <w:color w:val="000000"/>
          <w:sz w:val="24"/>
          <w:szCs w:val="24"/>
        </w:rPr>
      </w:pPr>
      <w:bookmarkStart w:colFirst="0" w:colLast="0" w:name="_2abhey4110ll" w:id="4"/>
      <w:bookmarkEnd w:id="4"/>
      <w:r w:rsidDel="00000000" w:rsidR="00000000" w:rsidRPr="00000000">
        <w:rPr>
          <w:rFonts w:ascii="Times New Roman" w:cs="Times New Roman" w:eastAsia="Times New Roman" w:hAnsi="Times New Roman"/>
          <w:b w:val="1"/>
          <w:color w:val="000000"/>
          <w:sz w:val="24"/>
          <w:szCs w:val="24"/>
          <w:rtl w:val="0"/>
        </w:rPr>
        <w:t xml:space="preserve">How is it impacting the Hotel?</w:t>
      </w:r>
    </w:p>
    <w:p w:rsidR="00000000" w:rsidDel="00000000" w:rsidP="00000000" w:rsidRDefault="00000000" w:rsidRPr="00000000" w14:paraId="00000047">
      <w:pPr>
        <w:spacing w:after="240" w:before="240"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rtl w:val="0"/>
        </w:rPr>
        <w:t xml:space="preserve">High turnover adversely affects the hotel's operational efficiency and guest satisfaction. Frequent staff changes disrupt service continuity, leading to potential declines in customer experience. Moreover, the financial implications are substantial; replacing an employee can cost between 150% to 300% of their annual salary (BYU Marriott Alumni Magazine, 2008). These costs encompass recruitment, training, and the loss of productivity during the transition period (BYU Marriott Alumni Magazine, 2008).</w:t>
      </w:r>
      <w:r w:rsidDel="00000000" w:rsidR="00000000" w:rsidRPr="00000000">
        <w:rPr>
          <w:rtl w:val="0"/>
        </w:rPr>
      </w:r>
    </w:p>
    <w:p w:rsidR="00000000" w:rsidDel="00000000" w:rsidP="00000000" w:rsidRDefault="00000000" w:rsidRPr="00000000" w14:paraId="00000048">
      <w:pPr>
        <w:pStyle w:val="Heading3"/>
        <w:spacing w:after="240" w:before="240" w:line="360" w:lineRule="auto"/>
        <w:jc w:val="both"/>
        <w:rPr>
          <w:rFonts w:ascii="Times New Roman" w:cs="Times New Roman" w:eastAsia="Times New Roman" w:hAnsi="Times New Roman"/>
          <w:b w:val="1"/>
          <w:color w:val="000000"/>
          <w:sz w:val="24"/>
          <w:szCs w:val="24"/>
        </w:rPr>
      </w:pPr>
      <w:bookmarkStart w:colFirst="0" w:colLast="0" w:name="_wvrvbviu5cvu" w:id="5"/>
      <w:bookmarkEnd w:id="5"/>
      <w:r w:rsidDel="00000000" w:rsidR="00000000" w:rsidRPr="00000000">
        <w:rPr>
          <w:rFonts w:ascii="Times New Roman" w:cs="Times New Roman" w:eastAsia="Times New Roman" w:hAnsi="Times New Roman"/>
          <w:b w:val="1"/>
          <w:color w:val="000000"/>
          <w:sz w:val="24"/>
          <w:szCs w:val="24"/>
          <w:rtl w:val="0"/>
        </w:rPr>
        <w:t xml:space="preserve">What Are the Causes?</w:t>
      </w:r>
    </w:p>
    <w:p w:rsidR="00000000" w:rsidDel="00000000" w:rsidP="00000000" w:rsidRDefault="00000000" w:rsidRPr="00000000" w14:paraId="00000049">
      <w:pPr>
        <w:spacing w:after="240" w:before="240"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rtl w:val="0"/>
        </w:rPr>
        <w:t xml:space="preserve">Several factors contribute to the high turnover rates. A notable cause is the lack of effective training and development opportunities. A study focusing on Marriott International employees in the UK found that while on-the-job and off-the-job training positively impact performance, online training showed no significant effect. Additionally, inadequate management support and limited career advancement prospects can lead to employee dissatisfaction and eventual departure (Neupane and Khanal, 2022).</w:t>
      </w:r>
      <w:r w:rsidDel="00000000" w:rsidR="00000000" w:rsidRPr="00000000">
        <w:rPr>
          <w:rtl w:val="0"/>
        </w:rPr>
      </w:r>
    </w:p>
    <w:p w:rsidR="00000000" w:rsidDel="00000000" w:rsidP="00000000" w:rsidRDefault="00000000" w:rsidRPr="00000000" w14:paraId="0000004A">
      <w:pPr>
        <w:pStyle w:val="Heading3"/>
        <w:spacing w:after="240" w:before="240" w:line="360" w:lineRule="auto"/>
        <w:jc w:val="both"/>
        <w:rPr>
          <w:rFonts w:ascii="Times New Roman" w:cs="Times New Roman" w:eastAsia="Times New Roman" w:hAnsi="Times New Roman"/>
          <w:b w:val="1"/>
          <w:color w:val="000000"/>
          <w:sz w:val="24"/>
          <w:szCs w:val="24"/>
        </w:rPr>
      </w:pPr>
      <w:bookmarkStart w:colFirst="0" w:colLast="0" w:name="_ozi03gaug1l7" w:id="6"/>
      <w:bookmarkEnd w:id="6"/>
      <w:r w:rsidDel="00000000" w:rsidR="00000000" w:rsidRPr="00000000">
        <w:rPr>
          <w:rFonts w:ascii="Times New Roman" w:cs="Times New Roman" w:eastAsia="Times New Roman" w:hAnsi="Times New Roman"/>
          <w:b w:val="1"/>
          <w:color w:val="000000"/>
          <w:sz w:val="24"/>
          <w:szCs w:val="24"/>
          <w:rtl w:val="0"/>
        </w:rPr>
        <w:t xml:space="preserve">Is Feedback an Issue?</w:t>
      </w:r>
    </w:p>
    <w:p w:rsidR="00000000" w:rsidDel="00000000" w:rsidP="00000000" w:rsidRDefault="00000000" w:rsidRPr="00000000" w14:paraId="0000004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Feedback mechanisms appear to be insufficient. Without regular and constructive feedback, employees may feel undervalued and disconnected from the organisation's goals. This lack of engagement can result in decreased motivation and increased turnover.</w:t>
      </w:r>
    </w:p>
    <w:p w:rsidR="00000000" w:rsidDel="00000000" w:rsidP="00000000" w:rsidRDefault="00000000" w:rsidRPr="00000000" w14:paraId="0000004C">
      <w:pPr>
        <w:pStyle w:val="Heading3"/>
        <w:spacing w:after="240" w:before="240" w:line="360" w:lineRule="auto"/>
        <w:jc w:val="both"/>
        <w:rPr>
          <w:rFonts w:ascii="Times New Roman" w:cs="Times New Roman" w:eastAsia="Times New Roman" w:hAnsi="Times New Roman"/>
          <w:b w:val="1"/>
          <w:color w:val="000000"/>
          <w:sz w:val="24"/>
          <w:szCs w:val="24"/>
        </w:rPr>
      </w:pPr>
      <w:bookmarkStart w:colFirst="0" w:colLast="0" w:name="_q9hlxxyinmtq" w:id="7"/>
      <w:bookmarkEnd w:id="7"/>
      <w:r w:rsidDel="00000000" w:rsidR="00000000" w:rsidRPr="00000000">
        <w:rPr>
          <w:rFonts w:ascii="Times New Roman" w:cs="Times New Roman" w:eastAsia="Times New Roman" w:hAnsi="Times New Roman"/>
          <w:b w:val="1"/>
          <w:color w:val="000000"/>
          <w:sz w:val="24"/>
          <w:szCs w:val="24"/>
          <w:rtl w:val="0"/>
        </w:rPr>
        <w:t xml:space="preserve">Reputational Issue?</w:t>
      </w:r>
    </w:p>
    <w:p w:rsidR="00000000" w:rsidDel="00000000" w:rsidP="00000000" w:rsidRDefault="00000000" w:rsidRPr="00000000" w14:paraId="0000004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 employee turnover can tarnish the hotel's reputation. Guests may perceive frequent staff changes as a sign of instability, potentially impacting their overall experience. Furthermore, prospective employees might view the hotel as an undesirable workplace, complicating recruitment efforts.</w:t>
      </w:r>
    </w:p>
    <w:p w:rsidR="00000000" w:rsidDel="00000000" w:rsidP="00000000" w:rsidRDefault="00000000" w:rsidRPr="00000000" w14:paraId="0000004E">
      <w:pPr>
        <w:pStyle w:val="Heading3"/>
        <w:spacing w:after="240" w:before="240" w:line="360" w:lineRule="auto"/>
        <w:jc w:val="both"/>
        <w:rPr>
          <w:rFonts w:ascii="Times New Roman" w:cs="Times New Roman" w:eastAsia="Times New Roman" w:hAnsi="Times New Roman"/>
          <w:b w:val="1"/>
          <w:color w:val="000000"/>
          <w:sz w:val="24"/>
          <w:szCs w:val="24"/>
        </w:rPr>
      </w:pPr>
      <w:bookmarkStart w:colFirst="0" w:colLast="0" w:name="_8zsbv4hb9h8" w:id="8"/>
      <w:bookmarkEnd w:id="8"/>
      <w:r w:rsidDel="00000000" w:rsidR="00000000" w:rsidRPr="00000000">
        <w:rPr>
          <w:rFonts w:ascii="Times New Roman" w:cs="Times New Roman" w:eastAsia="Times New Roman" w:hAnsi="Times New Roman"/>
          <w:b w:val="1"/>
          <w:color w:val="000000"/>
          <w:sz w:val="24"/>
          <w:szCs w:val="24"/>
          <w:rtl w:val="0"/>
        </w:rPr>
        <w:t xml:space="preserve">Income Related Issue:</w:t>
      </w:r>
    </w:p>
    <w:p w:rsidR="00000000" w:rsidDel="00000000" w:rsidP="00000000" w:rsidRDefault="00000000" w:rsidRPr="00000000" w14:paraId="0000004F">
      <w:pPr>
        <w:spacing w:after="240" w:before="240"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rtl w:val="0"/>
        </w:rPr>
        <w:t xml:space="preserve">The financial ramifications of high turnover are significant. Beyond direct replacement costs, the hotel may experience reduced revenue due to diminished service quality and guest satisfaction. Marriott's culture, which emphasises employee retention, has been linked to substantial cost savings and increased profitability (BYU Marriott Alumni Magazine, 2008) </w:t>
      </w:r>
      <w:r w:rsidDel="00000000" w:rsidR="00000000" w:rsidRPr="00000000">
        <w:rPr>
          <w:rtl w:val="0"/>
        </w:rPr>
      </w:r>
    </w:p>
    <w:p w:rsidR="00000000" w:rsidDel="00000000" w:rsidP="00000000" w:rsidRDefault="00000000" w:rsidRPr="00000000" w14:paraId="00000050">
      <w:pPr>
        <w:pStyle w:val="Heading3"/>
        <w:spacing w:after="240" w:before="240" w:line="360" w:lineRule="auto"/>
        <w:jc w:val="both"/>
        <w:rPr>
          <w:rFonts w:ascii="Times New Roman" w:cs="Times New Roman" w:eastAsia="Times New Roman" w:hAnsi="Times New Roman"/>
          <w:b w:val="1"/>
          <w:color w:val="000000"/>
          <w:sz w:val="24"/>
          <w:szCs w:val="24"/>
        </w:rPr>
      </w:pPr>
      <w:bookmarkStart w:colFirst="0" w:colLast="0" w:name="_1iw6rqzh3szf" w:id="9"/>
      <w:bookmarkEnd w:id="9"/>
      <w:r w:rsidDel="00000000" w:rsidR="00000000" w:rsidRPr="00000000">
        <w:rPr>
          <w:rFonts w:ascii="Times New Roman" w:cs="Times New Roman" w:eastAsia="Times New Roman" w:hAnsi="Times New Roman"/>
          <w:b w:val="1"/>
          <w:color w:val="000000"/>
          <w:sz w:val="24"/>
          <w:szCs w:val="24"/>
          <w:rtl w:val="0"/>
        </w:rPr>
        <w:t xml:space="preserve">Scope Related Issue:</w:t>
      </w:r>
    </w:p>
    <w:p w:rsidR="00000000" w:rsidDel="00000000" w:rsidP="00000000" w:rsidRDefault="00000000" w:rsidRPr="00000000" w14:paraId="0000005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turnover issue extends beyond the London Marriott Hotel County Hall, reflecting a systemic challenge within the hospitality industry. Addressing this requires a comprehensive strategy encompassing improved training programs, effective feedback systems, and robust employee engagement initiatives. By fostering a supportive work environment, the hotel can enhance employee satisfaction and reduce turnover rates.</w:t>
      </w:r>
    </w:p>
    <w:p w:rsidR="00000000" w:rsidDel="00000000" w:rsidP="00000000" w:rsidRDefault="00000000" w:rsidRPr="00000000" w14:paraId="00000052">
      <w:pPr>
        <w:pStyle w:val="Heading2"/>
        <w:keepNext w:val="0"/>
        <w:keepLines w:val="0"/>
        <w:spacing w:after="240" w:before="280" w:line="360" w:lineRule="auto"/>
        <w:jc w:val="both"/>
        <w:rPr>
          <w:rFonts w:ascii="Times New Roman" w:cs="Times New Roman" w:eastAsia="Times New Roman" w:hAnsi="Times New Roman"/>
          <w:b w:val="1"/>
          <w:sz w:val="24"/>
          <w:szCs w:val="24"/>
        </w:rPr>
      </w:pPr>
      <w:bookmarkStart w:colFirst="0" w:colLast="0" w:name="_k5lkukk7texz" w:id="10"/>
      <w:bookmarkEnd w:id="10"/>
      <w:r w:rsidDel="00000000" w:rsidR="00000000" w:rsidRPr="00000000">
        <w:rPr>
          <w:rFonts w:ascii="Times New Roman" w:cs="Times New Roman" w:eastAsia="Times New Roman" w:hAnsi="Times New Roman"/>
          <w:b w:val="1"/>
          <w:sz w:val="24"/>
          <w:szCs w:val="24"/>
          <w:rtl w:val="0"/>
        </w:rPr>
        <w:t xml:space="preserve">STEEPLED Analysis of Employee Turnover at London Marriott Hotel County Hall</w:t>
      </w:r>
    </w:p>
    <w:tbl>
      <w:tblPr>
        <w:tblStyle w:val="Table1"/>
        <w:tblW w:w="902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740"/>
        <w:gridCol w:w="7285"/>
        <w:tblGridChange w:id="0">
          <w:tblGrid>
            <w:gridCol w:w="1740"/>
            <w:gridCol w:w="7285"/>
          </w:tblGrid>
        </w:tblGridChange>
      </w:tblGrid>
      <w:tr>
        <w:trPr>
          <w:cantSplit w:val="0"/>
          <w:trHeight w:val="51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Factor</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Impact on Employee Turnover</w:t>
            </w:r>
            <w:r w:rsidDel="00000000" w:rsidR="00000000" w:rsidRPr="00000000">
              <w:rPr>
                <w:rtl w:val="0"/>
              </w:rPr>
            </w:r>
          </w:p>
        </w:tc>
      </w:tr>
      <w:tr>
        <w:trPr>
          <w:cantSplit w:val="0"/>
          <w:trHeight w:val="246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Social</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new generation of employees, especially Millennials and Gen Z, have different expectations at work in terms of purpose, appreciation and flexibility. Thus, at London Marriott, the perceived lack of compliance with these social expectations leads to discontent and work withdrawal. According to Le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(2023), commitment to the organisation’s mission and pride in job content help to reduce turnover; their absence is thus a risk factor. Lack of good social inclusion or organisational pride can cause turnover in frontline workers (Mertz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2024).</w:t>
            </w:r>
          </w:p>
        </w:tc>
      </w:tr>
      <w:tr>
        <w:trPr>
          <w:cantSplit w:val="0"/>
          <w:trHeight w:val="219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Technological</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incorporation of other technologies like the check-in kiosks has led to increased efficiency but decreased face-to-face contact and changes in tasks performed (Gupta and Sharma, 2021). When the staff are not trained or they feel that technology has taken over their work, this may lead to anxiety and thus the intention to leave (Han, 2022). The disruption without the corresponding increase in skill development can result in disengagement from the work process, dissatisfaction with the job, and detachment from tasks that are based on communication with others.</w:t>
            </w:r>
          </w:p>
        </w:tc>
      </w:tr>
      <w:tr>
        <w:trPr>
          <w:cantSplit w:val="0"/>
          <w:trHeight w:val="191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Economic</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cost of living is high in London, hence most employees in the health sector are forced to look for better-paying jobs elsewhere or get paid less due to competition from other sectors (Barnard, Papanicolas and Smith, 2023). Forcing the hotel to keep wages low and slow because of rising operational costs and inflation makes the jobs less attractive (Bullock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2024). Michael and Fotiadis (2022) opine that the lack of adequate remuneration continues to be one of the main reasons for voluntary turnover, especially in urban hospitality organisations experiencing high levels of financial stress.</w:t>
            </w:r>
          </w:p>
        </w:tc>
      </w:tr>
      <w:tr>
        <w:trPr>
          <w:cantSplit w:val="0"/>
          <w:trHeight w:val="191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Environmental</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Environmental concerns impact operations indirectly (Chathuranga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2025). The concept of sustainability is now highly appreciated by employees, especially the young ones. This means that when green practices are not made to stand out or when they become part of the employees’ mindset, there is likely to be low engagement. In this study, Islam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(2022) have identified that there is a positive relationship between green human resource management practices and millennial retention. Lack of engagement with the environment may mean that the organisation is stagnant, which in turn drives the staff to look for employers they can relate to.</w:t>
            </w:r>
          </w:p>
        </w:tc>
      </w:tr>
      <w:tr>
        <w:trPr>
          <w:cantSplit w:val="0"/>
          <w:trHeight w:val="191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Political</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Brexit has led to a reduction of immigration, that limited the talent pool and thus placed pressure on the remaining employees of the hotel industry. Ghani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(2022) opine that the burnout levels are also worsened by the work overload arising from a shortage of staff. The staff members are often recruited from overseas due to the lack of interest among the country’s citizens to take up hospitality positions, and the few remaining staff are overworked with unrealistic expectations, which leads to high turnover rates (Roth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2021).</w:t>
            </w:r>
          </w:p>
        </w:tc>
      </w:tr>
      <w:tr>
        <w:trPr>
          <w:cantSplit w:val="0"/>
          <w:trHeight w:val="191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Legal</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Higher employment regulation standards, such as visa requirements and thresholds, and increased compliance requirements slow down the hiring and onboarding processes. According to Han (2022), when the staff is understaffed or procedures take time, the staff is overwhelmed, hence encouraging detachment, particularly when the support is inadequate. Legalisation on one hand, without flexibility on the other, proves counterproductive in terms of employee turnover (Birknerová and Zbihlejová, 2023).</w:t>
            </w:r>
          </w:p>
        </w:tc>
      </w:tr>
      <w:tr>
        <w:trPr>
          <w:cantSplit w:val="0"/>
          <w:trHeight w:val="162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Ethical</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Perceived leadership ethics influence retention. According to the work of Nazarian</w:t>
            </w:r>
            <w:r w:rsidDel="00000000" w:rsidR="00000000" w:rsidRPr="00000000">
              <w:rPr>
                <w:rFonts w:ascii="Times New Roman" w:cs="Times New Roman" w:eastAsia="Times New Roman" w:hAnsi="Times New Roman"/>
                <w:i w:val="1"/>
                <w:sz w:val="24"/>
                <w:szCs w:val="24"/>
                <w:rtl w:val="0"/>
              </w:rPr>
              <w:t xml:space="preserve"> et al.</w:t>
            </w:r>
            <w:r w:rsidDel="00000000" w:rsidR="00000000" w:rsidRPr="00000000">
              <w:rPr>
                <w:rFonts w:ascii="Times New Roman" w:cs="Times New Roman" w:eastAsia="Times New Roman" w:hAnsi="Times New Roman"/>
                <w:sz w:val="24"/>
                <w:szCs w:val="24"/>
                <w:rtl w:val="0"/>
              </w:rPr>
              <w:t xml:space="preserve"> (2022), ethical leadership has a negative relationship with turnover intentions. This is because a lack of support, favouritism or lack of shared values in management decreases the amount of trust that is likely to be given, hence the high likelihood of resignation. For instance, when the feedback mechanisms that are offered to the employee are superficial or have a punitive tone, then the employees switch off (Johnston and Ricciardelli, 2024).</w:t>
            </w:r>
          </w:p>
        </w:tc>
      </w:tr>
      <w:tr>
        <w:trPr>
          <w:cantSplit w:val="0"/>
          <w:trHeight w:val="219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Demographic</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employment of the ageing workers is proving to be a realistic way of addressing the issue of a shortage of workforce. Despite this, Kotera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(2021) posit that it is only when older employees are provided for through inclusive training that they will not be subjected to stress and negative mental health. Similarly, Jerez-Jerez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(2021) found that occupational identity influences the behaviours that lead to exits in workplaces regardless of age. Failure to adapt and provide support for different groups reduces the likelihood of keeping the individuals engaged in the long run (Lloyd and Owens, 2025).</w:t>
            </w:r>
          </w:p>
        </w:tc>
      </w:tr>
    </w:tbl>
    <w:p w:rsidR="00000000" w:rsidDel="00000000" w:rsidP="00000000" w:rsidRDefault="00000000" w:rsidRPr="00000000" w14:paraId="0000006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6">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114300" distT="114300" distL="114300" distR="114300">
            <wp:extent cx="3095625" cy="3212120"/>
            <wp:effectExtent b="25400" l="25400" r="25400" t="25400"/>
            <wp:docPr id="3" name="image2.png"/>
            <a:graphic>
              <a:graphicData uri="http://schemas.openxmlformats.org/drawingml/2006/picture">
                <pic:pic>
                  <pic:nvPicPr>
                    <pic:cNvPr id="0" name="image2.png"/>
                    <pic:cNvPicPr preferRelativeResize="0"/>
                  </pic:nvPicPr>
                  <pic:blipFill>
                    <a:blip r:embed="rId9"/>
                    <a:srcRect b="12580" l="30730" r="15282" t="12689"/>
                    <a:stretch>
                      <a:fillRect/>
                    </a:stretch>
                  </pic:blipFill>
                  <pic:spPr>
                    <a:xfrm>
                      <a:off x="0" y="0"/>
                      <a:ext cx="3095625" cy="321212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67">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3: STEEPLE Analysis Framework </w:t>
      </w:r>
    </w:p>
    <w:p w:rsidR="00000000" w:rsidDel="00000000" w:rsidP="00000000" w:rsidRDefault="00000000" w:rsidRPr="00000000" w14:paraId="00000068">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(Source: YouTube. 2023) </w:t>
      </w:r>
    </w:p>
    <w:p w:rsidR="00000000" w:rsidDel="00000000" w:rsidP="00000000" w:rsidRDefault="00000000" w:rsidRPr="00000000" w14:paraId="00000069">
      <w:pPr>
        <w:pStyle w:val="Heading2"/>
        <w:spacing w:after="240" w:before="280" w:line="360" w:lineRule="auto"/>
        <w:jc w:val="both"/>
        <w:rPr>
          <w:rFonts w:ascii="Times New Roman" w:cs="Times New Roman" w:eastAsia="Times New Roman" w:hAnsi="Times New Roman"/>
          <w:b w:val="1"/>
          <w:sz w:val="24"/>
          <w:szCs w:val="24"/>
        </w:rPr>
      </w:pPr>
      <w:bookmarkStart w:colFirst="0" w:colLast="0" w:name="_eqtyrgeo2wyw" w:id="11"/>
      <w:bookmarkEnd w:id="11"/>
      <w:r w:rsidDel="00000000" w:rsidR="00000000" w:rsidRPr="00000000">
        <w:rPr>
          <w:rFonts w:ascii="Times New Roman" w:cs="Times New Roman" w:eastAsia="Times New Roman" w:hAnsi="Times New Roman"/>
          <w:b w:val="1"/>
          <w:sz w:val="24"/>
          <w:szCs w:val="24"/>
          <w:rtl w:val="0"/>
        </w:rPr>
        <w:t xml:space="preserve">SWOT Analysis Of The Company </w:t>
      </w:r>
    </w:p>
    <w:p w:rsidR="00000000" w:rsidDel="00000000" w:rsidP="00000000" w:rsidRDefault="00000000" w:rsidRPr="00000000" w14:paraId="0000006A">
      <w:pPr>
        <w:pStyle w:val="Heading3"/>
        <w:spacing w:after="240" w:before="240" w:line="360" w:lineRule="auto"/>
        <w:jc w:val="both"/>
        <w:rPr>
          <w:rFonts w:ascii="Times New Roman" w:cs="Times New Roman" w:eastAsia="Times New Roman" w:hAnsi="Times New Roman"/>
          <w:b w:val="1"/>
          <w:color w:val="000000"/>
          <w:sz w:val="24"/>
          <w:szCs w:val="24"/>
        </w:rPr>
      </w:pPr>
      <w:bookmarkStart w:colFirst="0" w:colLast="0" w:name="_4krf05pfthbp" w:id="12"/>
      <w:bookmarkEnd w:id="12"/>
      <w:r w:rsidDel="00000000" w:rsidR="00000000" w:rsidRPr="00000000">
        <w:rPr>
          <w:rFonts w:ascii="Times New Roman" w:cs="Times New Roman" w:eastAsia="Times New Roman" w:hAnsi="Times New Roman"/>
          <w:b w:val="1"/>
          <w:color w:val="000000"/>
          <w:sz w:val="24"/>
          <w:szCs w:val="24"/>
          <w:rtl w:val="0"/>
        </w:rPr>
        <w:t xml:space="preserve">Strengths: Established Corporate HR Framework</w:t>
      </w:r>
    </w:p>
    <w:p w:rsidR="00000000" w:rsidDel="00000000" w:rsidP="00000000" w:rsidRDefault="00000000" w:rsidRPr="00000000" w14:paraId="0000006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London Marriott Hotel County Hall has an integrated human resource system from Marriott International with a foundation in the “TakeCare” culture (Neupane and Khanal, 2022). This is a programme that enhances the health, diversity, inclusion and career growth of the employees, which is evident in all the Marriott hotels. The “Spirit to Serve” culture fosters respect, acknowledgement, and advancement of staff in the County Hall property; it provides a clear structure and support (Marriott Hotels stresses the Spirit to Serve, 2008). Also, Marriott International’s internal talent mobility programme enables employees to move into different positions within the company’s brands, hence increasing their commitment to the organisation (Marriott International, 2017).</w:t>
      </w:r>
    </w:p>
    <w:p w:rsidR="00000000" w:rsidDel="00000000" w:rsidP="00000000" w:rsidRDefault="00000000" w:rsidRPr="00000000" w14:paraId="0000006C">
      <w:pPr>
        <w:pStyle w:val="Heading3"/>
        <w:spacing w:after="240" w:before="240" w:line="360" w:lineRule="auto"/>
        <w:jc w:val="both"/>
        <w:rPr>
          <w:rFonts w:ascii="Times New Roman" w:cs="Times New Roman" w:eastAsia="Times New Roman" w:hAnsi="Times New Roman"/>
          <w:b w:val="1"/>
          <w:color w:val="000000"/>
          <w:sz w:val="24"/>
          <w:szCs w:val="24"/>
        </w:rPr>
      </w:pPr>
      <w:bookmarkStart w:colFirst="0" w:colLast="0" w:name="_g4helzydbg1e" w:id="13"/>
      <w:bookmarkEnd w:id="13"/>
      <w:r w:rsidDel="00000000" w:rsidR="00000000" w:rsidRPr="00000000">
        <w:rPr>
          <w:rFonts w:ascii="Times New Roman" w:cs="Times New Roman" w:eastAsia="Times New Roman" w:hAnsi="Times New Roman"/>
          <w:b w:val="1"/>
          <w:color w:val="000000"/>
          <w:sz w:val="24"/>
          <w:szCs w:val="24"/>
          <w:rtl w:val="0"/>
        </w:rPr>
        <w:t xml:space="preserve">Weaknesses: Limited Flexibility in Localised Adaptation</w:t>
      </w:r>
    </w:p>
    <w:p w:rsidR="00000000" w:rsidDel="00000000" w:rsidP="00000000" w:rsidRDefault="00000000" w:rsidRPr="00000000" w14:paraId="0000006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a result of having a clear set of global standards, the homogeneity of Marriott’s policies can hamper innovative problem-solving within particular properties. At the London Marriott Hotel County Hall, some factors affect the labour market in the area; some of which include high cost of living, and limited flexibility in customising wages and remunerations may lead to workforce demotivation (Rastitiati, 2024). In addition, despite there being promotion recognition programmes, junior staff may not have many opportunities for promotion due to hierarchical promotion ladders, as well as the use of formulaic, instead of individual, on-site performance appraisal (Willem and Anwar, 2024).</w:t>
      </w:r>
    </w:p>
    <w:p w:rsidR="00000000" w:rsidDel="00000000" w:rsidP="00000000" w:rsidRDefault="00000000" w:rsidRPr="00000000" w14:paraId="0000006E">
      <w:pPr>
        <w:pStyle w:val="Heading3"/>
        <w:spacing w:after="240" w:before="240" w:line="360" w:lineRule="auto"/>
        <w:jc w:val="both"/>
        <w:rPr>
          <w:rFonts w:ascii="Times New Roman" w:cs="Times New Roman" w:eastAsia="Times New Roman" w:hAnsi="Times New Roman"/>
          <w:b w:val="1"/>
          <w:color w:val="000000"/>
          <w:sz w:val="24"/>
          <w:szCs w:val="24"/>
        </w:rPr>
      </w:pPr>
      <w:bookmarkStart w:colFirst="0" w:colLast="0" w:name="_nt3xo5fhja39" w:id="14"/>
      <w:bookmarkEnd w:id="14"/>
      <w:r w:rsidDel="00000000" w:rsidR="00000000" w:rsidRPr="00000000">
        <w:rPr>
          <w:rFonts w:ascii="Times New Roman" w:cs="Times New Roman" w:eastAsia="Times New Roman" w:hAnsi="Times New Roman"/>
          <w:b w:val="1"/>
          <w:color w:val="000000"/>
          <w:sz w:val="24"/>
          <w:szCs w:val="24"/>
          <w:rtl w:val="0"/>
        </w:rPr>
        <w:t xml:space="preserve">Opportunities: Expansion of TakeCare Initiatives</w:t>
      </w:r>
    </w:p>
    <w:p w:rsidR="00000000" w:rsidDel="00000000" w:rsidP="00000000" w:rsidRDefault="00000000" w:rsidRPr="00000000" w14:paraId="0000006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new proposal of Marriott’s “TakeCare” platform has a large potential for expansion in the County Hall site in terms of improved mental health services, mentorship programs, and digital learning (Marriott International, 2016). The focus that has been placed more on the welfare of the employees after the pandemic also reflects the company’s sustainability standards, making the London Marriott Hotel County Hall stand out as a great organisation to work for in central London against the stiff competition (Marriott International, 2017). Furthermore, the hotel can leverage corporate support in carrying out specific surveys and feedback for the property’s particular goals in terms of staff engagement and staff retention (Hassanein and Özgit, 2022).</w:t>
      </w:r>
    </w:p>
    <w:p w:rsidR="00000000" w:rsidDel="00000000" w:rsidP="00000000" w:rsidRDefault="00000000" w:rsidRPr="00000000" w14:paraId="00000070">
      <w:pPr>
        <w:pStyle w:val="Heading3"/>
        <w:spacing w:after="240" w:before="240" w:line="360" w:lineRule="auto"/>
        <w:jc w:val="both"/>
        <w:rPr>
          <w:rFonts w:ascii="Times New Roman" w:cs="Times New Roman" w:eastAsia="Times New Roman" w:hAnsi="Times New Roman"/>
          <w:b w:val="1"/>
          <w:color w:val="000000"/>
          <w:sz w:val="24"/>
          <w:szCs w:val="24"/>
        </w:rPr>
      </w:pPr>
      <w:bookmarkStart w:colFirst="0" w:colLast="0" w:name="_txmsuhumt4k5" w:id="15"/>
      <w:bookmarkEnd w:id="15"/>
      <w:r w:rsidDel="00000000" w:rsidR="00000000" w:rsidRPr="00000000">
        <w:rPr>
          <w:rFonts w:ascii="Times New Roman" w:cs="Times New Roman" w:eastAsia="Times New Roman" w:hAnsi="Times New Roman"/>
          <w:b w:val="1"/>
          <w:color w:val="000000"/>
          <w:sz w:val="24"/>
          <w:szCs w:val="24"/>
          <w:rtl w:val="0"/>
        </w:rPr>
        <w:t xml:space="preserve">Threats: Labour Market Pressures and Competitive Hiring</w:t>
      </w:r>
    </w:p>
    <w:p w:rsidR="00000000" w:rsidDel="00000000" w:rsidP="00000000" w:rsidRDefault="00000000" w:rsidRPr="00000000" w14:paraId="0000007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Marriott, which has standard operating procedures all over the world for its employees, may find it difficult to operate in the dynamic environment of global cities like London. Employees with more flexible locally developed and malleable HR models may find the competitors more suitable to their needs when it comes to early promotions, telecommuting opportunities in support positions, or flexible schedules (Giousmpasoglou and Marinakou, 2024). Also, the standardised training packages may not be suitable for the culture and the employment market in the UK and/or the specific needs of the London Marriott Hotel County Hall, which may cause a disparity between the skill training and the real-life issues (Cotton, Marriott and Perkins, 2021).</w:t>
      </w:r>
    </w:p>
    <w:p w:rsidR="00000000" w:rsidDel="00000000" w:rsidP="00000000" w:rsidRDefault="00000000" w:rsidRPr="00000000" w14:paraId="00000072">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114300" distT="114300" distL="114300" distR="114300">
            <wp:extent cx="3938588" cy="3905875"/>
            <wp:effectExtent b="25400" l="25400" r="25400" t="25400"/>
            <wp:docPr id="2" name="image5.png"/>
            <a:graphic>
              <a:graphicData uri="http://schemas.openxmlformats.org/drawingml/2006/picture">
                <pic:pic>
                  <pic:nvPicPr>
                    <pic:cNvPr id="0" name="image5.png"/>
                    <pic:cNvPicPr preferRelativeResize="0"/>
                  </pic:nvPicPr>
                  <pic:blipFill>
                    <a:blip r:embed="rId10"/>
                    <a:srcRect b="0" l="0" r="0" t="0"/>
                    <a:stretch>
                      <a:fillRect/>
                    </a:stretch>
                  </pic:blipFill>
                  <pic:spPr>
                    <a:xfrm>
                      <a:off x="0" y="0"/>
                      <a:ext cx="3938588" cy="3905875"/>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73">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4: SWOT Analysis Framework </w:t>
      </w:r>
    </w:p>
    <w:p w:rsidR="00000000" w:rsidDel="00000000" w:rsidP="00000000" w:rsidRDefault="00000000" w:rsidRPr="00000000" w14:paraId="00000074">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(Source: Schooley, 2024)</w:t>
      </w:r>
    </w:p>
    <w:p w:rsidR="00000000" w:rsidDel="00000000" w:rsidP="00000000" w:rsidRDefault="00000000" w:rsidRPr="00000000" w14:paraId="00000075">
      <w:pPr>
        <w:pStyle w:val="Heading2"/>
        <w:spacing w:after="240" w:before="240" w:line="360" w:lineRule="auto"/>
        <w:jc w:val="both"/>
        <w:rPr>
          <w:rFonts w:ascii="Times New Roman" w:cs="Times New Roman" w:eastAsia="Times New Roman" w:hAnsi="Times New Roman"/>
          <w:b w:val="1"/>
          <w:sz w:val="24"/>
          <w:szCs w:val="24"/>
        </w:rPr>
      </w:pPr>
      <w:bookmarkStart w:colFirst="0" w:colLast="0" w:name="_lhvccob67pv4" w:id="16"/>
      <w:bookmarkEnd w:id="16"/>
      <w:r w:rsidDel="00000000" w:rsidR="00000000" w:rsidRPr="00000000">
        <w:rPr>
          <w:rFonts w:ascii="Times New Roman" w:cs="Times New Roman" w:eastAsia="Times New Roman" w:hAnsi="Times New Roman"/>
          <w:b w:val="1"/>
          <w:sz w:val="24"/>
          <w:szCs w:val="24"/>
          <w:rtl w:val="0"/>
        </w:rPr>
        <w:t xml:space="preserve">TOWS Analysis Of The Company </w:t>
      </w:r>
    </w:p>
    <w:tbl>
      <w:tblPr>
        <w:tblStyle w:val="Table2"/>
        <w:tblW w:w="901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875"/>
        <w:gridCol w:w="3540"/>
        <w:gridCol w:w="3600"/>
        <w:tblGridChange w:id="0">
          <w:tblGrid>
            <w:gridCol w:w="1875"/>
            <w:gridCol w:w="3540"/>
            <w:gridCol w:w="3600"/>
          </w:tblGrid>
        </w:tblGridChange>
      </w:tblGrid>
      <w:tr>
        <w:trPr>
          <w:cantSplit w:val="0"/>
          <w:trHeight w:val="81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WS Matrix</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Opportunities (O)</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Threats (T)</w:t>
            </w:r>
            <w:r w:rsidDel="00000000" w:rsidR="00000000" w:rsidRPr="00000000">
              <w:rPr>
                <w:rtl w:val="0"/>
              </w:rPr>
            </w:r>
          </w:p>
        </w:tc>
      </w:tr>
      <w:tr>
        <w:trPr>
          <w:cantSplit w:val="0"/>
          <w:trHeight w:val="330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9">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Strengths (S)</w:t>
            </w:r>
          </w:p>
          <w:p w:rsidR="00000000" w:rsidDel="00000000" w:rsidP="00000000" w:rsidRDefault="00000000" w:rsidRPr="00000000" w14:paraId="0000007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Robust global HR structure;</w:t>
            </w:r>
          </w:p>
          <w:p w:rsidR="00000000" w:rsidDel="00000000" w:rsidP="00000000" w:rsidRDefault="00000000" w:rsidRPr="00000000" w14:paraId="0000007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“TakeCare” culture;</w:t>
            </w:r>
          </w:p>
          <w:p w:rsidR="00000000" w:rsidDel="00000000" w:rsidP="00000000" w:rsidRDefault="00000000" w:rsidRPr="00000000" w14:paraId="0000007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Career mobility via the Marriott portfolio.</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D">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SO Strategies</w:t>
            </w:r>
          </w:p>
          <w:p w:rsidR="00000000" w:rsidDel="00000000" w:rsidP="00000000" w:rsidRDefault="00000000" w:rsidRPr="00000000" w14:paraId="0000007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Enhance Marriott’s TakeCare framework at County Hall to strengthen psychological wellbeing and loyalty (Burnes, 2014).</w:t>
            </w:r>
          </w:p>
          <w:p w:rsidR="00000000" w:rsidDel="00000000" w:rsidP="00000000" w:rsidRDefault="00000000" w:rsidRPr="00000000" w14:paraId="0000007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Leverage global training infrastructure to deliver personalised career progression paths, increasing retention in a competitive market (Whittington et al., 2020).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0">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 Strategies</w:t>
            </w:r>
          </w:p>
          <w:p w:rsidR="00000000" w:rsidDel="00000000" w:rsidP="00000000" w:rsidRDefault="00000000" w:rsidRPr="00000000" w14:paraId="0000008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Use the brand’s reputation to attract and retain staff despite London’s high costs, reinforcing Marriott's global appeal (Buttrick, 2009).</w:t>
            </w:r>
          </w:p>
          <w:p w:rsidR="00000000" w:rsidDel="00000000" w:rsidP="00000000" w:rsidRDefault="00000000" w:rsidRPr="00000000" w14:paraId="0000008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Introduce site-specific incentives within the global HR model to counteract local attrition pressures.</w:t>
            </w:r>
          </w:p>
        </w:tc>
      </w:tr>
      <w:tr>
        <w:trPr>
          <w:cantSplit w:val="0"/>
          <w:trHeight w:val="275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3">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Weaknesses (W)</w:t>
            </w:r>
          </w:p>
          <w:p w:rsidR="00000000" w:rsidDel="00000000" w:rsidP="00000000" w:rsidRDefault="00000000" w:rsidRPr="00000000" w14:paraId="0000008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Limited local HR customisation;</w:t>
            </w:r>
          </w:p>
          <w:p w:rsidR="00000000" w:rsidDel="00000000" w:rsidP="00000000" w:rsidRDefault="00000000" w:rsidRPr="00000000" w14:paraId="0000008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Perceived slow promotions;</w:t>
            </w:r>
          </w:p>
          <w:p w:rsidR="00000000" w:rsidDel="00000000" w:rsidP="00000000" w:rsidRDefault="00000000" w:rsidRPr="00000000" w14:paraId="0000008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Rigid global policy application.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7">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WO Strategies</w:t>
            </w:r>
          </w:p>
          <w:p w:rsidR="00000000" w:rsidDel="00000000" w:rsidP="00000000" w:rsidRDefault="00000000" w:rsidRPr="00000000" w14:paraId="0000008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Apply employee-led redesign of HR policies using feedback channels, increasing inclusivity and engagement (Noordzife, 2014).</w:t>
            </w:r>
          </w:p>
          <w:p w:rsidR="00000000" w:rsidDel="00000000" w:rsidP="00000000" w:rsidRDefault="00000000" w:rsidRPr="00000000" w14:paraId="0000008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Adopt modular e-learning tools to adapt global training for local job-readiness.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A">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WT Strategies</w:t>
            </w:r>
          </w:p>
          <w:p w:rsidR="00000000" w:rsidDel="00000000" w:rsidP="00000000" w:rsidRDefault="00000000" w:rsidRPr="00000000" w14:paraId="0000008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Conduct strategic HR audits to identify and reduce skill mismatches while revising policies that hinder local flexibility (Burnes, 2014).</w:t>
            </w:r>
          </w:p>
          <w:p w:rsidR="00000000" w:rsidDel="00000000" w:rsidP="00000000" w:rsidRDefault="00000000" w:rsidRPr="00000000" w14:paraId="0000008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Strengthen cross-departmental job rotation schemes to broaden skill sets and reduce role fatigue.</w:t>
            </w:r>
          </w:p>
        </w:tc>
      </w:tr>
    </w:tbl>
    <w:p w:rsidR="00000000" w:rsidDel="00000000" w:rsidP="00000000" w:rsidRDefault="00000000" w:rsidRPr="00000000" w14:paraId="0000008D">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E">
      <w:pPr>
        <w:pStyle w:val="Heading1"/>
        <w:widowControl w:val="0"/>
        <w:spacing w:after="240" w:before="240" w:line="360" w:lineRule="auto"/>
        <w:jc w:val="both"/>
        <w:rPr>
          <w:rFonts w:ascii="Times New Roman" w:cs="Times New Roman" w:eastAsia="Times New Roman" w:hAnsi="Times New Roman"/>
          <w:b w:val="1"/>
          <w:sz w:val="24"/>
          <w:szCs w:val="24"/>
        </w:rPr>
      </w:pPr>
      <w:bookmarkStart w:colFirst="0" w:colLast="0" w:name="_p2taxm7saseq" w:id="17"/>
      <w:bookmarkEnd w:id="17"/>
      <w:r w:rsidDel="00000000" w:rsidR="00000000" w:rsidRPr="00000000">
        <w:rPr>
          <w:rFonts w:ascii="Times New Roman" w:cs="Times New Roman" w:eastAsia="Times New Roman" w:hAnsi="Times New Roman"/>
          <w:b w:val="1"/>
          <w:sz w:val="24"/>
          <w:szCs w:val="24"/>
          <w:rtl w:val="0"/>
        </w:rPr>
        <w:t xml:space="preserve">Recommendations and Change Management</w:t>
      </w:r>
    </w:p>
    <w:p w:rsidR="00000000" w:rsidDel="00000000" w:rsidP="00000000" w:rsidRDefault="00000000" w:rsidRPr="00000000" w14:paraId="0000008F">
      <w:pPr>
        <w:pStyle w:val="Heading2"/>
        <w:widowControl w:val="0"/>
        <w:spacing w:after="240" w:before="280" w:line="360" w:lineRule="auto"/>
        <w:jc w:val="both"/>
        <w:rPr>
          <w:rFonts w:ascii="Times New Roman" w:cs="Times New Roman" w:eastAsia="Times New Roman" w:hAnsi="Times New Roman"/>
          <w:b w:val="1"/>
          <w:sz w:val="24"/>
          <w:szCs w:val="24"/>
        </w:rPr>
      </w:pPr>
      <w:bookmarkStart w:colFirst="0" w:colLast="0" w:name="_o8bg1w32g4qm" w:id="18"/>
      <w:bookmarkEnd w:id="18"/>
      <w:r w:rsidDel="00000000" w:rsidR="00000000" w:rsidRPr="00000000">
        <w:rPr>
          <w:rFonts w:ascii="Times New Roman" w:cs="Times New Roman" w:eastAsia="Times New Roman" w:hAnsi="Times New Roman"/>
          <w:b w:val="1"/>
          <w:sz w:val="24"/>
          <w:szCs w:val="24"/>
          <w:rtl w:val="0"/>
        </w:rPr>
        <w:t xml:space="preserve">Recommendations Based On The Issues </w:t>
      </w:r>
    </w:p>
    <w:p w:rsidR="00000000" w:rsidDel="00000000" w:rsidP="00000000" w:rsidRDefault="00000000" w:rsidRPr="00000000" w14:paraId="00000090">
      <w:pPr>
        <w:widowControl w:val="0"/>
        <w:numPr>
          <w:ilvl w:val="0"/>
          <w:numId w:val="1"/>
        </w:numPr>
        <w:spacing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Strategic Clarity through Stakeholder Alignment</w:t>
      </w:r>
    </w:p>
    <w:p w:rsidR="00000000" w:rsidDel="00000000" w:rsidP="00000000" w:rsidRDefault="00000000" w:rsidRPr="00000000" w14:paraId="00000091">
      <w:pPr>
        <w:widowControl w:val="0"/>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92">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is the case because poor alignment between the management’s directives and the stakeholders’ expectations leads to ineffective implementation and operation. As such, it is advised that the organisation embraces a participative practice-based approach to strategy formulation based on Whittington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s (2020) perspective on strategy. By engaging the internal and external stakeholders in the formulation of strategic decisions, the alignment is attained easily, hence minimising conflict and improving commitment. This should be done systematically using channels such as forums, feedback, and performance indicators, which will also assist in the management of uncertainty since stakeholders develop confidence in the vision (Kotter, 2012; Subramaniam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2011).</w:t>
      </w:r>
    </w:p>
    <w:p w:rsidR="00000000" w:rsidDel="00000000" w:rsidP="00000000" w:rsidRDefault="00000000" w:rsidRPr="00000000" w14:paraId="00000093">
      <w:pPr>
        <w:widowControl w:val="0"/>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94">
      <w:pPr>
        <w:widowControl w:val="0"/>
        <w:numPr>
          <w:ilvl w:val="0"/>
          <w:numId w:val="1"/>
        </w:numPr>
        <w:spacing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Professionalisation of Project Management Practices</w:t>
      </w:r>
    </w:p>
    <w:p w:rsidR="00000000" w:rsidDel="00000000" w:rsidP="00000000" w:rsidRDefault="00000000" w:rsidRPr="00000000" w14:paraId="00000095">
      <w:pPr>
        <w:widowControl w:val="0"/>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96">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Noordzife (2014), poor planning of hotel opening projects results in project execution problems, which are mainly the result of poor risk assessment and the project definition phase. As such, it becomes necessary to implement formalised management techniques like PRINCE2 that define requirements and goals, responsibilities and accountabilities, and contingencies (Simonaitis, Daukšys and Mockienė,  2023). This recommendation is by Burnes (2014) on the importance of readiness for change and systems integration. Establishing a stronger framework will eliminate the use of haphazard decision-making and bring more responsibility and clear advancement.</w:t>
      </w:r>
    </w:p>
    <w:p w:rsidR="00000000" w:rsidDel="00000000" w:rsidP="00000000" w:rsidRDefault="00000000" w:rsidRPr="00000000" w14:paraId="00000097">
      <w:pPr>
        <w:widowControl w:val="0"/>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98">
      <w:pPr>
        <w:widowControl w:val="0"/>
        <w:numPr>
          <w:ilvl w:val="0"/>
          <w:numId w:val="1"/>
        </w:numPr>
        <w:spacing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Employee Motivation and Development through Human Relations Theory</w:t>
      </w:r>
    </w:p>
    <w:p w:rsidR="00000000" w:rsidDel="00000000" w:rsidP="00000000" w:rsidRDefault="00000000" w:rsidRPr="00000000" w14:paraId="00000099">
      <w:pPr>
        <w:widowControl w:val="0"/>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9A">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address some of the problems that may be associated with the employees’ disengagement, and or the lack of the desired productivity levels within the organisation, the Human Relations Theory of the management of employees should be adopted (Omolawal, 2021). This theory, based on the Hawthorne studies, stresses the significance of the social variables and productivity of the employees (Joseph, 2023). Thus, creating spaces for communication, recognition, as well as the involvement in decision-making processes, fosters employees, boosting their morale. In their own words, Baron and Armstrong (2007) posit that human capital is an important organisational asset that needs to be developed. Moreover, there is a need to transform the role of HR from being a more reactive one and move toward a change agent who supports the consolidation of skills and coordination of individual activities towards the change process (Whittington and Molloy, 2005).</w:t>
      </w:r>
    </w:p>
    <w:p w:rsidR="00000000" w:rsidDel="00000000" w:rsidP="00000000" w:rsidRDefault="00000000" w:rsidRPr="00000000" w14:paraId="0000009B">
      <w:pPr>
        <w:widowControl w:val="0"/>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9C">
      <w:pPr>
        <w:widowControl w:val="0"/>
        <w:numPr>
          <w:ilvl w:val="0"/>
          <w:numId w:val="1"/>
        </w:numPr>
        <w:spacing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Effective Use of External Consultancy</w:t>
      </w:r>
    </w:p>
    <w:p w:rsidR="00000000" w:rsidDel="00000000" w:rsidP="00000000" w:rsidRDefault="00000000" w:rsidRPr="00000000" w14:paraId="0000009D">
      <w:pPr>
        <w:widowControl w:val="0"/>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9E">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makes consultants be overwhelmed and confused most of the time due to the unclear scopes and over-reliance on institutional reputation (Mavridopoulou and O’Mahoney, 2020). Licensing is also highly advised in that there should be consultancy contracts that are based on performance, which also state the deliverables, compatibility of the contract with the context, and knowledge transfer requirements. This is in concordance with Kipping and Clark (2012), who encouraged consultants to be enablers who do not eliminate the internal capacity. Thus, positioning consultants as a strategic business partner will help the organisation to develop long-term capabilities and guarantee the application of relevant and useful advice (Aslam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2022).</w:t>
      </w:r>
    </w:p>
    <w:p w:rsidR="00000000" w:rsidDel="00000000" w:rsidP="00000000" w:rsidRDefault="00000000" w:rsidRPr="00000000" w14:paraId="0000009F">
      <w:pPr>
        <w:widowControl w:val="0"/>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A0">
      <w:pPr>
        <w:widowControl w:val="0"/>
        <w:numPr>
          <w:ilvl w:val="0"/>
          <w:numId w:val="1"/>
        </w:numPr>
        <w:spacing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Adaptive Growth through Responsive Structures</w:t>
      </w:r>
    </w:p>
    <w:p w:rsidR="00000000" w:rsidDel="00000000" w:rsidP="00000000" w:rsidRDefault="00000000" w:rsidRPr="00000000" w14:paraId="000000A1">
      <w:pPr>
        <w:widowControl w:val="0"/>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A2">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implementation of scaling leads to the building of structures that can negatively affect flexibility. Referring to O’Mahoney (2021), decentralised and client-oriented small firms have more advantages than firms that are restricted by legacy structures. Larger organisations should follow the above example by organising large teams and allowing middle managers to sponsor micro-innovation (Horwitch, 2022). This will ensure that change ownership among the different layers is maintained and the solutions attained are sustainable and scalable.</w:t>
      </w:r>
    </w:p>
    <w:p w:rsidR="00000000" w:rsidDel="00000000" w:rsidP="00000000" w:rsidRDefault="00000000" w:rsidRPr="00000000" w14:paraId="000000A3">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4">
      <w:pPr>
        <w:pStyle w:val="Heading2"/>
        <w:widowControl w:val="0"/>
        <w:spacing w:after="240" w:before="280" w:line="360" w:lineRule="auto"/>
        <w:jc w:val="both"/>
        <w:rPr>
          <w:rFonts w:ascii="Times New Roman" w:cs="Times New Roman" w:eastAsia="Times New Roman" w:hAnsi="Times New Roman"/>
          <w:b w:val="1"/>
          <w:sz w:val="24"/>
          <w:szCs w:val="24"/>
        </w:rPr>
      </w:pPr>
      <w:bookmarkStart w:colFirst="0" w:colLast="0" w:name="_2k8mbbnnt76p" w:id="19"/>
      <w:bookmarkEnd w:id="19"/>
      <w:r w:rsidDel="00000000" w:rsidR="00000000" w:rsidRPr="00000000">
        <w:rPr>
          <w:rFonts w:ascii="Times New Roman" w:cs="Times New Roman" w:eastAsia="Times New Roman" w:hAnsi="Times New Roman"/>
          <w:b w:val="1"/>
          <w:sz w:val="24"/>
          <w:szCs w:val="24"/>
          <w:rtl w:val="0"/>
        </w:rPr>
        <w:t xml:space="preserve">Change Management For Each Recommendation </w:t>
      </w:r>
    </w:p>
    <w:p w:rsidR="00000000" w:rsidDel="00000000" w:rsidP="00000000" w:rsidRDefault="00000000" w:rsidRPr="00000000" w14:paraId="000000A5">
      <w:pPr>
        <w:widowControl w:val="0"/>
        <w:numPr>
          <w:ilvl w:val="0"/>
          <w:numId w:val="5"/>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Strategic Clarity through Stakeholder Alignment</w:t>
      </w:r>
      <w:r w:rsidDel="00000000" w:rsidR="00000000" w:rsidRPr="00000000">
        <w:rPr>
          <w:rtl w:val="0"/>
        </w:rPr>
      </w:r>
    </w:p>
    <w:p w:rsidR="00000000" w:rsidDel="00000000" w:rsidP="00000000" w:rsidRDefault="00000000" w:rsidRPr="00000000" w14:paraId="000000A6">
      <w:pPr>
        <w:widowControl w:val="0"/>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first two processes identified by Kotter can be used to mobilise support for the stakeholder-involved strategy formulation (Somera and Petrova, 2024). If misalignment occurs, then stakeholders must be informed through frequent communication and achieved targets (processes four and six). It is the opinion of Subramaniam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(2011) that uncertainty can be decreased through transparency, and this in turn reduces resistance.</w:t>
      </w:r>
    </w:p>
    <w:p w:rsidR="00000000" w:rsidDel="00000000" w:rsidP="00000000" w:rsidRDefault="00000000" w:rsidRPr="00000000" w14:paraId="000000A7">
      <w:pPr>
        <w:widowControl w:val="0"/>
        <w:numPr>
          <w:ilvl w:val="0"/>
          <w:numId w:val="5"/>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Professionalisation of Project Management Practices</w:t>
      </w:r>
      <w:r w:rsidDel="00000000" w:rsidR="00000000" w:rsidRPr="00000000">
        <w:rPr>
          <w:rtl w:val="0"/>
        </w:rPr>
      </w:r>
    </w:p>
    <w:p w:rsidR="00000000" w:rsidDel="00000000" w:rsidP="00000000" w:rsidRDefault="00000000" w:rsidRPr="00000000" w14:paraId="000000A8">
      <w:pPr>
        <w:widowControl w:val="0"/>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Adopting formal frameworks such as PRINCE2 may also cause resistance, as there has been a development of informal practices. Kotter’s fifth step of empowering broad-based action is applicable here, where one needs to eliminate any restrictive structures and provide training (Salifu-Sidii, 2025). Burnes (2014) advocates for systemic coherence, where he posits that competent project leads should be granted authority to prevent disruption of change efforts.</w:t>
      </w:r>
    </w:p>
    <w:p w:rsidR="00000000" w:rsidDel="00000000" w:rsidP="00000000" w:rsidRDefault="00000000" w:rsidRPr="00000000" w14:paraId="000000A9">
      <w:pPr>
        <w:widowControl w:val="0"/>
        <w:numPr>
          <w:ilvl w:val="0"/>
          <w:numId w:val="5"/>
        </w:numPr>
        <w:spacing w:after="240" w:before="240"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Employee Motivation and Development through Human Relations Theory</w:t>
      </w:r>
    </w:p>
    <w:p w:rsidR="00000000" w:rsidDel="00000000" w:rsidP="00000000" w:rsidRDefault="00000000" w:rsidRPr="00000000" w14:paraId="000000AA">
      <w:pPr>
        <w:widowControl w:val="0"/>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also evident that staff resistance may occur when changes to the workplace culture seem forced. Step 3 from Kotter’s 8-step model of change is the development of vision, and Step 7 is to produce more gain. From the Human Relations Theory, social integration and commitment strengthen the notion of change among employees, thus inculcating an appreciation of change (Baron and Armstrong, 2007).</w:t>
      </w:r>
    </w:p>
    <w:p w:rsidR="00000000" w:rsidDel="00000000" w:rsidP="00000000" w:rsidRDefault="00000000" w:rsidRPr="00000000" w14:paraId="000000AB">
      <w:pPr>
        <w:widowControl w:val="0"/>
        <w:numPr>
          <w:ilvl w:val="0"/>
          <w:numId w:val="5"/>
        </w:numPr>
        <w:spacing w:after="240" w:before="240"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Effective Use of External Consultancy</w:t>
      </w:r>
    </w:p>
    <w:p w:rsidR="00000000" w:rsidDel="00000000" w:rsidP="00000000" w:rsidRDefault="00000000" w:rsidRPr="00000000" w14:paraId="000000AC">
      <w:pPr>
        <w:widowControl w:val="0"/>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Unclear scopes may also lead to misunderstandings of what is expected of the other party. These two steps are helpful in the change management process: Kotter’s second step (building a guiding coalition) and the eighth step (anchoring change in culture) involve internal champions and incorporate consultant collaboration into the daily processes (Zambrano Cancañón, LaoLeón, and Moreno Pino, 2022). Licensing based on deliverables makes it easier to account for the delivery of what has been agreed for implementation (Kipping and Clark, 2012).</w:t>
      </w:r>
    </w:p>
    <w:p w:rsidR="00000000" w:rsidDel="00000000" w:rsidP="00000000" w:rsidRDefault="00000000" w:rsidRPr="00000000" w14:paraId="000000AD">
      <w:pPr>
        <w:widowControl w:val="0"/>
        <w:numPr>
          <w:ilvl w:val="0"/>
          <w:numId w:val="5"/>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Adaptive Growth through Responsive Structures</w:t>
      </w:r>
      <w:r w:rsidDel="00000000" w:rsidR="00000000" w:rsidRPr="00000000">
        <w:rPr>
          <w:rtl w:val="0"/>
        </w:rPr>
      </w:r>
    </w:p>
    <w:p w:rsidR="00000000" w:rsidDel="00000000" w:rsidP="00000000" w:rsidRDefault="00000000" w:rsidRPr="00000000" w14:paraId="000000AE">
      <w:pPr>
        <w:widowControl w:val="0"/>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reason why middle management may not support decentralisation is that he or she lose control of the team or department. Leaders can exemplify these benefits at the pilot stage in Kotter’s steps 4 and 6, communication of the vision and short-term successes (Miles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2023). According to O’Mahoney (2021), when micro-innovation becomes visible, there is more acceptance across the organisation.</w:t>
      </w:r>
    </w:p>
    <w:p w:rsidR="00000000" w:rsidDel="00000000" w:rsidP="00000000" w:rsidRDefault="00000000" w:rsidRPr="00000000" w14:paraId="000000AF">
      <w:pPr>
        <w:widowControl w:val="0"/>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619500" cy="3476625"/>
            <wp:effectExtent b="25400" l="25400" r="25400" t="25400"/>
            <wp:docPr id="5" name="image3.png"/>
            <a:graphic>
              <a:graphicData uri="http://schemas.openxmlformats.org/drawingml/2006/picture">
                <pic:pic>
                  <pic:nvPicPr>
                    <pic:cNvPr id="0" name="image3.png"/>
                    <pic:cNvPicPr preferRelativeResize="0"/>
                  </pic:nvPicPr>
                  <pic:blipFill>
                    <a:blip r:embed="rId11"/>
                    <a:srcRect b="0" l="17774" r="19101" t="0"/>
                    <a:stretch>
                      <a:fillRect/>
                    </a:stretch>
                  </pic:blipFill>
                  <pic:spPr>
                    <a:xfrm>
                      <a:off x="0" y="0"/>
                      <a:ext cx="3619500" cy="3476625"/>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B0">
      <w:pPr>
        <w:widowControl w:val="0"/>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5: Kotter’s 8-Step Change Model </w:t>
      </w:r>
    </w:p>
    <w:p w:rsidR="00000000" w:rsidDel="00000000" w:rsidP="00000000" w:rsidRDefault="00000000" w:rsidRPr="00000000" w14:paraId="000000B1">
      <w:pPr>
        <w:widowControl w:val="0"/>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(Source: Lucidity. 2023)</w:t>
      </w:r>
    </w:p>
    <w:p w:rsidR="00000000" w:rsidDel="00000000" w:rsidP="00000000" w:rsidRDefault="00000000" w:rsidRPr="00000000" w14:paraId="000000B2">
      <w:pPr>
        <w:pStyle w:val="Heading1"/>
        <w:widowControl w:val="0"/>
        <w:spacing w:after="240" w:before="240" w:line="360" w:lineRule="auto"/>
        <w:jc w:val="both"/>
        <w:rPr>
          <w:rFonts w:ascii="Times New Roman" w:cs="Times New Roman" w:eastAsia="Times New Roman" w:hAnsi="Times New Roman"/>
          <w:b w:val="1"/>
          <w:sz w:val="24"/>
          <w:szCs w:val="24"/>
        </w:rPr>
      </w:pPr>
      <w:bookmarkStart w:colFirst="0" w:colLast="0" w:name="_v3fwo4yql30t" w:id="20"/>
      <w:bookmarkEnd w:id="20"/>
      <w:r w:rsidDel="00000000" w:rsidR="00000000" w:rsidRPr="00000000">
        <w:rPr>
          <w:rFonts w:ascii="Times New Roman" w:cs="Times New Roman" w:eastAsia="Times New Roman" w:hAnsi="Times New Roman"/>
          <w:b w:val="1"/>
          <w:sz w:val="24"/>
          <w:szCs w:val="24"/>
          <w:rtl w:val="0"/>
        </w:rPr>
        <w:t xml:space="preserve">Measuring the Success of Each Recommendation</w:t>
      </w:r>
    </w:p>
    <w:p w:rsidR="00000000" w:rsidDel="00000000" w:rsidP="00000000" w:rsidRDefault="00000000" w:rsidRPr="00000000" w14:paraId="000000B3">
      <w:pPr>
        <w:widowControl w:val="0"/>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this reason, it is crucial to establish specific targets for the recommendations and define the goals that will have to be achieved both in the short and long term, as well as the views of the stakeholders that are expected from the outcomes of the recommendations. Evaluation frameworks should include components on performance measures and indicators, feedback and the monitoring and evaluation processes (Peng, 2022).</w:t>
      </w:r>
    </w:p>
    <w:p w:rsidR="00000000" w:rsidDel="00000000" w:rsidP="00000000" w:rsidRDefault="00000000" w:rsidRPr="00000000" w14:paraId="000000B4">
      <w:pPr>
        <w:widowControl w:val="0"/>
        <w:numPr>
          <w:ilvl w:val="0"/>
          <w:numId w:val="4"/>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Strategic Clarity through Stakeholder Alignment</w:t>
      </w:r>
      <w:r w:rsidDel="00000000" w:rsidR="00000000" w:rsidRPr="00000000">
        <w:rPr>
          <w:rtl w:val="0"/>
        </w:rPr>
      </w:r>
    </w:p>
    <w:p w:rsidR="00000000" w:rsidDel="00000000" w:rsidP="00000000" w:rsidRDefault="00000000" w:rsidRPr="00000000" w14:paraId="000000B5">
      <w:pPr>
        <w:widowControl w:val="0"/>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thus expected that the level of strategic congruency with strategic initiatives on the one hand and stakeholder expectations on the other hand will determine success. Strategic measures for assessing organisational performance are the overall rates of stakeholder engagement in the strategy forums, the number of strategic conflicts and the satisfaction scores of stakeholders. It can also be measured by enhanced strategic plan timelines for implementation and realisation of performance goals (Whittington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2020). Most notable is Kotter’s (2012) focus on vision, especially having a significant degree of support from key organisational stakeholders.</w:t>
      </w:r>
    </w:p>
    <w:p w:rsidR="00000000" w:rsidDel="00000000" w:rsidP="00000000" w:rsidRDefault="00000000" w:rsidRPr="00000000" w14:paraId="000000B6">
      <w:pPr>
        <w:widowControl w:val="0"/>
        <w:numPr>
          <w:ilvl w:val="0"/>
          <w:numId w:val="4"/>
        </w:numPr>
        <w:spacing w:after="240" w:before="240"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Professionalisation of Project Management Practices</w:t>
      </w:r>
    </w:p>
    <w:p w:rsidR="00000000" w:rsidDel="00000000" w:rsidP="00000000" w:rsidRDefault="00000000" w:rsidRPr="00000000" w14:paraId="000000B7">
      <w:pPr>
        <w:widowControl w:val="0"/>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Success here hinges on improved project outcomes. Measures may cover timely project completion, cost control, minimised project scope fluctuations, and improvement in the management of risks. Noordzife (2014) underscores the significance of clear project definitions and contingency planning. This will be evident from monitoring the various project audits and the post-completion reviews on efficiency and process maturity. Training completion rates and project team satisfaction are also used as the second-level measures of adoption (Mukhtar, Setiawan and Walujo, 2021).</w:t>
      </w:r>
    </w:p>
    <w:p w:rsidR="00000000" w:rsidDel="00000000" w:rsidP="00000000" w:rsidRDefault="00000000" w:rsidRPr="00000000" w14:paraId="000000B8">
      <w:pPr>
        <w:widowControl w:val="0"/>
        <w:numPr>
          <w:ilvl w:val="0"/>
          <w:numId w:val="4"/>
        </w:numPr>
        <w:spacing w:after="240" w:before="240"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Employee Motivation and Development through Human Relations Theory</w:t>
      </w:r>
    </w:p>
    <w:p w:rsidR="00000000" w:rsidDel="00000000" w:rsidP="00000000" w:rsidRDefault="00000000" w:rsidRPr="00000000" w14:paraId="000000B9">
      <w:pPr>
        <w:widowControl w:val="0"/>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Measures of success will be assessed by an enhancement in the levels of engagement of the employees, reduced turnover, and enhanced levels of productivity. Baron and Armstrong (2007), in this regard, call for treating human capital as an asset, and therefore, indicators like participation in decision-making forums, internal promotion rates, and training uptake will indicate development. The use of pulse surveys and feedback can give an organisation instant gratification on morale and climate (Sharafutdinova, Palyakin and Shafigullina, 2021).</w:t>
      </w:r>
    </w:p>
    <w:p w:rsidR="00000000" w:rsidDel="00000000" w:rsidP="00000000" w:rsidRDefault="00000000" w:rsidRPr="00000000" w14:paraId="000000BA">
      <w:pPr>
        <w:widowControl w:val="0"/>
        <w:numPr>
          <w:ilvl w:val="0"/>
          <w:numId w:val="4"/>
        </w:numPr>
        <w:spacing w:after="240" w:before="240"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Effective Use of External Consultancy</w:t>
      </w:r>
    </w:p>
    <w:p w:rsidR="00000000" w:rsidDel="00000000" w:rsidP="00000000" w:rsidRDefault="00000000" w:rsidRPr="00000000" w14:paraId="000000BB">
      <w:pPr>
        <w:widowControl w:val="0"/>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indicators that will be used for the measurement will include contract performance, the return on consultancy investment and knowledge management. The measures of success will include the achievement of set deliverables, enhanced quality of decisions made within the organisation and the gradual decrease in the reliance on external consultants (Kipping and Clark, 2012). Other forms of consultant assessments include performance-based consultancy assessments and capability reviews from time to time to validate the consultant-driven changes.</w:t>
      </w:r>
    </w:p>
    <w:p w:rsidR="00000000" w:rsidDel="00000000" w:rsidP="00000000" w:rsidRDefault="00000000" w:rsidRPr="00000000" w14:paraId="000000BC">
      <w:pPr>
        <w:widowControl w:val="0"/>
        <w:numPr>
          <w:ilvl w:val="0"/>
          <w:numId w:val="4"/>
        </w:numPr>
        <w:spacing w:after="240" w:before="240"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Adaptive Growth through Responsive Structures </w:t>
      </w:r>
    </w:p>
    <w:p w:rsidR="00000000" w:rsidDel="00000000" w:rsidP="00000000" w:rsidRDefault="00000000" w:rsidRPr="00000000" w14:paraId="000000BD">
      <w:pPr>
        <w:widowControl w:val="0"/>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These are fast cycle times, higher innovation rates, and the ability to address customers’ concerns as presented by the hypothesis. According to O’Mahoney (2021), decentralisation effectiveness can be measured based on the number of localised changes and the extent of mid-level teams’ self-governance. It will also increase the improvement in cross-functional cooperation, encouraged by structure-mapping tools as well as performance dashboards that would show the team’s flexibility and ability to adapt to change.</w:t>
      </w:r>
    </w:p>
    <w:p w:rsidR="00000000" w:rsidDel="00000000" w:rsidP="00000000" w:rsidRDefault="00000000" w:rsidRPr="00000000" w14:paraId="000000BE">
      <w:pPr>
        <w:pStyle w:val="Heading2"/>
        <w:widowControl w:val="0"/>
        <w:spacing w:after="240" w:before="240" w:line="360" w:lineRule="auto"/>
        <w:jc w:val="both"/>
        <w:rPr>
          <w:rFonts w:ascii="Times New Roman" w:cs="Times New Roman" w:eastAsia="Times New Roman" w:hAnsi="Times New Roman"/>
          <w:b w:val="1"/>
          <w:sz w:val="24"/>
          <w:szCs w:val="24"/>
        </w:rPr>
      </w:pPr>
      <w:bookmarkStart w:colFirst="0" w:colLast="0" w:name="_207suded59yl" w:id="21"/>
      <w:bookmarkEnd w:id="21"/>
      <w:r w:rsidDel="00000000" w:rsidR="00000000" w:rsidRPr="00000000">
        <w:rPr>
          <w:rFonts w:ascii="Times New Roman" w:cs="Times New Roman" w:eastAsia="Times New Roman" w:hAnsi="Times New Roman"/>
          <w:b w:val="1"/>
          <w:sz w:val="24"/>
          <w:szCs w:val="24"/>
          <w:rtl w:val="0"/>
        </w:rPr>
        <w:t xml:space="preserve">Potential Benefits for the Hotel from Implementing Recommended Strategies</w:t>
      </w:r>
    </w:p>
    <w:p w:rsidR="00000000" w:rsidDel="00000000" w:rsidP="00000000" w:rsidRDefault="00000000" w:rsidRPr="00000000" w14:paraId="000000BF">
      <w:pPr>
        <w:widowControl w:val="0"/>
        <w:numPr>
          <w:ilvl w:val="0"/>
          <w:numId w:val="3"/>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Enhanced Organisational Cohesion and Strategic Execution</w:t>
      </w:r>
      <w:r w:rsidDel="00000000" w:rsidR="00000000" w:rsidRPr="00000000">
        <w:rPr>
          <w:rtl w:val="0"/>
        </w:rPr>
      </w:r>
    </w:p>
    <w:p w:rsidR="00000000" w:rsidDel="00000000" w:rsidP="00000000" w:rsidRDefault="00000000" w:rsidRPr="00000000" w14:paraId="000000C0">
      <w:pPr>
        <w:widowControl w:val="0"/>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organisation is certain to gain better internal cohesiveness and a coordinated vision from the departments if there is an effective alignment of the stakeholders with the strategic direction of the hotel (Ada, Omosebi and Ayaga, 2023). It was found by Whittington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(2020) that strategies which are developed in collaboration with internal and external stakeholders are likely to be implemented and embraced. This minimises resistance while at the same time increasing ownership, alignment to strategy and speeding up decision-making processes.</w:t>
      </w:r>
    </w:p>
    <w:p w:rsidR="00000000" w:rsidDel="00000000" w:rsidP="00000000" w:rsidRDefault="00000000" w:rsidRPr="00000000" w14:paraId="000000C1">
      <w:pPr>
        <w:widowControl w:val="0"/>
        <w:numPr>
          <w:ilvl w:val="0"/>
          <w:numId w:val="3"/>
        </w:numPr>
        <w:spacing w:after="240" w:before="240"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Improved Project Efficiency and Risk Mitigation</w:t>
      </w:r>
    </w:p>
    <w:p w:rsidR="00000000" w:rsidDel="00000000" w:rsidP="00000000" w:rsidRDefault="00000000" w:rsidRPr="00000000" w14:paraId="000000C2">
      <w:pPr>
        <w:widowControl w:val="0"/>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Application of a proper structure that has been developed professionally with the help of PRINCE2 will also mean that there are higher probabilities of having a proper result in terms of opening more hotels or refurbishing the existing ones. In the context of the research, Noordzife (2014) points out that project roles, timelines, and risk frameworks help in enhancing the likelihood of timely and cost-effective execution of the projects. Thus, the hotel will rather avoid such issues as time and cost inefficiencies and mismatches in the delivered services, which will enhance its operational credibility and image.</w:t>
      </w:r>
    </w:p>
    <w:p w:rsidR="00000000" w:rsidDel="00000000" w:rsidP="00000000" w:rsidRDefault="00000000" w:rsidRPr="00000000" w14:paraId="000000C3">
      <w:pPr>
        <w:widowControl w:val="0"/>
        <w:numPr>
          <w:ilvl w:val="0"/>
          <w:numId w:val="3"/>
        </w:numPr>
        <w:spacing w:after="240" w:before="240"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Elevated Employee Engagement and Retention</w:t>
      </w:r>
    </w:p>
    <w:p w:rsidR="00000000" w:rsidDel="00000000" w:rsidP="00000000" w:rsidRDefault="00000000" w:rsidRPr="00000000" w14:paraId="000000C4">
      <w:pPr>
        <w:widowControl w:val="0"/>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Implementing Human Relations Theory in managing employees will ensure the promotion of a healthy and friendly organisational culture, thus improving the staff turnover. The employees who are committed towards their work are more productive, innovative and customer-oriented, which are the key aspects for the hospitality industry (Baron and Armstrong, 2007). Also, employees’ participation in decision-making can lead to the development of new ways of creating services and enhancing guests’ satisfaction (Jerab and Mabrouk, 2023).</w:t>
      </w:r>
    </w:p>
    <w:p w:rsidR="00000000" w:rsidDel="00000000" w:rsidP="00000000" w:rsidRDefault="00000000" w:rsidRPr="00000000" w14:paraId="000000C5">
      <w:pPr>
        <w:widowControl w:val="0"/>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6">
      <w:pPr>
        <w:widowControl w:val="0"/>
        <w:numPr>
          <w:ilvl w:val="0"/>
          <w:numId w:val="3"/>
        </w:numPr>
        <w:spacing w:after="240" w:before="240"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Strategic Use of External Expertise</w:t>
      </w:r>
    </w:p>
    <w:p w:rsidR="00000000" w:rsidDel="00000000" w:rsidP="00000000" w:rsidRDefault="00000000" w:rsidRPr="00000000" w14:paraId="000000C7">
      <w:pPr>
        <w:widowControl w:val="0"/>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Engaging consultants based on specifically defined and outcomes-based arrangements is useful for the hotel because it achieves the benefit of external expertise while maintaining internal control. As pointed out by Kipping and Clark (2012), this approach can help in minimising over-dependency and at the same time facilitate knowledge transfer. It develops the internal competencies and inculcates best practices, and guarantees that any change made by consultancies is long-term.</w:t>
      </w:r>
    </w:p>
    <w:p w:rsidR="00000000" w:rsidDel="00000000" w:rsidP="00000000" w:rsidRDefault="00000000" w:rsidRPr="00000000" w14:paraId="000000C8">
      <w:pPr>
        <w:widowControl w:val="0"/>
        <w:numPr>
          <w:ilvl w:val="0"/>
          <w:numId w:val="3"/>
        </w:numPr>
        <w:spacing w:after="240" w:before="240"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Greater Flexibility and Scalable Innovation</w:t>
      </w:r>
    </w:p>
    <w:p w:rsidR="00000000" w:rsidDel="00000000" w:rsidP="00000000" w:rsidRDefault="00000000" w:rsidRPr="00000000" w14:paraId="000000C9">
      <w:pPr>
        <w:widowControl w:val="0"/>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also strategically advantageous to adopt responsive organisation structures which enable the hotel to change in response to the pressures of the market. As O’Mahoney (2021) notes, decentralising the teams to drive micro-innovations results in customised guest services, faster problem solving and high responsiveness. This structure puts the hotel at an advantage in the market to scale up while ensuring that the quality of the services delivered to the market is not compromised (Hingorani and Swami, 2025).</w:t>
      </w:r>
    </w:p>
    <w:p w:rsidR="00000000" w:rsidDel="00000000" w:rsidP="00000000" w:rsidRDefault="00000000" w:rsidRPr="00000000" w14:paraId="000000CA">
      <w:pPr>
        <w:pStyle w:val="Heading2"/>
        <w:widowControl w:val="0"/>
        <w:spacing w:after="240" w:before="240" w:line="360" w:lineRule="auto"/>
        <w:jc w:val="both"/>
        <w:rPr>
          <w:rFonts w:ascii="Times New Roman" w:cs="Times New Roman" w:eastAsia="Times New Roman" w:hAnsi="Times New Roman"/>
          <w:b w:val="1"/>
          <w:sz w:val="24"/>
          <w:szCs w:val="24"/>
        </w:rPr>
      </w:pPr>
      <w:bookmarkStart w:colFirst="0" w:colLast="0" w:name="_r6ncu1t5ytj2" w:id="22"/>
      <w:bookmarkEnd w:id="22"/>
      <w:r w:rsidDel="00000000" w:rsidR="00000000" w:rsidRPr="00000000">
        <w:rPr>
          <w:rFonts w:ascii="Times New Roman" w:cs="Times New Roman" w:eastAsia="Times New Roman" w:hAnsi="Times New Roman"/>
          <w:b w:val="1"/>
          <w:sz w:val="24"/>
          <w:szCs w:val="24"/>
          <w:rtl w:val="0"/>
        </w:rPr>
        <w:t xml:space="preserve">Projected Budget for Implementing Strategic Recommendations at the London Marriott Hotel County Hall</w:t>
      </w:r>
    </w:p>
    <w:p w:rsidR="00000000" w:rsidDel="00000000" w:rsidP="00000000" w:rsidRDefault="00000000" w:rsidRPr="00000000" w14:paraId="000000CB">
      <w:pPr>
        <w:widowControl w:val="0"/>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Since London Marriott Hotel County Hall is a luxury hotel generating high revenues annually, which are normally between £30- £50 million, it is justified to invest in organisational improvement. The costs associated with each recommendation are approximated and presented in proportion to one another below:</w:t>
      </w:r>
    </w:p>
    <w:p w:rsidR="00000000" w:rsidDel="00000000" w:rsidP="00000000" w:rsidRDefault="00000000" w:rsidRPr="00000000" w14:paraId="000000CC">
      <w:pPr>
        <w:widowControl w:val="0"/>
        <w:numPr>
          <w:ilvl w:val="0"/>
          <w:numId w:val="2"/>
        </w:numPr>
        <w:spacing w:after="240" w:before="240"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Stakeholder Engagement Strategy</w:t>
      </w:r>
      <w:r w:rsidDel="00000000" w:rsidR="00000000" w:rsidRPr="00000000">
        <w:rPr>
          <w:rFonts w:ascii="Times New Roman" w:cs="Times New Roman" w:eastAsia="Times New Roman" w:hAnsi="Times New Roman"/>
          <w:sz w:val="24"/>
          <w:szCs w:val="24"/>
          <w:rtl w:val="0"/>
        </w:rPr>
        <w:t xml:space="preserve"> – £25,000</w:t>
      </w:r>
    </w:p>
    <w:p w:rsidR="00000000" w:rsidDel="00000000" w:rsidP="00000000" w:rsidRDefault="00000000" w:rsidRPr="00000000" w14:paraId="000000CD">
      <w:pPr>
        <w:widowControl w:val="0"/>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involves stakeholder meetings, feedback mechanisms, performance matching tools and strategic sessions.</w:t>
      </w:r>
    </w:p>
    <w:p w:rsidR="00000000" w:rsidDel="00000000" w:rsidP="00000000" w:rsidRDefault="00000000" w:rsidRPr="00000000" w14:paraId="000000CE">
      <w:pPr>
        <w:widowControl w:val="0"/>
        <w:numPr>
          <w:ilvl w:val="0"/>
          <w:numId w:val="2"/>
        </w:numPr>
        <w:spacing w:after="240" w:before="240"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Professionalisation of Project Management (PRINCE2 Training &amp; Tools)</w:t>
      </w:r>
      <w:r w:rsidDel="00000000" w:rsidR="00000000" w:rsidRPr="00000000">
        <w:rPr>
          <w:rFonts w:ascii="Times New Roman" w:cs="Times New Roman" w:eastAsia="Times New Roman" w:hAnsi="Times New Roman"/>
          <w:sz w:val="24"/>
          <w:szCs w:val="24"/>
          <w:rtl w:val="0"/>
        </w:rPr>
        <w:t xml:space="preserve"> – £40,000</w:t>
      </w:r>
    </w:p>
    <w:p w:rsidR="00000000" w:rsidDel="00000000" w:rsidP="00000000" w:rsidRDefault="00000000" w:rsidRPr="00000000" w14:paraId="000000CF">
      <w:pPr>
        <w:widowControl w:val="0"/>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covers certification of the key managers, the implementation of software, and the restructuring of the process.</w:t>
      </w:r>
    </w:p>
    <w:p w:rsidR="00000000" w:rsidDel="00000000" w:rsidP="00000000" w:rsidRDefault="00000000" w:rsidRPr="00000000" w14:paraId="000000D0">
      <w:pPr>
        <w:widowControl w:val="0"/>
        <w:numPr>
          <w:ilvl w:val="0"/>
          <w:numId w:val="2"/>
        </w:numPr>
        <w:spacing w:after="240" w:before="240"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Employee Development (Human Relations-Based Programmes)</w:t>
      </w:r>
      <w:r w:rsidDel="00000000" w:rsidR="00000000" w:rsidRPr="00000000">
        <w:rPr>
          <w:rFonts w:ascii="Times New Roman" w:cs="Times New Roman" w:eastAsia="Times New Roman" w:hAnsi="Times New Roman"/>
          <w:sz w:val="24"/>
          <w:szCs w:val="24"/>
          <w:rtl w:val="0"/>
        </w:rPr>
        <w:t xml:space="preserve"> – £55,000</w:t>
      </w:r>
    </w:p>
    <w:p w:rsidR="00000000" w:rsidDel="00000000" w:rsidP="00000000" w:rsidRDefault="00000000" w:rsidRPr="00000000" w14:paraId="000000D1">
      <w:pPr>
        <w:widowControl w:val="0"/>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Include staff engagement activities, communication channels, development, and welfare programs.</w:t>
      </w:r>
    </w:p>
    <w:p w:rsidR="00000000" w:rsidDel="00000000" w:rsidP="00000000" w:rsidRDefault="00000000" w:rsidRPr="00000000" w14:paraId="000000D2">
      <w:pPr>
        <w:widowControl w:val="0"/>
        <w:numPr>
          <w:ilvl w:val="0"/>
          <w:numId w:val="2"/>
        </w:numPr>
        <w:spacing w:after="240" w:before="240"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External Consultancy Engagement (Contract-Based, Knowledge Transfer Focused)</w:t>
      </w:r>
      <w:r w:rsidDel="00000000" w:rsidR="00000000" w:rsidRPr="00000000">
        <w:rPr>
          <w:rFonts w:ascii="Times New Roman" w:cs="Times New Roman" w:eastAsia="Times New Roman" w:hAnsi="Times New Roman"/>
          <w:sz w:val="24"/>
          <w:szCs w:val="24"/>
          <w:rtl w:val="0"/>
        </w:rPr>
        <w:t xml:space="preserve"> – £35,000</w:t>
      </w:r>
    </w:p>
    <w:p w:rsidR="00000000" w:rsidDel="00000000" w:rsidP="00000000" w:rsidRDefault="00000000" w:rsidRPr="00000000" w14:paraId="000000D3">
      <w:pPr>
        <w:widowControl w:val="0"/>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Consulting services with an emphasis on results for six months and staff development.</w:t>
      </w:r>
    </w:p>
    <w:p w:rsidR="00000000" w:rsidDel="00000000" w:rsidP="00000000" w:rsidRDefault="00000000" w:rsidRPr="00000000" w14:paraId="000000D4">
      <w:pPr>
        <w:widowControl w:val="0"/>
        <w:numPr>
          <w:ilvl w:val="0"/>
          <w:numId w:val="2"/>
        </w:numPr>
        <w:spacing w:after="240" w:before="240"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Structural Adaptation for Responsive Growth</w:t>
      </w:r>
      <w:r w:rsidDel="00000000" w:rsidR="00000000" w:rsidRPr="00000000">
        <w:rPr>
          <w:rFonts w:ascii="Times New Roman" w:cs="Times New Roman" w:eastAsia="Times New Roman" w:hAnsi="Times New Roman"/>
          <w:sz w:val="24"/>
          <w:szCs w:val="24"/>
          <w:rtl w:val="0"/>
        </w:rPr>
        <w:t xml:space="preserve"> – £45,000</w:t>
      </w:r>
    </w:p>
    <w:p w:rsidR="00000000" w:rsidDel="00000000" w:rsidP="00000000" w:rsidRDefault="00000000" w:rsidRPr="00000000" w14:paraId="000000D5">
      <w:pPr>
        <w:widowControl w:val="0"/>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Contributes to changing the middle management work process, the establishment of innovation laboratories, and the pilot team’s activities.</w:t>
      </w:r>
    </w:p>
    <w:p w:rsidR="00000000" w:rsidDel="00000000" w:rsidP="00000000" w:rsidRDefault="00000000" w:rsidRPr="00000000" w14:paraId="000000D6">
      <w:pPr>
        <w:widowControl w:val="0"/>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Total Estimated Budget: £200,000</w:t>
        <w:br w:type="textWrapping"/>
      </w:r>
      <w:r w:rsidDel="00000000" w:rsidR="00000000" w:rsidRPr="00000000">
        <w:rPr>
          <w:rFonts w:ascii="Times New Roman" w:cs="Times New Roman" w:eastAsia="Times New Roman" w:hAnsi="Times New Roman"/>
          <w:sz w:val="24"/>
          <w:szCs w:val="24"/>
          <w:rtl w:val="0"/>
        </w:rPr>
        <w:t xml:space="preserve">This cost is below 1% of the total revenue, which signals a reasonable and business-minded spending. These strategies promise a long-term ROI through the improvement of retention levels, better service delivery, and operating efficiency.</w:t>
      </w:r>
    </w:p>
    <w:p w:rsidR="00000000" w:rsidDel="00000000" w:rsidP="00000000" w:rsidRDefault="00000000" w:rsidRPr="00000000" w14:paraId="000000D7">
      <w:pPr>
        <w:pStyle w:val="Heading1"/>
        <w:widowControl w:val="0"/>
        <w:spacing w:after="240" w:before="240" w:line="360" w:lineRule="auto"/>
        <w:jc w:val="both"/>
        <w:rPr>
          <w:rFonts w:ascii="Times New Roman" w:cs="Times New Roman" w:eastAsia="Times New Roman" w:hAnsi="Times New Roman"/>
          <w:b w:val="1"/>
          <w:sz w:val="24"/>
          <w:szCs w:val="24"/>
        </w:rPr>
      </w:pPr>
      <w:bookmarkStart w:colFirst="0" w:colLast="0" w:name="_bohd2ydb5fud" w:id="23"/>
      <w:bookmarkEnd w:id="23"/>
      <w:r w:rsidDel="00000000" w:rsidR="00000000" w:rsidRPr="00000000">
        <w:rPr>
          <w:rFonts w:ascii="Times New Roman" w:cs="Times New Roman" w:eastAsia="Times New Roman" w:hAnsi="Times New Roman"/>
          <w:b w:val="1"/>
          <w:sz w:val="24"/>
          <w:szCs w:val="24"/>
          <w:rtl w:val="0"/>
        </w:rPr>
        <w:t xml:space="preserve">Action Plan</w:t>
      </w:r>
    </w:p>
    <w:tbl>
      <w:tblPr>
        <w:tblStyle w:val="Table3"/>
        <w:tblW w:w="902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973"/>
        <w:gridCol w:w="1483"/>
        <w:gridCol w:w="1927"/>
        <w:gridCol w:w="1551"/>
        <w:gridCol w:w="838"/>
        <w:gridCol w:w="1281"/>
        <w:gridCol w:w="972"/>
        <w:tblGridChange w:id="0">
          <w:tblGrid>
            <w:gridCol w:w="973"/>
            <w:gridCol w:w="1483"/>
            <w:gridCol w:w="1927"/>
            <w:gridCol w:w="1551"/>
            <w:gridCol w:w="838"/>
            <w:gridCol w:w="1281"/>
            <w:gridCol w:w="972"/>
          </w:tblGrid>
        </w:tblGridChange>
      </w:tblGrid>
      <w:tr>
        <w:trPr>
          <w:cantSplit w:val="0"/>
          <w:trHeight w:val="785"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D8">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Number</w:t>
            </w:r>
            <w:r w:rsidDel="00000000" w:rsidR="00000000" w:rsidRPr="00000000">
              <w:rPr>
                <w:rtl w:val="0"/>
              </w:rPr>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D9">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Problem</w:t>
            </w:r>
            <w:r w:rsidDel="00000000" w:rsidR="00000000" w:rsidRPr="00000000">
              <w:rPr>
                <w:rtl w:val="0"/>
              </w:rPr>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DA">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Solution</w:t>
            </w:r>
            <w:r w:rsidDel="00000000" w:rsidR="00000000" w:rsidRPr="00000000">
              <w:rPr>
                <w:rtl w:val="0"/>
              </w:rPr>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DB">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Desired Outcome</w:t>
            </w:r>
            <w:r w:rsidDel="00000000" w:rsidR="00000000" w:rsidRPr="00000000">
              <w:rPr>
                <w:rtl w:val="0"/>
              </w:rPr>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DC">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Time Scale</w:t>
            </w:r>
            <w:r w:rsidDel="00000000" w:rsidR="00000000" w:rsidRPr="00000000">
              <w:rPr>
                <w:rtl w:val="0"/>
              </w:rPr>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DD">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Completion Date</w:t>
            </w:r>
            <w:r w:rsidDel="00000000" w:rsidR="00000000" w:rsidRPr="00000000">
              <w:rPr>
                <w:rtl w:val="0"/>
              </w:rPr>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DE">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Planned Budget</w:t>
            </w:r>
            <w:r w:rsidDel="00000000" w:rsidR="00000000" w:rsidRPr="00000000">
              <w:rPr>
                <w:rtl w:val="0"/>
              </w:rPr>
            </w:r>
          </w:p>
        </w:tc>
      </w:tr>
      <w:tr>
        <w:trPr>
          <w:cantSplit w:val="0"/>
          <w:trHeight w:val="2195"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DF">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E0">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Poor strategic alignment between management and stakeholders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E1">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Stakeholder Engagement Strategy: Use forums, feedback, and performance indicators to align strategy</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E2">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Enhanced strategic cohesion and increased stakeholder commitment</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E3">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 months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E4">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August 2025</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E5">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£25,000</w:t>
            </w:r>
          </w:p>
        </w:tc>
      </w:tr>
      <w:tr>
        <w:trPr>
          <w:cantSplit w:val="0"/>
          <w:trHeight w:val="2465"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E6">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E7">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Project execution problems due to a lack of formal project management</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E8">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Professionalisation of Project Management: Implement PRINCE2 for risk management and clearer project goals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E9">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Improved project outcomes, including timely delivery and cost control</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EA">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 months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EB">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November 2025</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EC">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£40,000</w:t>
            </w:r>
          </w:p>
        </w:tc>
      </w:tr>
      <w:tr>
        <w:trPr>
          <w:cantSplit w:val="0"/>
          <w:trHeight w:val="2465"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ED">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EE">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Low employee engagement and productivity</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EF">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Employee Development Programs: Apply Human Relations Theory for better employee involvement and recognition</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F0">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Increased employee motivation, reduced turnover, and improved productivity</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F1">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 months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F2">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November 2025</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F3">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£55,000</w:t>
            </w:r>
          </w:p>
        </w:tc>
      </w:tr>
      <w:tr>
        <w:trPr>
          <w:cantSplit w:val="0"/>
          <w:trHeight w:val="2465"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F4">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F5">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Over-reliance on external consultants and unclear scope</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F6">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External Consultancy Engagement: Develop performance-based contracts and focus on knowledge transfer</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F7">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Reduced dependency on external consultants, enhanced internal capabilities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F8">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 months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F9">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October 2025</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FA">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£35,000</w:t>
            </w:r>
          </w:p>
        </w:tc>
      </w:tr>
      <w:tr>
        <w:trPr>
          <w:cantSplit w:val="0"/>
          <w:trHeight w:val="2465"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FB">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FC">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Lack of flexibility and scalability in organisational structures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FD">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Adaptive Growth: Implement responsive structures with decentralised teams and innovation labs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FE">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Greater organisational flexibility, faster innovation, and improved market responsiveness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0FF">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 months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100">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February 2026</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tcPr>
          <w:p w:rsidR="00000000" w:rsidDel="00000000" w:rsidP="00000000" w:rsidRDefault="00000000" w:rsidRPr="00000000" w14:paraId="00000101">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£45,000</w:t>
            </w:r>
          </w:p>
        </w:tc>
      </w:tr>
    </w:tbl>
    <w:p w:rsidR="00000000" w:rsidDel="00000000" w:rsidP="00000000" w:rsidRDefault="00000000" w:rsidRPr="00000000" w14:paraId="00000102">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3">
      <w:pPr>
        <w:pStyle w:val="Heading1"/>
        <w:widowControl w:val="0"/>
        <w:spacing w:after="240" w:before="240" w:line="360" w:lineRule="auto"/>
        <w:jc w:val="both"/>
        <w:rPr>
          <w:rFonts w:ascii="Times New Roman" w:cs="Times New Roman" w:eastAsia="Times New Roman" w:hAnsi="Times New Roman"/>
          <w:b w:val="1"/>
          <w:sz w:val="24"/>
          <w:szCs w:val="24"/>
        </w:rPr>
      </w:pPr>
      <w:bookmarkStart w:colFirst="0" w:colLast="0" w:name="_k7izveg37liy" w:id="24"/>
      <w:bookmarkEnd w:id="24"/>
      <w:r w:rsidDel="00000000" w:rsidR="00000000" w:rsidRPr="00000000">
        <w:rPr>
          <w:rFonts w:ascii="Times New Roman" w:cs="Times New Roman" w:eastAsia="Times New Roman" w:hAnsi="Times New Roman"/>
          <w:b w:val="1"/>
          <w:sz w:val="24"/>
          <w:szCs w:val="24"/>
          <w:rtl w:val="0"/>
        </w:rPr>
        <w:t xml:space="preserve">Conclusion </w:t>
      </w:r>
    </w:p>
    <w:p w:rsidR="00000000" w:rsidDel="00000000" w:rsidP="00000000" w:rsidRDefault="00000000" w:rsidRPr="00000000" w14:paraId="00000104">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Therefore, high levels of employee turnover at the London Marriott Hotel County Hall are indicative of a rather deeper problem that concerns not only the pragmatic problems of staff acquisition and replacement. This has negative impacts on the hotel in terms of operational efficiency, customer satisfaction, and financial health since the costs involved in recruiting, training, and the loss of productivity are very expensive. The underlying factors that lead to turnover include lack of proper training, lack of feedback systems, limited promotion opportunities, and cost of living in London, among others, demand a change in the strategic management of the company, especially in human resource management and employees’ motivation.</w:t>
      </w:r>
    </w:p>
    <w:p w:rsidR="00000000" w:rsidDel="00000000" w:rsidP="00000000" w:rsidRDefault="00000000" w:rsidRPr="00000000" w14:paraId="00000105">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be able to tackle such issues adequately, Marriott needs to improve on the current training initiatives by improving skill development as well as career advancement. This way, there will be a closer relationship between the international policies and the specific requirements of a country or a region. Also, there is a need to establish a proper feedback mechanism that will enhance communication, reward, and promote the employees at Marriott. Other measures that are important in addressing turnover include: redesigning compensation systems within the organisation to fit the market forces, employee expectations, as well as more flexibility. Also, by leveraging what it has as its global HR assets, which include the ‘TakeCare’ culture and career mobility programs, Marriott can enhance the loyalty of its employees and reduce staff turnover rates. With such changes, it is possible to avoid high turnover rates in the London Marriott Hotel County Hall and, at the same time, develop a strong and motivated team that guarantees stable work in a competitive environment in the hotel industry.</w:t>
      </w:r>
    </w:p>
    <w:p w:rsidR="00000000" w:rsidDel="00000000" w:rsidP="00000000" w:rsidRDefault="00000000" w:rsidRPr="00000000" w14:paraId="00000106">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Therefore, these recommendations will assist the London Marriott Hotel County Hall to enhance the flow of operations, staff satisfaction, and organisational commitment. Management of stakeholders, professionalism of the project management, an increase in its employees, the proper utilisation of consultants, and new structures for growth and adaptation will assist the hotel to overcome major challenges facing the firm. The above changes are some of the potential changes for which the hotel has a definite action plan and a projected budget which is feasible for the hotel, and these changes are expected to bring long-term value, efficiency in service delivery and competitiveness of the hotel.</w:t>
      </w:r>
    </w:p>
    <w:p w:rsidR="00000000" w:rsidDel="00000000" w:rsidP="00000000" w:rsidRDefault="00000000" w:rsidRPr="00000000" w14:paraId="00000107">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addition, the organisation has to transform its leadership style to one that is collaborative and work on developing open channels of communication and ways of measuring performance that would ensure that people are held responsible for their actions and that they are continuously learning. Introducing those approaches into the operational processes will not only increase efficiency but will also help the hotel analyse the customers’ needs and preferences to provide them with the services they require. Finally, the zeal to continuously improve and satisfy the customers’ needs will help the hotel to perform and satisfy the customers in the future.</w:t>
      </w:r>
      <w:r w:rsidDel="00000000" w:rsidR="00000000" w:rsidRPr="00000000">
        <w:br w:type="page"/>
      </w:r>
      <w:r w:rsidDel="00000000" w:rsidR="00000000" w:rsidRPr="00000000">
        <w:rPr>
          <w:rtl w:val="0"/>
        </w:rPr>
      </w:r>
    </w:p>
    <w:p w:rsidR="00000000" w:rsidDel="00000000" w:rsidP="00000000" w:rsidRDefault="00000000" w:rsidRPr="00000000" w14:paraId="00000108">
      <w:pPr>
        <w:pStyle w:val="Heading1"/>
        <w:widowControl w:val="0"/>
        <w:spacing w:after="240" w:before="240" w:line="360" w:lineRule="auto"/>
        <w:jc w:val="both"/>
        <w:rPr>
          <w:rFonts w:ascii="Times New Roman" w:cs="Times New Roman" w:eastAsia="Times New Roman" w:hAnsi="Times New Roman"/>
          <w:b w:val="1"/>
          <w:sz w:val="24"/>
          <w:szCs w:val="24"/>
        </w:rPr>
      </w:pPr>
      <w:bookmarkStart w:colFirst="0" w:colLast="0" w:name="_ixwmbfl4bcm7" w:id="25"/>
      <w:bookmarkEnd w:id="25"/>
      <w:r w:rsidDel="00000000" w:rsidR="00000000" w:rsidRPr="00000000">
        <w:rPr>
          <w:rFonts w:ascii="Times New Roman" w:cs="Times New Roman" w:eastAsia="Times New Roman" w:hAnsi="Times New Roman"/>
          <w:b w:val="1"/>
          <w:sz w:val="24"/>
          <w:szCs w:val="24"/>
          <w:rtl w:val="0"/>
        </w:rPr>
        <w:t xml:space="preserve">References </w:t>
      </w:r>
    </w:p>
    <w:p w:rsidR="00000000" w:rsidDel="00000000" w:rsidP="00000000" w:rsidRDefault="00000000" w:rsidRPr="00000000" w14:paraId="00000109">
      <w:pPr>
        <w:widowControl w:val="0"/>
        <w:spacing w:line="360" w:lineRule="auto"/>
        <w:ind w:right="8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Ada, J.A., Omosebi, M.A. and Ayaga, M.U., (2023). Exploring the Holistic Alignment of Organisational Structure and Corporate Strategy for Sustainable Competitive Advantage in Cross River State's Hospitality Industry. </w:t>
      </w:r>
      <w:hyperlink r:id="rId12">
        <w:r w:rsidDel="00000000" w:rsidR="00000000" w:rsidRPr="00000000">
          <w:rPr>
            <w:rFonts w:ascii="Times New Roman" w:cs="Times New Roman" w:eastAsia="Times New Roman" w:hAnsi="Times New Roman"/>
            <w:i w:val="1"/>
            <w:color w:val="1155cc"/>
            <w:sz w:val="24"/>
            <w:szCs w:val="24"/>
            <w:highlight w:val="white"/>
            <w:u w:val="single"/>
            <w:rtl w:val="0"/>
          </w:rPr>
          <w:t xml:space="preserve">Journal of Public Administration, Policy and Governance Research</w:t>
        </w:r>
      </w:hyperlink>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w:t>
      </w:r>
      <w:r w:rsidDel="00000000" w:rsidR="00000000" w:rsidRPr="00000000">
        <w:rPr>
          <w:rFonts w:ascii="Times New Roman" w:cs="Times New Roman" w:eastAsia="Times New Roman" w:hAnsi="Times New Roman"/>
          <w:color w:val="222222"/>
          <w:sz w:val="24"/>
          <w:szCs w:val="24"/>
          <w:highlight w:val="white"/>
          <w:rtl w:val="0"/>
        </w:rPr>
        <w:t xml:space="preserve">(1), pp.118-126.</w:t>
      </w:r>
    </w:p>
    <w:p w:rsidR="00000000" w:rsidDel="00000000" w:rsidP="00000000" w:rsidRDefault="00000000" w:rsidRPr="00000000" w14:paraId="0000010A">
      <w:pPr>
        <w:widowControl w:val="0"/>
        <w:spacing w:line="360" w:lineRule="auto"/>
        <w:ind w:right="8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Aslam, M.S., Ali, I., Qammar, A., Kiwan, L. and Dhir, A., (2022). How knowledge acquisition creates a competitive edge? A qualitative inquiry from international consultancy alliance. </w:t>
      </w:r>
      <w:hyperlink r:id="rId13">
        <w:r w:rsidDel="00000000" w:rsidR="00000000" w:rsidRPr="00000000">
          <w:rPr>
            <w:rFonts w:ascii="Times New Roman" w:cs="Times New Roman" w:eastAsia="Times New Roman" w:hAnsi="Times New Roman"/>
            <w:i w:val="1"/>
            <w:color w:val="1155cc"/>
            <w:sz w:val="24"/>
            <w:szCs w:val="24"/>
            <w:highlight w:val="white"/>
            <w:u w:val="single"/>
            <w:rtl w:val="0"/>
          </w:rPr>
          <w:t xml:space="preserve">International Marketing Review</w:t>
        </w:r>
      </w:hyperlink>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39</w:t>
      </w:r>
      <w:r w:rsidDel="00000000" w:rsidR="00000000" w:rsidRPr="00000000">
        <w:rPr>
          <w:rFonts w:ascii="Times New Roman" w:cs="Times New Roman" w:eastAsia="Times New Roman" w:hAnsi="Times New Roman"/>
          <w:color w:val="222222"/>
          <w:sz w:val="24"/>
          <w:szCs w:val="24"/>
          <w:highlight w:val="white"/>
          <w:rtl w:val="0"/>
        </w:rPr>
        <w:t xml:space="preserve">(3), pp.653-681.</w:t>
      </w:r>
    </w:p>
    <w:p w:rsidR="00000000" w:rsidDel="00000000" w:rsidP="00000000" w:rsidRDefault="00000000" w:rsidRPr="00000000" w14:paraId="0000010B">
      <w:pPr>
        <w:widowControl w:val="0"/>
        <w:spacing w:line="360" w:lineRule="auto"/>
        <w:ind w:right="8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Barnard, M., Papanicolas, I. and Smith, P., (2023). Provider power and healthcare systems. In </w:t>
      </w:r>
      <w:hyperlink r:id="rId14">
        <w:r w:rsidDel="00000000" w:rsidR="00000000" w:rsidRPr="00000000">
          <w:rPr>
            <w:rFonts w:ascii="Times New Roman" w:cs="Times New Roman" w:eastAsia="Times New Roman" w:hAnsi="Times New Roman"/>
            <w:i w:val="1"/>
            <w:color w:val="1155cc"/>
            <w:sz w:val="24"/>
            <w:szCs w:val="24"/>
            <w:highlight w:val="white"/>
            <w:u w:val="single"/>
            <w:rtl w:val="0"/>
          </w:rPr>
          <w:t xml:space="preserve">Handbook on the Political Economy of Health Systems</w:t>
        </w:r>
      </w:hyperlink>
      <w:r w:rsidDel="00000000" w:rsidR="00000000" w:rsidRPr="00000000">
        <w:rPr>
          <w:rFonts w:ascii="Times New Roman" w:cs="Times New Roman" w:eastAsia="Times New Roman" w:hAnsi="Times New Roman"/>
          <w:color w:val="222222"/>
          <w:sz w:val="24"/>
          <w:szCs w:val="24"/>
          <w:highlight w:val="white"/>
          <w:rtl w:val="0"/>
        </w:rPr>
        <w:t xml:space="preserve"> (pp. 247-269). Edward Elgar Publishing.</w:t>
      </w:r>
    </w:p>
    <w:p w:rsidR="00000000" w:rsidDel="00000000" w:rsidP="00000000" w:rsidRDefault="00000000" w:rsidRPr="00000000" w14:paraId="0000010C">
      <w:pPr>
        <w:widowControl w:val="0"/>
        <w:spacing w:line="360" w:lineRule="auto"/>
        <w:ind w:right="82"/>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sz w:val="24"/>
          <w:szCs w:val="24"/>
          <w:rtl w:val="0"/>
        </w:rPr>
        <w:t xml:space="preserve">Baron, A. and Armstrong, M. (2007) </w:t>
      </w:r>
      <w:r w:rsidDel="00000000" w:rsidR="00000000" w:rsidRPr="00000000">
        <w:rPr>
          <w:rFonts w:ascii="Times New Roman" w:cs="Times New Roman" w:eastAsia="Times New Roman" w:hAnsi="Times New Roman"/>
          <w:i w:val="1"/>
          <w:sz w:val="24"/>
          <w:szCs w:val="24"/>
          <w:u w:val="single"/>
          <w:rtl w:val="0"/>
        </w:rPr>
        <w:t xml:space="preserve">Human Capital </w:t>
      </w:r>
      <w:r w:rsidDel="00000000" w:rsidR="00000000" w:rsidRPr="00000000">
        <w:rPr>
          <w:rFonts w:ascii="Times New Roman" w:cs="Times New Roman" w:eastAsia="Times New Roman" w:hAnsi="Times New Roman"/>
          <w:i w:val="1"/>
          <w:sz w:val="24"/>
          <w:szCs w:val="24"/>
          <w:rtl w:val="0"/>
        </w:rPr>
        <w:t xml:space="preserve">Management</w:t>
      </w:r>
      <w:r w:rsidDel="00000000" w:rsidR="00000000" w:rsidRPr="00000000">
        <w:rPr>
          <w:rFonts w:ascii="Times New Roman" w:cs="Times New Roman" w:eastAsia="Times New Roman" w:hAnsi="Times New Roman"/>
          <w:sz w:val="24"/>
          <w:szCs w:val="24"/>
          <w:rtl w:val="0"/>
        </w:rPr>
        <w:t xml:space="preserve">. London: Kogan Page.</w:t>
      </w:r>
      <w:r w:rsidDel="00000000" w:rsidR="00000000" w:rsidRPr="00000000">
        <w:rPr>
          <w:rtl w:val="0"/>
        </w:rPr>
      </w:r>
    </w:p>
    <w:p w:rsidR="00000000" w:rsidDel="00000000" w:rsidP="00000000" w:rsidRDefault="00000000" w:rsidRPr="00000000" w14:paraId="0000010D">
      <w:pPr>
        <w:widowControl w:val="0"/>
        <w:spacing w:line="360" w:lineRule="auto"/>
        <w:ind w:right="8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Birknerová, Z. and Zbihlejová, L., (2023). Losing Sleep: Examining Struggles for Value and Counterproductive Work Behaviors in an Era of Globalisation. In</w:t>
      </w:r>
      <w:hyperlink r:id="rId15">
        <w:r w:rsidDel="00000000" w:rsidR="00000000" w:rsidRPr="00000000">
          <w:rPr>
            <w:rFonts w:ascii="Times New Roman" w:cs="Times New Roman" w:eastAsia="Times New Roman" w:hAnsi="Times New Roman"/>
            <w:color w:val="1155cc"/>
            <w:sz w:val="24"/>
            <w:szCs w:val="24"/>
            <w:highlight w:val="white"/>
            <w:u w:val="single"/>
            <w:rtl w:val="0"/>
          </w:rPr>
          <w:t xml:space="preserve"> </w:t>
        </w:r>
      </w:hyperlink>
      <w:hyperlink r:id="rId16">
        <w:r w:rsidDel="00000000" w:rsidR="00000000" w:rsidRPr="00000000">
          <w:rPr>
            <w:rFonts w:ascii="Times New Roman" w:cs="Times New Roman" w:eastAsia="Times New Roman" w:hAnsi="Times New Roman"/>
            <w:i w:val="1"/>
            <w:color w:val="1155cc"/>
            <w:sz w:val="24"/>
            <w:szCs w:val="24"/>
            <w:highlight w:val="white"/>
            <w:u w:val="single"/>
            <w:rtl w:val="0"/>
          </w:rPr>
          <w:t xml:space="preserve">Globalisation, Human Rights and Populism: Reimagining People, Power and Places</w:t>
        </w:r>
      </w:hyperlink>
      <w:r w:rsidDel="00000000" w:rsidR="00000000" w:rsidRPr="00000000">
        <w:rPr>
          <w:rFonts w:ascii="Times New Roman" w:cs="Times New Roman" w:eastAsia="Times New Roman" w:hAnsi="Times New Roman"/>
          <w:color w:val="222222"/>
          <w:sz w:val="24"/>
          <w:szCs w:val="24"/>
          <w:highlight w:val="white"/>
          <w:rtl w:val="0"/>
        </w:rPr>
        <w:t xml:space="preserve"> (pp. 265-288). Cham: Springer International Publishing.</w:t>
      </w:r>
    </w:p>
    <w:p w:rsidR="00000000" w:rsidDel="00000000" w:rsidP="00000000" w:rsidRDefault="00000000" w:rsidRPr="00000000" w14:paraId="0000010E">
      <w:pPr>
        <w:widowControl w:val="0"/>
        <w:spacing w:line="360" w:lineRule="auto"/>
        <w:ind w:right="8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Bullock, K., Di Domenico, M., Miller, G., Shirgholami, Z. and Wong, Y., (2024). Under the radar? Modern slavery and labour exploitation risks for the hotel industry. </w:t>
      </w:r>
      <w:hyperlink r:id="rId17">
        <w:r w:rsidDel="00000000" w:rsidR="00000000" w:rsidRPr="00000000">
          <w:rPr>
            <w:rFonts w:ascii="Times New Roman" w:cs="Times New Roman" w:eastAsia="Times New Roman" w:hAnsi="Times New Roman"/>
            <w:i w:val="1"/>
            <w:color w:val="1155cc"/>
            <w:sz w:val="24"/>
            <w:szCs w:val="24"/>
            <w:highlight w:val="white"/>
            <w:u w:val="single"/>
            <w:rtl w:val="0"/>
          </w:rPr>
          <w:t xml:space="preserve">Tourism Management</w:t>
        </w:r>
      </w:hyperlink>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102</w:t>
      </w:r>
      <w:r w:rsidDel="00000000" w:rsidR="00000000" w:rsidRPr="00000000">
        <w:rPr>
          <w:rFonts w:ascii="Times New Roman" w:cs="Times New Roman" w:eastAsia="Times New Roman" w:hAnsi="Times New Roman"/>
          <w:color w:val="222222"/>
          <w:sz w:val="24"/>
          <w:szCs w:val="24"/>
          <w:highlight w:val="white"/>
          <w:rtl w:val="0"/>
        </w:rPr>
        <w:t xml:space="preserve">, p.104857.</w:t>
      </w:r>
    </w:p>
    <w:p w:rsidR="00000000" w:rsidDel="00000000" w:rsidP="00000000" w:rsidRDefault="00000000" w:rsidRPr="00000000" w14:paraId="0000010F">
      <w:pPr>
        <w:widowControl w:val="0"/>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Burnes, B. (2014)</w:t>
      </w:r>
      <w:r w:rsidDel="00000000" w:rsidR="00000000" w:rsidRPr="00000000">
        <w:rPr>
          <w:rFonts w:ascii="Times New Roman" w:cs="Times New Roman" w:eastAsia="Times New Roman" w:hAnsi="Times New Roman"/>
          <w:i w:val="1"/>
          <w:color w:val="222222"/>
          <w:sz w:val="24"/>
          <w:szCs w:val="24"/>
          <w:highlight w:val="white"/>
          <w:rtl w:val="0"/>
        </w:rPr>
        <w:t xml:space="preserve"> </w:t>
      </w:r>
      <w:hyperlink r:id="rId18">
        <w:r w:rsidDel="00000000" w:rsidR="00000000" w:rsidRPr="00000000">
          <w:rPr>
            <w:rFonts w:ascii="Times New Roman" w:cs="Times New Roman" w:eastAsia="Times New Roman" w:hAnsi="Times New Roman"/>
            <w:i w:val="1"/>
            <w:color w:val="1155cc"/>
            <w:sz w:val="24"/>
            <w:szCs w:val="24"/>
            <w:highlight w:val="white"/>
            <w:u w:val="single"/>
            <w:rtl w:val="0"/>
          </w:rPr>
          <w:t xml:space="preserve">4th Edition, Managing Change, </w:t>
        </w:r>
      </w:hyperlink>
      <w:hyperlink r:id="rId19">
        <w:r w:rsidDel="00000000" w:rsidR="00000000" w:rsidRPr="00000000">
          <w:rPr>
            <w:rFonts w:ascii="Times New Roman" w:cs="Times New Roman" w:eastAsia="Times New Roman" w:hAnsi="Times New Roman"/>
            <w:color w:val="1155cc"/>
            <w:sz w:val="24"/>
            <w:szCs w:val="24"/>
            <w:highlight w:val="white"/>
            <w:u w:val="single"/>
            <w:rtl w:val="0"/>
          </w:rPr>
          <w:t xml:space="preserve">Great  Britain, Prentice Hall</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110">
      <w:pPr>
        <w:widowControl w:val="0"/>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Buttrick, R. (2009) </w:t>
      </w:r>
      <w:r w:rsidDel="00000000" w:rsidR="00000000" w:rsidRPr="00000000">
        <w:rPr>
          <w:rFonts w:ascii="Times New Roman" w:cs="Times New Roman" w:eastAsia="Times New Roman" w:hAnsi="Times New Roman"/>
          <w:i w:val="1"/>
          <w:color w:val="222222"/>
          <w:sz w:val="24"/>
          <w:szCs w:val="24"/>
          <w:highlight w:val="white"/>
          <w:rtl w:val="0"/>
        </w:rPr>
        <w:t xml:space="preserve">The Project Workout, </w:t>
      </w:r>
      <w:r w:rsidDel="00000000" w:rsidR="00000000" w:rsidRPr="00000000">
        <w:rPr>
          <w:rFonts w:ascii="Times New Roman" w:cs="Times New Roman" w:eastAsia="Times New Roman" w:hAnsi="Times New Roman"/>
          <w:color w:val="222222"/>
          <w:sz w:val="24"/>
          <w:szCs w:val="24"/>
          <w:highlight w:val="white"/>
          <w:rtl w:val="0"/>
        </w:rPr>
        <w:t xml:space="preserve">London: Prentice  Hall </w:t>
      </w:r>
    </w:p>
    <w:p w:rsidR="00000000" w:rsidDel="00000000" w:rsidP="00000000" w:rsidRDefault="00000000" w:rsidRPr="00000000" w14:paraId="00000111">
      <w:pPr>
        <w:widowControl w:val="0"/>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BYU Marriott Alumni Magazine. (2008). </w:t>
      </w:r>
      <w:r w:rsidDel="00000000" w:rsidR="00000000" w:rsidRPr="00000000">
        <w:rPr>
          <w:rFonts w:ascii="Times New Roman" w:cs="Times New Roman" w:eastAsia="Times New Roman" w:hAnsi="Times New Roman"/>
          <w:i w:val="1"/>
          <w:color w:val="222222"/>
          <w:sz w:val="24"/>
          <w:szCs w:val="24"/>
          <w:highlight w:val="white"/>
          <w:rtl w:val="0"/>
        </w:rPr>
        <w:t xml:space="preserve">Valuing Culture: Putting a Price Tag on the Priceless.</w:t>
      </w:r>
      <w:r w:rsidDel="00000000" w:rsidR="00000000" w:rsidRPr="00000000">
        <w:rPr>
          <w:rFonts w:ascii="Times New Roman" w:cs="Times New Roman" w:eastAsia="Times New Roman" w:hAnsi="Times New Roman"/>
          <w:color w:val="222222"/>
          <w:sz w:val="24"/>
          <w:szCs w:val="24"/>
          <w:highlight w:val="white"/>
          <w:rtl w:val="0"/>
        </w:rPr>
        <w:t xml:space="preserve"> [online] Available at: </w:t>
      </w:r>
      <w:hyperlink r:id="rId20">
        <w:r w:rsidDel="00000000" w:rsidR="00000000" w:rsidRPr="00000000">
          <w:rPr>
            <w:rFonts w:ascii="Times New Roman" w:cs="Times New Roman" w:eastAsia="Times New Roman" w:hAnsi="Times New Roman"/>
            <w:color w:val="1155cc"/>
            <w:sz w:val="24"/>
            <w:szCs w:val="24"/>
            <w:highlight w:val="white"/>
            <w:u w:val="single"/>
            <w:rtl w:val="0"/>
          </w:rPr>
          <w:t xml:space="preserve">https://marriott.byu.edu/magazine/faculty-research/valuing-culture-putting-a-price-tag-on-the-priceless</w:t>
        </w:r>
      </w:hyperlink>
      <w:r w:rsidDel="00000000" w:rsidR="00000000" w:rsidRPr="00000000">
        <w:rPr>
          <w:rFonts w:ascii="Times New Roman" w:cs="Times New Roman" w:eastAsia="Times New Roman" w:hAnsi="Times New Roman"/>
          <w:color w:val="222222"/>
          <w:sz w:val="24"/>
          <w:szCs w:val="24"/>
          <w:highlight w:val="white"/>
          <w:rtl w:val="0"/>
        </w:rPr>
        <w:t xml:space="preserve"> .[Accessed 14 Apr. 2025] </w:t>
      </w:r>
    </w:p>
    <w:p w:rsidR="00000000" w:rsidDel="00000000" w:rsidP="00000000" w:rsidRDefault="00000000" w:rsidRPr="00000000" w14:paraId="00000112">
      <w:pPr>
        <w:widowControl w:val="0"/>
        <w:spacing w:line="360" w:lineRule="auto"/>
        <w:ind w:right="8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Chathuranga, B.T.K., Rathnasiri, M.S.H., Dewasiri, N.J., Jayarathne, P.G.S.A., Bandara, C.M.Y.S.S. and Bakari, M.A., (2025). Direct and indirect effect on industries and services (A). In </w:t>
      </w:r>
      <w:hyperlink r:id="rId21">
        <w:r w:rsidDel="00000000" w:rsidR="00000000" w:rsidRPr="00000000">
          <w:rPr>
            <w:rFonts w:ascii="Times New Roman" w:cs="Times New Roman" w:eastAsia="Times New Roman" w:hAnsi="Times New Roman"/>
            <w:i w:val="1"/>
            <w:color w:val="1155cc"/>
            <w:sz w:val="24"/>
            <w:szCs w:val="24"/>
            <w:highlight w:val="white"/>
            <w:u w:val="single"/>
            <w:rtl w:val="0"/>
          </w:rPr>
          <w:t xml:space="preserve">Greening Our Economy for a Sustainable Future</w:t>
        </w:r>
      </w:hyperlink>
      <w:r w:rsidDel="00000000" w:rsidR="00000000" w:rsidRPr="00000000">
        <w:rPr>
          <w:rFonts w:ascii="Times New Roman" w:cs="Times New Roman" w:eastAsia="Times New Roman" w:hAnsi="Times New Roman"/>
          <w:color w:val="222222"/>
          <w:sz w:val="24"/>
          <w:szCs w:val="24"/>
          <w:highlight w:val="white"/>
          <w:rtl w:val="0"/>
        </w:rPr>
        <w:t xml:space="preserve"> (pp. 215-226). Elsevier.</w:t>
      </w:r>
    </w:p>
    <w:p w:rsidR="00000000" w:rsidDel="00000000" w:rsidP="00000000" w:rsidRDefault="00000000" w:rsidRPr="00000000" w14:paraId="00000113">
      <w:pPr>
        <w:widowControl w:val="0"/>
        <w:spacing w:line="360" w:lineRule="auto"/>
        <w:ind w:right="8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Cotton, C., Marriott, L. and Perkins, S.J., (2021). REWARDS MANAGEMENT SURVEY: EMPLOYEE FINANCIAL WELL-BEING.</w:t>
      </w:r>
      <w:hyperlink r:id="rId22">
        <w:r w:rsidDel="00000000" w:rsidR="00000000" w:rsidRPr="00000000">
          <w:rPr>
            <w:rFonts w:ascii="Times New Roman" w:cs="Times New Roman" w:eastAsia="Times New Roman" w:hAnsi="Times New Roman"/>
            <w:color w:val="1155cc"/>
            <w:sz w:val="24"/>
            <w:szCs w:val="24"/>
            <w:highlight w:val="white"/>
            <w:u w:val="single"/>
            <w:rtl w:val="0"/>
          </w:rPr>
          <w:t xml:space="preserve"> </w:t>
        </w:r>
      </w:hyperlink>
      <w:hyperlink r:id="rId23">
        <w:r w:rsidDel="00000000" w:rsidR="00000000" w:rsidRPr="00000000">
          <w:rPr>
            <w:rFonts w:ascii="Times New Roman" w:cs="Times New Roman" w:eastAsia="Times New Roman" w:hAnsi="Times New Roman"/>
            <w:i w:val="1"/>
            <w:color w:val="1155cc"/>
            <w:sz w:val="24"/>
            <w:szCs w:val="24"/>
            <w:highlight w:val="white"/>
            <w:u w:val="single"/>
            <w:rtl w:val="0"/>
          </w:rPr>
          <w:t xml:space="preserve">The Journal of Total Rewards</w:t>
        </w:r>
      </w:hyperlink>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30</w:t>
      </w:r>
      <w:r w:rsidDel="00000000" w:rsidR="00000000" w:rsidRPr="00000000">
        <w:rPr>
          <w:rFonts w:ascii="Times New Roman" w:cs="Times New Roman" w:eastAsia="Times New Roman" w:hAnsi="Times New Roman"/>
          <w:color w:val="222222"/>
          <w:sz w:val="24"/>
          <w:szCs w:val="24"/>
          <w:highlight w:val="white"/>
          <w:rtl w:val="0"/>
        </w:rPr>
        <w:t xml:space="preserve">(4), pp.36-4.</w:t>
      </w:r>
    </w:p>
    <w:p w:rsidR="00000000" w:rsidDel="00000000" w:rsidP="00000000" w:rsidRDefault="00000000" w:rsidRPr="00000000" w14:paraId="00000114">
      <w:pPr>
        <w:widowControl w:val="0"/>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Ghani, B., Zada, M., Memon, K.R., Ullah, R., Khattak, A., Han, H., Ariza-Montes, A. and Araya-Castillo, L., (2022).</w:t>
      </w:r>
      <w:hyperlink r:id="rId24">
        <w:r w:rsidDel="00000000" w:rsidR="00000000" w:rsidRPr="00000000">
          <w:rPr>
            <w:rFonts w:ascii="Times New Roman" w:cs="Times New Roman" w:eastAsia="Times New Roman" w:hAnsi="Times New Roman"/>
            <w:color w:val="1155cc"/>
            <w:sz w:val="24"/>
            <w:szCs w:val="24"/>
            <w:highlight w:val="white"/>
            <w:u w:val="single"/>
            <w:rtl w:val="0"/>
          </w:rPr>
          <w:t xml:space="preserve"> Challenges and strategies for employee retention in the hospitality industry: A review. </w:t>
        </w:r>
      </w:hyperlink>
      <w:hyperlink r:id="rId25">
        <w:r w:rsidDel="00000000" w:rsidR="00000000" w:rsidRPr="00000000">
          <w:rPr>
            <w:rFonts w:ascii="Times New Roman" w:cs="Times New Roman" w:eastAsia="Times New Roman" w:hAnsi="Times New Roman"/>
            <w:i w:val="1"/>
            <w:color w:val="1155cc"/>
            <w:sz w:val="24"/>
            <w:szCs w:val="24"/>
            <w:highlight w:val="white"/>
            <w:u w:val="single"/>
            <w:rtl w:val="0"/>
          </w:rPr>
          <w:t xml:space="preserve">Sustainability</w:t>
        </w:r>
      </w:hyperlink>
      <w:hyperlink r:id="rId26">
        <w:r w:rsidDel="00000000" w:rsidR="00000000" w:rsidRPr="00000000">
          <w:rPr>
            <w:rFonts w:ascii="Times New Roman" w:cs="Times New Roman" w:eastAsia="Times New Roman" w:hAnsi="Times New Roman"/>
            <w:color w:val="1155cc"/>
            <w:sz w:val="24"/>
            <w:szCs w:val="24"/>
            <w:highlight w:val="white"/>
            <w:u w:val="single"/>
            <w:rtl w:val="0"/>
          </w:rPr>
          <w:t xml:space="preserve">,</w:t>
        </w:r>
      </w:hyperlink>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14</w:t>
      </w:r>
      <w:r w:rsidDel="00000000" w:rsidR="00000000" w:rsidRPr="00000000">
        <w:rPr>
          <w:rFonts w:ascii="Times New Roman" w:cs="Times New Roman" w:eastAsia="Times New Roman" w:hAnsi="Times New Roman"/>
          <w:color w:val="222222"/>
          <w:sz w:val="24"/>
          <w:szCs w:val="24"/>
          <w:highlight w:val="white"/>
          <w:rtl w:val="0"/>
        </w:rPr>
        <w:t xml:space="preserve">(5), p.2885.</w:t>
      </w:r>
    </w:p>
    <w:p w:rsidR="00000000" w:rsidDel="00000000" w:rsidP="00000000" w:rsidRDefault="00000000" w:rsidRPr="00000000" w14:paraId="00000115">
      <w:pPr>
        <w:widowControl w:val="0"/>
        <w:spacing w:line="360" w:lineRule="auto"/>
        <w:ind w:right="8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Giousmpasoglou, C. and Marinakou, E., (2024). Human resources management in hotels. In </w:t>
      </w:r>
      <w:hyperlink r:id="rId27">
        <w:r w:rsidDel="00000000" w:rsidR="00000000" w:rsidRPr="00000000">
          <w:rPr>
            <w:rFonts w:ascii="Times New Roman" w:cs="Times New Roman" w:eastAsia="Times New Roman" w:hAnsi="Times New Roman"/>
            <w:i w:val="1"/>
            <w:color w:val="1155cc"/>
            <w:sz w:val="24"/>
            <w:szCs w:val="24"/>
            <w:highlight w:val="white"/>
            <w:u w:val="single"/>
            <w:rtl w:val="0"/>
          </w:rPr>
          <w:t xml:space="preserve">The contemporary hotel industry: A people management perspective</w:t>
        </w:r>
      </w:hyperlink>
      <w:r w:rsidDel="00000000" w:rsidR="00000000" w:rsidRPr="00000000">
        <w:rPr>
          <w:rFonts w:ascii="Times New Roman" w:cs="Times New Roman" w:eastAsia="Times New Roman" w:hAnsi="Times New Roman"/>
          <w:color w:val="222222"/>
          <w:sz w:val="24"/>
          <w:szCs w:val="24"/>
          <w:highlight w:val="white"/>
          <w:rtl w:val="0"/>
        </w:rPr>
        <w:t xml:space="preserve"> (pp. 129-158). Cham: Springer International Publishing.</w:t>
      </w:r>
    </w:p>
    <w:p w:rsidR="00000000" w:rsidDel="00000000" w:rsidP="00000000" w:rsidRDefault="00000000" w:rsidRPr="00000000" w14:paraId="00000116">
      <w:pPr>
        <w:widowControl w:val="0"/>
        <w:spacing w:line="360" w:lineRule="auto"/>
        <w:ind w:right="8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Gupta, K. and Sharma, S., (2021). Kiosks as self-service technology in hotels: opportunities and challenges. </w:t>
      </w:r>
      <w:hyperlink r:id="rId28">
        <w:r w:rsidDel="00000000" w:rsidR="00000000" w:rsidRPr="00000000">
          <w:rPr>
            <w:rFonts w:ascii="Times New Roman" w:cs="Times New Roman" w:eastAsia="Times New Roman" w:hAnsi="Times New Roman"/>
            <w:i w:val="1"/>
            <w:color w:val="1155cc"/>
            <w:sz w:val="24"/>
            <w:szCs w:val="24"/>
            <w:highlight w:val="white"/>
            <w:u w:val="single"/>
            <w:rtl w:val="0"/>
          </w:rPr>
          <w:t xml:space="preserve">Worldwide Hospitality and Tourism Themes</w:t>
        </w:r>
      </w:hyperlink>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13</w:t>
      </w:r>
      <w:r w:rsidDel="00000000" w:rsidR="00000000" w:rsidRPr="00000000">
        <w:rPr>
          <w:rFonts w:ascii="Times New Roman" w:cs="Times New Roman" w:eastAsia="Times New Roman" w:hAnsi="Times New Roman"/>
          <w:color w:val="222222"/>
          <w:sz w:val="24"/>
          <w:szCs w:val="24"/>
          <w:highlight w:val="white"/>
          <w:rtl w:val="0"/>
        </w:rPr>
        <w:t xml:space="preserve">(2), pp.236-251.</w:t>
      </w:r>
    </w:p>
    <w:p w:rsidR="00000000" w:rsidDel="00000000" w:rsidP="00000000" w:rsidRDefault="00000000" w:rsidRPr="00000000" w14:paraId="00000117">
      <w:pPr>
        <w:widowControl w:val="0"/>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Han, J.W., (2022). A review of antecedents of employee turnover in the hospitality industry on individual, team and organisational levels. </w:t>
      </w:r>
      <w:hyperlink r:id="rId29">
        <w:r w:rsidDel="00000000" w:rsidR="00000000" w:rsidRPr="00000000">
          <w:rPr>
            <w:rFonts w:ascii="Times New Roman" w:cs="Times New Roman" w:eastAsia="Times New Roman" w:hAnsi="Times New Roman"/>
            <w:i w:val="1"/>
            <w:color w:val="1155cc"/>
            <w:sz w:val="24"/>
            <w:szCs w:val="24"/>
            <w:highlight w:val="white"/>
            <w:u w:val="single"/>
            <w:rtl w:val="0"/>
          </w:rPr>
          <w:t xml:space="preserve">International Hospitality Review</w:t>
        </w:r>
      </w:hyperlink>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36</w:t>
      </w:r>
      <w:r w:rsidDel="00000000" w:rsidR="00000000" w:rsidRPr="00000000">
        <w:rPr>
          <w:rFonts w:ascii="Times New Roman" w:cs="Times New Roman" w:eastAsia="Times New Roman" w:hAnsi="Times New Roman"/>
          <w:color w:val="222222"/>
          <w:sz w:val="24"/>
          <w:szCs w:val="24"/>
          <w:highlight w:val="white"/>
          <w:rtl w:val="0"/>
        </w:rPr>
        <w:t xml:space="preserve">(1), pp.156-173.</w:t>
      </w:r>
    </w:p>
    <w:p w:rsidR="00000000" w:rsidDel="00000000" w:rsidP="00000000" w:rsidRDefault="00000000" w:rsidRPr="00000000" w14:paraId="00000118">
      <w:pPr>
        <w:widowControl w:val="0"/>
        <w:spacing w:line="360" w:lineRule="auto"/>
        <w:ind w:right="8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Hassanein, F. and Özgit, H., (2022). Sustaining human resources through talent management strategies and employee engagement in the Middle East hotel industry. </w:t>
      </w:r>
      <w:hyperlink r:id="rId30">
        <w:r w:rsidDel="00000000" w:rsidR="00000000" w:rsidRPr="00000000">
          <w:rPr>
            <w:rFonts w:ascii="Times New Roman" w:cs="Times New Roman" w:eastAsia="Times New Roman" w:hAnsi="Times New Roman"/>
            <w:i w:val="1"/>
            <w:color w:val="1155cc"/>
            <w:sz w:val="24"/>
            <w:szCs w:val="24"/>
            <w:highlight w:val="white"/>
            <w:u w:val="single"/>
            <w:rtl w:val="0"/>
          </w:rPr>
          <w:t xml:space="preserve">Sustainability</w:t>
        </w:r>
      </w:hyperlink>
      <w:hyperlink r:id="rId31">
        <w:r w:rsidDel="00000000" w:rsidR="00000000" w:rsidRPr="00000000">
          <w:rPr>
            <w:rFonts w:ascii="Times New Roman" w:cs="Times New Roman" w:eastAsia="Times New Roman" w:hAnsi="Times New Roman"/>
            <w:color w:val="1155cc"/>
            <w:sz w:val="24"/>
            <w:szCs w:val="24"/>
            <w:highlight w:val="white"/>
            <w:u w:val="single"/>
            <w:rtl w:val="0"/>
          </w:rPr>
          <w:t xml:space="preserve">, </w:t>
        </w:r>
      </w:hyperlink>
      <w:hyperlink r:id="rId32">
        <w:r w:rsidDel="00000000" w:rsidR="00000000" w:rsidRPr="00000000">
          <w:rPr>
            <w:rFonts w:ascii="Times New Roman" w:cs="Times New Roman" w:eastAsia="Times New Roman" w:hAnsi="Times New Roman"/>
            <w:i w:val="1"/>
            <w:color w:val="1155cc"/>
            <w:sz w:val="24"/>
            <w:szCs w:val="24"/>
            <w:highlight w:val="white"/>
            <w:u w:val="single"/>
            <w:rtl w:val="0"/>
          </w:rPr>
          <w:t xml:space="preserve">14</w:t>
        </w:r>
      </w:hyperlink>
      <w:r w:rsidDel="00000000" w:rsidR="00000000" w:rsidRPr="00000000">
        <w:rPr>
          <w:rFonts w:ascii="Times New Roman" w:cs="Times New Roman" w:eastAsia="Times New Roman" w:hAnsi="Times New Roman"/>
          <w:color w:val="222222"/>
          <w:sz w:val="24"/>
          <w:szCs w:val="24"/>
          <w:highlight w:val="white"/>
          <w:rtl w:val="0"/>
        </w:rPr>
        <w:t xml:space="preserve">(22), p.15365.</w:t>
      </w:r>
    </w:p>
    <w:p w:rsidR="00000000" w:rsidDel="00000000" w:rsidP="00000000" w:rsidRDefault="00000000" w:rsidRPr="00000000" w14:paraId="00000119">
      <w:pPr>
        <w:widowControl w:val="0"/>
        <w:spacing w:line="360" w:lineRule="auto"/>
        <w:ind w:right="8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Hingorani, P.P. and Swami, S., (2025). Inter-departmental dyadic coordination in organisations with reference to human resource and operations management. </w:t>
      </w:r>
      <w:r w:rsidDel="00000000" w:rsidR="00000000" w:rsidRPr="00000000">
        <w:rPr>
          <w:rFonts w:ascii="Times New Roman" w:cs="Times New Roman" w:eastAsia="Times New Roman" w:hAnsi="Times New Roman"/>
          <w:i w:val="1"/>
          <w:color w:val="222222"/>
          <w:sz w:val="24"/>
          <w:szCs w:val="24"/>
          <w:highlight w:val="white"/>
          <w:rtl w:val="0"/>
        </w:rPr>
        <w:t xml:space="preserve">J</w:t>
      </w:r>
      <w:hyperlink r:id="rId33">
        <w:r w:rsidDel="00000000" w:rsidR="00000000" w:rsidRPr="00000000">
          <w:rPr>
            <w:rFonts w:ascii="Times New Roman" w:cs="Times New Roman" w:eastAsia="Times New Roman" w:hAnsi="Times New Roman"/>
            <w:i w:val="1"/>
            <w:color w:val="1155cc"/>
            <w:sz w:val="24"/>
            <w:szCs w:val="24"/>
            <w:highlight w:val="white"/>
            <w:u w:val="single"/>
            <w:rtl w:val="0"/>
          </w:rPr>
          <w:t xml:space="preserve">ournal of Advances in Management Research</w:t>
        </w:r>
      </w:hyperlink>
      <w:hyperlink r:id="rId34">
        <w:r w:rsidDel="00000000" w:rsidR="00000000" w:rsidRPr="00000000">
          <w:rPr>
            <w:rFonts w:ascii="Times New Roman" w:cs="Times New Roman" w:eastAsia="Times New Roman" w:hAnsi="Times New Roman"/>
            <w:color w:val="1155cc"/>
            <w:sz w:val="24"/>
            <w:szCs w:val="24"/>
            <w:highlight w:val="white"/>
            <w:u w:val="single"/>
            <w:rtl w:val="0"/>
          </w:rPr>
          <w:t xml:space="preserve">,</w:t>
        </w:r>
      </w:hyperlink>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22</w:t>
      </w:r>
      <w:r w:rsidDel="00000000" w:rsidR="00000000" w:rsidRPr="00000000">
        <w:rPr>
          <w:rFonts w:ascii="Times New Roman" w:cs="Times New Roman" w:eastAsia="Times New Roman" w:hAnsi="Times New Roman"/>
          <w:color w:val="222222"/>
          <w:sz w:val="24"/>
          <w:szCs w:val="24"/>
          <w:highlight w:val="white"/>
          <w:rtl w:val="0"/>
        </w:rPr>
        <w:t xml:space="preserve">(1), pp.1-23.</w:t>
      </w:r>
    </w:p>
    <w:p w:rsidR="00000000" w:rsidDel="00000000" w:rsidP="00000000" w:rsidRDefault="00000000" w:rsidRPr="00000000" w14:paraId="0000011A">
      <w:pPr>
        <w:widowControl w:val="0"/>
        <w:spacing w:line="360" w:lineRule="auto"/>
        <w:ind w:right="8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Horwitch, M., (2022), August. Macro-innovation 2.0: Re-birth of large-scale innovation. In </w:t>
      </w:r>
      <w:r w:rsidDel="00000000" w:rsidR="00000000" w:rsidRPr="00000000">
        <w:rPr>
          <w:rFonts w:ascii="Times New Roman" w:cs="Times New Roman" w:eastAsia="Times New Roman" w:hAnsi="Times New Roman"/>
          <w:i w:val="1"/>
          <w:color w:val="222222"/>
          <w:sz w:val="24"/>
          <w:szCs w:val="24"/>
          <w:highlight w:val="white"/>
          <w:rtl w:val="0"/>
        </w:rPr>
        <w:t xml:space="preserve">2022 </w:t>
      </w:r>
      <w:hyperlink r:id="rId35">
        <w:r w:rsidDel="00000000" w:rsidR="00000000" w:rsidRPr="00000000">
          <w:rPr>
            <w:rFonts w:ascii="Times New Roman" w:cs="Times New Roman" w:eastAsia="Times New Roman" w:hAnsi="Times New Roman"/>
            <w:i w:val="1"/>
            <w:color w:val="1155cc"/>
            <w:sz w:val="24"/>
            <w:szCs w:val="24"/>
            <w:highlight w:val="white"/>
            <w:u w:val="single"/>
            <w:rtl w:val="0"/>
          </w:rPr>
          <w:t xml:space="preserve">Portland International Conference on Management of Engineering and Technology (PICMET)</w:t>
        </w:r>
      </w:hyperlink>
      <w:r w:rsidDel="00000000" w:rsidR="00000000" w:rsidRPr="00000000">
        <w:rPr>
          <w:rFonts w:ascii="Times New Roman" w:cs="Times New Roman" w:eastAsia="Times New Roman" w:hAnsi="Times New Roman"/>
          <w:color w:val="222222"/>
          <w:sz w:val="24"/>
          <w:szCs w:val="24"/>
          <w:highlight w:val="white"/>
          <w:rtl w:val="0"/>
        </w:rPr>
        <w:t xml:space="preserve"> (pp. 1-12). IEEE.</w:t>
      </w:r>
    </w:p>
    <w:p w:rsidR="00000000" w:rsidDel="00000000" w:rsidP="00000000" w:rsidRDefault="00000000" w:rsidRPr="00000000" w14:paraId="0000011B">
      <w:pPr>
        <w:widowControl w:val="0"/>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Islam, M.A., Hack‐Polay, D., Haque, A., Rahman, M. and Hossain, M.S., (2022). Moderating role of psychological empowerment on the relationship between green HRM practices and millennial employee retention in the hotel industry of Bangladesh. </w:t>
      </w:r>
      <w:hyperlink r:id="rId36">
        <w:r w:rsidDel="00000000" w:rsidR="00000000" w:rsidRPr="00000000">
          <w:rPr>
            <w:rFonts w:ascii="Times New Roman" w:cs="Times New Roman" w:eastAsia="Times New Roman" w:hAnsi="Times New Roman"/>
            <w:i w:val="1"/>
            <w:color w:val="1155cc"/>
            <w:sz w:val="24"/>
            <w:szCs w:val="24"/>
            <w:highlight w:val="white"/>
            <w:u w:val="single"/>
            <w:rtl w:val="0"/>
          </w:rPr>
          <w:t xml:space="preserve">Business Strategy &amp; Development</w:t>
        </w:r>
      </w:hyperlink>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5</w:t>
      </w:r>
      <w:r w:rsidDel="00000000" w:rsidR="00000000" w:rsidRPr="00000000">
        <w:rPr>
          <w:rFonts w:ascii="Times New Roman" w:cs="Times New Roman" w:eastAsia="Times New Roman" w:hAnsi="Times New Roman"/>
          <w:color w:val="222222"/>
          <w:sz w:val="24"/>
          <w:szCs w:val="24"/>
          <w:highlight w:val="white"/>
          <w:rtl w:val="0"/>
        </w:rPr>
        <w:t xml:space="preserve">(1), pp.17-29.</w:t>
      </w:r>
    </w:p>
    <w:p w:rsidR="00000000" w:rsidDel="00000000" w:rsidP="00000000" w:rsidRDefault="00000000" w:rsidRPr="00000000" w14:paraId="0000011C">
      <w:pPr>
        <w:widowControl w:val="0"/>
        <w:spacing w:line="360" w:lineRule="auto"/>
        <w:ind w:right="8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Jerab, D. and Mabrouk, T., (2023). </w:t>
      </w:r>
      <w:hyperlink r:id="rId37">
        <w:r w:rsidDel="00000000" w:rsidR="00000000" w:rsidRPr="00000000">
          <w:rPr>
            <w:rFonts w:ascii="Times New Roman" w:cs="Times New Roman" w:eastAsia="Times New Roman" w:hAnsi="Times New Roman"/>
            <w:color w:val="1155cc"/>
            <w:sz w:val="24"/>
            <w:szCs w:val="24"/>
            <w:highlight w:val="white"/>
            <w:u w:val="single"/>
            <w:rtl w:val="0"/>
          </w:rPr>
          <w:t xml:space="preserve">How to Design an Effective Organisational Structure &amp; the 21 Century Trends.</w:t>
        </w:r>
      </w:hyperlink>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Available at SSRN 4584646</w:t>
      </w:r>
      <w:r w:rsidDel="00000000" w:rsidR="00000000" w:rsidRPr="00000000">
        <w:rPr>
          <w:rFonts w:ascii="Times New Roman" w:cs="Times New Roman" w:eastAsia="Times New Roman" w:hAnsi="Times New Roman"/>
          <w:color w:val="222222"/>
          <w:sz w:val="24"/>
          <w:szCs w:val="24"/>
          <w:highlight w:val="white"/>
          <w:rtl w:val="0"/>
        </w:rPr>
        <w:t xml:space="preserve">.</w:t>
      </w:r>
    </w:p>
    <w:p w:rsidR="00000000" w:rsidDel="00000000" w:rsidP="00000000" w:rsidRDefault="00000000" w:rsidRPr="00000000" w14:paraId="0000011D">
      <w:pPr>
        <w:widowControl w:val="0"/>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Jerez-Jerez, M.J., Melewar, T.C. and Foroudi, P., (2021). Exploring waiters’ occupational identity and turnover intention: A qualitative study focusing on Michelin-starred restaurants in London. </w:t>
      </w:r>
      <w:hyperlink r:id="rId38">
        <w:r w:rsidDel="00000000" w:rsidR="00000000" w:rsidRPr="00000000">
          <w:rPr>
            <w:rFonts w:ascii="Times New Roman" w:cs="Times New Roman" w:eastAsia="Times New Roman" w:hAnsi="Times New Roman"/>
            <w:i w:val="1"/>
            <w:color w:val="1155cc"/>
            <w:sz w:val="24"/>
            <w:szCs w:val="24"/>
            <w:highlight w:val="white"/>
            <w:u w:val="single"/>
            <w:rtl w:val="0"/>
          </w:rPr>
          <w:t xml:space="preserve">Journal of hospitality and tourism management</w:t>
        </w:r>
      </w:hyperlink>
      <w:hyperlink r:id="rId39">
        <w:r w:rsidDel="00000000" w:rsidR="00000000" w:rsidRPr="00000000">
          <w:rPr>
            <w:rFonts w:ascii="Times New Roman" w:cs="Times New Roman" w:eastAsia="Times New Roman" w:hAnsi="Times New Roman"/>
            <w:color w:val="1155cc"/>
            <w:sz w:val="24"/>
            <w:szCs w:val="24"/>
            <w:highlight w:val="white"/>
            <w:u w:val="single"/>
            <w:rtl w:val="0"/>
          </w:rPr>
          <w:t xml:space="preserve">, </w:t>
        </w:r>
      </w:hyperlink>
      <w:hyperlink r:id="rId40">
        <w:r w:rsidDel="00000000" w:rsidR="00000000" w:rsidRPr="00000000">
          <w:rPr>
            <w:rFonts w:ascii="Times New Roman" w:cs="Times New Roman" w:eastAsia="Times New Roman" w:hAnsi="Times New Roman"/>
            <w:i w:val="1"/>
            <w:color w:val="1155cc"/>
            <w:sz w:val="24"/>
            <w:szCs w:val="24"/>
            <w:highlight w:val="white"/>
            <w:u w:val="single"/>
            <w:rtl w:val="0"/>
          </w:rPr>
          <w:t xml:space="preserve">47</w:t>
        </w:r>
      </w:hyperlink>
      <w:r w:rsidDel="00000000" w:rsidR="00000000" w:rsidRPr="00000000">
        <w:rPr>
          <w:rFonts w:ascii="Times New Roman" w:cs="Times New Roman" w:eastAsia="Times New Roman" w:hAnsi="Times New Roman"/>
          <w:color w:val="222222"/>
          <w:sz w:val="24"/>
          <w:szCs w:val="24"/>
          <w:highlight w:val="white"/>
          <w:rtl w:val="0"/>
        </w:rPr>
        <w:t xml:space="preserve">, pp.22-34.</w:t>
      </w:r>
    </w:p>
    <w:p w:rsidR="00000000" w:rsidDel="00000000" w:rsidP="00000000" w:rsidRDefault="00000000" w:rsidRPr="00000000" w14:paraId="0000011E">
      <w:pPr>
        <w:widowControl w:val="0"/>
        <w:spacing w:line="360" w:lineRule="auto"/>
        <w:ind w:right="8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Johnston, M.S. and Ricciardelli, R., (2024). Invisible ghosts of care and penality: Exploring Canadian correctional workers’ perceptions of prisoner well-being, accountability and power.</w:t>
      </w:r>
      <w:hyperlink r:id="rId41">
        <w:r w:rsidDel="00000000" w:rsidR="00000000" w:rsidRPr="00000000">
          <w:rPr>
            <w:rFonts w:ascii="Times New Roman" w:cs="Times New Roman" w:eastAsia="Times New Roman" w:hAnsi="Times New Roman"/>
            <w:color w:val="1155cc"/>
            <w:sz w:val="24"/>
            <w:szCs w:val="24"/>
            <w:highlight w:val="white"/>
            <w:u w:val="single"/>
            <w:rtl w:val="0"/>
          </w:rPr>
          <w:t xml:space="preserve"> </w:t>
        </w:r>
      </w:hyperlink>
      <w:hyperlink r:id="rId42">
        <w:r w:rsidDel="00000000" w:rsidR="00000000" w:rsidRPr="00000000">
          <w:rPr>
            <w:rFonts w:ascii="Times New Roman" w:cs="Times New Roman" w:eastAsia="Times New Roman" w:hAnsi="Times New Roman"/>
            <w:i w:val="1"/>
            <w:color w:val="1155cc"/>
            <w:sz w:val="24"/>
            <w:szCs w:val="24"/>
            <w:highlight w:val="white"/>
            <w:u w:val="single"/>
            <w:rtl w:val="0"/>
          </w:rPr>
          <w:t xml:space="preserve">Criminology &amp; Criminal Justice</w:t>
        </w:r>
      </w:hyperlink>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24</w:t>
      </w:r>
      <w:r w:rsidDel="00000000" w:rsidR="00000000" w:rsidRPr="00000000">
        <w:rPr>
          <w:rFonts w:ascii="Times New Roman" w:cs="Times New Roman" w:eastAsia="Times New Roman" w:hAnsi="Times New Roman"/>
          <w:color w:val="222222"/>
          <w:sz w:val="24"/>
          <w:szCs w:val="24"/>
          <w:highlight w:val="white"/>
          <w:rtl w:val="0"/>
        </w:rPr>
        <w:t xml:space="preserve">(1), pp.291-312.</w:t>
      </w:r>
    </w:p>
    <w:p w:rsidR="00000000" w:rsidDel="00000000" w:rsidP="00000000" w:rsidRDefault="00000000" w:rsidRPr="00000000" w14:paraId="0000011F">
      <w:pPr>
        <w:widowControl w:val="0"/>
        <w:spacing w:line="360" w:lineRule="auto"/>
        <w:ind w:right="8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Joseph, J. (2023). State, society and environmental security in international relations theory. </w:t>
      </w:r>
      <w:hyperlink r:id="rId43">
        <w:r w:rsidDel="00000000" w:rsidR="00000000" w:rsidRPr="00000000">
          <w:rPr>
            <w:rFonts w:ascii="Times New Roman" w:cs="Times New Roman" w:eastAsia="Times New Roman" w:hAnsi="Times New Roman"/>
            <w:i w:val="1"/>
            <w:color w:val="1155cc"/>
            <w:sz w:val="24"/>
            <w:szCs w:val="24"/>
            <w:highlight w:val="white"/>
            <w:u w:val="single"/>
            <w:rtl w:val="0"/>
          </w:rPr>
          <w:t xml:space="preserve">Fudan Journal of the Humanities and Social Sciences</w:t>
        </w:r>
      </w:hyperlink>
      <w:hyperlink r:id="rId44">
        <w:r w:rsidDel="00000000" w:rsidR="00000000" w:rsidRPr="00000000">
          <w:rPr>
            <w:rFonts w:ascii="Times New Roman" w:cs="Times New Roman" w:eastAsia="Times New Roman" w:hAnsi="Times New Roman"/>
            <w:color w:val="1155cc"/>
            <w:sz w:val="24"/>
            <w:szCs w:val="24"/>
            <w:highlight w:val="white"/>
            <w:u w:val="single"/>
            <w:rtl w:val="0"/>
          </w:rPr>
          <w:t xml:space="preserve">,</w:t>
        </w:r>
      </w:hyperlink>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16</w:t>
      </w:r>
      <w:r w:rsidDel="00000000" w:rsidR="00000000" w:rsidRPr="00000000">
        <w:rPr>
          <w:rFonts w:ascii="Times New Roman" w:cs="Times New Roman" w:eastAsia="Times New Roman" w:hAnsi="Times New Roman"/>
          <w:color w:val="222222"/>
          <w:sz w:val="24"/>
          <w:szCs w:val="24"/>
          <w:highlight w:val="white"/>
          <w:rtl w:val="0"/>
        </w:rPr>
        <w:t xml:space="preserve">(2), pp.171-190.</w:t>
      </w:r>
    </w:p>
    <w:p w:rsidR="00000000" w:rsidDel="00000000" w:rsidP="00000000" w:rsidRDefault="00000000" w:rsidRPr="00000000" w14:paraId="00000120">
      <w:pPr>
        <w:widowControl w:val="0"/>
        <w:spacing w:line="360" w:lineRule="auto"/>
        <w:ind w:right="6"/>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sz w:val="24"/>
          <w:szCs w:val="24"/>
          <w:rtl w:val="0"/>
        </w:rPr>
        <w:t xml:space="preserve">Kipping, &amp; Clark, T. (2012). </w:t>
      </w:r>
      <w:hyperlink r:id="rId45">
        <w:r w:rsidDel="00000000" w:rsidR="00000000" w:rsidRPr="00000000">
          <w:rPr>
            <w:rFonts w:ascii="Times New Roman" w:cs="Times New Roman" w:eastAsia="Times New Roman" w:hAnsi="Times New Roman"/>
            <w:i w:val="1"/>
            <w:color w:val="1155cc"/>
            <w:sz w:val="24"/>
            <w:szCs w:val="24"/>
            <w:u w:val="single"/>
            <w:rtl w:val="0"/>
          </w:rPr>
          <w:t xml:space="preserve">The Oxford handbook of  management consulting</w:t>
        </w:r>
      </w:hyperlink>
      <w:hyperlink r:id="rId46">
        <w:r w:rsidDel="00000000" w:rsidR="00000000" w:rsidRPr="00000000">
          <w:rPr>
            <w:rFonts w:ascii="Times New Roman" w:cs="Times New Roman" w:eastAsia="Times New Roman" w:hAnsi="Times New Roman"/>
            <w:color w:val="1155cc"/>
            <w:sz w:val="24"/>
            <w:szCs w:val="24"/>
            <w:u w:val="single"/>
            <w:rtl w:val="0"/>
          </w:rPr>
          <w:t xml:space="preserve">.</w:t>
        </w:r>
      </w:hyperlink>
      <w:r w:rsidDel="00000000" w:rsidR="00000000" w:rsidRPr="00000000">
        <w:rPr>
          <w:rFonts w:ascii="Times New Roman" w:cs="Times New Roman" w:eastAsia="Times New Roman" w:hAnsi="Times New Roman"/>
          <w:sz w:val="24"/>
          <w:szCs w:val="24"/>
          <w:rtl w:val="0"/>
        </w:rPr>
        <w:t xml:space="preserve"> Oxford University Press </w:t>
      </w:r>
      <w:r w:rsidDel="00000000" w:rsidR="00000000" w:rsidRPr="00000000">
        <w:rPr>
          <w:rtl w:val="0"/>
        </w:rPr>
      </w:r>
    </w:p>
    <w:p w:rsidR="00000000" w:rsidDel="00000000" w:rsidP="00000000" w:rsidRDefault="00000000" w:rsidRPr="00000000" w14:paraId="00000121">
      <w:pPr>
        <w:widowControl w:val="0"/>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Kotera, Y., Adhikari, P. and Sheffield, D., (2021). Mental health of UK hospitality workers: Shame, self-criticism and self-reassurance. </w:t>
      </w:r>
      <w:hyperlink r:id="rId47">
        <w:r w:rsidDel="00000000" w:rsidR="00000000" w:rsidRPr="00000000">
          <w:rPr>
            <w:rFonts w:ascii="Times New Roman" w:cs="Times New Roman" w:eastAsia="Times New Roman" w:hAnsi="Times New Roman"/>
            <w:i w:val="1"/>
            <w:color w:val="1155cc"/>
            <w:sz w:val="24"/>
            <w:szCs w:val="24"/>
            <w:highlight w:val="white"/>
            <w:u w:val="single"/>
            <w:rtl w:val="0"/>
          </w:rPr>
          <w:t xml:space="preserve">The Service Industries Journal</w:t>
        </w:r>
      </w:hyperlink>
      <w:hyperlink r:id="rId48">
        <w:r w:rsidDel="00000000" w:rsidR="00000000" w:rsidRPr="00000000">
          <w:rPr>
            <w:rFonts w:ascii="Times New Roman" w:cs="Times New Roman" w:eastAsia="Times New Roman" w:hAnsi="Times New Roman"/>
            <w:color w:val="1155cc"/>
            <w:sz w:val="24"/>
            <w:szCs w:val="24"/>
            <w:highlight w:val="white"/>
            <w:u w:val="single"/>
            <w:rtl w:val="0"/>
          </w:rPr>
          <w:t xml:space="preserve">,</w:t>
        </w:r>
      </w:hyperlink>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41</w:t>
      </w:r>
      <w:r w:rsidDel="00000000" w:rsidR="00000000" w:rsidRPr="00000000">
        <w:rPr>
          <w:rFonts w:ascii="Times New Roman" w:cs="Times New Roman" w:eastAsia="Times New Roman" w:hAnsi="Times New Roman"/>
          <w:color w:val="222222"/>
          <w:sz w:val="24"/>
          <w:szCs w:val="24"/>
          <w:highlight w:val="white"/>
          <w:rtl w:val="0"/>
        </w:rPr>
        <w:t xml:space="preserve">(15-16), pp.1076-1096.</w:t>
      </w:r>
    </w:p>
    <w:p w:rsidR="00000000" w:rsidDel="00000000" w:rsidP="00000000" w:rsidRDefault="00000000" w:rsidRPr="00000000" w14:paraId="00000122">
      <w:pPr>
        <w:widowControl w:val="0"/>
        <w:spacing w:line="360" w:lineRule="auto"/>
        <w:ind w:right="7"/>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sz w:val="24"/>
          <w:szCs w:val="24"/>
          <w:rtl w:val="0"/>
        </w:rPr>
        <w:t xml:space="preserve">Kotter, J (2012). </w:t>
      </w:r>
      <w:r w:rsidDel="00000000" w:rsidR="00000000" w:rsidRPr="00000000">
        <w:rPr>
          <w:rFonts w:ascii="Times New Roman" w:cs="Times New Roman" w:eastAsia="Times New Roman" w:hAnsi="Times New Roman"/>
          <w:i w:val="1"/>
          <w:sz w:val="24"/>
          <w:szCs w:val="24"/>
          <w:rtl w:val="0"/>
        </w:rPr>
        <w:t xml:space="preserve">Leading change. </w:t>
      </w:r>
      <w:r w:rsidDel="00000000" w:rsidR="00000000" w:rsidRPr="00000000">
        <w:rPr>
          <w:rFonts w:ascii="Times New Roman" w:cs="Times New Roman" w:eastAsia="Times New Roman" w:hAnsi="Times New Roman"/>
          <w:sz w:val="24"/>
          <w:szCs w:val="24"/>
          <w:rtl w:val="0"/>
        </w:rPr>
        <w:t xml:space="preserve">Harvard Business  Review Press. </w:t>
      </w:r>
      <w:r w:rsidDel="00000000" w:rsidR="00000000" w:rsidRPr="00000000">
        <w:rPr>
          <w:rtl w:val="0"/>
        </w:rPr>
      </w:r>
    </w:p>
    <w:p w:rsidR="00000000" w:rsidDel="00000000" w:rsidP="00000000" w:rsidRDefault="00000000" w:rsidRPr="00000000" w14:paraId="00000123">
      <w:pPr>
        <w:widowControl w:val="0"/>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Le, L.H., Hancer, M., Chaulagain, S. and Pham, P., (2023). Reducing hotel employee turnover intention by promoting pride in job and meaning of work: A cross-cultural perspective.</w:t>
      </w:r>
      <w:hyperlink r:id="rId49">
        <w:r w:rsidDel="00000000" w:rsidR="00000000" w:rsidRPr="00000000">
          <w:rPr>
            <w:rFonts w:ascii="Times New Roman" w:cs="Times New Roman" w:eastAsia="Times New Roman" w:hAnsi="Times New Roman"/>
            <w:color w:val="1155cc"/>
            <w:sz w:val="24"/>
            <w:szCs w:val="24"/>
            <w:highlight w:val="white"/>
            <w:u w:val="single"/>
            <w:rtl w:val="0"/>
          </w:rPr>
          <w:t xml:space="preserve"> </w:t>
        </w:r>
      </w:hyperlink>
      <w:hyperlink r:id="rId50">
        <w:r w:rsidDel="00000000" w:rsidR="00000000" w:rsidRPr="00000000">
          <w:rPr>
            <w:rFonts w:ascii="Times New Roman" w:cs="Times New Roman" w:eastAsia="Times New Roman" w:hAnsi="Times New Roman"/>
            <w:i w:val="1"/>
            <w:color w:val="1155cc"/>
            <w:sz w:val="24"/>
            <w:szCs w:val="24"/>
            <w:highlight w:val="white"/>
            <w:u w:val="single"/>
            <w:rtl w:val="0"/>
          </w:rPr>
          <w:t xml:space="preserve">International Journal of Hospitality Management</w:t>
        </w:r>
      </w:hyperlink>
      <w:hyperlink r:id="rId51">
        <w:r w:rsidDel="00000000" w:rsidR="00000000" w:rsidRPr="00000000">
          <w:rPr>
            <w:rFonts w:ascii="Times New Roman" w:cs="Times New Roman" w:eastAsia="Times New Roman" w:hAnsi="Times New Roman"/>
            <w:color w:val="1155cc"/>
            <w:sz w:val="24"/>
            <w:szCs w:val="24"/>
            <w:highlight w:val="white"/>
            <w:u w:val="single"/>
            <w:rtl w:val="0"/>
          </w:rPr>
          <w:t xml:space="preserve">, </w:t>
        </w:r>
      </w:hyperlink>
      <w:hyperlink r:id="rId52">
        <w:r w:rsidDel="00000000" w:rsidR="00000000" w:rsidRPr="00000000">
          <w:rPr>
            <w:rFonts w:ascii="Times New Roman" w:cs="Times New Roman" w:eastAsia="Times New Roman" w:hAnsi="Times New Roman"/>
            <w:i w:val="1"/>
            <w:color w:val="1155cc"/>
            <w:sz w:val="24"/>
            <w:szCs w:val="24"/>
            <w:highlight w:val="white"/>
            <w:u w:val="single"/>
            <w:rtl w:val="0"/>
          </w:rPr>
          <w:t xml:space="preserve">109</w:t>
        </w:r>
      </w:hyperlink>
      <w:r w:rsidDel="00000000" w:rsidR="00000000" w:rsidRPr="00000000">
        <w:rPr>
          <w:rFonts w:ascii="Times New Roman" w:cs="Times New Roman" w:eastAsia="Times New Roman" w:hAnsi="Times New Roman"/>
          <w:color w:val="222222"/>
          <w:sz w:val="24"/>
          <w:szCs w:val="24"/>
          <w:highlight w:val="white"/>
          <w:rtl w:val="0"/>
        </w:rPr>
        <w:t xml:space="preserve">, p.103409.</w:t>
      </w:r>
    </w:p>
    <w:p w:rsidR="00000000" w:rsidDel="00000000" w:rsidP="00000000" w:rsidRDefault="00000000" w:rsidRPr="00000000" w14:paraId="00000124">
      <w:pPr>
        <w:widowControl w:val="0"/>
        <w:spacing w:line="360" w:lineRule="auto"/>
        <w:ind w:right="8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Lloyd, J. and Owens, R., (2025). Giving feedback on ‘bad practice’. In</w:t>
      </w:r>
      <w:hyperlink r:id="rId53">
        <w:r w:rsidDel="00000000" w:rsidR="00000000" w:rsidRPr="00000000">
          <w:rPr>
            <w:rFonts w:ascii="Times New Roman" w:cs="Times New Roman" w:eastAsia="Times New Roman" w:hAnsi="Times New Roman"/>
            <w:color w:val="1155cc"/>
            <w:sz w:val="24"/>
            <w:szCs w:val="24"/>
            <w:highlight w:val="white"/>
            <w:u w:val="single"/>
            <w:rtl w:val="0"/>
          </w:rPr>
          <w:t xml:space="preserve"> </w:t>
        </w:r>
      </w:hyperlink>
      <w:hyperlink r:id="rId54">
        <w:r w:rsidDel="00000000" w:rsidR="00000000" w:rsidRPr="00000000">
          <w:rPr>
            <w:rFonts w:ascii="Times New Roman" w:cs="Times New Roman" w:eastAsia="Times New Roman" w:hAnsi="Times New Roman"/>
            <w:i w:val="1"/>
            <w:color w:val="1155cc"/>
            <w:sz w:val="24"/>
            <w:szCs w:val="24"/>
            <w:highlight w:val="white"/>
            <w:u w:val="single"/>
            <w:rtl w:val="0"/>
          </w:rPr>
          <w:t xml:space="preserve">Doing Real-Life Change in Children’s Social Care</w:t>
        </w:r>
      </w:hyperlink>
      <w:r w:rsidDel="00000000" w:rsidR="00000000" w:rsidRPr="00000000">
        <w:rPr>
          <w:rFonts w:ascii="Times New Roman" w:cs="Times New Roman" w:eastAsia="Times New Roman" w:hAnsi="Times New Roman"/>
          <w:color w:val="222222"/>
          <w:sz w:val="24"/>
          <w:szCs w:val="24"/>
          <w:highlight w:val="white"/>
          <w:rtl w:val="0"/>
        </w:rPr>
        <w:t xml:space="preserve"> (pp. 123-142). Policy Press.</w:t>
      </w:r>
    </w:p>
    <w:p w:rsidR="00000000" w:rsidDel="00000000" w:rsidP="00000000" w:rsidRDefault="00000000" w:rsidRPr="00000000" w14:paraId="00000125">
      <w:pPr>
        <w:widowControl w:val="0"/>
        <w:spacing w:line="360" w:lineRule="auto"/>
        <w:ind w:right="8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Lucidity (2023). </w:t>
      </w:r>
      <w:r w:rsidDel="00000000" w:rsidR="00000000" w:rsidRPr="00000000">
        <w:rPr>
          <w:rFonts w:ascii="Times New Roman" w:cs="Times New Roman" w:eastAsia="Times New Roman" w:hAnsi="Times New Roman"/>
          <w:i w:val="1"/>
          <w:color w:val="222222"/>
          <w:sz w:val="24"/>
          <w:szCs w:val="24"/>
          <w:highlight w:val="white"/>
          <w:rtl w:val="0"/>
        </w:rPr>
        <w:t xml:space="preserve">Guide to Kotter’s 8-Step Change Model | Lucidity.</w:t>
      </w:r>
      <w:r w:rsidDel="00000000" w:rsidR="00000000" w:rsidRPr="00000000">
        <w:rPr>
          <w:rFonts w:ascii="Times New Roman" w:cs="Times New Roman" w:eastAsia="Times New Roman" w:hAnsi="Times New Roman"/>
          <w:color w:val="222222"/>
          <w:sz w:val="24"/>
          <w:szCs w:val="24"/>
          <w:highlight w:val="white"/>
          <w:rtl w:val="0"/>
        </w:rPr>
        <w:t xml:space="preserve"> [online] getlucidity.com. Available at: </w:t>
      </w:r>
      <w:hyperlink r:id="rId55">
        <w:r w:rsidDel="00000000" w:rsidR="00000000" w:rsidRPr="00000000">
          <w:rPr>
            <w:rFonts w:ascii="Times New Roman" w:cs="Times New Roman" w:eastAsia="Times New Roman" w:hAnsi="Times New Roman"/>
            <w:color w:val="1155cc"/>
            <w:sz w:val="24"/>
            <w:szCs w:val="24"/>
            <w:highlight w:val="white"/>
            <w:u w:val="single"/>
            <w:rtl w:val="0"/>
          </w:rPr>
          <w:t xml:space="preserve">https://getlucidity.com/strategy-resources/guide-to-kotters-8-step-change-model/</w:t>
        </w:r>
      </w:hyperlink>
      <w:r w:rsidDel="00000000" w:rsidR="00000000" w:rsidRPr="00000000">
        <w:rPr>
          <w:rFonts w:ascii="Times New Roman" w:cs="Times New Roman" w:eastAsia="Times New Roman" w:hAnsi="Times New Roman"/>
          <w:color w:val="222222"/>
          <w:sz w:val="24"/>
          <w:szCs w:val="24"/>
          <w:highlight w:val="white"/>
          <w:rtl w:val="0"/>
        </w:rPr>
        <w:t xml:space="preserve">. [Accessed 2 May. 2025]</w:t>
      </w:r>
    </w:p>
    <w:p w:rsidR="00000000" w:rsidDel="00000000" w:rsidP="00000000" w:rsidRDefault="00000000" w:rsidRPr="00000000" w14:paraId="00000126">
      <w:pPr>
        <w:widowControl w:val="0"/>
        <w:spacing w:line="360" w:lineRule="auto"/>
        <w:ind w:right="8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Marriott Bonvoy. (2025). </w:t>
      </w:r>
      <w:r w:rsidDel="00000000" w:rsidR="00000000" w:rsidRPr="00000000">
        <w:rPr>
          <w:rFonts w:ascii="Times New Roman" w:cs="Times New Roman" w:eastAsia="Times New Roman" w:hAnsi="Times New Roman"/>
          <w:i w:val="1"/>
          <w:color w:val="222222"/>
          <w:sz w:val="24"/>
          <w:szCs w:val="24"/>
          <w:highlight w:val="white"/>
          <w:rtl w:val="0"/>
        </w:rPr>
        <w:t xml:space="preserve">London Marriott Hotel County Hall.</w:t>
      </w:r>
      <w:r w:rsidDel="00000000" w:rsidR="00000000" w:rsidRPr="00000000">
        <w:rPr>
          <w:rFonts w:ascii="Times New Roman" w:cs="Times New Roman" w:eastAsia="Times New Roman" w:hAnsi="Times New Roman"/>
          <w:color w:val="222222"/>
          <w:sz w:val="24"/>
          <w:szCs w:val="24"/>
          <w:highlight w:val="white"/>
          <w:rtl w:val="0"/>
        </w:rPr>
        <w:t xml:space="preserve"> [online] Available at: </w:t>
      </w:r>
      <w:hyperlink r:id="rId56">
        <w:r w:rsidDel="00000000" w:rsidR="00000000" w:rsidRPr="00000000">
          <w:rPr>
            <w:rFonts w:ascii="Times New Roman" w:cs="Times New Roman" w:eastAsia="Times New Roman" w:hAnsi="Times New Roman"/>
            <w:color w:val="1155cc"/>
            <w:sz w:val="24"/>
            <w:szCs w:val="24"/>
            <w:highlight w:val="white"/>
            <w:u w:val="single"/>
            <w:rtl w:val="0"/>
          </w:rPr>
          <w:t xml:space="preserve">https://www.marriott.com/en-us/hotels/lonch-london-marriott-hotel-county-hall/photos/</w:t>
        </w:r>
      </w:hyperlink>
      <w:r w:rsidDel="00000000" w:rsidR="00000000" w:rsidRPr="00000000">
        <w:rPr>
          <w:rFonts w:ascii="Times New Roman" w:cs="Times New Roman" w:eastAsia="Times New Roman" w:hAnsi="Times New Roman"/>
          <w:color w:val="222222"/>
          <w:sz w:val="24"/>
          <w:szCs w:val="24"/>
          <w:highlight w:val="white"/>
          <w:rtl w:val="0"/>
        </w:rPr>
        <w:t xml:space="preserve"> [Accessed 1 May 2025].</w:t>
      </w:r>
    </w:p>
    <w:p w:rsidR="00000000" w:rsidDel="00000000" w:rsidP="00000000" w:rsidRDefault="00000000" w:rsidRPr="00000000" w14:paraId="00000127">
      <w:pPr>
        <w:widowControl w:val="0"/>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Marriott Hotels stresses the Spirit to Serve. (2008). </w:t>
      </w:r>
      <w:r w:rsidDel="00000000" w:rsidR="00000000" w:rsidRPr="00000000">
        <w:rPr>
          <w:rFonts w:ascii="Times New Roman" w:cs="Times New Roman" w:eastAsia="Times New Roman" w:hAnsi="Times New Roman"/>
          <w:i w:val="1"/>
          <w:color w:val="222222"/>
          <w:sz w:val="24"/>
          <w:szCs w:val="24"/>
          <w:highlight w:val="white"/>
          <w:rtl w:val="0"/>
        </w:rPr>
        <w:t xml:space="preserve">Human Resource Management International Digest,</w:t>
      </w:r>
      <w:r w:rsidDel="00000000" w:rsidR="00000000" w:rsidRPr="00000000">
        <w:rPr>
          <w:rFonts w:ascii="Times New Roman" w:cs="Times New Roman" w:eastAsia="Times New Roman" w:hAnsi="Times New Roman"/>
          <w:color w:val="222222"/>
          <w:sz w:val="24"/>
          <w:szCs w:val="24"/>
          <w:highlight w:val="white"/>
          <w:rtl w:val="0"/>
        </w:rPr>
        <w:t xml:space="preserve"> 16(5), pp.26–28.</w:t>
      </w:r>
    </w:p>
    <w:p w:rsidR="00000000" w:rsidDel="00000000" w:rsidP="00000000" w:rsidRDefault="00000000" w:rsidRPr="00000000" w14:paraId="00000128">
      <w:pPr>
        <w:widowControl w:val="0"/>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Marriott International (2016). </w:t>
      </w:r>
      <w:r w:rsidDel="00000000" w:rsidR="00000000" w:rsidRPr="00000000">
        <w:rPr>
          <w:rFonts w:ascii="Times New Roman" w:cs="Times New Roman" w:eastAsia="Times New Roman" w:hAnsi="Times New Roman"/>
          <w:i w:val="1"/>
          <w:color w:val="222222"/>
          <w:sz w:val="24"/>
          <w:szCs w:val="24"/>
          <w:highlight w:val="white"/>
          <w:rtl w:val="0"/>
        </w:rPr>
        <w:t xml:space="preserve">Need-Based Grants For Disaster Relief | Marriott International.</w:t>
      </w:r>
      <w:r w:rsidDel="00000000" w:rsidR="00000000" w:rsidRPr="00000000">
        <w:rPr>
          <w:rFonts w:ascii="Times New Roman" w:cs="Times New Roman" w:eastAsia="Times New Roman" w:hAnsi="Times New Roman"/>
          <w:color w:val="222222"/>
          <w:sz w:val="24"/>
          <w:szCs w:val="24"/>
          <w:highlight w:val="white"/>
          <w:rtl w:val="0"/>
        </w:rPr>
        <w:t xml:space="preserve"> [online] Marriott.com. Available at: </w:t>
      </w:r>
      <w:hyperlink r:id="rId57">
        <w:r w:rsidDel="00000000" w:rsidR="00000000" w:rsidRPr="00000000">
          <w:rPr>
            <w:rFonts w:ascii="Times New Roman" w:cs="Times New Roman" w:eastAsia="Times New Roman" w:hAnsi="Times New Roman"/>
            <w:color w:val="1155cc"/>
            <w:sz w:val="24"/>
            <w:szCs w:val="24"/>
            <w:highlight w:val="white"/>
            <w:u w:val="single"/>
            <w:rtl w:val="0"/>
          </w:rPr>
          <w:t xml:space="preserve">https://www.marriott.com/culture-and-values/takecare-relief-fund.mi</w:t>
        </w:r>
      </w:hyperlink>
      <w:r w:rsidDel="00000000" w:rsidR="00000000" w:rsidRPr="00000000">
        <w:rPr>
          <w:rFonts w:ascii="Times New Roman" w:cs="Times New Roman" w:eastAsia="Times New Roman" w:hAnsi="Times New Roman"/>
          <w:color w:val="222222"/>
          <w:sz w:val="24"/>
          <w:szCs w:val="24"/>
          <w:highlight w:val="white"/>
          <w:rtl w:val="0"/>
        </w:rPr>
        <w:t xml:space="preserve">. [Accessed 18 Apr. 2025].</w:t>
      </w:r>
    </w:p>
    <w:p w:rsidR="00000000" w:rsidDel="00000000" w:rsidP="00000000" w:rsidRDefault="00000000" w:rsidRPr="00000000" w14:paraId="00000129">
      <w:pPr>
        <w:widowControl w:val="0"/>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Marriott International (2017). </w:t>
      </w:r>
      <w:r w:rsidDel="00000000" w:rsidR="00000000" w:rsidRPr="00000000">
        <w:rPr>
          <w:rFonts w:ascii="Times New Roman" w:cs="Times New Roman" w:eastAsia="Times New Roman" w:hAnsi="Times New Roman"/>
          <w:i w:val="1"/>
          <w:color w:val="222222"/>
          <w:sz w:val="24"/>
          <w:szCs w:val="24"/>
          <w:highlight w:val="white"/>
          <w:rtl w:val="0"/>
        </w:rPr>
        <w:t xml:space="preserve">Marriott International Careers | Find Job &amp; Career Opportunities. </w:t>
      </w:r>
      <w:r w:rsidDel="00000000" w:rsidR="00000000" w:rsidRPr="00000000">
        <w:rPr>
          <w:rFonts w:ascii="Times New Roman" w:cs="Times New Roman" w:eastAsia="Times New Roman" w:hAnsi="Times New Roman"/>
          <w:color w:val="222222"/>
          <w:sz w:val="24"/>
          <w:szCs w:val="24"/>
          <w:highlight w:val="white"/>
          <w:rtl w:val="0"/>
        </w:rPr>
        <w:t xml:space="preserve">[online] Marriott Careers. Available at: </w:t>
      </w:r>
      <w:hyperlink r:id="rId58">
        <w:r w:rsidDel="00000000" w:rsidR="00000000" w:rsidRPr="00000000">
          <w:rPr>
            <w:rFonts w:ascii="Times New Roman" w:cs="Times New Roman" w:eastAsia="Times New Roman" w:hAnsi="Times New Roman"/>
            <w:color w:val="1155cc"/>
            <w:sz w:val="24"/>
            <w:szCs w:val="24"/>
            <w:highlight w:val="white"/>
            <w:u w:val="single"/>
            <w:rtl w:val="0"/>
          </w:rPr>
          <w:t xml:space="preserve">https://careers.marriott.com/</w:t>
        </w:r>
      </w:hyperlink>
      <w:r w:rsidDel="00000000" w:rsidR="00000000" w:rsidRPr="00000000">
        <w:rPr>
          <w:rFonts w:ascii="Times New Roman" w:cs="Times New Roman" w:eastAsia="Times New Roman" w:hAnsi="Times New Roman"/>
          <w:color w:val="222222"/>
          <w:sz w:val="24"/>
          <w:szCs w:val="24"/>
          <w:highlight w:val="white"/>
          <w:rtl w:val="0"/>
        </w:rPr>
        <w:t xml:space="preserve">. [Accessed 18 Apr. 2025].</w:t>
      </w:r>
    </w:p>
    <w:p w:rsidR="00000000" w:rsidDel="00000000" w:rsidP="00000000" w:rsidRDefault="00000000" w:rsidRPr="00000000" w14:paraId="0000012A">
      <w:pPr>
        <w:widowControl w:val="0"/>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Marriott. (2024). </w:t>
      </w:r>
      <w:r w:rsidDel="00000000" w:rsidR="00000000" w:rsidRPr="00000000">
        <w:rPr>
          <w:rFonts w:ascii="Times New Roman" w:cs="Times New Roman" w:eastAsia="Times New Roman" w:hAnsi="Times New Roman"/>
          <w:i w:val="1"/>
          <w:color w:val="222222"/>
          <w:sz w:val="24"/>
          <w:szCs w:val="24"/>
          <w:highlight w:val="white"/>
          <w:rtl w:val="0"/>
        </w:rPr>
        <w:t xml:space="preserve">Environmental, Social &amp; Governance| Performance Tables &amp; Appendices.</w:t>
      </w:r>
      <w:r w:rsidDel="00000000" w:rsidR="00000000" w:rsidRPr="00000000">
        <w:rPr>
          <w:rFonts w:ascii="Times New Roman" w:cs="Times New Roman" w:eastAsia="Times New Roman" w:hAnsi="Times New Roman"/>
          <w:color w:val="222222"/>
          <w:sz w:val="24"/>
          <w:szCs w:val="24"/>
          <w:highlight w:val="white"/>
          <w:rtl w:val="0"/>
        </w:rPr>
        <w:t xml:space="preserve"> [online]. Available at: </w:t>
      </w:r>
      <w:hyperlink r:id="rId59">
        <w:r w:rsidDel="00000000" w:rsidR="00000000" w:rsidRPr="00000000">
          <w:rPr>
            <w:rFonts w:ascii="Times New Roman" w:cs="Times New Roman" w:eastAsia="Times New Roman" w:hAnsi="Times New Roman"/>
            <w:color w:val="1155cc"/>
            <w:sz w:val="24"/>
            <w:szCs w:val="24"/>
            <w:highlight w:val="white"/>
            <w:u w:val="single"/>
            <w:rtl w:val="0"/>
          </w:rPr>
          <w:t xml:space="preserve">https://serve360.marriott.com/wp-content/uploads/2024/07/2024PerformanceTables.pdf</w:t>
        </w:r>
      </w:hyperlink>
      <w:r w:rsidDel="00000000" w:rsidR="00000000" w:rsidRPr="00000000">
        <w:rPr>
          <w:rFonts w:ascii="Times New Roman" w:cs="Times New Roman" w:eastAsia="Times New Roman" w:hAnsi="Times New Roman"/>
          <w:color w:val="222222"/>
          <w:sz w:val="24"/>
          <w:szCs w:val="24"/>
          <w:highlight w:val="white"/>
          <w:rtl w:val="0"/>
        </w:rPr>
        <w:t xml:space="preserve">  [Accessed 14 Apr. 2025] </w:t>
      </w:r>
    </w:p>
    <w:p w:rsidR="00000000" w:rsidDel="00000000" w:rsidP="00000000" w:rsidRDefault="00000000" w:rsidRPr="00000000" w14:paraId="0000012B">
      <w:pPr>
        <w:widowControl w:val="0"/>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Mavridopoulou, and O’Mahoney, J. (2020). Elitism in  Strategy Consulting: How Institutional Prestige  Influences Recruitment. </w:t>
      </w:r>
      <w:r w:rsidDel="00000000" w:rsidR="00000000" w:rsidRPr="00000000">
        <w:rPr>
          <w:rFonts w:ascii="Times New Roman" w:cs="Times New Roman" w:eastAsia="Times New Roman" w:hAnsi="Times New Roman"/>
          <w:i w:val="1"/>
          <w:color w:val="222222"/>
          <w:sz w:val="24"/>
          <w:szCs w:val="24"/>
          <w:highlight w:val="white"/>
          <w:rtl w:val="0"/>
        </w:rPr>
        <w:t xml:space="preserve">Management Consulting  Journal</w:t>
      </w:r>
      <w:r w:rsidDel="00000000" w:rsidR="00000000" w:rsidRPr="00000000">
        <w:rPr>
          <w:rFonts w:ascii="Times New Roman" w:cs="Times New Roman" w:eastAsia="Times New Roman" w:hAnsi="Times New Roman"/>
          <w:color w:val="222222"/>
          <w:sz w:val="24"/>
          <w:szCs w:val="24"/>
          <w:highlight w:val="white"/>
          <w:rtl w:val="0"/>
        </w:rPr>
        <w:t xml:space="preserve">, 3(1), 12–22. </w:t>
      </w:r>
    </w:p>
    <w:p w:rsidR="00000000" w:rsidDel="00000000" w:rsidP="00000000" w:rsidRDefault="00000000" w:rsidRPr="00000000" w14:paraId="0000012C">
      <w:pPr>
        <w:widowControl w:val="0"/>
        <w:spacing w:line="360" w:lineRule="auto"/>
        <w:ind w:right="8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Mertz, B.A., Locander, J.A., Brown, B.W. and Locander, W.B., (2024). Dignity in the workplace: a frontline service employee perspective. </w:t>
      </w:r>
      <w:r w:rsidDel="00000000" w:rsidR="00000000" w:rsidRPr="00000000">
        <w:rPr>
          <w:rFonts w:ascii="Times New Roman" w:cs="Times New Roman" w:eastAsia="Times New Roman" w:hAnsi="Times New Roman"/>
          <w:i w:val="1"/>
          <w:color w:val="222222"/>
          <w:sz w:val="24"/>
          <w:szCs w:val="24"/>
          <w:highlight w:val="white"/>
          <w:rtl w:val="0"/>
        </w:rPr>
        <w:t xml:space="preserve">Journal of Marketing Theory and Practice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32</w:t>
      </w:r>
      <w:r w:rsidDel="00000000" w:rsidR="00000000" w:rsidRPr="00000000">
        <w:rPr>
          <w:rFonts w:ascii="Times New Roman" w:cs="Times New Roman" w:eastAsia="Times New Roman" w:hAnsi="Times New Roman"/>
          <w:color w:val="222222"/>
          <w:sz w:val="24"/>
          <w:szCs w:val="24"/>
          <w:highlight w:val="white"/>
          <w:rtl w:val="0"/>
        </w:rPr>
        <w:t xml:space="preserve">(4), pp.506-521</w:t>
      </w:r>
    </w:p>
    <w:p w:rsidR="00000000" w:rsidDel="00000000" w:rsidP="00000000" w:rsidRDefault="00000000" w:rsidRPr="00000000" w14:paraId="0000012D">
      <w:pPr>
        <w:widowControl w:val="0"/>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Michael, N. and Fotiadis, A., (2022). Employee turnover: The hotel industry perspective. </w:t>
      </w:r>
      <w:r w:rsidDel="00000000" w:rsidR="00000000" w:rsidRPr="00000000">
        <w:rPr>
          <w:rFonts w:ascii="Times New Roman" w:cs="Times New Roman" w:eastAsia="Times New Roman" w:hAnsi="Times New Roman"/>
          <w:i w:val="1"/>
          <w:color w:val="222222"/>
          <w:sz w:val="24"/>
          <w:szCs w:val="24"/>
          <w:highlight w:val="white"/>
          <w:rtl w:val="0"/>
        </w:rPr>
        <w:t xml:space="preserve">Journal of Tourism, Heritage &amp; Services Marketing</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8</w:t>
      </w:r>
      <w:r w:rsidDel="00000000" w:rsidR="00000000" w:rsidRPr="00000000">
        <w:rPr>
          <w:rFonts w:ascii="Times New Roman" w:cs="Times New Roman" w:eastAsia="Times New Roman" w:hAnsi="Times New Roman"/>
          <w:color w:val="222222"/>
          <w:sz w:val="24"/>
          <w:szCs w:val="24"/>
          <w:highlight w:val="white"/>
          <w:rtl w:val="0"/>
        </w:rPr>
        <w:t xml:space="preserve">(1), pp.38-47.</w:t>
      </w:r>
    </w:p>
    <w:p w:rsidR="00000000" w:rsidDel="00000000" w:rsidP="00000000" w:rsidRDefault="00000000" w:rsidRPr="00000000" w14:paraId="0000012E">
      <w:pPr>
        <w:widowControl w:val="0"/>
        <w:spacing w:line="360" w:lineRule="auto"/>
        <w:ind w:right="8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Miles, M.C., Richardson, K.M., Wolfe, R., Hairston, K., Cleveland, M., Kelly, C., Lippert, J., Mastandrea, N. and Pruitt, Z., (2023). Using Kotter's change management framework to redesign departmental GME recruitment. </w:t>
      </w:r>
      <w:r w:rsidDel="00000000" w:rsidR="00000000" w:rsidRPr="00000000">
        <w:rPr>
          <w:rFonts w:ascii="Times New Roman" w:cs="Times New Roman" w:eastAsia="Times New Roman" w:hAnsi="Times New Roman"/>
          <w:i w:val="1"/>
          <w:color w:val="222222"/>
          <w:sz w:val="24"/>
          <w:szCs w:val="24"/>
          <w:highlight w:val="white"/>
          <w:rtl w:val="0"/>
        </w:rPr>
        <w:t xml:space="preserve">Journal of graduate medical education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15</w:t>
      </w:r>
      <w:r w:rsidDel="00000000" w:rsidR="00000000" w:rsidRPr="00000000">
        <w:rPr>
          <w:rFonts w:ascii="Times New Roman" w:cs="Times New Roman" w:eastAsia="Times New Roman" w:hAnsi="Times New Roman"/>
          <w:color w:val="222222"/>
          <w:sz w:val="24"/>
          <w:szCs w:val="24"/>
          <w:highlight w:val="white"/>
          <w:rtl w:val="0"/>
        </w:rPr>
        <w:t xml:space="preserve">(1), pp.98-104.</w:t>
      </w:r>
    </w:p>
    <w:p w:rsidR="00000000" w:rsidDel="00000000" w:rsidP="00000000" w:rsidRDefault="00000000" w:rsidRPr="00000000" w14:paraId="0000012F">
      <w:pPr>
        <w:widowControl w:val="0"/>
        <w:spacing w:line="360" w:lineRule="auto"/>
        <w:ind w:right="8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Mukhtar, M.N.A., Setiawan, A. and Walujo, D.A., (2021). Applied of balanced scorecard (BSC) approach with determination and weighting of key performance indicator (KPI) for employee performance measurement. </w:t>
      </w:r>
      <w:r w:rsidDel="00000000" w:rsidR="00000000" w:rsidRPr="00000000">
        <w:rPr>
          <w:rFonts w:ascii="Times New Roman" w:cs="Times New Roman" w:eastAsia="Times New Roman" w:hAnsi="Times New Roman"/>
          <w:i w:val="1"/>
          <w:color w:val="222222"/>
          <w:sz w:val="24"/>
          <w:szCs w:val="24"/>
          <w:highlight w:val="white"/>
          <w:rtl w:val="0"/>
        </w:rPr>
        <w:t xml:space="preserve">Tibuana</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w:t>
      </w:r>
      <w:r w:rsidDel="00000000" w:rsidR="00000000" w:rsidRPr="00000000">
        <w:rPr>
          <w:rFonts w:ascii="Times New Roman" w:cs="Times New Roman" w:eastAsia="Times New Roman" w:hAnsi="Times New Roman"/>
          <w:color w:val="222222"/>
          <w:sz w:val="24"/>
          <w:szCs w:val="24"/>
          <w:highlight w:val="white"/>
          <w:rtl w:val="0"/>
        </w:rPr>
        <w:t xml:space="preserve">(02), pp.131-139.</w:t>
      </w:r>
    </w:p>
    <w:p w:rsidR="00000000" w:rsidDel="00000000" w:rsidP="00000000" w:rsidRDefault="00000000" w:rsidRPr="00000000" w14:paraId="00000130">
      <w:pPr>
        <w:widowControl w:val="0"/>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Nazarian, A., Zaeri, E., Foroudi, P., Afrouzi, A.R. and Atkinson, P., (2022). Cultural perceptions of ethical leadership and its effect on intention to leave in the independent hotel industry. </w:t>
      </w:r>
      <w:hyperlink r:id="rId60">
        <w:r w:rsidDel="00000000" w:rsidR="00000000" w:rsidRPr="00000000">
          <w:rPr>
            <w:rFonts w:ascii="Times New Roman" w:cs="Times New Roman" w:eastAsia="Times New Roman" w:hAnsi="Times New Roman"/>
            <w:i w:val="1"/>
            <w:color w:val="1155cc"/>
            <w:sz w:val="24"/>
            <w:szCs w:val="24"/>
            <w:highlight w:val="white"/>
            <w:u w:val="single"/>
            <w:rtl w:val="0"/>
          </w:rPr>
          <w:t xml:space="preserve">International Journal of Contemporary Hospitality Management</w:t>
        </w:r>
      </w:hyperlink>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34</w:t>
      </w:r>
      <w:r w:rsidDel="00000000" w:rsidR="00000000" w:rsidRPr="00000000">
        <w:rPr>
          <w:rFonts w:ascii="Times New Roman" w:cs="Times New Roman" w:eastAsia="Times New Roman" w:hAnsi="Times New Roman"/>
          <w:color w:val="222222"/>
          <w:sz w:val="24"/>
          <w:szCs w:val="24"/>
          <w:highlight w:val="white"/>
          <w:rtl w:val="0"/>
        </w:rPr>
        <w:t xml:space="preserve">(1), pp.430-455.</w:t>
      </w:r>
    </w:p>
    <w:p w:rsidR="00000000" w:rsidDel="00000000" w:rsidP="00000000" w:rsidRDefault="00000000" w:rsidRPr="00000000" w14:paraId="00000131">
      <w:pPr>
        <w:widowControl w:val="0"/>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Neupane, R. and Khanal, T.R. (2022). EVALUATION OF THE IMPACTS OF TRAINING ON EMPLOYEE PERFORMANCE IN THE UK HOTEL INDUSTRY: AN ANALYSIS OF EMPLOYEES’ PERSPECTIVES AT MARRIOTT INTERNATIONAL.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Research -</w:t>
      </w:r>
      <w:hyperlink r:id="rId61">
        <w:r w:rsidDel="00000000" w:rsidR="00000000" w:rsidRPr="00000000">
          <w:rPr>
            <w:rFonts w:ascii="Times New Roman" w:cs="Times New Roman" w:eastAsia="Times New Roman" w:hAnsi="Times New Roman"/>
            <w:i w:val="1"/>
            <w:color w:val="1155cc"/>
            <w:sz w:val="24"/>
            <w:szCs w:val="24"/>
            <w:highlight w:val="white"/>
            <w:u w:val="single"/>
            <w:rtl w:val="0"/>
          </w:rPr>
          <w:t xml:space="preserve">GRANTHAALAYAH</w:t>
        </w:r>
      </w:hyperlink>
      <w:r w:rsidDel="00000000" w:rsidR="00000000" w:rsidRPr="00000000">
        <w:rPr>
          <w:rFonts w:ascii="Times New Roman" w:cs="Times New Roman" w:eastAsia="Times New Roman" w:hAnsi="Times New Roman"/>
          <w:i w:val="1"/>
          <w:color w:val="222222"/>
          <w:sz w:val="24"/>
          <w:szCs w:val="24"/>
          <w:highlight w:val="white"/>
          <w:rtl w:val="0"/>
        </w:rPr>
        <w:t xml:space="preserve">,</w:t>
      </w:r>
      <w:r w:rsidDel="00000000" w:rsidR="00000000" w:rsidRPr="00000000">
        <w:rPr>
          <w:rFonts w:ascii="Times New Roman" w:cs="Times New Roman" w:eastAsia="Times New Roman" w:hAnsi="Times New Roman"/>
          <w:color w:val="222222"/>
          <w:sz w:val="24"/>
          <w:szCs w:val="24"/>
          <w:highlight w:val="white"/>
          <w:rtl w:val="0"/>
        </w:rPr>
        <w:t xml:space="preserve"> [online] 10(3), pp.57–85. </w:t>
      </w:r>
    </w:p>
    <w:p w:rsidR="00000000" w:rsidDel="00000000" w:rsidP="00000000" w:rsidRDefault="00000000" w:rsidRPr="00000000" w14:paraId="00000132">
      <w:pPr>
        <w:widowControl w:val="0"/>
        <w:spacing w:line="360" w:lineRule="auto"/>
        <w:ind w:right="8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Neupane, R. and Khanal, T.R., (2022). Evaluation of The Impacts of Training on Employee Performance in The UK Hotel Industry: An Analysis of Employees’ Perspectives at Marriott International.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Research-GRANTHAALAYAH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10</w:t>
      </w:r>
      <w:r w:rsidDel="00000000" w:rsidR="00000000" w:rsidRPr="00000000">
        <w:rPr>
          <w:rFonts w:ascii="Times New Roman" w:cs="Times New Roman" w:eastAsia="Times New Roman" w:hAnsi="Times New Roman"/>
          <w:color w:val="222222"/>
          <w:sz w:val="24"/>
          <w:szCs w:val="24"/>
          <w:highlight w:val="white"/>
          <w:rtl w:val="0"/>
        </w:rPr>
        <w:t xml:space="preserve">(3), pp.57-85.</w:t>
      </w:r>
    </w:p>
    <w:p w:rsidR="00000000" w:rsidDel="00000000" w:rsidP="00000000" w:rsidRDefault="00000000" w:rsidRPr="00000000" w14:paraId="00000133">
      <w:pPr>
        <w:widowControl w:val="0"/>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Noordzife, G. (2014)</w:t>
      </w:r>
      <w:r w:rsidDel="00000000" w:rsidR="00000000" w:rsidRPr="00000000">
        <w:rPr>
          <w:rFonts w:ascii="Times New Roman" w:cs="Times New Roman" w:eastAsia="Times New Roman" w:hAnsi="Times New Roman"/>
          <w:i w:val="1"/>
          <w:color w:val="222222"/>
          <w:sz w:val="24"/>
          <w:szCs w:val="24"/>
          <w:highlight w:val="white"/>
          <w:rtl w:val="0"/>
        </w:rPr>
        <w:t xml:space="preserve"> Project Management of Hotel  Opening Processes: Exploring Better Ways to Manage  New Hotel Openings</w:t>
      </w:r>
      <w:r w:rsidDel="00000000" w:rsidR="00000000" w:rsidRPr="00000000">
        <w:rPr>
          <w:rFonts w:ascii="Times New Roman" w:cs="Times New Roman" w:eastAsia="Times New Roman" w:hAnsi="Times New Roman"/>
          <w:color w:val="222222"/>
          <w:sz w:val="24"/>
          <w:szCs w:val="24"/>
          <w:highlight w:val="white"/>
          <w:rtl w:val="0"/>
        </w:rPr>
        <w:t xml:space="preserve">, CreateSpace </w:t>
      </w:r>
    </w:p>
    <w:p w:rsidR="00000000" w:rsidDel="00000000" w:rsidP="00000000" w:rsidRDefault="00000000" w:rsidRPr="00000000" w14:paraId="00000134">
      <w:pPr>
        <w:widowControl w:val="0"/>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O’Mahoney, J. (2021). How Small Consultancies Grow:  Challenging Problem-Based Theorising. </w:t>
      </w:r>
      <w:r w:rsidDel="00000000" w:rsidR="00000000" w:rsidRPr="00000000">
        <w:rPr>
          <w:rFonts w:ascii="Times New Roman" w:cs="Times New Roman" w:eastAsia="Times New Roman" w:hAnsi="Times New Roman"/>
          <w:i w:val="1"/>
          <w:color w:val="222222"/>
          <w:sz w:val="24"/>
          <w:szCs w:val="24"/>
          <w:highlight w:val="white"/>
          <w:rtl w:val="0"/>
        </w:rPr>
        <w:t xml:space="preserve">Management  Consulting Journal</w:t>
      </w:r>
      <w:r w:rsidDel="00000000" w:rsidR="00000000" w:rsidRPr="00000000">
        <w:rPr>
          <w:rFonts w:ascii="Times New Roman" w:cs="Times New Roman" w:eastAsia="Times New Roman" w:hAnsi="Times New Roman"/>
          <w:color w:val="222222"/>
          <w:sz w:val="24"/>
          <w:szCs w:val="24"/>
          <w:highlight w:val="white"/>
          <w:rtl w:val="0"/>
        </w:rPr>
        <w:t xml:space="preserve">, 4(1), 5–20</w:t>
      </w:r>
    </w:p>
    <w:p w:rsidR="00000000" w:rsidDel="00000000" w:rsidP="00000000" w:rsidRDefault="00000000" w:rsidRPr="00000000" w14:paraId="00000135">
      <w:pPr>
        <w:widowControl w:val="0"/>
        <w:spacing w:line="360" w:lineRule="auto"/>
        <w:ind w:right="8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Omolawal, S.A., (2021). Human Relations Theory. </w:t>
      </w:r>
      <w:r w:rsidDel="00000000" w:rsidR="00000000" w:rsidRPr="00000000">
        <w:rPr>
          <w:rFonts w:ascii="Times New Roman" w:cs="Times New Roman" w:eastAsia="Times New Roman" w:hAnsi="Times New Roman"/>
          <w:i w:val="1"/>
          <w:color w:val="222222"/>
          <w:sz w:val="24"/>
          <w:szCs w:val="24"/>
          <w:highlight w:val="white"/>
          <w:rtl w:val="0"/>
        </w:rPr>
        <w:t xml:space="preserve">Ilorin Journal of Human Resource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5</w:t>
      </w:r>
      <w:r w:rsidDel="00000000" w:rsidR="00000000" w:rsidRPr="00000000">
        <w:rPr>
          <w:rFonts w:ascii="Times New Roman" w:cs="Times New Roman" w:eastAsia="Times New Roman" w:hAnsi="Times New Roman"/>
          <w:color w:val="222222"/>
          <w:sz w:val="24"/>
          <w:szCs w:val="24"/>
          <w:highlight w:val="white"/>
          <w:rtl w:val="0"/>
        </w:rPr>
        <w:t xml:space="preserve">(01), pp.1-8.</w:t>
      </w:r>
    </w:p>
    <w:p w:rsidR="00000000" w:rsidDel="00000000" w:rsidP="00000000" w:rsidRDefault="00000000" w:rsidRPr="00000000" w14:paraId="00000136">
      <w:pPr>
        <w:widowControl w:val="0"/>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Orr, A.F. (2025). </w:t>
      </w:r>
      <w:r w:rsidDel="00000000" w:rsidR="00000000" w:rsidRPr="00000000">
        <w:rPr>
          <w:rFonts w:ascii="Times New Roman" w:cs="Times New Roman" w:eastAsia="Times New Roman" w:hAnsi="Times New Roman"/>
          <w:i w:val="1"/>
          <w:color w:val="222222"/>
          <w:sz w:val="24"/>
          <w:szCs w:val="24"/>
          <w:highlight w:val="white"/>
          <w:rtl w:val="0"/>
        </w:rPr>
        <w:t xml:space="preserve">Improve Hotel Staff Retention Ahead of Cost Increases | Mo.</w:t>
      </w:r>
      <w:r w:rsidDel="00000000" w:rsidR="00000000" w:rsidRPr="00000000">
        <w:rPr>
          <w:rFonts w:ascii="Times New Roman" w:cs="Times New Roman" w:eastAsia="Times New Roman" w:hAnsi="Times New Roman"/>
          <w:color w:val="222222"/>
          <w:sz w:val="24"/>
          <w:szCs w:val="24"/>
          <w:highlight w:val="white"/>
          <w:rtl w:val="0"/>
        </w:rPr>
        <w:t xml:space="preserve"> [online] Mo. Available at: </w:t>
      </w:r>
      <w:hyperlink r:id="rId62">
        <w:r w:rsidDel="00000000" w:rsidR="00000000" w:rsidRPr="00000000">
          <w:rPr>
            <w:rFonts w:ascii="Times New Roman" w:cs="Times New Roman" w:eastAsia="Times New Roman" w:hAnsi="Times New Roman"/>
            <w:color w:val="1155cc"/>
            <w:sz w:val="24"/>
            <w:szCs w:val="24"/>
            <w:highlight w:val="white"/>
            <w:u w:val="single"/>
            <w:rtl w:val="0"/>
          </w:rPr>
          <w:t xml:space="preserve">https://mo.work/insights/improve-hotel-staff-retention/</w:t>
        </w:r>
      </w:hyperlink>
      <w:r w:rsidDel="00000000" w:rsidR="00000000" w:rsidRPr="00000000">
        <w:rPr>
          <w:rFonts w:ascii="Times New Roman" w:cs="Times New Roman" w:eastAsia="Times New Roman" w:hAnsi="Times New Roman"/>
          <w:color w:val="222222"/>
          <w:sz w:val="24"/>
          <w:szCs w:val="24"/>
          <w:highlight w:val="white"/>
          <w:rtl w:val="0"/>
        </w:rPr>
        <w:t xml:space="preserve">. [Accessed 14 Apr. 2025] </w:t>
      </w:r>
    </w:p>
    <w:p w:rsidR="00000000" w:rsidDel="00000000" w:rsidP="00000000" w:rsidRDefault="00000000" w:rsidRPr="00000000" w14:paraId="00000137">
      <w:pPr>
        <w:widowControl w:val="0"/>
        <w:spacing w:line="360" w:lineRule="auto"/>
        <w:ind w:right="8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Peng, J., (2022). Performance appraisal system and its optimisation method for enterprise management employees based on the KPI index. </w:t>
      </w:r>
      <w:r w:rsidDel="00000000" w:rsidR="00000000" w:rsidRPr="00000000">
        <w:rPr>
          <w:rFonts w:ascii="Times New Roman" w:cs="Times New Roman" w:eastAsia="Times New Roman" w:hAnsi="Times New Roman"/>
          <w:i w:val="1"/>
          <w:color w:val="222222"/>
          <w:sz w:val="24"/>
          <w:szCs w:val="24"/>
          <w:highlight w:val="white"/>
          <w:rtl w:val="0"/>
        </w:rPr>
        <w:t xml:space="preserve">Discrete Dynamics in Nature and Society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2022</w:t>
      </w:r>
      <w:r w:rsidDel="00000000" w:rsidR="00000000" w:rsidRPr="00000000">
        <w:rPr>
          <w:rFonts w:ascii="Times New Roman" w:cs="Times New Roman" w:eastAsia="Times New Roman" w:hAnsi="Times New Roman"/>
          <w:color w:val="222222"/>
          <w:sz w:val="24"/>
          <w:szCs w:val="24"/>
          <w:highlight w:val="white"/>
          <w:rtl w:val="0"/>
        </w:rPr>
        <w:t xml:space="preserve">(1), p.1937083.</w:t>
      </w:r>
    </w:p>
    <w:p w:rsidR="00000000" w:rsidDel="00000000" w:rsidP="00000000" w:rsidRDefault="00000000" w:rsidRPr="00000000" w14:paraId="00000138">
      <w:pPr>
        <w:widowControl w:val="0"/>
        <w:spacing w:line="360" w:lineRule="auto"/>
        <w:ind w:right="8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Rastitiati, N.K.J., (2024). A Critical Discourse Analysis (CDA) of Marriott International Core Values. </w:t>
      </w:r>
      <w:r w:rsidDel="00000000" w:rsidR="00000000" w:rsidRPr="00000000">
        <w:rPr>
          <w:rFonts w:ascii="Times New Roman" w:cs="Times New Roman" w:eastAsia="Times New Roman" w:hAnsi="Times New Roman"/>
          <w:i w:val="1"/>
          <w:color w:val="222222"/>
          <w:sz w:val="24"/>
          <w:szCs w:val="24"/>
          <w:highlight w:val="white"/>
          <w:rtl w:val="0"/>
        </w:rPr>
        <w:t xml:space="preserve">LACULTOUR: Journal of Language and Cultural Tourism</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w:t>
      </w:r>
      <w:r w:rsidDel="00000000" w:rsidR="00000000" w:rsidRPr="00000000">
        <w:rPr>
          <w:rFonts w:ascii="Times New Roman" w:cs="Times New Roman" w:eastAsia="Times New Roman" w:hAnsi="Times New Roman"/>
          <w:color w:val="222222"/>
          <w:sz w:val="24"/>
          <w:szCs w:val="24"/>
          <w:highlight w:val="white"/>
          <w:rtl w:val="0"/>
        </w:rPr>
        <w:t xml:space="preserve">(2), pp.109-114.</w:t>
      </w:r>
    </w:p>
    <w:p w:rsidR="00000000" w:rsidDel="00000000" w:rsidP="00000000" w:rsidRDefault="00000000" w:rsidRPr="00000000" w14:paraId="00000139">
      <w:pPr>
        <w:widowControl w:val="0"/>
        <w:spacing w:line="360" w:lineRule="auto"/>
        <w:ind w:right="8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Roth, C., Berger, S., Krug, K., Mahler, C. and Wensing, M., (2021). Internationally trained nurses and host nurses’ perceptions of safety culture, work-life-balance, burnout, and job demand during workplace integration: a cross-sectional study. </w:t>
      </w:r>
      <w:r w:rsidDel="00000000" w:rsidR="00000000" w:rsidRPr="00000000">
        <w:rPr>
          <w:rFonts w:ascii="Times New Roman" w:cs="Times New Roman" w:eastAsia="Times New Roman" w:hAnsi="Times New Roman"/>
          <w:i w:val="1"/>
          <w:color w:val="222222"/>
          <w:sz w:val="24"/>
          <w:szCs w:val="24"/>
          <w:highlight w:val="white"/>
          <w:rtl w:val="0"/>
        </w:rPr>
        <w:t xml:space="preserve">BMC nursing</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20</w:t>
      </w:r>
      <w:r w:rsidDel="00000000" w:rsidR="00000000" w:rsidRPr="00000000">
        <w:rPr>
          <w:rFonts w:ascii="Times New Roman" w:cs="Times New Roman" w:eastAsia="Times New Roman" w:hAnsi="Times New Roman"/>
          <w:color w:val="222222"/>
          <w:sz w:val="24"/>
          <w:szCs w:val="24"/>
          <w:highlight w:val="white"/>
          <w:rtl w:val="0"/>
        </w:rPr>
        <w:t xml:space="preserve">, pp.1-15.</w:t>
      </w:r>
    </w:p>
    <w:p w:rsidR="00000000" w:rsidDel="00000000" w:rsidP="00000000" w:rsidRDefault="00000000" w:rsidRPr="00000000" w14:paraId="0000013A">
      <w:pPr>
        <w:widowControl w:val="0"/>
        <w:spacing w:line="360" w:lineRule="auto"/>
        <w:ind w:right="8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Salifu-Sidii, F., (2025). Addressing Workplace Culture and Rebuilding Reputation: A Case Study of a Five Star Resort. In </w:t>
      </w:r>
      <w:hyperlink r:id="rId63">
        <w:r w:rsidDel="00000000" w:rsidR="00000000" w:rsidRPr="00000000">
          <w:rPr>
            <w:rFonts w:ascii="Times New Roman" w:cs="Times New Roman" w:eastAsia="Times New Roman" w:hAnsi="Times New Roman"/>
            <w:i w:val="1"/>
            <w:color w:val="1155cc"/>
            <w:sz w:val="24"/>
            <w:szCs w:val="24"/>
            <w:highlight w:val="white"/>
            <w:u w:val="single"/>
            <w:rtl w:val="0"/>
          </w:rPr>
          <w:t xml:space="preserve">Organisational Readiness and Research: Security, Management, and Decision Making</w:t>
        </w:r>
      </w:hyperlink>
      <w:r w:rsidDel="00000000" w:rsidR="00000000" w:rsidRPr="00000000">
        <w:rPr>
          <w:rFonts w:ascii="Times New Roman" w:cs="Times New Roman" w:eastAsia="Times New Roman" w:hAnsi="Times New Roman"/>
          <w:color w:val="222222"/>
          <w:sz w:val="24"/>
          <w:szCs w:val="24"/>
          <w:highlight w:val="white"/>
          <w:rtl w:val="0"/>
        </w:rPr>
        <w:t xml:space="preserve"> (pp. 101-130). IGI Global Scientific Publishing.</w:t>
      </w:r>
    </w:p>
    <w:p w:rsidR="00000000" w:rsidDel="00000000" w:rsidP="00000000" w:rsidRDefault="00000000" w:rsidRPr="00000000" w14:paraId="0000013B">
      <w:pPr>
        <w:widowControl w:val="0"/>
        <w:spacing w:line="360" w:lineRule="auto"/>
        <w:ind w:right="8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Schooley, S. (2024). </w:t>
      </w:r>
      <w:r w:rsidDel="00000000" w:rsidR="00000000" w:rsidRPr="00000000">
        <w:rPr>
          <w:rFonts w:ascii="Times New Roman" w:cs="Times New Roman" w:eastAsia="Times New Roman" w:hAnsi="Times New Roman"/>
          <w:i w:val="1"/>
          <w:color w:val="222222"/>
          <w:sz w:val="24"/>
          <w:szCs w:val="24"/>
          <w:highlight w:val="white"/>
          <w:rtl w:val="0"/>
        </w:rPr>
        <w:t xml:space="preserve">SWOT Analysis: What It Is and When to Use It.</w:t>
      </w:r>
      <w:r w:rsidDel="00000000" w:rsidR="00000000" w:rsidRPr="00000000">
        <w:rPr>
          <w:rFonts w:ascii="Times New Roman" w:cs="Times New Roman" w:eastAsia="Times New Roman" w:hAnsi="Times New Roman"/>
          <w:color w:val="222222"/>
          <w:sz w:val="24"/>
          <w:szCs w:val="24"/>
          <w:highlight w:val="white"/>
          <w:rtl w:val="0"/>
        </w:rPr>
        <w:t xml:space="preserve"> [online] Business News Daily. Available at: </w:t>
      </w:r>
      <w:hyperlink r:id="rId64">
        <w:r w:rsidDel="00000000" w:rsidR="00000000" w:rsidRPr="00000000">
          <w:rPr>
            <w:rFonts w:ascii="Times New Roman" w:cs="Times New Roman" w:eastAsia="Times New Roman" w:hAnsi="Times New Roman"/>
            <w:color w:val="1155cc"/>
            <w:sz w:val="24"/>
            <w:szCs w:val="24"/>
            <w:highlight w:val="white"/>
            <w:u w:val="single"/>
            <w:rtl w:val="0"/>
          </w:rPr>
          <w:t xml:space="preserve">https://www.businessnewsdaily.com/4245-swot-analysis.html</w:t>
        </w:r>
      </w:hyperlink>
      <w:r w:rsidDel="00000000" w:rsidR="00000000" w:rsidRPr="00000000">
        <w:rPr>
          <w:rFonts w:ascii="Times New Roman" w:cs="Times New Roman" w:eastAsia="Times New Roman" w:hAnsi="Times New Roman"/>
          <w:color w:val="222222"/>
          <w:sz w:val="24"/>
          <w:szCs w:val="24"/>
          <w:highlight w:val="white"/>
          <w:rtl w:val="0"/>
        </w:rPr>
        <w:t xml:space="preserve">. [Accessed 2 May. 2025].</w:t>
      </w:r>
    </w:p>
    <w:p w:rsidR="00000000" w:rsidDel="00000000" w:rsidP="00000000" w:rsidRDefault="00000000" w:rsidRPr="00000000" w14:paraId="0000013C">
      <w:pPr>
        <w:widowControl w:val="0"/>
        <w:spacing w:line="360" w:lineRule="auto"/>
        <w:ind w:right="8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Sharafutdinova, N., Palyakin, R. and Shafigullina, A., (2021), February. Development of employee performance indicators in the online environment. In </w:t>
      </w:r>
      <w:hyperlink r:id="rId65">
        <w:r w:rsidDel="00000000" w:rsidR="00000000" w:rsidRPr="00000000">
          <w:rPr>
            <w:rFonts w:ascii="Times New Roman" w:cs="Times New Roman" w:eastAsia="Times New Roman" w:hAnsi="Times New Roman"/>
            <w:i w:val="1"/>
            <w:color w:val="1155cc"/>
            <w:sz w:val="24"/>
            <w:szCs w:val="24"/>
            <w:highlight w:val="white"/>
            <w:u w:val="single"/>
            <w:rtl w:val="0"/>
          </w:rPr>
          <w:t xml:space="preserve">International Conference on Efficient Production and Processing</w:t>
        </w:r>
      </w:hyperlink>
      <w:r w:rsidDel="00000000" w:rsidR="00000000" w:rsidRPr="00000000">
        <w:rPr>
          <w:rFonts w:ascii="Times New Roman" w:cs="Times New Roman" w:eastAsia="Times New Roman" w:hAnsi="Times New Roman"/>
          <w:color w:val="222222"/>
          <w:sz w:val="24"/>
          <w:szCs w:val="24"/>
          <w:highlight w:val="white"/>
          <w:rtl w:val="0"/>
        </w:rPr>
        <w:t xml:space="preserve"> (pp. 257-268). Cham: Springer International Publishing.</w:t>
      </w:r>
    </w:p>
    <w:p w:rsidR="00000000" w:rsidDel="00000000" w:rsidP="00000000" w:rsidRDefault="00000000" w:rsidRPr="00000000" w14:paraId="0000013D">
      <w:pPr>
        <w:widowControl w:val="0"/>
        <w:spacing w:line="360" w:lineRule="auto"/>
        <w:ind w:right="8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Simonaitis, A., Daukšys, M. and Mockienė, J., (2023). A comparison of the project management methodologies PRINCE2 and PMBOK in managing repetitive construction projects. </w:t>
      </w:r>
      <w:r w:rsidDel="00000000" w:rsidR="00000000" w:rsidRPr="00000000">
        <w:rPr>
          <w:rFonts w:ascii="Times New Roman" w:cs="Times New Roman" w:eastAsia="Times New Roman" w:hAnsi="Times New Roman"/>
          <w:i w:val="1"/>
          <w:color w:val="222222"/>
          <w:sz w:val="24"/>
          <w:szCs w:val="24"/>
          <w:highlight w:val="white"/>
          <w:rtl w:val="0"/>
        </w:rPr>
        <w:t xml:space="preserve">Buildings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13</w:t>
      </w:r>
      <w:r w:rsidDel="00000000" w:rsidR="00000000" w:rsidRPr="00000000">
        <w:rPr>
          <w:rFonts w:ascii="Times New Roman" w:cs="Times New Roman" w:eastAsia="Times New Roman" w:hAnsi="Times New Roman"/>
          <w:color w:val="222222"/>
          <w:sz w:val="24"/>
          <w:szCs w:val="24"/>
          <w:highlight w:val="white"/>
          <w:rtl w:val="0"/>
        </w:rPr>
        <w:t xml:space="preserve">(7), p.1796.</w:t>
      </w:r>
    </w:p>
    <w:p w:rsidR="00000000" w:rsidDel="00000000" w:rsidP="00000000" w:rsidRDefault="00000000" w:rsidRPr="00000000" w14:paraId="0000013E">
      <w:pPr>
        <w:widowControl w:val="0"/>
        <w:spacing w:line="360" w:lineRule="auto"/>
        <w:ind w:right="8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Somera, F.A.R. and Petrova, K., (2024). A Change Management View on Technology Adoption in Hotel Organisations: A Review and a Conceptual Framework. </w:t>
      </w:r>
      <w:r w:rsidDel="00000000" w:rsidR="00000000" w:rsidRPr="00000000">
        <w:rPr>
          <w:rFonts w:ascii="Times New Roman" w:cs="Times New Roman" w:eastAsia="Times New Roman" w:hAnsi="Times New Roman"/>
          <w:i w:val="1"/>
          <w:color w:val="222222"/>
          <w:sz w:val="24"/>
          <w:szCs w:val="24"/>
          <w:highlight w:val="white"/>
          <w:rtl w:val="0"/>
        </w:rPr>
        <w:t xml:space="preserve">Businesses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w:t>
      </w:r>
      <w:r w:rsidDel="00000000" w:rsidR="00000000" w:rsidRPr="00000000">
        <w:rPr>
          <w:rFonts w:ascii="Times New Roman" w:cs="Times New Roman" w:eastAsia="Times New Roman" w:hAnsi="Times New Roman"/>
          <w:color w:val="222222"/>
          <w:sz w:val="24"/>
          <w:szCs w:val="24"/>
          <w:highlight w:val="white"/>
          <w:rtl w:val="0"/>
        </w:rPr>
        <w:t xml:space="preserve">(4), p.791.</w:t>
      </w:r>
    </w:p>
    <w:p w:rsidR="00000000" w:rsidDel="00000000" w:rsidP="00000000" w:rsidRDefault="00000000" w:rsidRPr="00000000" w14:paraId="0000013F">
      <w:pPr>
        <w:widowControl w:val="0"/>
        <w:spacing w:line="360" w:lineRule="auto"/>
        <w:ind w:right="347"/>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sz w:val="24"/>
          <w:szCs w:val="24"/>
          <w:rtl w:val="0"/>
        </w:rPr>
        <w:t xml:space="preserve">Subramaniam, Collier, P., Phang, M., and Burke, G.  (2011). The effects of perceived business uncertainty,  external consultants and risk management on  organisational outcomes. </w:t>
      </w:r>
      <w:r w:rsidDel="00000000" w:rsidR="00000000" w:rsidRPr="00000000">
        <w:rPr>
          <w:rFonts w:ascii="Times New Roman" w:cs="Times New Roman" w:eastAsia="Times New Roman" w:hAnsi="Times New Roman"/>
          <w:i w:val="1"/>
          <w:sz w:val="24"/>
          <w:szCs w:val="24"/>
          <w:rtl w:val="0"/>
        </w:rPr>
        <w:t xml:space="preserve">Journal of Accounting &amp;  Organisational Change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7</w:t>
      </w:r>
      <w:r w:rsidDel="00000000" w:rsidR="00000000" w:rsidRPr="00000000">
        <w:rPr>
          <w:rFonts w:ascii="Times New Roman" w:cs="Times New Roman" w:eastAsia="Times New Roman" w:hAnsi="Times New Roman"/>
          <w:sz w:val="24"/>
          <w:szCs w:val="24"/>
          <w:rtl w:val="0"/>
        </w:rPr>
        <w:t xml:space="preserve">(2), 132–157. </w:t>
      </w:r>
      <w:r w:rsidDel="00000000" w:rsidR="00000000" w:rsidRPr="00000000">
        <w:rPr>
          <w:rtl w:val="0"/>
        </w:rPr>
      </w:r>
    </w:p>
    <w:p w:rsidR="00000000" w:rsidDel="00000000" w:rsidP="00000000" w:rsidRDefault="00000000" w:rsidRPr="00000000" w14:paraId="00000140">
      <w:pPr>
        <w:widowControl w:val="0"/>
        <w:spacing w:line="360" w:lineRule="auto"/>
        <w:ind w:right="8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sz w:val="24"/>
          <w:szCs w:val="24"/>
          <w:rtl w:val="0"/>
        </w:rPr>
        <w:t xml:space="preserve">Whittington, R. and Molloy E. (2005) </w:t>
      </w:r>
      <w:r w:rsidDel="00000000" w:rsidR="00000000" w:rsidRPr="00000000">
        <w:rPr>
          <w:rFonts w:ascii="Times New Roman" w:cs="Times New Roman" w:eastAsia="Times New Roman" w:hAnsi="Times New Roman"/>
          <w:i w:val="1"/>
          <w:sz w:val="24"/>
          <w:szCs w:val="24"/>
          <w:u w:val="single"/>
          <w:rtl w:val="0"/>
        </w:rPr>
        <w:t xml:space="preserve">HR’s role in organisation: shaping change</w:t>
      </w:r>
      <w:r w:rsidDel="00000000" w:rsidR="00000000" w:rsidRPr="00000000">
        <w:rPr>
          <w:rFonts w:ascii="Times New Roman" w:cs="Times New Roman" w:eastAsia="Times New Roman" w:hAnsi="Times New Roman"/>
          <w:i w:val="1"/>
          <w:sz w:val="24"/>
          <w:szCs w:val="24"/>
          <w:rtl w:val="0"/>
        </w:rPr>
        <w:t xml:space="preserve">.</w:t>
      </w:r>
      <w:r w:rsidDel="00000000" w:rsidR="00000000" w:rsidRPr="00000000">
        <w:rPr>
          <w:rFonts w:ascii="Times New Roman" w:cs="Times New Roman" w:eastAsia="Times New Roman" w:hAnsi="Times New Roman"/>
          <w:sz w:val="24"/>
          <w:szCs w:val="24"/>
          <w:rtl w:val="0"/>
        </w:rPr>
        <w:t xml:space="preserve"> Research report.  London: Chartered Institute of Personnel and  Development. </w:t>
      </w:r>
      <w:r w:rsidDel="00000000" w:rsidR="00000000" w:rsidRPr="00000000">
        <w:rPr>
          <w:rtl w:val="0"/>
        </w:rPr>
      </w:r>
    </w:p>
    <w:p w:rsidR="00000000" w:rsidDel="00000000" w:rsidP="00000000" w:rsidRDefault="00000000" w:rsidRPr="00000000" w14:paraId="00000141">
      <w:pPr>
        <w:widowControl w:val="0"/>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Whittington, R. et al (2020) </w:t>
      </w:r>
      <w:r w:rsidDel="00000000" w:rsidR="00000000" w:rsidRPr="00000000">
        <w:rPr>
          <w:rFonts w:ascii="Times New Roman" w:cs="Times New Roman" w:eastAsia="Times New Roman" w:hAnsi="Times New Roman"/>
          <w:i w:val="1"/>
          <w:color w:val="222222"/>
          <w:sz w:val="24"/>
          <w:szCs w:val="24"/>
          <w:highlight w:val="white"/>
          <w:rtl w:val="0"/>
        </w:rPr>
        <w:t xml:space="preserve">Exploring Strategy. </w:t>
      </w:r>
      <w:r w:rsidDel="00000000" w:rsidR="00000000" w:rsidRPr="00000000">
        <w:rPr>
          <w:rFonts w:ascii="Times New Roman" w:cs="Times New Roman" w:eastAsia="Times New Roman" w:hAnsi="Times New Roman"/>
          <w:color w:val="222222"/>
          <w:sz w:val="24"/>
          <w:szCs w:val="24"/>
          <w:highlight w:val="white"/>
          <w:rtl w:val="0"/>
        </w:rPr>
        <w:t xml:space="preserve">Harlow:  Pearson Education Limited.</w:t>
      </w:r>
    </w:p>
    <w:p w:rsidR="00000000" w:rsidDel="00000000" w:rsidP="00000000" w:rsidRDefault="00000000" w:rsidRPr="00000000" w14:paraId="00000142">
      <w:pPr>
        <w:widowControl w:val="0"/>
        <w:spacing w:line="360" w:lineRule="auto"/>
        <w:ind w:right="8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Willem, F. and Anwar, Y., (2024), December. ANALYSIS OF WORK ETHICS AND WORK STRESS ON SATISFACTION WORKLOAD-MEDIATED EMPLOYEE WORK AT THE JW MARRIOTT HOTEL. In </w:t>
      </w:r>
      <w:r w:rsidDel="00000000" w:rsidR="00000000" w:rsidRPr="00000000">
        <w:rPr>
          <w:rFonts w:ascii="Times New Roman" w:cs="Times New Roman" w:eastAsia="Times New Roman" w:hAnsi="Times New Roman"/>
          <w:i w:val="1"/>
          <w:color w:val="222222"/>
          <w:sz w:val="24"/>
          <w:szCs w:val="24"/>
          <w:highlight w:val="white"/>
          <w:rtl w:val="0"/>
        </w:rPr>
        <w:t xml:space="preserve">Law Sinergy Conference</w:t>
      </w:r>
      <w:r w:rsidDel="00000000" w:rsidR="00000000" w:rsidRPr="00000000">
        <w:rPr>
          <w:rFonts w:ascii="Times New Roman" w:cs="Times New Roman" w:eastAsia="Times New Roman" w:hAnsi="Times New Roman"/>
          <w:color w:val="222222"/>
          <w:sz w:val="24"/>
          <w:szCs w:val="24"/>
          <w:highlight w:val="white"/>
          <w:rtl w:val="0"/>
        </w:rPr>
        <w:t xml:space="preserve"> (Vol. 1, No. 1, pp. 412-429).</w:t>
      </w:r>
    </w:p>
    <w:p w:rsidR="00000000" w:rsidDel="00000000" w:rsidP="00000000" w:rsidRDefault="00000000" w:rsidRPr="00000000" w14:paraId="00000143">
      <w:pPr>
        <w:widowControl w:val="0"/>
        <w:spacing w:line="360" w:lineRule="auto"/>
        <w:ind w:right="8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YouTube. (2023). </w:t>
      </w:r>
      <w:r w:rsidDel="00000000" w:rsidR="00000000" w:rsidRPr="00000000">
        <w:rPr>
          <w:rFonts w:ascii="Times New Roman" w:cs="Times New Roman" w:eastAsia="Times New Roman" w:hAnsi="Times New Roman"/>
          <w:i w:val="1"/>
          <w:color w:val="222222"/>
          <w:sz w:val="24"/>
          <w:szCs w:val="24"/>
          <w:highlight w:val="white"/>
          <w:rtl w:val="0"/>
        </w:rPr>
        <w:t xml:space="preserve">STEEPLE Analysis Explained.</w:t>
      </w:r>
      <w:r w:rsidDel="00000000" w:rsidR="00000000" w:rsidRPr="00000000">
        <w:rPr>
          <w:rFonts w:ascii="Times New Roman" w:cs="Times New Roman" w:eastAsia="Times New Roman" w:hAnsi="Times New Roman"/>
          <w:color w:val="222222"/>
          <w:sz w:val="24"/>
          <w:szCs w:val="24"/>
          <w:highlight w:val="white"/>
          <w:rtl w:val="0"/>
        </w:rPr>
        <w:t xml:space="preserve"> [online] Available at: </w:t>
      </w:r>
      <w:hyperlink r:id="rId66">
        <w:r w:rsidDel="00000000" w:rsidR="00000000" w:rsidRPr="00000000">
          <w:rPr>
            <w:rFonts w:ascii="Times New Roman" w:cs="Times New Roman" w:eastAsia="Times New Roman" w:hAnsi="Times New Roman"/>
            <w:color w:val="1155cc"/>
            <w:sz w:val="24"/>
            <w:szCs w:val="24"/>
            <w:highlight w:val="white"/>
            <w:u w:val="single"/>
            <w:rtl w:val="0"/>
          </w:rPr>
          <w:t xml:space="preserve">https://www.youtube.com/watch?v=0kPLU80i3sE</w:t>
        </w:r>
      </w:hyperlink>
      <w:r w:rsidDel="00000000" w:rsidR="00000000" w:rsidRPr="00000000">
        <w:rPr>
          <w:rFonts w:ascii="Times New Roman" w:cs="Times New Roman" w:eastAsia="Times New Roman" w:hAnsi="Times New Roman"/>
          <w:color w:val="222222"/>
          <w:sz w:val="24"/>
          <w:szCs w:val="24"/>
          <w:highlight w:val="white"/>
          <w:rtl w:val="0"/>
        </w:rPr>
        <w:t xml:space="preserve">. [Accessed 2 May. 2025]. </w:t>
      </w:r>
    </w:p>
    <w:p w:rsidR="00000000" w:rsidDel="00000000" w:rsidP="00000000" w:rsidRDefault="00000000" w:rsidRPr="00000000" w14:paraId="00000144">
      <w:pPr>
        <w:widowControl w:val="0"/>
        <w:spacing w:line="360" w:lineRule="auto"/>
        <w:ind w:right="8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Zambrano Cancañón, C.E., LaoLeón, Y.O. and Moreno Pino, M.R., (2022). Organisational change management model with lean thinking in tourism services. </w:t>
      </w:r>
      <w:r w:rsidDel="00000000" w:rsidR="00000000" w:rsidRPr="00000000">
        <w:rPr>
          <w:rFonts w:ascii="Times New Roman" w:cs="Times New Roman" w:eastAsia="Times New Roman" w:hAnsi="Times New Roman"/>
          <w:i w:val="1"/>
          <w:color w:val="222222"/>
          <w:sz w:val="24"/>
          <w:szCs w:val="24"/>
          <w:highlight w:val="white"/>
          <w:rtl w:val="0"/>
        </w:rPr>
        <w:t xml:space="preserve">Contaduría y administración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67</w:t>
      </w:r>
      <w:r w:rsidDel="00000000" w:rsidR="00000000" w:rsidRPr="00000000">
        <w:rPr>
          <w:rFonts w:ascii="Times New Roman" w:cs="Times New Roman" w:eastAsia="Times New Roman" w:hAnsi="Times New Roman"/>
          <w:color w:val="222222"/>
          <w:sz w:val="24"/>
          <w:szCs w:val="24"/>
          <w:highlight w:val="white"/>
          <w:rtl w:val="0"/>
        </w:rPr>
        <w:t xml:space="preserve">(1), pp.16-39.</w:t>
      </w:r>
    </w:p>
    <w:p w:rsidR="00000000" w:rsidDel="00000000" w:rsidP="00000000" w:rsidRDefault="00000000" w:rsidRPr="00000000" w14:paraId="00000145">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6">
      <w:pPr>
        <w:spacing w:line="360" w:lineRule="auto"/>
        <w:jc w:val="both"/>
        <w:rPr>
          <w:rFonts w:ascii="Times New Roman" w:cs="Times New Roman" w:eastAsia="Times New Roman" w:hAnsi="Times New Roman"/>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ro"/>
      </w:rPr>
    </w:rPrDefault>
    <w:pPrDefault>
      <w:pPr>
        <w:spacing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www.sciencedirect.com/journal/journal-of-hospitality-and-tourism-management/vol/47/suppl/C" TargetMode="External"/><Relationship Id="rId42" Type="http://schemas.openxmlformats.org/officeDocument/2006/relationships/hyperlink" Target="https://journals.sagepub.com/home/crj" TargetMode="External"/><Relationship Id="rId41" Type="http://schemas.openxmlformats.org/officeDocument/2006/relationships/hyperlink" Target="https://journals.sagepub.com/home/crj" TargetMode="External"/><Relationship Id="rId44" Type="http://schemas.openxmlformats.org/officeDocument/2006/relationships/hyperlink" Target="https://link.springer.com/journal/40647" TargetMode="External"/><Relationship Id="rId43" Type="http://schemas.openxmlformats.org/officeDocument/2006/relationships/hyperlink" Target="https://link.springer.com/journal/40647" TargetMode="External"/><Relationship Id="rId46" Type="http://schemas.openxmlformats.org/officeDocument/2006/relationships/hyperlink" Target="https://www.researchgate.net/publication/293452728_Oxford_Handbook_of_Management_Consulting" TargetMode="External"/><Relationship Id="rId45" Type="http://schemas.openxmlformats.org/officeDocument/2006/relationships/hyperlink" Target="https://www.researchgate.net/publication/293452728_Oxford_Handbook_of_Management_Consulting"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48" Type="http://schemas.openxmlformats.org/officeDocument/2006/relationships/hyperlink" Target="https://www.tandfonline.com/journals/fsij20" TargetMode="External"/><Relationship Id="rId47" Type="http://schemas.openxmlformats.org/officeDocument/2006/relationships/hyperlink" Target="https://www.tandfonline.com/journals/fsij20" TargetMode="External"/><Relationship Id="rId49" Type="http://schemas.openxmlformats.org/officeDocument/2006/relationships/hyperlink" Target="https://www.sciencedirect.com/journal/international-journal-of-hospitality-management/vol/109/suppl/C" TargetMode="External"/><Relationship Id="rId5" Type="http://schemas.openxmlformats.org/officeDocument/2006/relationships/styles" Target="styles.xml"/><Relationship Id="rId6" Type="http://schemas.openxmlformats.org/officeDocument/2006/relationships/image" Target="media/image4.png"/><Relationship Id="rId7" Type="http://schemas.openxmlformats.org/officeDocument/2006/relationships/image" Target="media/image1.png"/><Relationship Id="rId8" Type="http://schemas.openxmlformats.org/officeDocument/2006/relationships/image" Target="media/image6.png"/><Relationship Id="rId31" Type="http://schemas.openxmlformats.org/officeDocument/2006/relationships/hyperlink" Target="https://www.mdpi.com/2071-1050/14" TargetMode="External"/><Relationship Id="rId30" Type="http://schemas.openxmlformats.org/officeDocument/2006/relationships/hyperlink" Target="https://www.mdpi.com/2071-1050/14" TargetMode="External"/><Relationship Id="rId33" Type="http://schemas.openxmlformats.org/officeDocument/2006/relationships/hyperlink" Target="https://www.emerald.com/insight/publication/issn/0972-7981" TargetMode="External"/><Relationship Id="rId32" Type="http://schemas.openxmlformats.org/officeDocument/2006/relationships/hyperlink" Target="https://www.mdpi.com/2071-1050/14" TargetMode="External"/><Relationship Id="rId35" Type="http://schemas.openxmlformats.org/officeDocument/2006/relationships/hyperlink" Target="http://www.picmet.org/" TargetMode="External"/><Relationship Id="rId34" Type="http://schemas.openxmlformats.org/officeDocument/2006/relationships/hyperlink" Target="https://www.emerald.com/insight/publication/issn/0972-7981" TargetMode="External"/><Relationship Id="rId37" Type="http://schemas.openxmlformats.org/officeDocument/2006/relationships/hyperlink" Target="https://www.researchgate.net/publication/374423715_How_to_Design_an_Effective_Organizational_Structure_the_21_Century_Trends" TargetMode="External"/><Relationship Id="rId36" Type="http://schemas.openxmlformats.org/officeDocument/2006/relationships/hyperlink" Target="https://onlinelibrary.wiley.com/journal/25723170" TargetMode="External"/><Relationship Id="rId39" Type="http://schemas.openxmlformats.org/officeDocument/2006/relationships/hyperlink" Target="https://www.sciencedirect.com/journal/journal-of-hospitality-and-tourism-management/vol/47/suppl/C" TargetMode="External"/><Relationship Id="rId38" Type="http://schemas.openxmlformats.org/officeDocument/2006/relationships/hyperlink" Target="https://www.sciencedirect.com/journal/journal-of-hospitality-and-tourism-management/vol/47/suppl/C" TargetMode="External"/><Relationship Id="rId62" Type="http://schemas.openxmlformats.org/officeDocument/2006/relationships/hyperlink" Target="https://mo.work/insights/improve-hotel-staff-retention/" TargetMode="External"/><Relationship Id="rId61" Type="http://schemas.openxmlformats.org/officeDocument/2006/relationships/hyperlink" Target="https://www.granthaalayahpublication.org/journals/granthaalayah" TargetMode="External"/><Relationship Id="rId20" Type="http://schemas.openxmlformats.org/officeDocument/2006/relationships/hyperlink" Target="https://marriott.byu.edu/magazine/faculty-research/valuing-culture-putting-a-price-tag-on-the-priceless" TargetMode="External"/><Relationship Id="rId64" Type="http://schemas.openxmlformats.org/officeDocument/2006/relationships/hyperlink" Target="https://www.businessnewsdaily.com/4245-swot-analysis.html" TargetMode="External"/><Relationship Id="rId63" Type="http://schemas.openxmlformats.org/officeDocument/2006/relationships/hyperlink" Target="https://www.igi-global.com/book/organizational-readiness-research/351241" TargetMode="External"/><Relationship Id="rId22" Type="http://schemas.openxmlformats.org/officeDocument/2006/relationships/hyperlink" Target="https://worldatwork.org/publications/journal" TargetMode="External"/><Relationship Id="rId66" Type="http://schemas.openxmlformats.org/officeDocument/2006/relationships/hyperlink" Target="https://www.youtube.com/watch?v=0kPLU80i3sE" TargetMode="External"/><Relationship Id="rId21" Type="http://schemas.openxmlformats.org/officeDocument/2006/relationships/hyperlink" Target="https://www.sciencedirect.com/science/book/9780443236037" TargetMode="External"/><Relationship Id="rId65" Type="http://schemas.openxmlformats.org/officeDocument/2006/relationships/hyperlink" Target="https://link.springer.com/conference/icepp" TargetMode="External"/><Relationship Id="rId24" Type="http://schemas.openxmlformats.org/officeDocument/2006/relationships/hyperlink" Target="https://www.researchgate.net/publication/362013886_Challenges_and_Strategies_for_Employee_Retention_in_the_Hospitality_Industry_A_Review" TargetMode="External"/><Relationship Id="rId23" Type="http://schemas.openxmlformats.org/officeDocument/2006/relationships/hyperlink" Target="https://worldatwork.org/publications/journal" TargetMode="External"/><Relationship Id="rId60" Type="http://schemas.openxmlformats.org/officeDocument/2006/relationships/hyperlink" Target="https://www.emerald.com/insight/publication/issn/0959-6119" TargetMode="External"/><Relationship Id="rId26" Type="http://schemas.openxmlformats.org/officeDocument/2006/relationships/hyperlink" Target="https://www.researchgate.net/publication/362013886_Challenges_and_Strategies_for_Employee_Retention_in_the_Hospitality_Industry_A_Review" TargetMode="External"/><Relationship Id="rId25" Type="http://schemas.openxmlformats.org/officeDocument/2006/relationships/hyperlink" Target="https://www.researchgate.net/publication/362013886_Challenges_and_Strategies_for_Employee_Retention_in_the_Hospitality_Industry_A_Review" TargetMode="External"/><Relationship Id="rId28" Type="http://schemas.openxmlformats.org/officeDocument/2006/relationships/hyperlink" Target="https://www.emerald.com/insight/publication/issn/1755-4217" TargetMode="External"/><Relationship Id="rId27" Type="http://schemas.openxmlformats.org/officeDocument/2006/relationships/hyperlink" Target="https://link.springer.com/book/10.1007/978-3-031-52803-3" TargetMode="External"/><Relationship Id="rId29" Type="http://schemas.openxmlformats.org/officeDocument/2006/relationships/hyperlink" Target="https://www.emeraldgrouppublishing.com/journal/ihr" TargetMode="External"/><Relationship Id="rId51" Type="http://schemas.openxmlformats.org/officeDocument/2006/relationships/hyperlink" Target="https://www.sciencedirect.com/journal/international-journal-of-hospitality-management/vol/109/suppl/C" TargetMode="External"/><Relationship Id="rId50" Type="http://schemas.openxmlformats.org/officeDocument/2006/relationships/hyperlink" Target="https://www.sciencedirect.com/journal/international-journal-of-hospitality-management/vol/109/suppl/C" TargetMode="External"/><Relationship Id="rId53" Type="http://schemas.openxmlformats.org/officeDocument/2006/relationships/hyperlink" Target="https://policy.bristoluniversitypress.co.uk/doing-real-life-change-in-childrens-social-care" TargetMode="External"/><Relationship Id="rId52" Type="http://schemas.openxmlformats.org/officeDocument/2006/relationships/hyperlink" Target="https://www.sciencedirect.com/journal/international-journal-of-hospitality-management/vol/109/suppl/C" TargetMode="External"/><Relationship Id="rId11" Type="http://schemas.openxmlformats.org/officeDocument/2006/relationships/image" Target="media/image3.png"/><Relationship Id="rId55" Type="http://schemas.openxmlformats.org/officeDocument/2006/relationships/hyperlink" Target="https://getlucidity.com/strategy-resources/guide-to-kotters-8-step-change-model/" TargetMode="External"/><Relationship Id="rId10" Type="http://schemas.openxmlformats.org/officeDocument/2006/relationships/image" Target="media/image5.png"/><Relationship Id="rId54" Type="http://schemas.openxmlformats.org/officeDocument/2006/relationships/hyperlink" Target="https://policy.bristoluniversitypress.co.uk/doing-real-life-change-in-childrens-social-care" TargetMode="External"/><Relationship Id="rId13" Type="http://schemas.openxmlformats.org/officeDocument/2006/relationships/hyperlink" Target="https://www.emerald.com/insight/publication/issn/0265-1335" TargetMode="External"/><Relationship Id="rId57" Type="http://schemas.openxmlformats.org/officeDocument/2006/relationships/hyperlink" Target="https://www.marriott.com/culture-and-values/takecare-relief-fund.mi" TargetMode="External"/><Relationship Id="rId12" Type="http://schemas.openxmlformats.org/officeDocument/2006/relationships/hyperlink" Target="https://jpapgr.com/" TargetMode="External"/><Relationship Id="rId56" Type="http://schemas.openxmlformats.org/officeDocument/2006/relationships/hyperlink" Target="https://www.marriott.com/en-us/hotels/lonch-london-marriott-hotel-county-hall/photos/" TargetMode="External"/><Relationship Id="rId15" Type="http://schemas.openxmlformats.org/officeDocument/2006/relationships/hyperlink" Target="https://link.springer.com/book/10.1007/978-3-031-17203-8" TargetMode="External"/><Relationship Id="rId59" Type="http://schemas.openxmlformats.org/officeDocument/2006/relationships/hyperlink" Target="https://serve360.marriott.com/wp-content/uploads/2024/07/2024PerformanceTables.pdf" TargetMode="External"/><Relationship Id="rId14" Type="http://schemas.openxmlformats.org/officeDocument/2006/relationships/hyperlink" Target="https://www.e-elgar.com/shop/gbp/handbook-on-the-political-economy-of-health-systems-9781800885059.html?srsltid=AfmBOoqVDnOVUtYrFRb6IMKZk4oRuXtspniQzNKFWxYks1UcFKdTjCJZ" TargetMode="External"/><Relationship Id="rId58" Type="http://schemas.openxmlformats.org/officeDocument/2006/relationships/hyperlink" Target="https://careers.marriott.com/" TargetMode="External"/><Relationship Id="rId17" Type="http://schemas.openxmlformats.org/officeDocument/2006/relationships/hyperlink" Target="https://www.sciencedirect.com/journal/tourism-management" TargetMode="External"/><Relationship Id="rId16" Type="http://schemas.openxmlformats.org/officeDocument/2006/relationships/hyperlink" Target="https://link.springer.com/book/10.1007/978-3-031-17203-8" TargetMode="External"/><Relationship Id="rId19" Type="http://schemas.openxmlformats.org/officeDocument/2006/relationships/hyperlink" Target="https://www.amazon.com/Managing-Change-4th-Bernard-Burnes/dp/0273683365" TargetMode="External"/><Relationship Id="rId18" Type="http://schemas.openxmlformats.org/officeDocument/2006/relationships/hyperlink" Target="https://www.amazon.com/Managing-Change-4th-Bernard-Burnes/dp/02736833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Florentina Babache</dc:creator>
</cp:coreProperties>
</file>