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79E52" w14:textId="77777777" w:rsidR="009B7A09" w:rsidRPr="00193CAE" w:rsidRDefault="009B7A09" w:rsidP="009B7A09">
      <w:pPr>
        <w:rPr>
          <w:sz w:val="24"/>
          <w:szCs w:val="24"/>
        </w:rPr>
      </w:pPr>
      <w:bookmarkStart w:id="0" w:name="_GoBack"/>
      <w:bookmarkEnd w:id="0"/>
      <w:r w:rsidRPr="00193CAE">
        <w:rPr>
          <w:sz w:val="24"/>
          <w:szCs w:val="24"/>
        </w:rPr>
        <w:t>The OAPA is a consolidation Statute, it brought together all the current and existing law on non-fatal injury offences at the time under one consolidated piece of legislation, was considered as a somewhat tidy amalgamation of all the relevant offences at the time, however, can now be regarded as archaic and unclear and therefore does not act as a consolidation statute anymore. It is arguably important to reform because the OAPA facilitates 26,000 prosecutions annually, specifically 100,000 prosecutions concerning assault and battery.</w:t>
      </w:r>
      <w:r w:rsidRPr="00193CAE">
        <w:rPr>
          <w:rStyle w:val="FootnoteReference"/>
          <w:sz w:val="24"/>
          <w:szCs w:val="24"/>
        </w:rPr>
        <w:footnoteReference w:id="1"/>
      </w:r>
    </w:p>
    <w:p w14:paraId="26E0E074" w14:textId="2E67A2C8" w:rsidR="00554CF8" w:rsidRPr="00193CAE" w:rsidRDefault="00B855C5">
      <w:pPr>
        <w:rPr>
          <w:rFonts w:cstheme="minorHAnsi"/>
          <w:sz w:val="24"/>
          <w:szCs w:val="24"/>
        </w:rPr>
      </w:pPr>
      <w:r w:rsidRPr="00193CAE">
        <w:rPr>
          <w:rFonts w:cstheme="minorHAnsi"/>
          <w:sz w:val="24"/>
          <w:szCs w:val="24"/>
        </w:rPr>
        <w:t xml:space="preserve">The </w:t>
      </w:r>
      <w:r w:rsidR="00276BFE" w:rsidRPr="00193CAE">
        <w:rPr>
          <w:rFonts w:cstheme="minorHAnsi"/>
          <w:sz w:val="24"/>
          <w:szCs w:val="24"/>
        </w:rPr>
        <w:t>L</w:t>
      </w:r>
      <w:r w:rsidRPr="00193CAE">
        <w:rPr>
          <w:rFonts w:cstheme="minorHAnsi"/>
          <w:sz w:val="24"/>
          <w:szCs w:val="24"/>
        </w:rPr>
        <w:t xml:space="preserve">aw </w:t>
      </w:r>
      <w:r w:rsidR="00276BFE" w:rsidRPr="00193CAE">
        <w:rPr>
          <w:rFonts w:cstheme="minorHAnsi"/>
          <w:sz w:val="24"/>
          <w:szCs w:val="24"/>
        </w:rPr>
        <w:t>C</w:t>
      </w:r>
      <w:r w:rsidRPr="00193CAE">
        <w:rPr>
          <w:rFonts w:cstheme="minorHAnsi"/>
          <w:sz w:val="24"/>
          <w:szCs w:val="24"/>
        </w:rPr>
        <w:t xml:space="preserve">ommission </w:t>
      </w:r>
      <w:r w:rsidR="00276BFE" w:rsidRPr="00193CAE">
        <w:rPr>
          <w:rFonts w:cstheme="minorHAnsi"/>
          <w:sz w:val="24"/>
          <w:szCs w:val="24"/>
        </w:rPr>
        <w:t>i</w:t>
      </w:r>
      <w:r w:rsidRPr="00193CAE">
        <w:rPr>
          <w:rFonts w:cstheme="minorHAnsi"/>
          <w:sz w:val="24"/>
          <w:szCs w:val="24"/>
        </w:rPr>
        <w:t>s an independent body set up by and report</w:t>
      </w:r>
      <w:r w:rsidR="00276BFE" w:rsidRPr="00193CAE">
        <w:rPr>
          <w:rFonts w:cstheme="minorHAnsi"/>
          <w:sz w:val="24"/>
          <w:szCs w:val="24"/>
        </w:rPr>
        <w:t>s</w:t>
      </w:r>
      <w:r w:rsidRPr="00193CAE">
        <w:rPr>
          <w:rFonts w:cstheme="minorHAnsi"/>
          <w:sz w:val="24"/>
          <w:szCs w:val="24"/>
        </w:rPr>
        <w:t xml:space="preserve"> to </w:t>
      </w:r>
      <w:r w:rsidR="00276BFE" w:rsidRPr="00193CAE">
        <w:rPr>
          <w:rFonts w:cstheme="minorHAnsi"/>
          <w:sz w:val="24"/>
          <w:szCs w:val="24"/>
        </w:rPr>
        <w:t>P</w:t>
      </w:r>
      <w:r w:rsidRPr="00193CAE">
        <w:rPr>
          <w:rFonts w:cstheme="minorHAnsi"/>
          <w:sz w:val="24"/>
          <w:szCs w:val="24"/>
        </w:rPr>
        <w:t>arliament</w:t>
      </w:r>
      <w:r w:rsidR="00276BFE" w:rsidRPr="00193CAE">
        <w:rPr>
          <w:rFonts w:cstheme="minorHAnsi"/>
          <w:sz w:val="24"/>
          <w:szCs w:val="24"/>
        </w:rPr>
        <w:t>. This</w:t>
      </w:r>
      <w:r w:rsidRPr="00193CAE">
        <w:rPr>
          <w:rFonts w:cstheme="minorHAnsi"/>
          <w:sz w:val="24"/>
          <w:szCs w:val="24"/>
        </w:rPr>
        <w:t xml:space="preserve"> shows that the need for reform has been approached by the highest level of legislation and policy makers to tackle the injustice</w:t>
      </w:r>
      <w:r w:rsidR="00276BFE" w:rsidRPr="00193CAE">
        <w:rPr>
          <w:rFonts w:cstheme="minorHAnsi"/>
          <w:sz w:val="24"/>
          <w:szCs w:val="24"/>
        </w:rPr>
        <w:t xml:space="preserve"> that the OAPA 1861 may have.</w:t>
      </w:r>
      <w:r w:rsidRPr="00193CAE">
        <w:rPr>
          <w:rFonts w:cstheme="minorHAnsi"/>
          <w:sz w:val="24"/>
          <w:szCs w:val="24"/>
        </w:rPr>
        <w:t xml:space="preserve"> </w:t>
      </w:r>
      <w:r w:rsidR="00276BFE" w:rsidRPr="00193CAE">
        <w:rPr>
          <w:rFonts w:cstheme="minorHAnsi"/>
          <w:sz w:val="24"/>
          <w:szCs w:val="24"/>
        </w:rPr>
        <w:t xml:space="preserve">The Law Commission </w:t>
      </w:r>
      <w:r w:rsidRPr="00193CAE">
        <w:rPr>
          <w:rFonts w:cstheme="minorHAnsi"/>
          <w:sz w:val="24"/>
          <w:szCs w:val="24"/>
        </w:rPr>
        <w:t>found strong ground</w:t>
      </w:r>
      <w:r w:rsidR="00276BFE" w:rsidRPr="00193CAE">
        <w:rPr>
          <w:rFonts w:cstheme="minorHAnsi"/>
          <w:sz w:val="24"/>
          <w:szCs w:val="24"/>
        </w:rPr>
        <w:t>s</w:t>
      </w:r>
      <w:r w:rsidRPr="00193CAE">
        <w:rPr>
          <w:rFonts w:cstheme="minorHAnsi"/>
          <w:sz w:val="24"/>
          <w:szCs w:val="24"/>
        </w:rPr>
        <w:t xml:space="preserve"> for the law by reviewing the current laws and recommending reform</w:t>
      </w:r>
      <w:r w:rsidR="00276BFE" w:rsidRPr="00193CAE">
        <w:rPr>
          <w:rFonts w:cstheme="minorHAnsi"/>
          <w:sz w:val="24"/>
          <w:szCs w:val="24"/>
        </w:rPr>
        <w:t xml:space="preserve">. </w:t>
      </w:r>
      <w:r w:rsidRPr="00193CAE">
        <w:rPr>
          <w:rFonts w:cstheme="minorHAnsi"/>
          <w:sz w:val="24"/>
          <w:szCs w:val="24"/>
        </w:rPr>
        <w:t>“This project represents the most comprehensive analysis of the law and its problems conducted for a generation. It leads us to believe there is a compelling case for reform</w:t>
      </w:r>
      <w:r w:rsidR="00276BFE" w:rsidRPr="00193CAE">
        <w:rPr>
          <w:rFonts w:cstheme="minorHAnsi"/>
          <w:sz w:val="24"/>
          <w:szCs w:val="24"/>
        </w:rPr>
        <w:t>.”</w:t>
      </w:r>
    </w:p>
    <w:p w14:paraId="57B5426C" w14:textId="77777777" w:rsidR="009B7A09" w:rsidRPr="00193CAE" w:rsidRDefault="009B7A09" w:rsidP="009B7A09">
      <w:pPr>
        <w:rPr>
          <w:sz w:val="24"/>
          <w:szCs w:val="24"/>
        </w:rPr>
      </w:pPr>
      <w:r w:rsidRPr="00193CAE">
        <w:rPr>
          <w:sz w:val="24"/>
          <w:szCs w:val="24"/>
        </w:rPr>
        <w:t>Under the OAPA, there is an unnecessary multiplicity of precise and explicitly defined offences. Reform recommendations have suggested instead to replace such offences with fewer, more simple and concise offences. For example, there are three offences of poisoning, four concerning explosives and three concerning railways.</w:t>
      </w:r>
      <w:r w:rsidRPr="00193CAE">
        <w:rPr>
          <w:rStyle w:val="FootnoteReference"/>
          <w:sz w:val="24"/>
          <w:szCs w:val="24"/>
        </w:rPr>
        <w:footnoteReference w:id="2"/>
      </w:r>
      <w:r w:rsidRPr="00193CAE">
        <w:rPr>
          <w:sz w:val="24"/>
          <w:szCs w:val="24"/>
        </w:rPr>
        <w:t xml:space="preserve"> Further, several sections outline distinct, but analogous circumstances. This is open to confusing interpretation as it is unclear whether the offence itself establishes one sole offence, or rather, several offences, for example S.18, ‘which arguably creates four offences, covering ten different factual situations.’</w:t>
      </w:r>
      <w:r w:rsidRPr="00193CAE">
        <w:rPr>
          <w:rStyle w:val="FootnoteReference"/>
          <w:sz w:val="24"/>
          <w:szCs w:val="24"/>
        </w:rPr>
        <w:footnoteReference w:id="3"/>
      </w:r>
    </w:p>
    <w:p w14:paraId="23149CDD" w14:textId="7D3C05FE" w:rsidR="009B7A09" w:rsidRPr="00193CAE" w:rsidRDefault="009B7A09" w:rsidP="009B7A09">
      <w:pPr>
        <w:rPr>
          <w:sz w:val="24"/>
          <w:szCs w:val="24"/>
        </w:rPr>
      </w:pPr>
      <w:r w:rsidRPr="00193CAE">
        <w:rPr>
          <w:sz w:val="24"/>
          <w:szCs w:val="24"/>
        </w:rPr>
        <w:t xml:space="preserve">The OAPA has an unclear hierarchy of seriousness. It lacks general coherence of offences (e.g. does not follow offences according to their seriousness or level of harm caused or according to the different levels of D’s intention (i.e. </w:t>
      </w:r>
      <w:proofErr w:type="spellStart"/>
      <w:r w:rsidRPr="00193CAE">
        <w:rPr>
          <w:sz w:val="24"/>
          <w:szCs w:val="24"/>
        </w:rPr>
        <w:t>mens</w:t>
      </w:r>
      <w:proofErr w:type="spellEnd"/>
      <w:r w:rsidRPr="00193CAE">
        <w:rPr>
          <w:sz w:val="24"/>
          <w:szCs w:val="24"/>
        </w:rPr>
        <w:t xml:space="preserve"> rea: recklessness/intent)). Where offence hierarchy established, relevant sentencing guidelines may not demonstrate this. For example, S20 grievous bodily harm and the lesser S47 actual bodily harm share the same maximum penalty of 5 years imprisonment.</w:t>
      </w:r>
      <w:r w:rsidRPr="00193CAE">
        <w:rPr>
          <w:rStyle w:val="FootnoteReference"/>
          <w:sz w:val="24"/>
          <w:szCs w:val="24"/>
        </w:rPr>
        <w:footnoteReference w:id="4"/>
      </w:r>
    </w:p>
    <w:p w14:paraId="58863F0F" w14:textId="3C408B1B" w:rsidR="008D7AAA" w:rsidRPr="00193CAE" w:rsidRDefault="00DE024B" w:rsidP="00D3713A">
      <w:pPr>
        <w:rPr>
          <w:rFonts w:cstheme="minorHAnsi"/>
          <w:sz w:val="24"/>
          <w:szCs w:val="24"/>
        </w:rPr>
      </w:pPr>
      <w:r w:rsidRPr="00193CAE">
        <w:rPr>
          <w:rFonts w:cstheme="minorHAnsi"/>
          <w:sz w:val="24"/>
          <w:szCs w:val="24"/>
        </w:rPr>
        <w:t xml:space="preserve">According to the </w:t>
      </w:r>
      <w:r w:rsidR="00FE7314" w:rsidRPr="00193CAE">
        <w:rPr>
          <w:rFonts w:cstheme="minorHAnsi"/>
          <w:sz w:val="24"/>
          <w:szCs w:val="24"/>
        </w:rPr>
        <w:t>L</w:t>
      </w:r>
      <w:r w:rsidRPr="00193CAE">
        <w:rPr>
          <w:rFonts w:cstheme="minorHAnsi"/>
          <w:sz w:val="24"/>
          <w:szCs w:val="24"/>
        </w:rPr>
        <w:t xml:space="preserve">aw </w:t>
      </w:r>
      <w:r w:rsidR="00FE7314" w:rsidRPr="00193CAE">
        <w:rPr>
          <w:rFonts w:cstheme="minorHAnsi"/>
          <w:sz w:val="24"/>
          <w:szCs w:val="24"/>
        </w:rPr>
        <w:t>C</w:t>
      </w:r>
      <w:r w:rsidRPr="00193CAE">
        <w:rPr>
          <w:rFonts w:cstheme="minorHAnsi"/>
          <w:sz w:val="24"/>
          <w:szCs w:val="24"/>
        </w:rPr>
        <w:t>ommission</w:t>
      </w:r>
      <w:r w:rsidR="00FE7314" w:rsidRPr="00193CAE">
        <w:rPr>
          <w:rFonts w:cstheme="minorHAnsi"/>
          <w:sz w:val="24"/>
          <w:szCs w:val="24"/>
        </w:rPr>
        <w:t xml:space="preserve">, </w:t>
      </w:r>
      <w:r w:rsidRPr="00193CAE">
        <w:rPr>
          <w:rFonts w:cstheme="minorHAnsi"/>
          <w:sz w:val="24"/>
          <w:szCs w:val="24"/>
        </w:rPr>
        <w:t xml:space="preserve">the lack of a clear hierarchy can lead to cases being dealt with in the Crown </w:t>
      </w:r>
      <w:r w:rsidR="00FE7314" w:rsidRPr="00193CAE">
        <w:rPr>
          <w:rFonts w:cstheme="minorHAnsi"/>
          <w:sz w:val="24"/>
          <w:szCs w:val="24"/>
        </w:rPr>
        <w:t>C</w:t>
      </w:r>
      <w:r w:rsidRPr="00193CAE">
        <w:rPr>
          <w:rFonts w:cstheme="minorHAnsi"/>
          <w:sz w:val="24"/>
          <w:szCs w:val="24"/>
        </w:rPr>
        <w:t>ourt when they could be dealt with more appropriately and at less cost in the Magistrate</w:t>
      </w:r>
      <w:r w:rsidR="00FE7314" w:rsidRPr="00193CAE">
        <w:rPr>
          <w:rFonts w:cstheme="minorHAnsi"/>
          <w:sz w:val="24"/>
          <w:szCs w:val="24"/>
        </w:rPr>
        <w:t>s’ C</w:t>
      </w:r>
      <w:r w:rsidRPr="00193CAE">
        <w:rPr>
          <w:rFonts w:cstheme="minorHAnsi"/>
          <w:sz w:val="24"/>
          <w:szCs w:val="24"/>
        </w:rPr>
        <w:t>ourt</w:t>
      </w:r>
      <w:r w:rsidR="00FE7314" w:rsidRPr="00193CAE">
        <w:rPr>
          <w:rFonts w:cstheme="minorHAnsi"/>
          <w:sz w:val="24"/>
          <w:szCs w:val="24"/>
        </w:rPr>
        <w:t>.</w:t>
      </w:r>
      <w:r w:rsidRPr="00193CAE">
        <w:rPr>
          <w:rFonts w:cstheme="minorHAnsi"/>
          <w:sz w:val="24"/>
          <w:szCs w:val="24"/>
        </w:rPr>
        <w:t xml:space="preserve"> </w:t>
      </w:r>
      <w:r w:rsidR="00FE7314" w:rsidRPr="00193CAE">
        <w:rPr>
          <w:rFonts w:cstheme="minorHAnsi"/>
          <w:sz w:val="24"/>
          <w:szCs w:val="24"/>
        </w:rPr>
        <w:t>T</w:t>
      </w:r>
      <w:r w:rsidRPr="00193CAE">
        <w:rPr>
          <w:rFonts w:cstheme="minorHAnsi"/>
          <w:sz w:val="24"/>
          <w:szCs w:val="24"/>
        </w:rPr>
        <w:t>his demonstrates that the reform is also cost effective as it saves cost, time and effort when it is dealt with in the appropriate court, this is on the practical side of the reform.</w:t>
      </w:r>
    </w:p>
    <w:p w14:paraId="01339D82" w14:textId="77777777" w:rsidR="009B7A09" w:rsidRPr="00193CAE" w:rsidRDefault="009B7A09" w:rsidP="009B7A09">
      <w:pPr>
        <w:rPr>
          <w:sz w:val="24"/>
          <w:szCs w:val="24"/>
        </w:rPr>
      </w:pPr>
      <w:r w:rsidRPr="00193CAE">
        <w:rPr>
          <w:sz w:val="24"/>
          <w:szCs w:val="24"/>
        </w:rPr>
        <w:t xml:space="preserve">Further, some offences are seldom or only occasionally used and therefore inconsistent with modern society. E.g. assaulting a magistrate or other person in the exercise of his or her </w:t>
      </w:r>
      <w:r w:rsidRPr="00193CAE">
        <w:rPr>
          <w:sz w:val="24"/>
          <w:szCs w:val="24"/>
        </w:rPr>
        <w:lastRenderedPageBreak/>
        <w:t xml:space="preserve">duty preserving a wreck, </w:t>
      </w:r>
      <w:r w:rsidRPr="00193CAE">
        <w:rPr>
          <w:rStyle w:val="FootnoteReference"/>
          <w:sz w:val="24"/>
          <w:szCs w:val="24"/>
        </w:rPr>
        <w:footnoteReference w:id="5"/>
      </w:r>
      <w:r w:rsidRPr="00193CAE">
        <w:rPr>
          <w:sz w:val="24"/>
          <w:szCs w:val="24"/>
        </w:rPr>
        <w:t xml:space="preserve">‘Failing to feed apprentices’ and ‘Causing assault with the intention of preventing the sale of grain or its free passage.’ </w:t>
      </w:r>
    </w:p>
    <w:p w14:paraId="4D196B24" w14:textId="5A7267EE" w:rsidR="009B7A09" w:rsidRPr="00193CAE" w:rsidRDefault="009B7A09" w:rsidP="009B7A09">
      <w:pPr>
        <w:rPr>
          <w:sz w:val="24"/>
          <w:szCs w:val="24"/>
        </w:rPr>
      </w:pPr>
      <w:r w:rsidRPr="00193CAE">
        <w:rPr>
          <w:sz w:val="24"/>
          <w:szCs w:val="24"/>
        </w:rPr>
        <w:t>The archaic use of language means that offences difficult to understand and may not apply to modern societal standards. For example, terms such as ‘grievous’ meaning serious injury in the modern day and ‘Detainer’ meaning detention. John Atherton, of the National Bench Chairmen’s Forum, said: “Having started by trying to read and understand the 1861 Act, I was struck by the outdated use of words and phrases. Reading it was akin to plaiting fog.”</w:t>
      </w:r>
    </w:p>
    <w:p w14:paraId="193BD8AA" w14:textId="77777777" w:rsidR="009B7A09" w:rsidRPr="00193CAE" w:rsidRDefault="009B7A09" w:rsidP="009B7A09">
      <w:pPr>
        <w:rPr>
          <w:sz w:val="24"/>
          <w:szCs w:val="24"/>
        </w:rPr>
      </w:pPr>
      <w:r w:rsidRPr="00193CAE">
        <w:rPr>
          <w:sz w:val="24"/>
          <w:szCs w:val="24"/>
        </w:rPr>
        <w:t>There is also an arguably ambiguous use of language which often lacks explicit meaning. The OAPA was legislated in 1861, where there were often different meanings to the language used. For example, the meaning of ‘maliciously’ was subject to considerable interpretation and elucidation by the Courts. Further, some words are now ‘redundant.’</w:t>
      </w:r>
      <w:r w:rsidRPr="00193CAE">
        <w:rPr>
          <w:rStyle w:val="FootnoteReference"/>
          <w:sz w:val="24"/>
          <w:szCs w:val="24"/>
        </w:rPr>
        <w:footnoteReference w:id="6"/>
      </w:r>
    </w:p>
    <w:p w14:paraId="61E8DD83" w14:textId="06D32C59" w:rsidR="009B7A09" w:rsidRPr="00193CAE" w:rsidRDefault="009B7A09" w:rsidP="009B7A09">
      <w:pPr>
        <w:rPr>
          <w:sz w:val="24"/>
          <w:szCs w:val="24"/>
        </w:rPr>
      </w:pPr>
      <w:r w:rsidRPr="00193CAE">
        <w:rPr>
          <w:sz w:val="24"/>
          <w:szCs w:val="24"/>
        </w:rPr>
        <w:t xml:space="preserve">This lack of clarification can be seen through S18 and S20, which are very similar offences: Here, the question is whether, is there a difference between ‘inflicting’ and ‘causing’ injury? Here, a </w:t>
      </w:r>
      <w:proofErr w:type="spellStart"/>
      <w:r w:rsidRPr="00193CAE">
        <w:rPr>
          <w:sz w:val="24"/>
          <w:szCs w:val="24"/>
        </w:rPr>
        <w:t>mens</w:t>
      </w:r>
      <w:proofErr w:type="spellEnd"/>
      <w:r w:rsidRPr="00193CAE">
        <w:rPr>
          <w:sz w:val="24"/>
          <w:szCs w:val="24"/>
        </w:rPr>
        <w:t xml:space="preserve"> rea distinction should be made- under S18 you must intend to cause harm/ under S20 recklessness as to causing harm, therefore S18 has a more serious punishment. But, ‘infliction’ under S20 may be argued as being more direct in establishing harm than ‘causing.’ Thus, why is infliction under S20 regarded as more direct than S18 if S18 holds a higher punishment? The real distinction should be solely made under the </w:t>
      </w:r>
      <w:proofErr w:type="spellStart"/>
      <w:r w:rsidRPr="00193CAE">
        <w:rPr>
          <w:sz w:val="24"/>
          <w:szCs w:val="24"/>
        </w:rPr>
        <w:t>mens</w:t>
      </w:r>
      <w:proofErr w:type="spellEnd"/>
      <w:r w:rsidRPr="00193CAE">
        <w:rPr>
          <w:sz w:val="24"/>
          <w:szCs w:val="24"/>
        </w:rPr>
        <w:t xml:space="preserve"> rea.</w:t>
      </w:r>
    </w:p>
    <w:p w14:paraId="443DC4C3" w14:textId="77777777" w:rsidR="009B7A09" w:rsidRPr="00193CAE" w:rsidRDefault="009B7A09" w:rsidP="009B7A09">
      <w:pPr>
        <w:rPr>
          <w:sz w:val="24"/>
          <w:szCs w:val="24"/>
        </w:rPr>
      </w:pPr>
      <w:r w:rsidRPr="00193CAE">
        <w:rPr>
          <w:sz w:val="24"/>
          <w:szCs w:val="24"/>
        </w:rPr>
        <w:t xml:space="preserve">Relevant case law illustrates examples of phrases that required interpretation and definition from the Courts due to lack of statute clarification: In R v </w:t>
      </w:r>
      <w:proofErr w:type="spellStart"/>
      <w:r w:rsidRPr="00193CAE">
        <w:rPr>
          <w:sz w:val="24"/>
          <w:szCs w:val="24"/>
        </w:rPr>
        <w:t>Bollom</w:t>
      </w:r>
      <w:proofErr w:type="spellEnd"/>
      <w:r w:rsidRPr="00193CAE">
        <w:rPr>
          <w:sz w:val="24"/>
          <w:szCs w:val="24"/>
        </w:rPr>
        <w:t xml:space="preserve"> [2004], due to the lack of a Statute definitional meaning of ABH and clear indicative meaning of GBH, the jury, at first instance were able to take into account the individual vulnerabilities of the victim (being a 17 month old child, rather than an adult), therefore the initial ABH charge was heightened to that of GBH S.20. On appeal, the S20 was lessened to S47 ABH because the Court found that the victim did not sustain injury in one single occasion (as required under GBH), but rather over a prolonged amount of time (amounting to a S47). Such interpretation could have been avoided if explicit definitions were provided under statute.</w:t>
      </w:r>
    </w:p>
    <w:p w14:paraId="2EE8CBC5" w14:textId="407807F6" w:rsidR="009B7A09" w:rsidRPr="00193CAE" w:rsidRDefault="009B7A09" w:rsidP="009B7A09">
      <w:pPr>
        <w:rPr>
          <w:sz w:val="24"/>
          <w:szCs w:val="24"/>
        </w:rPr>
      </w:pPr>
      <w:r w:rsidRPr="00193CAE">
        <w:rPr>
          <w:sz w:val="24"/>
          <w:szCs w:val="24"/>
        </w:rPr>
        <w:t>Under R v Miller [1954], the actual definition of ABH is not found in the OAPA itself, but rather case law. Here, Miller defined ABH as ‘any hurt of injury interfering with D’s health or comfort.’ In R v Saunders [1985], the Court defined the term GBH as meaning ‘serious harm,’= should have been defined in statute. In Ireland v Burstow [1997], the Court held that psychiatric injury can amount to ABH, under S47. Psychiatric injury was not expressly included under OAPA, therefore arguably not adhering to modern societal needs and standards.</w:t>
      </w:r>
    </w:p>
    <w:p w14:paraId="6BFFCD29" w14:textId="152D5846" w:rsidR="009B7A09" w:rsidRPr="00193CAE" w:rsidRDefault="009B7A09" w:rsidP="009B7A09">
      <w:pPr>
        <w:rPr>
          <w:sz w:val="24"/>
          <w:szCs w:val="24"/>
        </w:rPr>
      </w:pPr>
      <w:r w:rsidRPr="00193CAE">
        <w:rPr>
          <w:sz w:val="24"/>
          <w:szCs w:val="24"/>
        </w:rPr>
        <w:t xml:space="preserve">In Constanza [1997], the Court found that words alone can constitute an assault (in order to establish S47 ABH), sans apprehension of immediate unlawful force, contrary to S39 CJA </w:t>
      </w:r>
      <w:r w:rsidRPr="00193CAE">
        <w:rPr>
          <w:sz w:val="24"/>
          <w:szCs w:val="24"/>
        </w:rPr>
        <w:lastRenderedPageBreak/>
        <w:t>1988. Court upheld that it is sufficient to show that V apprehended violence ‘at some time not excluding the immediate future.’  In R v Chan-</w:t>
      </w:r>
      <w:proofErr w:type="spellStart"/>
      <w:r w:rsidRPr="00193CAE">
        <w:rPr>
          <w:sz w:val="24"/>
          <w:szCs w:val="24"/>
        </w:rPr>
        <w:t>Fook</w:t>
      </w:r>
      <w:proofErr w:type="spellEnd"/>
      <w:r w:rsidRPr="00193CAE">
        <w:rPr>
          <w:sz w:val="24"/>
          <w:szCs w:val="24"/>
        </w:rPr>
        <w:t xml:space="preserve"> [1994], the Court held that the phrase "actual bodily harm" can include psychiatric injury if proven by medical authority. But, it did not include emotions, such as ‘fear or panic.’</w:t>
      </w:r>
    </w:p>
    <w:p w14:paraId="5DC8DAF7" w14:textId="77777777" w:rsidR="009B7A09" w:rsidRPr="00193CAE" w:rsidRDefault="009B7A09" w:rsidP="009B7A09">
      <w:pPr>
        <w:rPr>
          <w:sz w:val="24"/>
          <w:szCs w:val="24"/>
        </w:rPr>
      </w:pPr>
      <w:r w:rsidRPr="00193CAE">
        <w:rPr>
          <w:sz w:val="24"/>
          <w:szCs w:val="24"/>
        </w:rPr>
        <w:t xml:space="preserve">Such continual development and adjustment the law regarding non-fatal offences have resulted in the law being in </w:t>
      </w:r>
      <w:proofErr w:type="gramStart"/>
      <w:r w:rsidRPr="00193CAE">
        <w:rPr>
          <w:sz w:val="24"/>
          <w:szCs w:val="24"/>
        </w:rPr>
        <w:t>an</w:t>
      </w:r>
      <w:proofErr w:type="gramEnd"/>
      <w:r w:rsidRPr="00193CAE">
        <w:rPr>
          <w:sz w:val="24"/>
          <w:szCs w:val="24"/>
        </w:rPr>
        <w:t xml:space="preserve"> disjointed and complicated state, ‘with more provisions repealed than currently in force. Such unnecessary complexity can make the law difficult to apply, reduces accessibility and fair labelling and is at odds with the rule of law.’</w:t>
      </w:r>
      <w:r w:rsidRPr="00193CAE">
        <w:rPr>
          <w:rStyle w:val="FootnoteReference"/>
          <w:sz w:val="24"/>
          <w:szCs w:val="24"/>
        </w:rPr>
        <w:footnoteReference w:id="7"/>
      </w:r>
    </w:p>
    <w:p w14:paraId="61DA9577" w14:textId="77777777" w:rsidR="00E839EB" w:rsidRPr="00193CAE" w:rsidRDefault="00E839EB" w:rsidP="00193CAE">
      <w:pPr>
        <w:rPr>
          <w:rFonts w:cstheme="minorHAnsi"/>
          <w:color w:val="212529"/>
          <w:shd w:val="clear" w:color="auto" w:fill="FFFFFF"/>
        </w:rPr>
      </w:pPr>
    </w:p>
    <w:p w14:paraId="1718E9A3" w14:textId="5F8A073C" w:rsidR="009B7A09" w:rsidRPr="00193CAE" w:rsidRDefault="009B7A09" w:rsidP="009B7A09">
      <w:pPr>
        <w:rPr>
          <w:sz w:val="24"/>
          <w:szCs w:val="24"/>
        </w:rPr>
      </w:pPr>
      <w:r w:rsidRPr="00193CAE">
        <w:rPr>
          <w:sz w:val="24"/>
          <w:szCs w:val="24"/>
        </w:rPr>
        <w:t>OAPA raises now redundant legal concepts ‘such as felony, misdemeanour and penal servitude, which have to be re-interpreted by provisions in other statutes.’</w:t>
      </w:r>
      <w:r w:rsidRPr="00193CAE">
        <w:rPr>
          <w:rStyle w:val="FootnoteReference"/>
          <w:sz w:val="24"/>
          <w:szCs w:val="24"/>
        </w:rPr>
        <w:footnoteReference w:id="8"/>
      </w:r>
      <w:r w:rsidRPr="00193CAE">
        <w:rPr>
          <w:sz w:val="24"/>
          <w:szCs w:val="24"/>
        </w:rPr>
        <w:t xml:space="preserve"> Then Lord Chief Justice of England and Wales, the Rt Hon the Lord Thomas of </w:t>
      </w:r>
      <w:proofErr w:type="spellStart"/>
      <w:r w:rsidRPr="00193CAE">
        <w:rPr>
          <w:sz w:val="24"/>
          <w:szCs w:val="24"/>
        </w:rPr>
        <w:t>Cwmgiedd</w:t>
      </w:r>
      <w:proofErr w:type="spellEnd"/>
      <w:r w:rsidRPr="00193CAE">
        <w:rPr>
          <w:sz w:val="24"/>
          <w:szCs w:val="24"/>
        </w:rPr>
        <w:t>, saying that: “I recognise the problems identified in the paper in relation to the 1861 Offences Against the Person Act. The legislation is out of date and in some areas obsolete; new ways of offending are not adequately captured.</w:t>
      </w:r>
      <w:r w:rsidRPr="00193CAE">
        <w:rPr>
          <w:rStyle w:val="FootnoteReference"/>
          <w:sz w:val="24"/>
          <w:szCs w:val="24"/>
        </w:rPr>
        <w:footnoteReference w:id="9"/>
      </w:r>
      <w:r w:rsidRPr="00193CAE">
        <w:rPr>
          <w:sz w:val="24"/>
          <w:szCs w:val="24"/>
        </w:rPr>
        <w:t xml:space="preserve"> Further, the OAPA fails to outline the punishment for several notable offences. For example</w:t>
      </w:r>
      <w:proofErr w:type="gramStart"/>
      <w:r w:rsidRPr="00193CAE">
        <w:rPr>
          <w:sz w:val="24"/>
          <w:szCs w:val="24"/>
        </w:rPr>
        <w:t>,  S.47</w:t>
      </w:r>
      <w:proofErr w:type="gramEnd"/>
      <w:r w:rsidRPr="00193CAE">
        <w:rPr>
          <w:sz w:val="24"/>
          <w:szCs w:val="24"/>
        </w:rPr>
        <w:t xml:space="preserve"> and S.20 penalties are found in other pieces of legislation.</w:t>
      </w:r>
    </w:p>
    <w:p w14:paraId="404DF5DF" w14:textId="2105544F" w:rsidR="00F45450" w:rsidRPr="00193CAE" w:rsidRDefault="00207D11" w:rsidP="00193CAE">
      <w:pPr>
        <w:rPr>
          <w:rFonts w:cstheme="minorHAnsi"/>
        </w:rPr>
      </w:pPr>
      <w:r w:rsidRPr="00193CAE">
        <w:rPr>
          <w:rFonts w:cstheme="minorHAnsi"/>
          <w:color w:val="212529"/>
          <w:sz w:val="24"/>
          <w:szCs w:val="24"/>
          <w:shd w:val="clear" w:color="auto" w:fill="FFFFFF"/>
        </w:rPr>
        <w:t>Other offences that needs to be looked at are offences of a medical and transmitted diseases</w:t>
      </w:r>
      <w:r w:rsidR="00E839EB" w:rsidRPr="009B7A09">
        <w:rPr>
          <w:rFonts w:cstheme="minorHAnsi"/>
          <w:color w:val="212529"/>
          <w:sz w:val="24"/>
          <w:szCs w:val="24"/>
          <w:shd w:val="clear" w:color="auto" w:fill="FFFFFF"/>
        </w:rPr>
        <w:t>.</w:t>
      </w:r>
      <w:r w:rsidR="00E839EB" w:rsidRPr="009B7A09">
        <w:rPr>
          <w:rFonts w:cstheme="minorHAnsi"/>
          <w:color w:val="212529"/>
          <w:sz w:val="24"/>
          <w:szCs w:val="24"/>
          <w:shd w:val="clear" w:color="auto" w:fill="FFFFFF"/>
          <w:vertAlign w:val="superscript"/>
        </w:rPr>
        <w:t xml:space="preserve"> </w:t>
      </w:r>
      <w:r w:rsidR="00F45450" w:rsidRPr="00193CAE">
        <w:rPr>
          <w:rFonts w:cstheme="minorHAnsi"/>
          <w:sz w:val="24"/>
          <w:szCs w:val="24"/>
        </w:rPr>
        <w:t xml:space="preserve">Transmitted infections is one of the other areas that created plenty of discussion and in this specific offence there were two views arguing whether or not the act should be reformed, while the law commission is keen to reform this area of the </w:t>
      </w:r>
      <w:r w:rsidR="00E839EB" w:rsidRPr="009B7A09">
        <w:rPr>
          <w:rFonts w:cstheme="minorHAnsi"/>
          <w:sz w:val="24"/>
          <w:szCs w:val="24"/>
        </w:rPr>
        <w:t>A</w:t>
      </w:r>
      <w:r w:rsidR="00F45450" w:rsidRPr="00193CAE">
        <w:rPr>
          <w:rFonts w:cstheme="minorHAnsi"/>
          <w:sz w:val="24"/>
          <w:szCs w:val="24"/>
        </w:rPr>
        <w:t xml:space="preserve">ct, but did not include that in the report as there was a thinking that this will create a barrier to implement any amendments or reform, However, they believed that there was an element of criminal liability on the defendant, they used the consent to sexual intercourse as an example and that it consenting to the intercourse does not automatically mean that there was a consent to the harm or the risk of it. </w:t>
      </w:r>
    </w:p>
    <w:p w14:paraId="09DE52AB" w14:textId="61109F9B" w:rsidR="00F45450" w:rsidRPr="00193CAE" w:rsidRDefault="00F45450" w:rsidP="00E839EB">
      <w:pPr>
        <w:contextualSpacing/>
        <w:rPr>
          <w:rFonts w:cstheme="minorHAnsi"/>
          <w:sz w:val="24"/>
          <w:szCs w:val="24"/>
        </w:rPr>
      </w:pPr>
      <w:r w:rsidRPr="00193CAE">
        <w:rPr>
          <w:rFonts w:cstheme="minorHAnsi"/>
          <w:sz w:val="24"/>
          <w:szCs w:val="24"/>
        </w:rPr>
        <w:t xml:space="preserve">The other side of the argument came from medical professional and charities who though that at what stage should the defendant be liable, is it when they think that they are transmitting the infection, did they intend to cause that harm or was it recklessness? </w:t>
      </w:r>
    </w:p>
    <w:p w14:paraId="55C7DEF0" w14:textId="77777777" w:rsidR="00E839EB" w:rsidRPr="00193CAE" w:rsidRDefault="00E839EB" w:rsidP="00193CAE">
      <w:pPr>
        <w:contextualSpacing/>
        <w:rPr>
          <w:rFonts w:cstheme="minorHAnsi"/>
          <w:sz w:val="24"/>
          <w:szCs w:val="24"/>
        </w:rPr>
      </w:pPr>
    </w:p>
    <w:p w14:paraId="311617C1" w14:textId="64801345" w:rsidR="00207D11" w:rsidRPr="00193CAE" w:rsidRDefault="00F45450" w:rsidP="005D5E17">
      <w:pPr>
        <w:rPr>
          <w:rFonts w:cstheme="minorHAnsi"/>
          <w:color w:val="212529"/>
          <w:sz w:val="24"/>
          <w:szCs w:val="24"/>
          <w:shd w:val="clear" w:color="auto" w:fill="FFFFFF"/>
        </w:rPr>
      </w:pPr>
      <w:r w:rsidRPr="00193CAE">
        <w:rPr>
          <w:rFonts w:cstheme="minorHAnsi"/>
          <w:sz w:val="24"/>
          <w:szCs w:val="24"/>
        </w:rPr>
        <w:t xml:space="preserve">“Will mandatory testing be the next requirement? Will we create a system where medical </w:t>
      </w:r>
      <w:r w:rsidR="000C01A6" w:rsidRPr="00193CAE">
        <w:rPr>
          <w:rFonts w:cstheme="minorHAnsi"/>
          <w:sz w:val="24"/>
          <w:szCs w:val="24"/>
        </w:rPr>
        <w:t xml:space="preserve">           </w:t>
      </w:r>
      <w:r w:rsidRPr="00193CAE">
        <w:rPr>
          <w:rFonts w:cstheme="minorHAnsi"/>
          <w:sz w:val="24"/>
          <w:szCs w:val="24"/>
        </w:rPr>
        <w:t xml:space="preserve">professionals must give evidence against their patients? Do we criminalise the act, even if there is no </w:t>
      </w:r>
      <w:r w:rsidR="000C01A6" w:rsidRPr="00193CAE">
        <w:rPr>
          <w:rFonts w:cstheme="minorHAnsi"/>
          <w:sz w:val="24"/>
          <w:szCs w:val="24"/>
        </w:rPr>
        <w:t xml:space="preserve">  </w:t>
      </w:r>
      <w:r w:rsidRPr="00193CAE">
        <w:rPr>
          <w:rFonts w:cstheme="minorHAnsi"/>
          <w:sz w:val="24"/>
          <w:szCs w:val="24"/>
        </w:rPr>
        <w:t xml:space="preserve">injury (i.e. transmission)? How much of these issues should be left to the jury? These are the matters </w:t>
      </w:r>
      <w:r w:rsidR="000C01A6" w:rsidRPr="00193CAE">
        <w:rPr>
          <w:rFonts w:cstheme="minorHAnsi"/>
          <w:sz w:val="24"/>
          <w:szCs w:val="24"/>
        </w:rPr>
        <w:t xml:space="preserve">  </w:t>
      </w:r>
      <w:r w:rsidRPr="00193CAE">
        <w:rPr>
          <w:rFonts w:cstheme="minorHAnsi"/>
          <w:sz w:val="24"/>
          <w:szCs w:val="24"/>
        </w:rPr>
        <w:t>that must be considered if there is to be reform of non-fatal offences”.</w:t>
      </w:r>
    </w:p>
    <w:p w14:paraId="2CBE7B88" w14:textId="20701D3A" w:rsidR="00207D11" w:rsidRPr="00193CAE" w:rsidRDefault="000C01A6" w:rsidP="00193CAE">
      <w:pPr>
        <w:rPr>
          <w:rFonts w:cstheme="minorHAnsi"/>
          <w:color w:val="212529"/>
          <w:shd w:val="clear" w:color="auto" w:fill="FFFFFF"/>
        </w:rPr>
      </w:pPr>
      <w:r w:rsidRPr="00193CAE">
        <w:rPr>
          <w:rFonts w:cstheme="minorHAnsi"/>
          <w:color w:val="212529"/>
          <w:sz w:val="24"/>
          <w:szCs w:val="24"/>
          <w:shd w:val="clear" w:color="auto" w:fill="FFFFFF"/>
        </w:rPr>
        <w:lastRenderedPageBreak/>
        <w:t>There have been several attempts to reform the OAPA:</w:t>
      </w:r>
      <w:r w:rsidR="00E839EB" w:rsidRPr="009B7A09">
        <w:rPr>
          <w:rFonts w:cstheme="minorHAnsi"/>
          <w:color w:val="212529"/>
          <w:sz w:val="24"/>
          <w:szCs w:val="24"/>
          <w:shd w:val="clear" w:color="auto" w:fill="FFFFFF"/>
        </w:rPr>
        <w:t xml:space="preserve"> the </w:t>
      </w:r>
      <w:r w:rsidRPr="00193CAE">
        <w:rPr>
          <w:rFonts w:cstheme="minorHAnsi"/>
          <w:color w:val="212529"/>
          <w:sz w:val="24"/>
          <w:szCs w:val="24"/>
          <w:shd w:val="clear" w:color="auto" w:fill="FFFFFF"/>
        </w:rPr>
        <w:t>Criminal Law Revision Committee, Fourteenth Report, Offences against the Person, in 1980; Codification of the Criminal Law (report with draft code submitted to the Law Commission by a group of academics chaired by Professor Sir John Smith QC), in 1985; (3) Draft Criminal Code with commentary (Law Commission report), in 1989; Legislating the Criminal Code: Offences against the Person and General Principles (Law Commission consultation paper), in 1992; Legislating the Criminal Code: Offences against the Person and General Principles (Law Commission report), in 1993; and Home Office Consultation Paper with draft Bill, entitled Violence: Reforming the Offences against the Person Act 1861, in 1998.</w:t>
      </w:r>
      <w:r w:rsidRPr="009B7A09">
        <w:rPr>
          <w:sz w:val="24"/>
          <w:szCs w:val="24"/>
          <w:shd w:val="clear" w:color="auto" w:fill="FFFFFF"/>
          <w:vertAlign w:val="superscript"/>
        </w:rPr>
        <w:footnoteReference w:id="10"/>
      </w:r>
    </w:p>
    <w:p w14:paraId="2295E7C6" w14:textId="081E07C6" w:rsidR="00F62CB7" w:rsidRPr="00193CAE" w:rsidRDefault="00E839EB" w:rsidP="00193CAE">
      <w:pPr>
        <w:rPr>
          <w:rFonts w:cstheme="minorHAnsi"/>
          <w:color w:val="212529"/>
          <w:shd w:val="clear" w:color="auto" w:fill="FFFFFF"/>
          <w:vertAlign w:val="superscript"/>
        </w:rPr>
      </w:pPr>
      <w:r w:rsidRPr="009B7A09">
        <w:rPr>
          <w:rFonts w:cstheme="minorHAnsi"/>
          <w:color w:val="212529"/>
          <w:sz w:val="24"/>
          <w:szCs w:val="24"/>
          <w:shd w:val="clear" w:color="auto" w:fill="FFFFFF"/>
        </w:rPr>
        <w:t>However, t</w:t>
      </w:r>
      <w:r w:rsidR="00F62CB7" w:rsidRPr="00193CAE">
        <w:rPr>
          <w:rFonts w:cstheme="minorHAnsi"/>
          <w:color w:val="212529"/>
          <w:sz w:val="24"/>
          <w:szCs w:val="24"/>
          <w:shd w:val="clear" w:color="auto" w:fill="FFFFFF"/>
        </w:rPr>
        <w:t xml:space="preserve">he most recent discussion of reform was in 2015 under the Law Commission’s Reform of Offences </w:t>
      </w:r>
      <w:proofErr w:type="gramStart"/>
      <w:r w:rsidR="00F62CB7" w:rsidRPr="00193CAE">
        <w:rPr>
          <w:rFonts w:cstheme="minorHAnsi"/>
          <w:color w:val="212529"/>
          <w:sz w:val="24"/>
          <w:szCs w:val="24"/>
          <w:shd w:val="clear" w:color="auto" w:fill="FFFFFF"/>
        </w:rPr>
        <w:t>Against The</w:t>
      </w:r>
      <w:proofErr w:type="gramEnd"/>
      <w:r w:rsidR="00F62CB7" w:rsidRPr="00193CAE">
        <w:rPr>
          <w:rFonts w:cstheme="minorHAnsi"/>
          <w:color w:val="212529"/>
          <w:sz w:val="24"/>
          <w:szCs w:val="24"/>
          <w:shd w:val="clear" w:color="auto" w:fill="FFFFFF"/>
        </w:rPr>
        <w:t xml:space="preserve"> Person. Here, it was recommended that the OAPA should be replaced with a more contemporary, modern statute.</w:t>
      </w:r>
    </w:p>
    <w:p w14:paraId="65588103" w14:textId="056F8D0A" w:rsidR="003F0232" w:rsidRPr="00193CAE" w:rsidRDefault="003F0232" w:rsidP="00193CAE">
      <w:pPr>
        <w:rPr>
          <w:sz w:val="24"/>
          <w:szCs w:val="24"/>
        </w:rPr>
      </w:pPr>
      <w:r w:rsidRPr="00193CAE">
        <w:rPr>
          <w:rFonts w:cstheme="minorHAnsi"/>
          <w:color w:val="212529"/>
          <w:sz w:val="24"/>
          <w:szCs w:val="24"/>
          <w:shd w:val="clear" w:color="auto" w:fill="FFFFFF"/>
        </w:rPr>
        <w:t xml:space="preserve">The </w:t>
      </w:r>
      <w:r w:rsidR="009B7A09" w:rsidRPr="009B7A09">
        <w:rPr>
          <w:rFonts w:cstheme="minorHAnsi"/>
          <w:color w:val="212529"/>
          <w:sz w:val="24"/>
          <w:szCs w:val="24"/>
          <w:shd w:val="clear" w:color="auto" w:fill="FFFFFF"/>
        </w:rPr>
        <w:t>L</w:t>
      </w:r>
      <w:r w:rsidRPr="00193CAE">
        <w:rPr>
          <w:rFonts w:cstheme="minorHAnsi"/>
          <w:color w:val="212529"/>
          <w:sz w:val="24"/>
          <w:szCs w:val="24"/>
          <w:shd w:val="clear" w:color="auto" w:fill="FFFFFF"/>
        </w:rPr>
        <w:t xml:space="preserve">aw </w:t>
      </w:r>
      <w:r w:rsidR="009B7A09" w:rsidRPr="009B7A09">
        <w:rPr>
          <w:rFonts w:cstheme="minorHAnsi"/>
          <w:color w:val="212529"/>
          <w:sz w:val="24"/>
          <w:szCs w:val="24"/>
          <w:shd w:val="clear" w:color="auto" w:fill="FFFFFF"/>
        </w:rPr>
        <w:t>C</w:t>
      </w:r>
      <w:r w:rsidRPr="00193CAE">
        <w:rPr>
          <w:rFonts w:cstheme="minorHAnsi"/>
          <w:color w:val="212529"/>
          <w:sz w:val="24"/>
          <w:szCs w:val="24"/>
          <w:shd w:val="clear" w:color="auto" w:fill="FFFFFF"/>
        </w:rPr>
        <w:t>ommission recommended that the following should be considered:</w:t>
      </w:r>
      <w:r w:rsidR="00E839EB" w:rsidRPr="009B7A09">
        <w:rPr>
          <w:rFonts w:cstheme="minorHAnsi"/>
          <w:color w:val="212529"/>
          <w:sz w:val="24"/>
          <w:szCs w:val="24"/>
          <w:shd w:val="clear" w:color="auto" w:fill="FFFFFF"/>
        </w:rPr>
        <w:t xml:space="preserve"> an a</w:t>
      </w:r>
      <w:r w:rsidR="00F62CB7" w:rsidRPr="00193CAE">
        <w:rPr>
          <w:rFonts w:cstheme="minorHAnsi"/>
          <w:color w:val="212529"/>
          <w:sz w:val="24"/>
          <w:szCs w:val="24"/>
          <w:shd w:val="clear" w:color="auto" w:fill="FFFFFF"/>
        </w:rPr>
        <w:t>doption of a modified version of the Home Office’s 1998 draft Bill to replace the outdated Offences Against the Person Act 1861.</w:t>
      </w:r>
      <w:r w:rsidR="00E839EB" w:rsidRPr="009B7A09">
        <w:rPr>
          <w:sz w:val="24"/>
          <w:szCs w:val="24"/>
        </w:rPr>
        <w:t xml:space="preserve"> </w:t>
      </w:r>
      <w:r w:rsidR="00F62CB7" w:rsidRPr="009B7A09">
        <w:rPr>
          <w:sz w:val="24"/>
          <w:szCs w:val="24"/>
        </w:rPr>
        <w:t>Adding in a new summary-only offence of aggravated assault. This would be triable only in a magistrates’ court, and carry a maximum sentence of 12 months. The new offence would appropriately label those who do more than mere assault, since they cause injury, but who don’t deserve a sentence of more than 12 months.</w:t>
      </w:r>
      <w:r w:rsidR="00E839EB" w:rsidRPr="009B7A09">
        <w:rPr>
          <w:sz w:val="24"/>
          <w:szCs w:val="24"/>
        </w:rPr>
        <w:t xml:space="preserve"> </w:t>
      </w:r>
      <w:r w:rsidR="00F62CB7" w:rsidRPr="009B7A09">
        <w:rPr>
          <w:sz w:val="24"/>
          <w:szCs w:val="24"/>
        </w:rPr>
        <w:t>Expanding the offence of threats to kill to also include threats to cause serious injure and threats to rape. All three would be punishable by up to 10 years in prison</w:t>
      </w:r>
      <w:r w:rsidR="00E839EB" w:rsidRPr="009B7A09">
        <w:rPr>
          <w:sz w:val="24"/>
          <w:szCs w:val="24"/>
        </w:rPr>
        <w:t xml:space="preserve">. </w:t>
      </w:r>
      <w:r w:rsidR="00F62CB7" w:rsidRPr="009B7A09">
        <w:rPr>
          <w:sz w:val="24"/>
          <w:szCs w:val="24"/>
        </w:rPr>
        <w:t>The repeal of 25 offences to be replaced with 15 new ones</w:t>
      </w:r>
      <w:r w:rsidR="00E839EB" w:rsidRPr="009B7A09">
        <w:rPr>
          <w:sz w:val="24"/>
          <w:szCs w:val="24"/>
        </w:rPr>
        <w:t xml:space="preserve">. </w:t>
      </w:r>
      <w:r w:rsidR="00F62CB7" w:rsidRPr="009B7A09">
        <w:rPr>
          <w:sz w:val="24"/>
          <w:szCs w:val="24"/>
        </w:rPr>
        <w:t>Many more minor changes to things like maximum sentence and definitions as shown in a table published in the report.</w:t>
      </w:r>
      <w:r w:rsidR="00F62CB7" w:rsidRPr="009B7A09">
        <w:rPr>
          <w:sz w:val="24"/>
          <w:szCs w:val="24"/>
          <w:vertAlign w:val="superscript"/>
        </w:rPr>
        <w:footnoteReference w:id="11"/>
      </w:r>
    </w:p>
    <w:p w14:paraId="14F29400" w14:textId="75532850" w:rsidR="00F62CB7" w:rsidRPr="00193CAE" w:rsidRDefault="003F0232" w:rsidP="00BB06CE">
      <w:pPr>
        <w:spacing w:after="0" w:line="240" w:lineRule="auto"/>
        <w:rPr>
          <w:sz w:val="24"/>
          <w:szCs w:val="24"/>
        </w:rPr>
      </w:pPr>
      <w:r w:rsidRPr="00193CAE">
        <w:rPr>
          <w:sz w:val="24"/>
          <w:szCs w:val="24"/>
        </w:rPr>
        <w:t xml:space="preserve">Looking at the recommendations from the </w:t>
      </w:r>
      <w:r w:rsidR="00E839EB" w:rsidRPr="00193CAE">
        <w:rPr>
          <w:sz w:val="24"/>
          <w:szCs w:val="24"/>
        </w:rPr>
        <w:t>L</w:t>
      </w:r>
      <w:r w:rsidRPr="00193CAE">
        <w:rPr>
          <w:sz w:val="24"/>
          <w:szCs w:val="24"/>
        </w:rPr>
        <w:t xml:space="preserve">aw </w:t>
      </w:r>
      <w:r w:rsidR="00E839EB" w:rsidRPr="00193CAE">
        <w:rPr>
          <w:sz w:val="24"/>
          <w:szCs w:val="24"/>
        </w:rPr>
        <w:t>Commission, it</w:t>
      </w:r>
      <w:r w:rsidRPr="00193CAE">
        <w:rPr>
          <w:sz w:val="24"/>
          <w:szCs w:val="24"/>
        </w:rPr>
        <w:t xml:space="preserve"> can</w:t>
      </w:r>
      <w:r w:rsidR="00E839EB" w:rsidRPr="00193CAE">
        <w:rPr>
          <w:sz w:val="24"/>
          <w:szCs w:val="24"/>
        </w:rPr>
        <w:t xml:space="preserve"> be</w:t>
      </w:r>
      <w:r w:rsidRPr="00193CAE">
        <w:rPr>
          <w:sz w:val="24"/>
          <w:szCs w:val="24"/>
        </w:rPr>
        <w:t xml:space="preserve"> conclude that there is a real need to re visit the 1861 act and follow review the entire legislation in respect to the OAPA </w:t>
      </w:r>
      <w:r w:rsidR="001C58E6" w:rsidRPr="00193CAE">
        <w:rPr>
          <w:sz w:val="24"/>
          <w:szCs w:val="24"/>
        </w:rPr>
        <w:t>to modernise and bring it to base rather than taking the piecemeal approach in tackling some of the elements of it</w:t>
      </w:r>
      <w:r w:rsidR="00E839EB" w:rsidRPr="00193CAE">
        <w:rPr>
          <w:sz w:val="24"/>
          <w:szCs w:val="24"/>
        </w:rPr>
        <w:t>. A</w:t>
      </w:r>
      <w:r w:rsidR="001C58E6" w:rsidRPr="00193CAE">
        <w:rPr>
          <w:sz w:val="24"/>
          <w:szCs w:val="24"/>
        </w:rPr>
        <w:t xml:space="preserve">lthough that was to some extent effective, specially if we consider areas like domestic violence, and gender base violence including FGM (female genital mutilation) </w:t>
      </w:r>
      <w:r w:rsidR="00BB06CE" w:rsidRPr="00193CAE">
        <w:rPr>
          <w:sz w:val="24"/>
          <w:szCs w:val="24"/>
        </w:rPr>
        <w:t>rape and all the other areas that have seen some flexibility for reform</w:t>
      </w:r>
      <w:r w:rsidR="00E839EB" w:rsidRPr="00193CAE">
        <w:rPr>
          <w:sz w:val="24"/>
          <w:szCs w:val="24"/>
        </w:rPr>
        <w:t xml:space="preserve">. </w:t>
      </w:r>
      <w:r w:rsidR="00F62CB7" w:rsidRPr="00193CAE">
        <w:rPr>
          <w:sz w:val="24"/>
          <w:szCs w:val="24"/>
        </w:rPr>
        <w:t>The Lord Chief Justice said: “I think it is sensible that you (the Law Commission) have based your discussion on the 1998 proposals for a draft Bill, and believe that this is a good model and a firm foundation on which to take forward long overdue reform in this area.”</w:t>
      </w:r>
      <w:r w:rsidR="00F62CB7" w:rsidRPr="00193CAE">
        <w:rPr>
          <w:sz w:val="24"/>
          <w:szCs w:val="24"/>
          <w:vertAlign w:val="superscript"/>
        </w:rPr>
        <w:footnoteReference w:id="12"/>
      </w:r>
    </w:p>
    <w:p w14:paraId="39248A95" w14:textId="77777777" w:rsidR="000C01A6" w:rsidRPr="00193CAE" w:rsidRDefault="000C01A6" w:rsidP="000C01A6">
      <w:pPr>
        <w:pStyle w:val="ListParagraph"/>
        <w:rPr>
          <w:rFonts w:cs="Segoe UI"/>
          <w:color w:val="212529"/>
          <w:shd w:val="clear" w:color="auto" w:fill="FFFFFF"/>
        </w:rPr>
      </w:pPr>
    </w:p>
    <w:p w14:paraId="49E55404" w14:textId="77777777" w:rsidR="000C01A6" w:rsidRPr="00193CAE" w:rsidRDefault="000C01A6" w:rsidP="000C01A6">
      <w:pPr>
        <w:pStyle w:val="ListParagraph"/>
        <w:rPr>
          <w:rFonts w:cs="Segoe UI"/>
          <w:color w:val="212529"/>
          <w:shd w:val="clear" w:color="auto" w:fill="FFFFFF"/>
        </w:rPr>
      </w:pPr>
    </w:p>
    <w:p w14:paraId="7DD4E7C7" w14:textId="77777777" w:rsidR="000C01A6" w:rsidRPr="00193CAE" w:rsidRDefault="000C01A6" w:rsidP="000C01A6">
      <w:pPr>
        <w:pStyle w:val="ListParagraph"/>
        <w:rPr>
          <w:rFonts w:cs="Segoe UI"/>
          <w:color w:val="212529"/>
          <w:shd w:val="clear" w:color="auto" w:fill="FFFFFF"/>
        </w:rPr>
      </w:pPr>
    </w:p>
    <w:p w14:paraId="6BCCC4B0" w14:textId="77777777" w:rsidR="000C01A6" w:rsidRPr="00193CAE" w:rsidRDefault="000C01A6" w:rsidP="000C01A6">
      <w:pPr>
        <w:pStyle w:val="ListParagraph"/>
        <w:rPr>
          <w:rFonts w:cs="Segoe UI"/>
          <w:color w:val="212529"/>
          <w:shd w:val="clear" w:color="auto" w:fill="FFFFFF"/>
        </w:rPr>
      </w:pPr>
    </w:p>
    <w:p w14:paraId="29A27678" w14:textId="77777777" w:rsidR="000C01A6" w:rsidRPr="00193CAE" w:rsidRDefault="000C01A6" w:rsidP="000C01A6">
      <w:pPr>
        <w:pStyle w:val="ListParagraph"/>
        <w:rPr>
          <w:rFonts w:cs="Segoe UI"/>
          <w:color w:val="212529"/>
          <w:shd w:val="clear" w:color="auto" w:fill="FFFFFF"/>
        </w:rPr>
      </w:pPr>
    </w:p>
    <w:p w14:paraId="58A7AE09" w14:textId="77777777" w:rsidR="000C01A6" w:rsidRPr="00193CAE" w:rsidRDefault="000C01A6" w:rsidP="000C01A6">
      <w:pPr>
        <w:pStyle w:val="ListParagraph"/>
        <w:rPr>
          <w:rFonts w:cs="Segoe UI"/>
          <w:color w:val="212529"/>
          <w:shd w:val="clear" w:color="auto" w:fill="FFFFFF"/>
        </w:rPr>
      </w:pPr>
    </w:p>
    <w:p w14:paraId="33CC844F" w14:textId="77777777" w:rsidR="000C01A6" w:rsidRPr="00193CAE" w:rsidRDefault="000C01A6" w:rsidP="000C01A6">
      <w:pPr>
        <w:pStyle w:val="ListParagraph"/>
        <w:rPr>
          <w:rFonts w:cs="Segoe UI"/>
          <w:color w:val="212529"/>
          <w:shd w:val="clear" w:color="auto" w:fill="FFFFFF"/>
        </w:rPr>
      </w:pPr>
    </w:p>
    <w:p w14:paraId="47FC99E6" w14:textId="382DC331" w:rsidR="000C01A6" w:rsidRDefault="0089375E" w:rsidP="000C01A6">
      <w:pPr>
        <w:pStyle w:val="ListParagraph"/>
        <w:rPr>
          <w:rFonts w:cs="Segoe UI"/>
          <w:color w:val="212529"/>
          <w:shd w:val="clear" w:color="auto" w:fill="FFFFFF"/>
        </w:rPr>
      </w:pPr>
      <w:r>
        <w:rPr>
          <w:rFonts w:cs="Segoe UI"/>
          <w:color w:val="212529"/>
          <w:shd w:val="clear" w:color="auto" w:fill="FFFFFF"/>
        </w:rPr>
        <w:t xml:space="preserve">Reference: </w:t>
      </w:r>
    </w:p>
    <w:p w14:paraId="4EA60CD6" w14:textId="53474602" w:rsidR="0089375E" w:rsidRDefault="0089375E" w:rsidP="000C01A6">
      <w:pPr>
        <w:pStyle w:val="ListParagraph"/>
        <w:rPr>
          <w:rFonts w:cs="Segoe UI"/>
          <w:color w:val="212529"/>
          <w:shd w:val="clear" w:color="auto" w:fill="FFFFFF"/>
        </w:rPr>
      </w:pPr>
    </w:p>
    <w:p w14:paraId="70559384" w14:textId="39DA58F1" w:rsidR="0089375E" w:rsidRDefault="00E8625F" w:rsidP="000C01A6">
      <w:pPr>
        <w:pStyle w:val="ListParagraph"/>
        <w:rPr>
          <w:rFonts w:cs="Segoe UI"/>
          <w:color w:val="212529"/>
          <w:shd w:val="clear" w:color="auto" w:fill="FFFFFF"/>
        </w:rPr>
      </w:pPr>
      <w:hyperlink r:id="rId8" w:history="1">
        <w:r w:rsidR="0089375E" w:rsidRPr="007E44DB">
          <w:rPr>
            <w:rStyle w:val="Hyperlink"/>
            <w:rFonts w:cs="Segoe UI"/>
            <w:shd w:val="clear" w:color="auto" w:fill="FFFFFF"/>
          </w:rPr>
          <w:t>www.lawcom.gov.uk/project/offences-against-the-person</w:t>
        </w:r>
      </w:hyperlink>
    </w:p>
    <w:p w14:paraId="4D1C9354" w14:textId="77777777" w:rsidR="0089375E" w:rsidRDefault="0089375E" w:rsidP="000C01A6">
      <w:pPr>
        <w:pStyle w:val="ListParagraph"/>
        <w:rPr>
          <w:rFonts w:cs="Segoe UI"/>
          <w:color w:val="212529"/>
          <w:shd w:val="clear" w:color="auto" w:fill="FFFFFF"/>
        </w:rPr>
      </w:pPr>
    </w:p>
    <w:p w14:paraId="6D8AA90D" w14:textId="77777777" w:rsidR="0089375E" w:rsidRPr="00193CAE" w:rsidRDefault="0089375E" w:rsidP="000C01A6">
      <w:pPr>
        <w:pStyle w:val="ListParagraph"/>
        <w:rPr>
          <w:rFonts w:cs="Segoe UI"/>
          <w:color w:val="212529"/>
          <w:shd w:val="clear" w:color="auto" w:fill="FFFFFF"/>
        </w:rPr>
      </w:pPr>
    </w:p>
    <w:p w14:paraId="40A8E62B" w14:textId="77777777" w:rsidR="000C01A6" w:rsidRPr="00193CAE" w:rsidRDefault="000C01A6" w:rsidP="000C01A6">
      <w:pPr>
        <w:pStyle w:val="ListParagraph"/>
        <w:rPr>
          <w:rFonts w:cs="Segoe UI"/>
          <w:color w:val="212529"/>
          <w:shd w:val="clear" w:color="auto" w:fill="FFFFFF"/>
        </w:rPr>
      </w:pPr>
    </w:p>
    <w:p w14:paraId="2A92E2C1" w14:textId="77777777" w:rsidR="000C01A6" w:rsidRPr="00193CAE" w:rsidRDefault="000C01A6" w:rsidP="000C01A6">
      <w:pPr>
        <w:pStyle w:val="ListParagraph"/>
        <w:rPr>
          <w:rFonts w:cs="Segoe UI"/>
          <w:color w:val="212529"/>
          <w:shd w:val="clear" w:color="auto" w:fill="FFFFFF"/>
        </w:rPr>
      </w:pPr>
    </w:p>
    <w:p w14:paraId="6011C580" w14:textId="77777777" w:rsidR="000C01A6" w:rsidRPr="00193CAE" w:rsidRDefault="000C01A6" w:rsidP="000C01A6">
      <w:pPr>
        <w:pStyle w:val="ListParagraph"/>
        <w:rPr>
          <w:rFonts w:cs="Segoe UI"/>
          <w:color w:val="212529"/>
          <w:shd w:val="clear" w:color="auto" w:fill="FFFFFF"/>
        </w:rPr>
      </w:pPr>
    </w:p>
    <w:p w14:paraId="24D2B2F7" w14:textId="77777777" w:rsidR="000C01A6" w:rsidRPr="00193CAE" w:rsidRDefault="000C01A6" w:rsidP="000C01A6">
      <w:pPr>
        <w:pStyle w:val="ListParagraph"/>
        <w:rPr>
          <w:rFonts w:cs="Segoe UI"/>
          <w:color w:val="212529"/>
          <w:shd w:val="clear" w:color="auto" w:fill="FFFFFF"/>
        </w:rPr>
      </w:pPr>
    </w:p>
    <w:p w14:paraId="4228840C" w14:textId="77777777" w:rsidR="000C01A6" w:rsidRPr="00193CAE" w:rsidRDefault="000C01A6" w:rsidP="000C01A6">
      <w:pPr>
        <w:pStyle w:val="ListParagraph"/>
        <w:rPr>
          <w:rFonts w:cs="Segoe UI"/>
          <w:color w:val="212529"/>
          <w:shd w:val="clear" w:color="auto" w:fill="FFFFFF"/>
        </w:rPr>
      </w:pPr>
    </w:p>
    <w:p w14:paraId="275EA3CB" w14:textId="77777777" w:rsidR="000C01A6" w:rsidRPr="00193CAE" w:rsidRDefault="000C01A6" w:rsidP="000C01A6">
      <w:pPr>
        <w:pStyle w:val="ListParagraph"/>
        <w:rPr>
          <w:rFonts w:cs="Segoe UI"/>
          <w:color w:val="212529"/>
          <w:shd w:val="clear" w:color="auto" w:fill="FFFFFF"/>
        </w:rPr>
      </w:pPr>
    </w:p>
    <w:p w14:paraId="74BE57A5" w14:textId="77777777" w:rsidR="000C01A6" w:rsidRPr="00193CAE" w:rsidRDefault="000C01A6" w:rsidP="000C01A6">
      <w:pPr>
        <w:pStyle w:val="ListParagraph"/>
        <w:rPr>
          <w:rFonts w:cs="Segoe UI"/>
          <w:color w:val="212529"/>
          <w:shd w:val="clear" w:color="auto" w:fill="FFFFFF"/>
        </w:rPr>
      </w:pPr>
    </w:p>
    <w:p w14:paraId="453537EC" w14:textId="77777777" w:rsidR="000C01A6" w:rsidRPr="00193CAE" w:rsidRDefault="000C01A6" w:rsidP="000C01A6">
      <w:pPr>
        <w:pStyle w:val="ListParagraph"/>
        <w:rPr>
          <w:rFonts w:cs="Segoe UI"/>
          <w:color w:val="212529"/>
          <w:shd w:val="clear" w:color="auto" w:fill="FFFFFF"/>
        </w:rPr>
      </w:pPr>
    </w:p>
    <w:p w14:paraId="25AF30A1" w14:textId="77777777" w:rsidR="000C01A6" w:rsidRPr="00193CAE" w:rsidRDefault="000C01A6" w:rsidP="000C01A6">
      <w:pPr>
        <w:pStyle w:val="ListParagraph"/>
        <w:rPr>
          <w:rFonts w:cs="Segoe UI"/>
          <w:color w:val="212529"/>
          <w:shd w:val="clear" w:color="auto" w:fill="FFFFFF"/>
        </w:rPr>
      </w:pPr>
    </w:p>
    <w:p w14:paraId="4CE94670" w14:textId="77777777" w:rsidR="000C01A6" w:rsidRPr="00193CAE" w:rsidRDefault="000C01A6" w:rsidP="000C01A6">
      <w:pPr>
        <w:pStyle w:val="ListParagraph"/>
        <w:rPr>
          <w:rFonts w:cs="Segoe UI"/>
          <w:color w:val="212529"/>
          <w:shd w:val="clear" w:color="auto" w:fill="FFFFFF"/>
        </w:rPr>
      </w:pPr>
    </w:p>
    <w:p w14:paraId="2C400823" w14:textId="77777777" w:rsidR="000C01A6" w:rsidRPr="00193CAE" w:rsidRDefault="000C01A6" w:rsidP="000C01A6">
      <w:pPr>
        <w:pStyle w:val="ListParagraph"/>
        <w:rPr>
          <w:rFonts w:cs="Segoe UI"/>
          <w:color w:val="212529"/>
          <w:shd w:val="clear" w:color="auto" w:fill="FFFFFF"/>
        </w:rPr>
      </w:pPr>
    </w:p>
    <w:p w14:paraId="2F84EB33" w14:textId="77777777" w:rsidR="000C01A6" w:rsidRPr="00193CAE" w:rsidRDefault="000C01A6" w:rsidP="000C01A6">
      <w:pPr>
        <w:pStyle w:val="ListParagraph"/>
        <w:rPr>
          <w:rFonts w:cs="Segoe UI"/>
          <w:color w:val="212529"/>
          <w:shd w:val="clear" w:color="auto" w:fill="FFFFFF"/>
        </w:rPr>
      </w:pPr>
    </w:p>
    <w:p w14:paraId="193FDE1E" w14:textId="77777777" w:rsidR="000C01A6" w:rsidRPr="00193CAE" w:rsidRDefault="000C01A6" w:rsidP="000C01A6">
      <w:pPr>
        <w:pStyle w:val="ListParagraph"/>
        <w:rPr>
          <w:rFonts w:cs="Segoe UI"/>
          <w:color w:val="212529"/>
          <w:shd w:val="clear" w:color="auto" w:fill="FFFFFF"/>
        </w:rPr>
      </w:pPr>
    </w:p>
    <w:p w14:paraId="4238EF87" w14:textId="77777777" w:rsidR="000C01A6" w:rsidRPr="00193CAE" w:rsidRDefault="000C01A6" w:rsidP="00207D11">
      <w:pPr>
        <w:pStyle w:val="ListParagraph"/>
        <w:rPr>
          <w:rFonts w:cs="Segoe UI"/>
          <w:color w:val="212529"/>
          <w:shd w:val="clear" w:color="auto" w:fill="FFFFFF"/>
        </w:rPr>
      </w:pPr>
    </w:p>
    <w:p w14:paraId="1D49E496" w14:textId="77777777" w:rsidR="003D470C" w:rsidRPr="009B7A09" w:rsidRDefault="00207D11" w:rsidP="00661DAF">
      <w:pPr>
        <w:pStyle w:val="ListParagraph"/>
        <w:rPr>
          <w:color w:val="FF0000"/>
        </w:rPr>
      </w:pPr>
      <w:r w:rsidRPr="00193CAE">
        <w:rPr>
          <w:rFonts w:cs="Segoe UI"/>
          <w:color w:val="212529"/>
          <w:shd w:val="clear" w:color="auto" w:fill="FFFFFF"/>
        </w:rPr>
        <w:t xml:space="preserve"> </w:t>
      </w:r>
      <w:r w:rsidR="00661DAF" w:rsidRPr="00193CAE">
        <w:rPr>
          <w:rFonts w:cs="Segoe UI"/>
          <w:color w:val="212529"/>
          <w:shd w:val="clear" w:color="auto" w:fill="FFFFFF"/>
        </w:rPr>
        <w:t xml:space="preserve">  </w:t>
      </w:r>
      <w:r w:rsidR="00661DAF" w:rsidRPr="009B7A09">
        <w:rPr>
          <w:color w:val="FF0000"/>
        </w:rPr>
        <w:t xml:space="preserve">     </w:t>
      </w:r>
    </w:p>
    <w:p w14:paraId="36D32077" w14:textId="77777777" w:rsidR="003D470C" w:rsidRPr="00193CAE" w:rsidRDefault="003D470C" w:rsidP="003D470C">
      <w:pPr>
        <w:spacing w:after="0" w:line="240" w:lineRule="auto"/>
        <w:rPr>
          <w:color w:val="FF0000"/>
          <w:sz w:val="24"/>
          <w:szCs w:val="24"/>
        </w:rPr>
      </w:pPr>
    </w:p>
    <w:p w14:paraId="5C914421" w14:textId="77777777" w:rsidR="008D7AAA" w:rsidRPr="00193CAE" w:rsidRDefault="008D7AAA" w:rsidP="00DE024B">
      <w:pPr>
        <w:rPr>
          <w:sz w:val="24"/>
          <w:szCs w:val="24"/>
        </w:rPr>
      </w:pPr>
    </w:p>
    <w:p w14:paraId="4BEF8A18" w14:textId="77777777" w:rsidR="00C22C6F" w:rsidRPr="00193CAE" w:rsidRDefault="00C22C6F">
      <w:pPr>
        <w:rPr>
          <w:sz w:val="24"/>
          <w:szCs w:val="24"/>
        </w:rPr>
      </w:pPr>
    </w:p>
    <w:p w14:paraId="3F9187F8" w14:textId="77777777" w:rsidR="00C22C6F" w:rsidRPr="00193CAE" w:rsidRDefault="00C22C6F">
      <w:pPr>
        <w:rPr>
          <w:sz w:val="24"/>
          <w:szCs w:val="24"/>
        </w:rPr>
      </w:pPr>
    </w:p>
    <w:p w14:paraId="4D1A1959" w14:textId="77777777" w:rsidR="00B855C5" w:rsidRPr="00193CAE" w:rsidRDefault="00B855C5">
      <w:pPr>
        <w:rPr>
          <w:sz w:val="24"/>
          <w:szCs w:val="24"/>
        </w:rPr>
      </w:pPr>
    </w:p>
    <w:sectPr w:rsidR="00B855C5" w:rsidRPr="00193CAE">
      <w:footerReference w:type="default" r:id="rId9"/>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D2AB0" w16cex:dateUtc="2021-03-05T22:09:00Z"/>
  <w16cex:commentExtensible w16cex:durableId="23ED2BE8" w16cex:dateUtc="2021-03-05T22:15:00Z"/>
  <w16cex:commentExtensible w16cex:durableId="23ED2C29" w16cex:dateUtc="2021-03-05T22:16: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9B5DA" w14:textId="77777777" w:rsidR="00FE3E14" w:rsidRDefault="00FE3E14" w:rsidP="00935243">
      <w:pPr>
        <w:spacing w:after="0" w:line="240" w:lineRule="auto"/>
      </w:pPr>
      <w:r>
        <w:separator/>
      </w:r>
    </w:p>
  </w:endnote>
  <w:endnote w:type="continuationSeparator" w:id="0">
    <w:p w14:paraId="4EF598F1" w14:textId="77777777" w:rsidR="00FE3E14" w:rsidRDefault="00FE3E14" w:rsidP="00935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BDF587C8E99A4EBFB05229A1BE84BFBD"/>
      </w:placeholder>
      <w:temporary/>
      <w:showingPlcHdr/>
      <w15:appearance w15:val="hidden"/>
    </w:sdtPr>
    <w:sdtEndPr/>
    <w:sdtContent>
      <w:p w14:paraId="4C2E7C7B" w14:textId="77777777" w:rsidR="00B855C5" w:rsidRDefault="00B855C5">
        <w:pPr>
          <w:pStyle w:val="Footer"/>
        </w:pPr>
        <w:r>
          <w:t>[Type here]</w:t>
        </w:r>
      </w:p>
    </w:sdtContent>
  </w:sdt>
  <w:p w14:paraId="2E6A532D" w14:textId="77777777" w:rsidR="00B855C5" w:rsidRDefault="00B855C5">
    <w:pPr>
      <w:pStyle w:val="Footer"/>
    </w:pPr>
  </w:p>
  <w:p w14:paraId="4005ACAE" w14:textId="77777777" w:rsidR="00B855C5" w:rsidRDefault="00B855C5">
    <w:pPr>
      <w:pStyle w:val="Footer"/>
    </w:pPr>
  </w:p>
  <w:p w14:paraId="34BE660E" w14:textId="77777777" w:rsidR="00B855C5" w:rsidRDefault="00B855C5">
    <w:pPr>
      <w:pStyle w:val="Footer"/>
    </w:pPr>
  </w:p>
  <w:p w14:paraId="075DEE92" w14:textId="77777777" w:rsidR="00B855C5" w:rsidRDefault="00B855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8E46A5" w14:textId="77777777" w:rsidR="00FE3E14" w:rsidRDefault="00FE3E14" w:rsidP="00935243">
      <w:pPr>
        <w:spacing w:after="0" w:line="240" w:lineRule="auto"/>
      </w:pPr>
      <w:r>
        <w:separator/>
      </w:r>
    </w:p>
  </w:footnote>
  <w:footnote w:type="continuationSeparator" w:id="0">
    <w:p w14:paraId="578DEF4A" w14:textId="77777777" w:rsidR="00FE3E14" w:rsidRDefault="00FE3E14" w:rsidP="00935243">
      <w:pPr>
        <w:spacing w:after="0" w:line="240" w:lineRule="auto"/>
      </w:pPr>
      <w:r>
        <w:continuationSeparator/>
      </w:r>
    </w:p>
  </w:footnote>
  <w:footnote w:id="1">
    <w:p w14:paraId="4D51A6DA" w14:textId="77777777" w:rsidR="009B7A09" w:rsidRDefault="009B7A09" w:rsidP="009B7A09">
      <w:pPr>
        <w:pStyle w:val="FootnoteText"/>
      </w:pPr>
      <w:r>
        <w:rPr>
          <w:rStyle w:val="FootnoteReference"/>
        </w:rPr>
        <w:footnoteRef/>
      </w:r>
      <w:r>
        <w:t xml:space="preserve"> </w:t>
      </w:r>
      <w:hyperlink r:id="rId1" w:history="1">
        <w:r w:rsidRPr="0063703B">
          <w:rPr>
            <w:rStyle w:val="Hyperlink"/>
          </w:rPr>
          <w:t>https://www.lawcom.gov.uk/project/offences-against-the-person/</w:t>
        </w:r>
      </w:hyperlink>
      <w:r>
        <w:t xml:space="preserve"> </w:t>
      </w:r>
    </w:p>
  </w:footnote>
  <w:footnote w:id="2">
    <w:p w14:paraId="5FC21D12" w14:textId="77777777" w:rsidR="009B7A09" w:rsidRDefault="009B7A09" w:rsidP="009B7A09">
      <w:pPr>
        <w:pStyle w:val="FootnoteText"/>
      </w:pPr>
      <w:r>
        <w:rPr>
          <w:rStyle w:val="FootnoteReference"/>
        </w:rPr>
        <w:footnoteRef/>
      </w:r>
      <w:r>
        <w:t xml:space="preserve"> Ibid, page 3 </w:t>
      </w:r>
    </w:p>
  </w:footnote>
  <w:footnote w:id="3">
    <w:p w14:paraId="34E234B3" w14:textId="77777777" w:rsidR="009B7A09" w:rsidRDefault="009B7A09" w:rsidP="009B7A09">
      <w:pPr>
        <w:pStyle w:val="FootnoteText"/>
      </w:pPr>
      <w:r>
        <w:rPr>
          <w:rStyle w:val="FootnoteReference"/>
        </w:rPr>
        <w:footnoteRef/>
      </w:r>
      <w:r>
        <w:t xml:space="preserve"> Ibid, page 3</w:t>
      </w:r>
    </w:p>
  </w:footnote>
  <w:footnote w:id="4">
    <w:p w14:paraId="68D282C7" w14:textId="77777777" w:rsidR="009B7A09" w:rsidRDefault="009B7A09" w:rsidP="009B7A09">
      <w:pPr>
        <w:pStyle w:val="FootnoteText"/>
      </w:pPr>
      <w:r>
        <w:rPr>
          <w:rStyle w:val="FootnoteReference"/>
        </w:rPr>
        <w:footnoteRef/>
      </w:r>
      <w:r>
        <w:t xml:space="preserve"> Ibid, page 3</w:t>
      </w:r>
    </w:p>
  </w:footnote>
  <w:footnote w:id="5">
    <w:p w14:paraId="342E2605" w14:textId="77777777" w:rsidR="009B7A09" w:rsidRDefault="009B7A09" w:rsidP="009B7A09">
      <w:pPr>
        <w:pStyle w:val="FootnoteText"/>
      </w:pPr>
      <w:r>
        <w:rPr>
          <w:rStyle w:val="FootnoteReference"/>
        </w:rPr>
        <w:footnoteRef/>
      </w:r>
      <w:r>
        <w:t xml:space="preserve"> Ibid, page 3</w:t>
      </w:r>
    </w:p>
  </w:footnote>
  <w:footnote w:id="6">
    <w:p w14:paraId="27F39EA4" w14:textId="77777777" w:rsidR="009B7A09" w:rsidRDefault="009B7A09" w:rsidP="009B7A09">
      <w:pPr>
        <w:pStyle w:val="FootnoteText"/>
      </w:pPr>
      <w:r>
        <w:rPr>
          <w:rStyle w:val="FootnoteReference"/>
        </w:rPr>
        <w:footnoteRef/>
      </w:r>
      <w:r>
        <w:t xml:space="preserve"> Ibid, page 3 </w:t>
      </w:r>
    </w:p>
  </w:footnote>
  <w:footnote w:id="7">
    <w:p w14:paraId="7D851FD3" w14:textId="77777777" w:rsidR="009B7A09" w:rsidRDefault="009B7A09" w:rsidP="009B7A09">
      <w:pPr>
        <w:pStyle w:val="FootnoteText"/>
      </w:pPr>
      <w:r>
        <w:rPr>
          <w:rStyle w:val="FootnoteReference"/>
        </w:rPr>
        <w:footnoteRef/>
      </w:r>
      <w:r>
        <w:t xml:space="preserve"> </w:t>
      </w:r>
      <w:hyperlink r:id="rId2" w:history="1">
        <w:r w:rsidRPr="0063703B">
          <w:rPr>
            <w:rStyle w:val="Hyperlink"/>
          </w:rPr>
          <w:t>https://www.lawcom.gov.uk/project/offences-against-the-person/</w:t>
        </w:r>
      </w:hyperlink>
      <w:r>
        <w:t xml:space="preserve"> </w:t>
      </w:r>
    </w:p>
  </w:footnote>
  <w:footnote w:id="8">
    <w:p w14:paraId="31C7C026" w14:textId="77777777" w:rsidR="009B7A09" w:rsidRDefault="009B7A09" w:rsidP="009B7A09">
      <w:pPr>
        <w:pStyle w:val="FootnoteText"/>
      </w:pPr>
      <w:r>
        <w:rPr>
          <w:rStyle w:val="FootnoteReference"/>
        </w:rPr>
        <w:footnoteRef/>
      </w:r>
      <w:r>
        <w:t xml:space="preserve"> Ibid, page 3</w:t>
      </w:r>
    </w:p>
  </w:footnote>
  <w:footnote w:id="9">
    <w:p w14:paraId="5723328B" w14:textId="77777777" w:rsidR="009B7A09" w:rsidRDefault="009B7A09" w:rsidP="009B7A09">
      <w:pPr>
        <w:pStyle w:val="FootnoteText"/>
      </w:pPr>
      <w:r>
        <w:rPr>
          <w:rStyle w:val="FootnoteReference"/>
        </w:rPr>
        <w:footnoteRef/>
      </w:r>
      <w:r>
        <w:t xml:space="preserve"> </w:t>
      </w:r>
      <w:hyperlink r:id="rId3" w:history="1">
        <w:r w:rsidRPr="0063703B">
          <w:rPr>
            <w:rStyle w:val="Hyperlink"/>
          </w:rPr>
          <w:t>https://www.lawcom.gov.uk/project/offences-against-the-person/</w:t>
        </w:r>
      </w:hyperlink>
      <w:r>
        <w:t xml:space="preserve"> </w:t>
      </w:r>
    </w:p>
  </w:footnote>
  <w:footnote w:id="10">
    <w:p w14:paraId="230AA68E" w14:textId="77777777" w:rsidR="000C01A6" w:rsidRDefault="000C01A6" w:rsidP="000C01A6">
      <w:pPr>
        <w:pStyle w:val="FootnoteText"/>
      </w:pPr>
    </w:p>
  </w:footnote>
  <w:footnote w:id="11">
    <w:p w14:paraId="6AA44DC8" w14:textId="77777777" w:rsidR="00F62CB7" w:rsidRDefault="00F62CB7" w:rsidP="00F62CB7">
      <w:pPr>
        <w:pStyle w:val="FootnoteText"/>
      </w:pPr>
    </w:p>
  </w:footnote>
  <w:footnote w:id="12">
    <w:p w14:paraId="3C48D456" w14:textId="04BFC11B" w:rsidR="00F62CB7" w:rsidRDefault="00F62CB7" w:rsidP="00F62CB7">
      <w:pPr>
        <w:pStyle w:val="FootnoteText"/>
      </w:pPr>
      <w:r>
        <w:rPr>
          <w:rStyle w:val="FootnoteReference"/>
        </w:rPr>
        <w:footnoteRef/>
      </w:r>
      <w:r>
        <w:t xml:space="preserve"> </w:t>
      </w:r>
      <w:hyperlink r:id="rId4" w:history="1">
        <w:r w:rsidR="0089375E" w:rsidRPr="007E44DB">
          <w:rPr>
            <w:rStyle w:val="Hyperlink"/>
          </w:rPr>
          <w:t>https://www.lawcom.gov.uk/project/offences-against-the-person/</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33E6F"/>
    <w:multiLevelType w:val="hybridMultilevel"/>
    <w:tmpl w:val="479467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8B7384"/>
    <w:multiLevelType w:val="hybridMultilevel"/>
    <w:tmpl w:val="D0DAD270"/>
    <w:lvl w:ilvl="0" w:tplc="9CCE17E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991DDE"/>
    <w:multiLevelType w:val="hybridMultilevel"/>
    <w:tmpl w:val="22C653EC"/>
    <w:lvl w:ilvl="0" w:tplc="9CCE17E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141D1"/>
    <w:multiLevelType w:val="hybridMultilevel"/>
    <w:tmpl w:val="71C88C12"/>
    <w:lvl w:ilvl="0" w:tplc="F7784A5A">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FA501F"/>
    <w:multiLevelType w:val="hybridMultilevel"/>
    <w:tmpl w:val="1A020DF4"/>
    <w:lvl w:ilvl="0" w:tplc="F7784A5A">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243"/>
    <w:rsid w:val="000C01A6"/>
    <w:rsid w:val="00124DA7"/>
    <w:rsid w:val="00135BBD"/>
    <w:rsid w:val="00137710"/>
    <w:rsid w:val="00193CAE"/>
    <w:rsid w:val="001971F4"/>
    <w:rsid w:val="001B027B"/>
    <w:rsid w:val="001C58E6"/>
    <w:rsid w:val="00203DDC"/>
    <w:rsid w:val="00207D11"/>
    <w:rsid w:val="00276BFE"/>
    <w:rsid w:val="00287B42"/>
    <w:rsid w:val="00386F40"/>
    <w:rsid w:val="003D470C"/>
    <w:rsid w:val="003F0232"/>
    <w:rsid w:val="00427992"/>
    <w:rsid w:val="005255AA"/>
    <w:rsid w:val="00536EBE"/>
    <w:rsid w:val="00554CF8"/>
    <w:rsid w:val="005D5E17"/>
    <w:rsid w:val="00661DAF"/>
    <w:rsid w:val="006911D5"/>
    <w:rsid w:val="00794B8F"/>
    <w:rsid w:val="007A06E9"/>
    <w:rsid w:val="008343BE"/>
    <w:rsid w:val="0089375E"/>
    <w:rsid w:val="008D0FA8"/>
    <w:rsid w:val="008D7AAA"/>
    <w:rsid w:val="00935243"/>
    <w:rsid w:val="00952B6F"/>
    <w:rsid w:val="009A32C2"/>
    <w:rsid w:val="009B7A09"/>
    <w:rsid w:val="009E6203"/>
    <w:rsid w:val="00A77D50"/>
    <w:rsid w:val="00A86902"/>
    <w:rsid w:val="00B01C4E"/>
    <w:rsid w:val="00B855C5"/>
    <w:rsid w:val="00BB06CE"/>
    <w:rsid w:val="00BF25AD"/>
    <w:rsid w:val="00C22C6F"/>
    <w:rsid w:val="00C61E33"/>
    <w:rsid w:val="00C84F27"/>
    <w:rsid w:val="00CE04CC"/>
    <w:rsid w:val="00D26EB5"/>
    <w:rsid w:val="00D3713A"/>
    <w:rsid w:val="00D63196"/>
    <w:rsid w:val="00DD362F"/>
    <w:rsid w:val="00DE024B"/>
    <w:rsid w:val="00E52E6A"/>
    <w:rsid w:val="00E839EB"/>
    <w:rsid w:val="00E8625F"/>
    <w:rsid w:val="00F45450"/>
    <w:rsid w:val="00F56BC9"/>
    <w:rsid w:val="00F61EB2"/>
    <w:rsid w:val="00F62CB7"/>
    <w:rsid w:val="00FE3E14"/>
    <w:rsid w:val="00FE7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6E6503"/>
  <w15:chartTrackingRefBased/>
  <w15:docId w15:val="{DDFE0CE8-6B0E-454B-95E6-5258ABC6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243"/>
    <w:pPr>
      <w:spacing w:after="0" w:line="240" w:lineRule="auto"/>
      <w:ind w:left="720"/>
      <w:contextualSpacing/>
    </w:pPr>
    <w:rPr>
      <w:sz w:val="24"/>
      <w:szCs w:val="24"/>
    </w:rPr>
  </w:style>
  <w:style w:type="paragraph" w:styleId="FootnoteText">
    <w:name w:val="footnote text"/>
    <w:basedOn w:val="Normal"/>
    <w:link w:val="FootnoteTextChar"/>
    <w:uiPriority w:val="99"/>
    <w:semiHidden/>
    <w:unhideWhenUsed/>
    <w:rsid w:val="009352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243"/>
    <w:rPr>
      <w:sz w:val="20"/>
      <w:szCs w:val="20"/>
    </w:rPr>
  </w:style>
  <w:style w:type="character" w:styleId="FootnoteReference">
    <w:name w:val="footnote reference"/>
    <w:basedOn w:val="DefaultParagraphFont"/>
    <w:uiPriority w:val="99"/>
    <w:semiHidden/>
    <w:unhideWhenUsed/>
    <w:rsid w:val="00935243"/>
    <w:rPr>
      <w:vertAlign w:val="superscript"/>
    </w:rPr>
  </w:style>
  <w:style w:type="character" w:styleId="Hyperlink">
    <w:name w:val="Hyperlink"/>
    <w:basedOn w:val="DefaultParagraphFont"/>
    <w:uiPriority w:val="99"/>
    <w:unhideWhenUsed/>
    <w:rsid w:val="00935243"/>
    <w:rPr>
      <w:color w:val="0563C1" w:themeColor="hyperlink"/>
      <w:u w:val="single"/>
    </w:rPr>
  </w:style>
  <w:style w:type="paragraph" w:styleId="Header">
    <w:name w:val="header"/>
    <w:basedOn w:val="Normal"/>
    <w:link w:val="HeaderChar"/>
    <w:uiPriority w:val="99"/>
    <w:unhideWhenUsed/>
    <w:rsid w:val="00B85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5C5"/>
  </w:style>
  <w:style w:type="paragraph" w:styleId="Footer">
    <w:name w:val="footer"/>
    <w:basedOn w:val="Normal"/>
    <w:link w:val="FooterChar"/>
    <w:uiPriority w:val="99"/>
    <w:unhideWhenUsed/>
    <w:rsid w:val="00B85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5C5"/>
  </w:style>
  <w:style w:type="character" w:styleId="Emphasis">
    <w:name w:val="Emphasis"/>
    <w:basedOn w:val="DefaultParagraphFont"/>
    <w:uiPriority w:val="20"/>
    <w:qFormat/>
    <w:rsid w:val="00A86902"/>
    <w:rPr>
      <w:i/>
      <w:iCs/>
    </w:rPr>
  </w:style>
  <w:style w:type="character" w:styleId="CommentReference">
    <w:name w:val="annotation reference"/>
    <w:basedOn w:val="DefaultParagraphFont"/>
    <w:uiPriority w:val="99"/>
    <w:semiHidden/>
    <w:unhideWhenUsed/>
    <w:rsid w:val="00276BFE"/>
    <w:rPr>
      <w:sz w:val="16"/>
      <w:szCs w:val="16"/>
    </w:rPr>
  </w:style>
  <w:style w:type="paragraph" w:styleId="CommentText">
    <w:name w:val="annotation text"/>
    <w:basedOn w:val="Normal"/>
    <w:link w:val="CommentTextChar"/>
    <w:uiPriority w:val="99"/>
    <w:semiHidden/>
    <w:unhideWhenUsed/>
    <w:rsid w:val="00276BFE"/>
    <w:pPr>
      <w:spacing w:line="240" w:lineRule="auto"/>
    </w:pPr>
    <w:rPr>
      <w:sz w:val="20"/>
      <w:szCs w:val="20"/>
    </w:rPr>
  </w:style>
  <w:style w:type="character" w:customStyle="1" w:styleId="CommentTextChar">
    <w:name w:val="Comment Text Char"/>
    <w:basedOn w:val="DefaultParagraphFont"/>
    <w:link w:val="CommentText"/>
    <w:uiPriority w:val="99"/>
    <w:semiHidden/>
    <w:rsid w:val="00276BFE"/>
    <w:rPr>
      <w:sz w:val="20"/>
      <w:szCs w:val="20"/>
    </w:rPr>
  </w:style>
  <w:style w:type="paragraph" w:styleId="CommentSubject">
    <w:name w:val="annotation subject"/>
    <w:basedOn w:val="CommentText"/>
    <w:next w:val="CommentText"/>
    <w:link w:val="CommentSubjectChar"/>
    <w:uiPriority w:val="99"/>
    <w:semiHidden/>
    <w:unhideWhenUsed/>
    <w:rsid w:val="00276BFE"/>
    <w:rPr>
      <w:b/>
      <w:bCs/>
    </w:rPr>
  </w:style>
  <w:style w:type="character" w:customStyle="1" w:styleId="CommentSubjectChar">
    <w:name w:val="Comment Subject Char"/>
    <w:basedOn w:val="CommentTextChar"/>
    <w:link w:val="CommentSubject"/>
    <w:uiPriority w:val="99"/>
    <w:semiHidden/>
    <w:rsid w:val="00276BFE"/>
    <w:rPr>
      <w:b/>
      <w:bCs/>
      <w:sz w:val="20"/>
      <w:szCs w:val="20"/>
    </w:rPr>
  </w:style>
  <w:style w:type="paragraph" w:styleId="BalloonText">
    <w:name w:val="Balloon Text"/>
    <w:basedOn w:val="Normal"/>
    <w:link w:val="BalloonTextChar"/>
    <w:uiPriority w:val="99"/>
    <w:semiHidden/>
    <w:unhideWhenUsed/>
    <w:rsid w:val="00276BF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6BFE"/>
    <w:rPr>
      <w:rFonts w:ascii="Times New Roman" w:hAnsi="Times New Roman" w:cs="Times New Roman"/>
      <w:sz w:val="18"/>
      <w:szCs w:val="18"/>
    </w:rPr>
  </w:style>
  <w:style w:type="character" w:customStyle="1" w:styleId="UnresolvedMention">
    <w:name w:val="Unresolved Mention"/>
    <w:basedOn w:val="DefaultParagraphFont"/>
    <w:uiPriority w:val="99"/>
    <w:semiHidden/>
    <w:unhideWhenUsed/>
    <w:rsid w:val="00893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com.gov.uk/project/offences-against-the-person"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lawcom.gov.uk/project/offences-against-the-person/" TargetMode="External"/><Relationship Id="rId2" Type="http://schemas.openxmlformats.org/officeDocument/2006/relationships/hyperlink" Target="https://www.lawcom.gov.uk/project/offences-against-the-person/" TargetMode="External"/><Relationship Id="rId1" Type="http://schemas.openxmlformats.org/officeDocument/2006/relationships/hyperlink" Target="https://www.lawcom.gov.uk/project/offences-against-the-person/" TargetMode="External"/><Relationship Id="rId4" Type="http://schemas.openxmlformats.org/officeDocument/2006/relationships/hyperlink" Target="https://www.lawcom.gov.uk/project/offences-against-the-pers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DF587C8E99A4EBFB05229A1BE84BFBD"/>
        <w:category>
          <w:name w:val="General"/>
          <w:gallery w:val="placeholder"/>
        </w:category>
        <w:types>
          <w:type w:val="bbPlcHdr"/>
        </w:types>
        <w:behaviors>
          <w:behavior w:val="content"/>
        </w:behaviors>
        <w:guid w:val="{50016DA7-2C0F-44FE-8CAD-32BFECE3C777}"/>
      </w:docPartPr>
      <w:docPartBody>
        <w:p w:rsidR="00884F3F" w:rsidRDefault="00981765" w:rsidP="00981765">
          <w:pPr>
            <w:pStyle w:val="BDF587C8E99A4EBFB05229A1BE84BFB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765"/>
    <w:rsid w:val="00474F7F"/>
    <w:rsid w:val="00616500"/>
    <w:rsid w:val="006528BA"/>
    <w:rsid w:val="00884F3F"/>
    <w:rsid w:val="0089796C"/>
    <w:rsid w:val="00981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F587C8E99A4EBFB05229A1BE84BFBD">
    <w:name w:val="BDF587C8E99A4EBFB05229A1BE84BFBD"/>
    <w:rsid w:val="009817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B08E6-2EDD-4113-8831-DAD99D017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1708</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Laura Knight</cp:lastModifiedBy>
  <cp:revision>2</cp:revision>
  <dcterms:created xsi:type="dcterms:W3CDTF">2021-04-01T20:48:00Z</dcterms:created>
  <dcterms:modified xsi:type="dcterms:W3CDTF">2021-04-01T20:48:00Z</dcterms:modified>
</cp:coreProperties>
</file>