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C21A8D" w14:textId="77777777" w:rsidR="00805A05" w:rsidRDefault="001812E9">
      <w:pPr>
        <w:pStyle w:val="Title"/>
      </w:pPr>
      <w:r>
        <w:rPr>
          <w:noProof/>
          <w:lang w:val="en-IN" w:eastAsia="en-IN" w:bidi="mr-IN"/>
        </w:rPr>
        <w:drawing>
          <wp:inline distT="0" distB="0" distL="0" distR="0" wp14:anchorId="02C21AE0" wp14:editId="02C21AE1">
            <wp:extent cx="2944495" cy="114427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2945081" cy="1144294"/>
                    </a:xfrm>
                    <a:prstGeom prst="rect">
                      <a:avLst/>
                    </a:prstGeom>
                  </pic:spPr>
                </pic:pic>
              </a:graphicData>
            </a:graphic>
          </wp:inline>
        </w:drawing>
      </w:r>
    </w:p>
    <w:p w14:paraId="02C21A8E" w14:textId="77777777" w:rsidR="00805A05" w:rsidRDefault="00805A05">
      <w:pPr>
        <w:pStyle w:val="Title"/>
      </w:pPr>
    </w:p>
    <w:p w14:paraId="2D7EC262" w14:textId="77777777" w:rsidR="00B2700D" w:rsidRDefault="00B2700D" w:rsidP="00B2700D"/>
    <w:p w14:paraId="2005C61C" w14:textId="77777777" w:rsidR="00CC260D" w:rsidRDefault="00CC260D" w:rsidP="00B2700D"/>
    <w:p w14:paraId="1243E51E" w14:textId="5DE68953" w:rsidR="00B2700D" w:rsidRPr="00CC260D" w:rsidRDefault="003D33EE" w:rsidP="00CC260D">
      <w:pPr>
        <w:spacing w:line="276" w:lineRule="auto"/>
        <w:jc w:val="center"/>
        <w:rPr>
          <w:rFonts w:ascii="Arial Rounded MT Bold" w:hAnsi="Arial Rounded MT Bold"/>
          <w:sz w:val="44"/>
          <w:szCs w:val="44"/>
        </w:rPr>
      </w:pPr>
      <w:r w:rsidRPr="00CC260D">
        <w:rPr>
          <w:rFonts w:ascii="Arial Rounded MT Bold" w:hAnsi="Arial Rounded MT Bold"/>
          <w:sz w:val="44"/>
          <w:szCs w:val="44"/>
        </w:rPr>
        <w:t xml:space="preserve">Management </w:t>
      </w:r>
      <w:r w:rsidR="00CB773D" w:rsidRPr="00CC260D">
        <w:rPr>
          <w:rFonts w:ascii="Arial Rounded MT Bold" w:hAnsi="Arial Rounded MT Bold"/>
          <w:sz w:val="44"/>
          <w:szCs w:val="44"/>
        </w:rPr>
        <w:t xml:space="preserve">&amp; Organisational </w:t>
      </w:r>
      <w:proofErr w:type="spellStart"/>
      <w:r w:rsidR="00CB773D" w:rsidRPr="00CC260D">
        <w:rPr>
          <w:rFonts w:ascii="Arial Rounded MT Bold" w:hAnsi="Arial Rounded MT Bold"/>
          <w:sz w:val="44"/>
          <w:szCs w:val="44"/>
        </w:rPr>
        <w:t>Bihaviour</w:t>
      </w:r>
      <w:proofErr w:type="spellEnd"/>
    </w:p>
    <w:p w14:paraId="54257D82" w14:textId="3BA3A342" w:rsidR="00B2700D" w:rsidRPr="00CC260D" w:rsidRDefault="00CC260D" w:rsidP="00CC260D">
      <w:pPr>
        <w:jc w:val="center"/>
        <w:rPr>
          <w:rFonts w:ascii="Arial Rounded MT Bold" w:hAnsi="Arial Rounded MT Bold"/>
          <w:sz w:val="44"/>
          <w:szCs w:val="44"/>
        </w:rPr>
      </w:pPr>
      <w:r w:rsidRPr="00CC260D">
        <w:rPr>
          <w:rFonts w:ascii="Arial Rounded MT Bold" w:hAnsi="Arial Rounded MT Bold"/>
          <w:sz w:val="44"/>
          <w:szCs w:val="44"/>
        </w:rPr>
        <w:t>BMIH5004</w:t>
      </w:r>
    </w:p>
    <w:p w14:paraId="42AEB4A9" w14:textId="77777777" w:rsidR="00B2700D" w:rsidRDefault="00B2700D" w:rsidP="00B2700D"/>
    <w:p w14:paraId="446C7F93" w14:textId="77777777" w:rsidR="00B2700D" w:rsidRDefault="00B2700D" w:rsidP="00B2700D"/>
    <w:p w14:paraId="62577B5F" w14:textId="77777777" w:rsidR="00CC260D" w:rsidRPr="00B2700D" w:rsidRDefault="00CC260D" w:rsidP="00B2700D"/>
    <w:p w14:paraId="02C21A8F" w14:textId="77777777" w:rsidR="00805A05" w:rsidRDefault="001812E9">
      <w:pPr>
        <w:pStyle w:val="Title"/>
      </w:pPr>
      <w:r>
        <w:t xml:space="preserve">Critically evaluate the different approaches to leadership and their effectiveness within the hospitality industry. </w:t>
      </w:r>
    </w:p>
    <w:p w14:paraId="02C21A90" w14:textId="77777777" w:rsidR="00805A05" w:rsidRDefault="00805A05">
      <w:pPr>
        <w:pStyle w:val="Title"/>
      </w:pPr>
    </w:p>
    <w:p w14:paraId="02C21A91" w14:textId="77777777" w:rsidR="00805A05" w:rsidRDefault="00805A05">
      <w:pPr>
        <w:pStyle w:val="Title"/>
      </w:pPr>
    </w:p>
    <w:p w14:paraId="359C6CE8" w14:textId="77777777" w:rsidR="00B2700D" w:rsidRDefault="00B2700D" w:rsidP="00B2700D"/>
    <w:p w14:paraId="04B38F8B" w14:textId="77777777" w:rsidR="00CC260D" w:rsidRPr="00B2700D" w:rsidRDefault="00CC260D" w:rsidP="00B2700D"/>
    <w:p w14:paraId="02C21A92" w14:textId="77777777" w:rsidR="00805A05" w:rsidRDefault="00805A05">
      <w:pPr>
        <w:pStyle w:val="Title"/>
      </w:pPr>
    </w:p>
    <w:p w14:paraId="02C21A93" w14:textId="549230B9" w:rsidR="00805A05" w:rsidRDefault="001812E9" w:rsidP="00B2700D">
      <w:pPr>
        <w:jc w:val="left"/>
      </w:pPr>
      <w:r>
        <w:t>Student name</w:t>
      </w:r>
      <w:r w:rsidR="00CC260D">
        <w:t>: Andrea-Nicoleta Rotaru</w:t>
      </w:r>
    </w:p>
    <w:p w14:paraId="02C21A94" w14:textId="27A04317" w:rsidR="00805A05" w:rsidRDefault="00CC260D" w:rsidP="00B2700D">
      <w:pPr>
        <w:jc w:val="left"/>
      </w:pPr>
      <w:r>
        <w:t>S</w:t>
      </w:r>
      <w:r w:rsidR="001812E9">
        <w:t>tudent ID</w:t>
      </w:r>
      <w:r>
        <w:t>: 1912874</w:t>
      </w:r>
    </w:p>
    <w:p w14:paraId="02C21A96" w14:textId="78D87D8E" w:rsidR="00805A05" w:rsidRDefault="00602166" w:rsidP="00B2700D">
      <w:pPr>
        <w:jc w:val="left"/>
      </w:pPr>
      <w:r>
        <w:t>Lecturer name: Charlotte Joyner</w:t>
      </w:r>
      <w:r w:rsidR="001812E9">
        <w:br w:type="page"/>
      </w:r>
    </w:p>
    <w:sdt>
      <w:sdtPr>
        <w:rPr>
          <w:rFonts w:ascii="Arial" w:eastAsia="Times New Roman" w:hAnsi="Arial" w:cs="Times New Roman"/>
          <w:color w:val="auto"/>
          <w:sz w:val="24"/>
          <w:szCs w:val="20"/>
          <w:lang w:val="en-GB"/>
        </w:rPr>
        <w:id w:val="-245033168"/>
        <w:docPartObj>
          <w:docPartGallery w:val="Table of Contents"/>
          <w:docPartUnique/>
        </w:docPartObj>
      </w:sdtPr>
      <w:sdtEndPr>
        <w:rPr>
          <w:b/>
          <w:bCs/>
        </w:rPr>
      </w:sdtEndPr>
      <w:sdtContent>
        <w:p w14:paraId="02C21A97" w14:textId="77777777" w:rsidR="00805A05" w:rsidRDefault="001812E9">
          <w:pPr>
            <w:pStyle w:val="TOCHeading1"/>
          </w:pPr>
          <w:r>
            <w:t>Table of Contents</w:t>
          </w:r>
        </w:p>
        <w:p w14:paraId="02C21A98" w14:textId="77777777" w:rsidR="00805A05" w:rsidRDefault="001812E9">
          <w:pPr>
            <w:pStyle w:val="TOC1"/>
            <w:tabs>
              <w:tab w:val="right" w:leader="dot" w:pos="9026"/>
            </w:tabs>
          </w:pPr>
          <w:r>
            <w:fldChar w:fldCharType="begin"/>
          </w:r>
          <w:r>
            <w:instrText xml:space="preserve"> TOC \o "1-3" \h \z \u </w:instrText>
          </w:r>
          <w:r>
            <w:fldChar w:fldCharType="separate"/>
          </w:r>
          <w:hyperlink w:anchor="_Toc30452" w:history="1">
            <w:r>
              <w:rPr>
                <w:lang w:val="en-US"/>
              </w:rPr>
              <w:t>Introduction</w:t>
            </w:r>
            <w:r>
              <w:tab/>
            </w:r>
            <w:r>
              <w:fldChar w:fldCharType="begin"/>
            </w:r>
            <w:r>
              <w:instrText xml:space="preserve"> PAGEREF _Toc30452 \h </w:instrText>
            </w:r>
            <w:r>
              <w:fldChar w:fldCharType="separate"/>
            </w:r>
            <w:r>
              <w:t>3</w:t>
            </w:r>
            <w:r>
              <w:fldChar w:fldCharType="end"/>
            </w:r>
          </w:hyperlink>
        </w:p>
        <w:p w14:paraId="02C21A99" w14:textId="77777777" w:rsidR="00805A05" w:rsidRDefault="001812E9">
          <w:pPr>
            <w:pStyle w:val="TOC1"/>
            <w:tabs>
              <w:tab w:val="right" w:leader="dot" w:pos="9026"/>
            </w:tabs>
          </w:pPr>
          <w:hyperlink w:anchor="_Toc21205" w:history="1">
            <w:r>
              <w:t>McGregor's X &amp; Y: Contrasting Assumptions, Different Outcomes</w:t>
            </w:r>
            <w:r>
              <w:tab/>
            </w:r>
            <w:r>
              <w:fldChar w:fldCharType="begin"/>
            </w:r>
            <w:r>
              <w:instrText xml:space="preserve"> PAGEREF _Toc21205 \h </w:instrText>
            </w:r>
            <w:r>
              <w:fldChar w:fldCharType="separate"/>
            </w:r>
            <w:r>
              <w:t>4</w:t>
            </w:r>
            <w:r>
              <w:fldChar w:fldCharType="end"/>
            </w:r>
          </w:hyperlink>
        </w:p>
        <w:p w14:paraId="02C21A9A" w14:textId="77777777" w:rsidR="00805A05" w:rsidRDefault="001812E9">
          <w:pPr>
            <w:pStyle w:val="TOC1"/>
            <w:tabs>
              <w:tab w:val="right" w:leader="dot" w:pos="9026"/>
            </w:tabs>
          </w:pPr>
          <w:hyperlink w:anchor="_Toc19511" w:history="1">
            <w:r>
              <w:t>Beyond X &amp; Y: Exploring Leadership Styles</w:t>
            </w:r>
            <w:r>
              <w:tab/>
            </w:r>
            <w:r>
              <w:fldChar w:fldCharType="begin"/>
            </w:r>
            <w:r>
              <w:instrText xml:space="preserve"> PAGEREF _Toc19511 \h </w:instrText>
            </w:r>
            <w:r>
              <w:fldChar w:fldCharType="separate"/>
            </w:r>
            <w:r>
              <w:t>5</w:t>
            </w:r>
            <w:r>
              <w:fldChar w:fldCharType="end"/>
            </w:r>
          </w:hyperlink>
        </w:p>
        <w:p w14:paraId="02C21A9B" w14:textId="77777777" w:rsidR="00805A05" w:rsidRDefault="001812E9">
          <w:pPr>
            <w:pStyle w:val="TOC1"/>
            <w:tabs>
              <w:tab w:val="right" w:leader="dot" w:pos="9026"/>
            </w:tabs>
          </w:pPr>
          <w:hyperlink w:anchor="_Toc28723" w:history="1">
            <w:r>
              <w:t>Preferred Managerial Styles in Hospitality:</w:t>
            </w:r>
            <w:r>
              <w:tab/>
            </w:r>
            <w:r>
              <w:fldChar w:fldCharType="begin"/>
            </w:r>
            <w:r>
              <w:instrText xml:space="preserve"> PAGEREF _Toc28723 \h </w:instrText>
            </w:r>
            <w:r>
              <w:fldChar w:fldCharType="separate"/>
            </w:r>
            <w:r>
              <w:t>6</w:t>
            </w:r>
            <w:r>
              <w:fldChar w:fldCharType="end"/>
            </w:r>
          </w:hyperlink>
        </w:p>
        <w:p w14:paraId="02C21A9C" w14:textId="77777777" w:rsidR="00805A05" w:rsidRDefault="001812E9">
          <w:pPr>
            <w:pStyle w:val="TOC1"/>
            <w:tabs>
              <w:tab w:val="right" w:leader="dot" w:pos="9026"/>
            </w:tabs>
          </w:pPr>
          <w:hyperlink w:anchor="_Toc28228" w:history="1">
            <w:r>
              <w:t>Effective leadership in hospitality directly impacts key managerial functions:</w:t>
            </w:r>
            <w:r>
              <w:tab/>
            </w:r>
            <w:r>
              <w:fldChar w:fldCharType="begin"/>
            </w:r>
            <w:r>
              <w:instrText xml:space="preserve"> PAGEREF _Toc28228 \h </w:instrText>
            </w:r>
            <w:r>
              <w:fldChar w:fldCharType="separate"/>
            </w:r>
            <w:r>
              <w:t>8</w:t>
            </w:r>
            <w:r>
              <w:fldChar w:fldCharType="end"/>
            </w:r>
          </w:hyperlink>
        </w:p>
        <w:p w14:paraId="02C21A9D" w14:textId="77777777" w:rsidR="00805A05" w:rsidRDefault="001812E9">
          <w:pPr>
            <w:pStyle w:val="TOC1"/>
            <w:tabs>
              <w:tab w:val="right" w:leader="dot" w:pos="9026"/>
            </w:tabs>
          </w:pPr>
          <w:hyperlink w:anchor="_Toc9909" w:history="1">
            <w:r>
              <w:rPr>
                <w:lang w:val="en-US"/>
              </w:rPr>
              <w:t>Conclusion</w:t>
            </w:r>
            <w:r>
              <w:tab/>
            </w:r>
            <w:r>
              <w:fldChar w:fldCharType="begin"/>
            </w:r>
            <w:r>
              <w:instrText xml:space="preserve"> PAGEREF _Toc9909 \h </w:instrText>
            </w:r>
            <w:r>
              <w:fldChar w:fldCharType="separate"/>
            </w:r>
            <w:r>
              <w:t>10</w:t>
            </w:r>
            <w:r>
              <w:fldChar w:fldCharType="end"/>
            </w:r>
          </w:hyperlink>
        </w:p>
        <w:p w14:paraId="02C21A9E" w14:textId="77777777" w:rsidR="00805A05" w:rsidRDefault="001812E9">
          <w:pPr>
            <w:pStyle w:val="TOC1"/>
            <w:tabs>
              <w:tab w:val="right" w:leader="dot" w:pos="9026"/>
            </w:tabs>
          </w:pPr>
          <w:hyperlink w:anchor="_Toc21353" w:history="1">
            <w:r>
              <w:t>References</w:t>
            </w:r>
            <w:r>
              <w:tab/>
            </w:r>
            <w:r>
              <w:fldChar w:fldCharType="begin"/>
            </w:r>
            <w:r>
              <w:instrText xml:space="preserve"> PAGEREF _Toc21353 \h </w:instrText>
            </w:r>
            <w:r>
              <w:fldChar w:fldCharType="separate"/>
            </w:r>
            <w:r>
              <w:t>11</w:t>
            </w:r>
            <w:r>
              <w:fldChar w:fldCharType="end"/>
            </w:r>
          </w:hyperlink>
        </w:p>
        <w:p w14:paraId="02C21A9F" w14:textId="77777777" w:rsidR="00805A05" w:rsidRDefault="001812E9">
          <w:r>
            <w:rPr>
              <w:bCs/>
            </w:rPr>
            <w:fldChar w:fldCharType="end"/>
          </w:r>
        </w:p>
      </w:sdtContent>
    </w:sdt>
    <w:p w14:paraId="02C21AA0" w14:textId="77777777" w:rsidR="00805A05" w:rsidRDefault="001812E9">
      <w:pPr>
        <w:spacing w:after="160" w:line="259" w:lineRule="auto"/>
        <w:jc w:val="left"/>
      </w:pPr>
      <w:r>
        <w:br w:type="page"/>
      </w:r>
    </w:p>
    <w:p w14:paraId="02C21AA1" w14:textId="77777777" w:rsidR="00805A05" w:rsidRDefault="001812E9">
      <w:pPr>
        <w:pStyle w:val="Heading1"/>
        <w:rPr>
          <w:lang w:val="en-US"/>
        </w:rPr>
      </w:pPr>
      <w:bookmarkStart w:id="0" w:name="_Toc30452"/>
      <w:r>
        <w:rPr>
          <w:lang w:val="en-US"/>
        </w:rPr>
        <w:lastRenderedPageBreak/>
        <w:t>Introduction</w:t>
      </w:r>
      <w:bookmarkEnd w:id="0"/>
    </w:p>
    <w:p w14:paraId="02C21AA2" w14:textId="77777777" w:rsidR="00805A05" w:rsidRDefault="001812E9">
      <w:r>
        <w:t>The hospitality industry moves on to the phase of extraordinary assistance, where essential visitor encounters and blissful workers become the overwhelming focus (Wong et al., 2022). The guide of this complicated presentation? Viable administration. Its effect reverberates profoundly, affecting representative commitment, visitor fulfilment, and the association's actual achievement. To comprehend the play's elements, we should inspect two key entertainers: McGregor's X and Y hypotheses (Touma, 2021).</w:t>
      </w:r>
    </w:p>
    <w:p w14:paraId="02C21AA3" w14:textId="77777777" w:rsidR="00805A05" w:rsidRDefault="001812E9">
      <w:r>
        <w:t>Theory X paints workers as hesitant entertainers, requiring consistent course and extraneous inspirations like compensation. Envision a constantly fussing over gourmet specialist, smothering culinary inventiveness and bliss. While successful for unbending errands, it takes a chance with demotivation and low spirit, as tepid canapés.</w:t>
      </w:r>
    </w:p>
    <w:p w14:paraId="02C21AA4" w14:textId="77777777" w:rsidR="00805A05" w:rsidRDefault="001812E9">
      <w:r>
        <w:t xml:space="preserve">Theory Y, then again, considers workers to be energetic entertainers, looking for satisfaction and development. Picture a believing lodging director, designating undertakings </w:t>
      </w:r>
      <w:proofErr w:type="gramStart"/>
      <w:r>
        <w:t>in light of</w:t>
      </w:r>
      <w:proofErr w:type="gramEnd"/>
      <w:r>
        <w:t xml:space="preserve"> qualities and offering to learn open doors. This cultivates commitment, development, and at last, rave audits (Khuong and Linh, 2020).</w:t>
      </w:r>
    </w:p>
    <w:p w14:paraId="02C21AA5" w14:textId="77777777" w:rsidR="00805A05" w:rsidRDefault="001812E9">
      <w:r>
        <w:t>Be that as it may, the stage is huge, and these aren't the main players. The despotic pioneer directs administration methods, making an inflexible visitor experience like deadened content. The Novotel works with cooperative navigation, encouraging different viewpoints however possibly dialling back the creation. Furthermore, the free enterprise pioneer lets entertainers potentially run wild, taking a chance with conflicting help, as neglected props.</w:t>
      </w:r>
    </w:p>
    <w:p w14:paraId="02C21AA6" w14:textId="77777777" w:rsidR="00805A05" w:rsidRDefault="001812E9">
      <w:r>
        <w:t xml:space="preserve">Anyway, who gets the wildly energetic applause? While Theory Y standards resound with the industry's cooperative soul, the ideal exhibition requests adaptability. </w:t>
      </w:r>
      <w:r>
        <w:lastRenderedPageBreak/>
        <w:t xml:space="preserve">Adjusting styles to group insight, task intricacy, and, surprisingly, authoritative culture is critical. Consider a carefully prepared chief fitting their way to deal with every entertainer's </w:t>
      </w:r>
      <w:proofErr w:type="gramStart"/>
      <w:r>
        <w:t>assets</w:t>
      </w:r>
      <w:proofErr w:type="gramEnd"/>
      <w:r>
        <w:t>.</w:t>
      </w:r>
    </w:p>
    <w:p w14:paraId="02C21AA7" w14:textId="77777777" w:rsidR="00805A05" w:rsidRDefault="001812E9">
      <w:r>
        <w:t>Certifiable models paint a striking picture. Ritz-Carlton's engaged representatives convey excellent help, mirroring a Y-driven approach. Zappos' independent groups encapsulate vote-based authority, while Hilton's "Be You" crusade lines up with Theory Y's soul.</w:t>
      </w:r>
    </w:p>
    <w:p w14:paraId="02C21AA8" w14:textId="77777777" w:rsidR="00805A05" w:rsidRDefault="001812E9">
      <w:r>
        <w:t>At last, compelling authority in hospitality is tied in with coordinating the orchestra of administration. By figuring out the entertainers, adjusting styles, and drawing motivation from certifiable models, pioneers can guarantee thunderous applause from the two representatives and visitors.</w:t>
      </w:r>
    </w:p>
    <w:p w14:paraId="02C21AA9" w14:textId="77777777" w:rsidR="00805A05" w:rsidRDefault="001812E9">
      <w:pPr>
        <w:pStyle w:val="Heading1"/>
      </w:pPr>
      <w:bookmarkStart w:id="1" w:name="_Toc21205"/>
      <w:r>
        <w:t>McGregor's X &amp; Y: Contrasting Assumptions, Different Outcomes</w:t>
      </w:r>
      <w:bookmarkEnd w:id="1"/>
    </w:p>
    <w:p w14:paraId="02C21AAA" w14:textId="77777777" w:rsidR="00805A05" w:rsidRDefault="001812E9">
      <w:r>
        <w:t xml:space="preserve">Envision two hotels under tremendously unique administration styles. In Hotel X, a </w:t>
      </w:r>
      <w:proofErr w:type="gramStart"/>
      <w:r>
        <w:t>harsh chief looks</w:t>
      </w:r>
      <w:proofErr w:type="gramEnd"/>
      <w:r>
        <w:t xml:space="preserve"> long and hard at careful focus over their representatives, trusting them to be innately lethargic and requiring steady updates and rewards (pay checks) to work. This inflexible methodology likened to Theory X, could work for basic undertakings requesting severe requests, yet imagination and happiness are just about as scant as five-star surveys. Workers feel constantly fussed over, their expectations smothered, prompting high turnover and a demotivating climate.</w:t>
      </w:r>
    </w:p>
    <w:p w14:paraId="02C21AAB" w14:textId="77777777" w:rsidR="00805A05" w:rsidRDefault="001812E9">
      <w:r>
        <w:t xml:space="preserve">Across town, Hotel Y works under a sunnier initiative way of thinking, repeating Theory Y. Here, the supervisor confides in their group, perceiving their craving to contribute and succeed. Designation </w:t>
      </w:r>
      <w:proofErr w:type="gramStart"/>
      <w:r>
        <w:t>in light of</w:t>
      </w:r>
      <w:proofErr w:type="gramEnd"/>
      <w:r>
        <w:t xml:space="preserve"> qualities engages workers, releasing their imagination and feeling of responsibility. Customized learning opens doors to fuel further development, prompting a group overflowing with drive and development. </w:t>
      </w:r>
      <w:r>
        <w:lastRenderedPageBreak/>
        <w:t>Visitors appreciate extraordinary help conveyed with veritable enthusiasm, and worker maintenance takes off (Adeoye, 2023).</w:t>
      </w:r>
    </w:p>
    <w:p w14:paraId="02C21AAC" w14:textId="77777777" w:rsidR="00805A05" w:rsidRDefault="001812E9">
      <w:r>
        <w:t xml:space="preserve">While Theory Y lines up with the hospitality industry's accentuation on customized cooperation and a visitor-driven approach, the ideal initiative is </w:t>
      </w:r>
      <w:proofErr w:type="gramStart"/>
      <w:r>
        <w:t>definitely not</w:t>
      </w:r>
      <w:proofErr w:type="gramEnd"/>
      <w:r>
        <w:t xml:space="preserve"> a one-size-fits-all content. It is vital to Adjust styles. Newbies in Hotel Y could profit from the starting direction, while experienced staff thrive with independence. Complex errands could require a more ordered approach, while easier ones consider democratic, cooperative direction (</w:t>
      </w:r>
      <w:proofErr w:type="spellStart"/>
      <w:r>
        <w:t>Nwafili</w:t>
      </w:r>
      <w:proofErr w:type="spellEnd"/>
      <w:r>
        <w:t xml:space="preserve"> et al., 2023).</w:t>
      </w:r>
    </w:p>
    <w:p w14:paraId="02C21AAD" w14:textId="77777777" w:rsidR="00805A05" w:rsidRDefault="001812E9">
      <w:r>
        <w:t>Keep in mind, that viable authority in hospitality is workmanship, not unbending content. By grasping the subtleties of various hypotheses (like X and Y) and their possible effect, pioneers can tailor their way to deal with the maximum capacity of their group and coordinate a genuinely vital visitor experience, procuring rave surveys from pundits, however from the main crowd - their representatives and visitors.</w:t>
      </w:r>
    </w:p>
    <w:p w14:paraId="02C21AAE" w14:textId="77777777" w:rsidR="00805A05" w:rsidRDefault="001812E9">
      <w:pPr>
        <w:pStyle w:val="Heading1"/>
      </w:pPr>
      <w:bookmarkStart w:id="2" w:name="_Toc19511"/>
      <w:r>
        <w:t>Beyond X &amp; Y: Exploring Leadership Styles</w:t>
      </w:r>
      <w:bookmarkEnd w:id="2"/>
    </w:p>
    <w:p w14:paraId="02C21AAF" w14:textId="77777777" w:rsidR="00805A05" w:rsidRDefault="001812E9">
      <w:r>
        <w:t>Picture three café kitchens. In the first, the head gourmet specialist barks orders, directing dishes and administration with an iron-clenched hand. This Democratic Style, suggestive of Theory X, could deal with crises proficiently, however innovativeness stews on low intensity. Development is smothered, workers feel like gear teeth in a machine, and consumer loyalty could turn into a failure to remember fixing.</w:t>
      </w:r>
    </w:p>
    <w:p w14:paraId="02C21AB0" w14:textId="77777777" w:rsidR="00805A05" w:rsidRDefault="001812E9">
      <w:r>
        <w:t>The subsequent kitchen murmurs with joint effort. The culinary expert leads like a guide, esteeming input from their group. This democratic Style, repeating Theory Y, encourages commitment and different points of view. Menus develop with new thoughts, staff feel proprietorship, and consumer loyalty turns into a Michelin-featured dish. In any case, conversations can now and again stew longer, deferring administration or passing up on a periodic open door (</w:t>
      </w:r>
      <w:proofErr w:type="spellStart"/>
      <w:r>
        <w:t>Elkhwesky</w:t>
      </w:r>
      <w:proofErr w:type="spellEnd"/>
      <w:r>
        <w:t xml:space="preserve"> et al., 2022).</w:t>
      </w:r>
    </w:p>
    <w:p w14:paraId="02C21AB1" w14:textId="77777777" w:rsidR="00805A05" w:rsidRDefault="001812E9">
      <w:r>
        <w:lastRenderedPageBreak/>
        <w:t>At last, the third kitchen appears to be deserted. The culinary specialist is mysteriously gone, letting staff run wild if needs be. This free enterprise approach could work for a carefully prepared group, yet naiveté can prompt mayhem. Administration turns into a lopsided meal, for certain dishes consumed and others half-cooked, leaving disheartened clients pondering how the gourmet expert veered off-track.</w:t>
      </w:r>
    </w:p>
    <w:p w14:paraId="02C21AB2" w14:textId="77777777" w:rsidR="00805A05" w:rsidRDefault="001812E9">
      <w:r>
        <w:t xml:space="preserve">While Theory Y lines up with the hospitality industry's emphasis on coordinated effort and visitor experience, a one-size-fits-all recipe will not make a culinary </w:t>
      </w:r>
      <w:proofErr w:type="gramStart"/>
      <w:r>
        <w:t>show-stopper</w:t>
      </w:r>
      <w:proofErr w:type="gramEnd"/>
      <w:r>
        <w:t>. Adjusting initiative styles is critical. New cooks could profit from a bit of despotic direction, while experienced groups flourish with democratic interest. Straightforward errands can be explored with no sweat, while complex difficulties require a more cooperative methodology (Arman and Organ, 2023).</w:t>
      </w:r>
    </w:p>
    <w:p w14:paraId="02C21AB3" w14:textId="77777777" w:rsidR="00805A05" w:rsidRDefault="001812E9">
      <w:r>
        <w:t xml:space="preserve">Keep in mind, that successful administration resembles making the ideal dish: adjusting flavours, </w:t>
      </w:r>
      <w:proofErr w:type="gramStart"/>
      <w:r>
        <w:t>taking into account</w:t>
      </w:r>
      <w:proofErr w:type="gramEnd"/>
      <w:r>
        <w:t xml:space="preserve"> fixings, and acclimating to suit the event. By understanding various styles and their likely effect, pioneers can establish a climate where representatives thrive, inventiveness sizzles, and visitors enjoy a remarkable encounter, leaving them needing more.</w:t>
      </w:r>
    </w:p>
    <w:p w14:paraId="02C21AB4" w14:textId="77777777" w:rsidR="00805A05" w:rsidRDefault="001812E9">
      <w:pPr>
        <w:pStyle w:val="Heading1"/>
      </w:pPr>
      <w:bookmarkStart w:id="3" w:name="_Toc28723"/>
      <w:r>
        <w:t>Preferred Managerial Styles in Hospitality:</w:t>
      </w:r>
      <w:bookmarkEnd w:id="3"/>
    </w:p>
    <w:p w14:paraId="02C21AB5" w14:textId="77777777" w:rsidR="00805A05" w:rsidRDefault="001812E9">
      <w:r>
        <w:t xml:space="preserve">Envision directing a fantastic ensemble, with instruments, however with individuals. Each colleague has novel abilities, encounters, and motivations. Your job? To mesh them into an agreeable exhibition that enchants the crowd (your </w:t>
      </w:r>
      <w:r>
        <w:t>visitors). The inquiry emerges: which cudgel to use?</w:t>
      </w:r>
    </w:p>
    <w:p w14:paraId="02C21AB6" w14:textId="77777777" w:rsidR="00805A05" w:rsidRDefault="001812E9">
      <w:r>
        <w:t>While Theory Y's accentuation on strengthening, trust, and cooperation reverberates with the hospitality industry's spirit, a "one-size-fits-all" approach can leave the music level. Viable administration requests adaptability and variation, making your style in view of a few key variables (</w:t>
      </w:r>
      <w:proofErr w:type="spellStart"/>
      <w:r>
        <w:t>Gastmeier</w:t>
      </w:r>
      <w:proofErr w:type="spellEnd"/>
      <w:r>
        <w:t>, 2020):</w:t>
      </w:r>
    </w:p>
    <w:p w14:paraId="02C21AB7" w14:textId="77777777" w:rsidR="00805A05" w:rsidRDefault="001812E9">
      <w:r>
        <w:lastRenderedPageBreak/>
        <w:t xml:space="preserve">The Gathering's Experience: Youthful performers benefit from clear guidelines and direction, </w:t>
      </w:r>
      <w:proofErr w:type="gramStart"/>
      <w:r>
        <w:t>similar to</w:t>
      </w:r>
      <w:proofErr w:type="gramEnd"/>
      <w:r>
        <w:t xml:space="preserve"> a steady chief giving introductory construction and support. As their abilities mature, they ache for the opportunity to put themselves out there. A representative methodology, enabling them to take possession and release their inventiveness, turns into a new tune.</w:t>
      </w:r>
    </w:p>
    <w:p w14:paraId="02C21AB8" w14:textId="77777777" w:rsidR="00805A05" w:rsidRDefault="001812E9">
      <w:r>
        <w:t xml:space="preserve">The Intricacy of the Score: A straightforward, notable piece takes into consideration individual extemporization, </w:t>
      </w:r>
      <w:proofErr w:type="gramStart"/>
      <w:r>
        <w:t>similar to</w:t>
      </w:r>
      <w:proofErr w:type="gramEnd"/>
      <w:r>
        <w:t xml:space="preserve"> a democratic pioneer working with group conversations and utilizing different points of view to upgrade the presentation. Nonetheless, a difficult, new ensemble might require a mandate approach. Like a guide setting the rhythm and giving clear signals, the pioneer guarantees everybody stays in a state of harmony and evades grating notes (</w:t>
      </w:r>
      <w:proofErr w:type="spellStart"/>
      <w:r>
        <w:t>Albejaidi</w:t>
      </w:r>
      <w:proofErr w:type="spellEnd"/>
      <w:r>
        <w:t xml:space="preserve"> et al., 2020).</w:t>
      </w:r>
    </w:p>
    <w:p w14:paraId="02C21AB9" w14:textId="77777777" w:rsidR="00805A05" w:rsidRDefault="001812E9">
      <w:r>
        <w:t xml:space="preserve">The Way of Life of the Symphony: A laid-out troupe with a </w:t>
      </w:r>
      <w:proofErr w:type="gramStart"/>
      <w:r>
        <w:t>solid cooperative soul flourishes</w:t>
      </w:r>
      <w:proofErr w:type="gramEnd"/>
      <w:r>
        <w:t xml:space="preserve"> under a democratic pioneer. Envision open communication, shared decision-making, and an emphasis on aggregate achievement. In any case, a recently shaped gathering could require an organized methodology at first, with additional characterized jobs and clear assumptions, like a dictatorial pioneer establishing the groundwork prior to progressing to a more cooperative style (Huertas-Valdivia et al., 2022).</w:t>
      </w:r>
    </w:p>
    <w:p w14:paraId="02C21ABA" w14:textId="77777777" w:rsidR="00805A05" w:rsidRDefault="001812E9">
      <w:r>
        <w:t>Past these variables, consider the situational subtleties. Is there a requesting visitor requiring quick consideration? An ordered approach may be fundamental. Does a colleague require individual training? A steady chief strides in. Keep in mind, that genuine authority resembles a gifted guide, continually adjusting their strategy to guarantee the exhibition arrives at its maximum capacity.</w:t>
      </w:r>
    </w:p>
    <w:p w14:paraId="02C21ABB" w14:textId="77777777" w:rsidR="00805A05" w:rsidRDefault="001812E9">
      <w:r>
        <w:t xml:space="preserve">At last, your administration style is the imperceptible rod coordinating the human ensemble of your hospitality group. By understanding the subtleties of various </w:t>
      </w:r>
      <w:r>
        <w:lastRenderedPageBreak/>
        <w:t xml:space="preserve">methodologies and the variables impacting them, you can make a presentation that pleases your visitors as well as engages your group, changing your foundation into an agreeable ensemble of progress (Sürücü and </w:t>
      </w:r>
      <w:proofErr w:type="spellStart"/>
      <w:r>
        <w:t>Sağbaş</w:t>
      </w:r>
      <w:proofErr w:type="spellEnd"/>
      <w:r>
        <w:t>, 2021).</w:t>
      </w:r>
    </w:p>
    <w:p w14:paraId="02C21ABC" w14:textId="77777777" w:rsidR="00805A05" w:rsidRDefault="001812E9">
      <w:r>
        <w:t>Ritz-Carlton's: "Enabled representatives, engaged help" theory mirrors a Y-driven approach, cultivating visitor fulfilment and high worker commitment (Addis et al., 2024).</w:t>
      </w:r>
    </w:p>
    <w:p w14:paraId="02C21ABD" w14:textId="77777777" w:rsidR="00805A05" w:rsidRDefault="001812E9">
      <w:r>
        <w:t>Zappos': Holacracy model, in view of independent groups and circulated decision-making, embodies a democratic initiative style (Manning, 2022).</w:t>
      </w:r>
    </w:p>
    <w:p w14:paraId="02C21ABE" w14:textId="77777777" w:rsidR="00805A05" w:rsidRDefault="001812E9">
      <w:pPr>
        <w:pStyle w:val="Heading1"/>
      </w:pPr>
      <w:bookmarkStart w:id="4" w:name="_Toc28228"/>
      <w:r>
        <w:t>Effective leadership in hospitality directly impacts key managerial functions:</w:t>
      </w:r>
      <w:bookmarkEnd w:id="4"/>
    </w:p>
    <w:p w14:paraId="02C21ABF" w14:textId="77777777" w:rsidR="00805A05" w:rsidRDefault="001812E9">
      <w:r>
        <w:t>Motivation: Picture a musician compelled to play exclusively for pay. Their music needs soul, the notes sterile. Interestingly, envision a group propelled by acknowledgement, useful learning experiences, and a common perspective of making uncommon visitor encounters (Ruiz-Palomino et al., 2020). Their exhibition rises above notes, turning into a profound excursion. Viable pioneers comprehend this, utilizing inherent and extraneous inspirations like professional improvement, group wins, and significant ackno</w:t>
      </w:r>
      <w:r>
        <w:t>wledgement to make an ensemble of connected representatives (Qiu et al., 2020).</w:t>
      </w:r>
    </w:p>
    <w:p w14:paraId="02C21AC0" w14:textId="77777777" w:rsidR="00805A05" w:rsidRDefault="001812E9">
      <w:r>
        <w:t xml:space="preserve">Teamwork: A solitary piano player can make wonderful songs, yet a full ensemble paints a sonic </w:t>
      </w:r>
      <w:proofErr w:type="gramStart"/>
      <w:r>
        <w:t>show-stopper</w:t>
      </w:r>
      <w:proofErr w:type="gramEnd"/>
      <w:r>
        <w:t>. Also, individual colleagues have qualities, yet joint effort opens their actual potential. Pioneers cultivate teamwork through shared objectives, open communication, and open doors for joint effort (Pai et al., 2020). Envision cooks conceptualizing menus, waiters expecting visitor needs, and housekeeping staff guaranteeing a consistent encounter - each note an in woven together by a pioneer force of "we" over "me" (Jawabreh et al., 2020).</w:t>
      </w:r>
    </w:p>
    <w:p w14:paraId="02C21AC1" w14:textId="77777777" w:rsidR="00805A05" w:rsidRDefault="001812E9">
      <w:r>
        <w:lastRenderedPageBreak/>
        <w:t>Decision-making: A guide doesn't simply wave their implement haphazardly; they cautiously think about rhythm, elements, and the general piece. In like manner, compelling forerunners in hospitality don't pursue choices in a vacuum. They assemble assorted viewpoints, request group information, and influence information to settle on informed decisions that benefit the two visitors and the association. This cooperative decision-making tries not to jostle strife and guarantees everybody plays as one (Pappas et a</w:t>
      </w:r>
      <w:r>
        <w:t>l., 2021).</w:t>
      </w:r>
    </w:p>
    <w:p w14:paraId="02C21AC2" w14:textId="77777777" w:rsidR="00805A05" w:rsidRDefault="001812E9">
      <w:r>
        <w:t>Communication: Envision a confounded ensemble playing various pieces; disorder follows. Clear, straightforward communication is the paste that ties compelling groups. Pioneers set assumptions, share data transparently, and effectively pay attention to worries. This straightforwardness assembles trust, enables workers, and guarantees everybody is playing a similar melody, in order and with reason (Tuan, 2021).</w:t>
      </w:r>
    </w:p>
    <w:p w14:paraId="02C21AC3" w14:textId="77777777" w:rsidR="00805A05" w:rsidRDefault="001812E9">
      <w:r>
        <w:t>While McGregor's X and Y speculations offer a basic comprehension of worker motivation, imagining leadership in hospitality through a static focal point is like attempting to catch a stunning nightfall in a solitary brushstroke. The industry flourishes with dynamism, requesting a leadership approach as liquid and diverse as the visitor experience itself (</w:t>
      </w:r>
      <w:proofErr w:type="spellStart"/>
      <w:r>
        <w:t>Каламан</w:t>
      </w:r>
      <w:proofErr w:type="spellEnd"/>
      <w:r>
        <w:t xml:space="preserve"> et al., 2022).</w:t>
      </w:r>
    </w:p>
    <w:p w14:paraId="02C21AC4" w14:textId="77777777" w:rsidR="00805A05" w:rsidRDefault="001812E9">
      <w:r>
        <w:t>Perceiving the constraints of these speculations is critical. Theory X, with its presumption of inborn worker lethargy, chance to demotivate even the most committed group. Moreover, Theory Y's accentuation on natural motivation alone probably won't do the trick in profoundly organized conditions or during emergency circumstances.</w:t>
      </w:r>
    </w:p>
    <w:p w14:paraId="02C21AC5" w14:textId="77777777" w:rsidR="00805A05" w:rsidRDefault="001812E9">
      <w:r>
        <w:t xml:space="preserve">Envision a carefully prepared culinary specialist, using various blades for </w:t>
      </w:r>
      <w:proofErr w:type="gramStart"/>
      <w:r>
        <w:t>particular undertakings</w:t>
      </w:r>
      <w:proofErr w:type="gramEnd"/>
      <w:r>
        <w:t xml:space="preserve">. Powerful leadership in hospitality requires comparable versatility. New colleagues could profit from clear direction and construction likened to a pioneer giving starting bearing and preparing (like Theory X). Notwithstanding, as abilities and </w:t>
      </w:r>
      <w:r>
        <w:lastRenderedPageBreak/>
        <w:t>experience develop, strengthening and appointment (lined up with Theory Y) become fundamental to open inventiveness and proprietorship.</w:t>
      </w:r>
    </w:p>
    <w:p w14:paraId="02C21AC6" w14:textId="77777777" w:rsidR="00805A05" w:rsidRDefault="001812E9">
      <w:pPr>
        <w:pStyle w:val="Heading1"/>
        <w:rPr>
          <w:lang w:val="en-US"/>
        </w:rPr>
      </w:pPr>
      <w:bookmarkStart w:id="5" w:name="_Toc9909"/>
      <w:r>
        <w:rPr>
          <w:lang w:val="en-US"/>
        </w:rPr>
        <w:t>Conclusion</w:t>
      </w:r>
      <w:bookmarkEnd w:id="5"/>
    </w:p>
    <w:p w14:paraId="02C21AC7" w14:textId="77777777" w:rsidR="00805A05" w:rsidRDefault="001812E9">
      <w:r>
        <w:t>The ideal administration style shifts in view of the circumstance and hierarchical culture. A bustling eatery might have required a proclaimed approach for effectiveness, while a conference to generate new ideas benefits from a plurality rule style. However, it is important to develop a culture of trust and shared purposes. Open correspondence and real appreciation upgrade worker commitment. Effective leadership styles are demonstrated by real-world instances like the empowering philosophy of the Ritz-Carlt</w:t>
      </w:r>
      <w:r>
        <w:t>on and the holacracy model of Zappos. High levels of employee engagement and customer satisfaction can be attributed to these strategies' emphasis on democratic decision-making and Theory Y principles. An effective and collective work environment is guaranteed when employees are admitted as co-creators of the guest knowledge.</w:t>
      </w:r>
      <w:r>
        <w:br w:type="page"/>
      </w:r>
    </w:p>
    <w:p w14:paraId="02C21AC8" w14:textId="77777777" w:rsidR="00805A05" w:rsidRDefault="001812E9">
      <w:pPr>
        <w:pStyle w:val="Heading1"/>
      </w:pPr>
      <w:bookmarkStart w:id="6" w:name="_Toc21353"/>
      <w:r>
        <w:lastRenderedPageBreak/>
        <w:t>References</w:t>
      </w:r>
      <w:bookmarkEnd w:id="6"/>
    </w:p>
    <w:p w14:paraId="02C21AC9" w14:textId="77777777" w:rsidR="00805A05" w:rsidRDefault="00805A05">
      <w:pPr>
        <w:ind w:left="720" w:hanging="720"/>
      </w:pPr>
    </w:p>
    <w:p w14:paraId="02C21ACA" w14:textId="77777777" w:rsidR="00805A05" w:rsidRDefault="001812E9">
      <w:pPr>
        <w:ind w:left="720" w:hanging="720"/>
      </w:pPr>
      <w:r>
        <w:t xml:space="preserve">Addis, G., </w:t>
      </w:r>
      <w:proofErr w:type="spellStart"/>
      <w:r>
        <w:t>Nasino</w:t>
      </w:r>
      <w:proofErr w:type="spellEnd"/>
      <w:r>
        <w:t xml:space="preserve">, S., Massi, M. and Camilleri, M.A., 2024. The </w:t>
      </w:r>
      <w:proofErr w:type="spellStart"/>
      <w:r>
        <w:t>Artification</w:t>
      </w:r>
      <w:proofErr w:type="spellEnd"/>
      <w:r>
        <w:t xml:space="preserve"> of hospitality: Art hotels as the new frontier of sustainable cultural tourism. In Tourism Planning and Destination Marketing, 2nd Edition (pp. 175-196). Emerald Publishing Limited.</w:t>
      </w:r>
    </w:p>
    <w:p w14:paraId="02C21ACB" w14:textId="77777777" w:rsidR="00805A05" w:rsidRDefault="001812E9">
      <w:pPr>
        <w:ind w:left="720" w:hanging="720"/>
      </w:pPr>
      <w:r>
        <w:t xml:space="preserve">Adeoye, M.A., 2023. Explanatory Remarks on McGregor's Theory. Indonesian Journal of </w:t>
      </w:r>
      <w:proofErr w:type="spellStart"/>
      <w:r>
        <w:t>Multidiciplinary</w:t>
      </w:r>
      <w:proofErr w:type="spellEnd"/>
      <w:r>
        <w:t xml:space="preserve"> Research, 3(1), pp.91-96.</w:t>
      </w:r>
    </w:p>
    <w:p w14:paraId="02C21ACC" w14:textId="77777777" w:rsidR="00805A05" w:rsidRDefault="001812E9">
      <w:pPr>
        <w:ind w:left="720" w:hanging="720"/>
      </w:pPr>
      <w:proofErr w:type="spellStart"/>
      <w:r>
        <w:t>Albejaidi</w:t>
      </w:r>
      <w:proofErr w:type="spellEnd"/>
      <w:r>
        <w:t xml:space="preserve">, F., Kundi, G.M. and Mughal, Y.H., 2020. Decision making, leadership styles and leadership effectiveness: An </w:t>
      </w:r>
      <w:proofErr w:type="spellStart"/>
      <w:r>
        <w:t>amos-sem</w:t>
      </w:r>
      <w:proofErr w:type="spellEnd"/>
      <w:r>
        <w:t xml:space="preserve"> approach. African Journal of Hospitality, Tourism and Leisure, 9(1), pp.1-15.</w:t>
      </w:r>
    </w:p>
    <w:p w14:paraId="02C21ACD" w14:textId="77777777" w:rsidR="00805A05" w:rsidRDefault="001812E9">
      <w:pPr>
        <w:ind w:left="720" w:hanging="720"/>
      </w:pPr>
      <w:r>
        <w:t>Arman, K. and Organ, A., 2023. Determination of the Most Suitable Leadership Type in the Hotel Industry Using Best-Worst Method. In Leadership Approaches in Global Hospitality and Tourism (pp. 73-90). IGI Global.</w:t>
      </w:r>
    </w:p>
    <w:p w14:paraId="02C21ACE" w14:textId="77777777" w:rsidR="00805A05" w:rsidRDefault="001812E9">
      <w:pPr>
        <w:ind w:left="720" w:hanging="720"/>
      </w:pPr>
      <w:proofErr w:type="spellStart"/>
      <w:r>
        <w:t>Elkhwesky</w:t>
      </w:r>
      <w:proofErr w:type="spellEnd"/>
      <w:r>
        <w:t>, Z., Salem, I.E., Ramkissoon, H. and Castañeda-García, J.A., 2022. A systematic and critical review of leadership styles in contemporary hospitality: a roadmap and a call for future research. International Journal of Contemporary Hospitality Management, 34(5), pp.1925-1958.</w:t>
      </w:r>
    </w:p>
    <w:p w14:paraId="02C21ACF" w14:textId="77777777" w:rsidR="00805A05" w:rsidRDefault="001812E9">
      <w:pPr>
        <w:ind w:left="720" w:hanging="720"/>
      </w:pPr>
      <w:proofErr w:type="spellStart"/>
      <w:r>
        <w:t>Gastmeier</w:t>
      </w:r>
      <w:proofErr w:type="spellEnd"/>
      <w:r>
        <w:t xml:space="preserve">, P., 2020. From ‘one size fits </w:t>
      </w:r>
      <w:proofErr w:type="spellStart"/>
      <w:r>
        <w:t>all’to</w:t>
      </w:r>
      <w:proofErr w:type="spellEnd"/>
      <w:r>
        <w:t xml:space="preserve"> personalized infection prevention. Journal of Hospital Infection, 104(3), pp.256-260.</w:t>
      </w:r>
    </w:p>
    <w:p w14:paraId="02C21AD0" w14:textId="77777777" w:rsidR="00805A05" w:rsidRDefault="001812E9">
      <w:pPr>
        <w:ind w:left="720" w:hanging="720"/>
      </w:pPr>
      <w:r>
        <w:t xml:space="preserve">Huertas-Valdivia, I., González-Torres, </w:t>
      </w:r>
      <w:proofErr w:type="gramStart"/>
      <w:r>
        <w:t>T.</w:t>
      </w:r>
      <w:proofErr w:type="gramEnd"/>
      <w:r>
        <w:t xml:space="preserve"> and </w:t>
      </w:r>
      <w:proofErr w:type="spellStart"/>
      <w:r>
        <w:t>Nájera</w:t>
      </w:r>
      <w:proofErr w:type="spellEnd"/>
      <w:r>
        <w:t>-Sánchez, J.J., 2022. Contemporary leadership in hospitality: a review and research agenda. International Journal of Contemporary Hospitality Management, 34(6), pp.2399-2422.</w:t>
      </w:r>
    </w:p>
    <w:p w14:paraId="02C21AD1" w14:textId="77777777" w:rsidR="00805A05" w:rsidRDefault="001812E9">
      <w:pPr>
        <w:ind w:left="720" w:hanging="720"/>
      </w:pPr>
      <w:r>
        <w:lastRenderedPageBreak/>
        <w:t xml:space="preserve">Jawabreh, O., Mahmoud, R. and </w:t>
      </w:r>
      <w:proofErr w:type="spellStart"/>
      <w:r>
        <w:t>Hamasha</w:t>
      </w:r>
      <w:proofErr w:type="spellEnd"/>
      <w:r>
        <w:t xml:space="preserve">, S.A., 2020. Factors influencing the employees service performances in hospitality industry case study AQBA five stars hotel. Geo Journal of Tourism and </w:t>
      </w:r>
      <w:proofErr w:type="spellStart"/>
      <w:r>
        <w:t>Geosites</w:t>
      </w:r>
      <w:proofErr w:type="spellEnd"/>
      <w:r>
        <w:t>, 29(2), pp.649-661.</w:t>
      </w:r>
    </w:p>
    <w:p w14:paraId="02C21AD2" w14:textId="77777777" w:rsidR="00805A05" w:rsidRDefault="001812E9">
      <w:pPr>
        <w:ind w:left="720" w:hanging="720"/>
      </w:pPr>
      <w:r>
        <w:t>Khuong, M. and Linh, U., 2020. Influence of work-related stress on employee motivation, job satisfaction and employee loyalty in hospitality industry. Management Science Letters, 10(14), pp.3279-3290.</w:t>
      </w:r>
    </w:p>
    <w:p w14:paraId="02C21AD3" w14:textId="77777777" w:rsidR="00805A05" w:rsidRDefault="001812E9">
      <w:pPr>
        <w:ind w:left="720" w:hanging="720"/>
      </w:pPr>
      <w:r>
        <w:t>Manning, L., 2022. Case study: Operational Innovation at Zappos: From Hierarchy to Holacracy. Leadership, p.3_SEM3.</w:t>
      </w:r>
    </w:p>
    <w:p w14:paraId="02C21AD4" w14:textId="77777777" w:rsidR="00805A05" w:rsidRDefault="001812E9">
      <w:pPr>
        <w:ind w:left="720" w:hanging="720"/>
      </w:pPr>
      <w:proofErr w:type="spellStart"/>
      <w:r>
        <w:t>Nwafili</w:t>
      </w:r>
      <w:proofErr w:type="spellEnd"/>
      <w:r>
        <w:t xml:space="preserve">, A.K., </w:t>
      </w:r>
      <w:proofErr w:type="spellStart"/>
      <w:r>
        <w:t>Odita</w:t>
      </w:r>
      <w:proofErr w:type="spellEnd"/>
      <w:r>
        <w:t xml:space="preserve">, A.A. and </w:t>
      </w:r>
      <w:proofErr w:type="spellStart"/>
      <w:r>
        <w:t>Kifordu</w:t>
      </w:r>
      <w:proofErr w:type="spellEnd"/>
      <w:r>
        <w:t>, A.A., 2023. Enhancing employee performance through compensation management in the manufacturing industry. Journal of Global Economics and Business, 4(15), pp.96-116.</w:t>
      </w:r>
    </w:p>
    <w:p w14:paraId="02C21AD5" w14:textId="77777777" w:rsidR="00805A05" w:rsidRDefault="001812E9">
      <w:pPr>
        <w:ind w:left="720" w:hanging="720"/>
      </w:pPr>
      <w:r>
        <w:t xml:space="preserve">Pai, A., Manjunath, M., Kowshik, C.S., </w:t>
      </w:r>
      <w:proofErr w:type="spellStart"/>
      <w:r>
        <w:t>Ayedee</w:t>
      </w:r>
      <w:proofErr w:type="spellEnd"/>
      <w:r>
        <w:t xml:space="preserve">, N., </w:t>
      </w:r>
      <w:proofErr w:type="spellStart"/>
      <w:r>
        <w:t>Malarout</w:t>
      </w:r>
      <w:proofErr w:type="spellEnd"/>
      <w:r>
        <w:t xml:space="preserve">, N. and Naik, N., 2020. SOFT SKILLS AS A KEY COMPETENCY FOR THE FUTURE LEADERS OF THE HOSPITALITY INDUSTRY. </w:t>
      </w:r>
      <w:proofErr w:type="spellStart"/>
      <w:r>
        <w:t>PalArch's</w:t>
      </w:r>
      <w:proofErr w:type="spellEnd"/>
      <w:r>
        <w:t xml:space="preserve"> Journal of Archaeology of Egypt/Egyptology, 17(9), pp.4341-4355.</w:t>
      </w:r>
    </w:p>
    <w:p w14:paraId="02C21AD6" w14:textId="77777777" w:rsidR="00805A05" w:rsidRDefault="001812E9">
      <w:pPr>
        <w:ind w:left="720" w:hanging="720"/>
      </w:pPr>
      <w:r>
        <w:t xml:space="preserve">Pappas, </w:t>
      </w:r>
      <w:proofErr w:type="gramStart"/>
      <w:r>
        <w:t>N.</w:t>
      </w:r>
      <w:proofErr w:type="gramEnd"/>
      <w:r>
        <w:t xml:space="preserve"> and Brown, A.E., 2021. Entrepreneurial decisions in tourism and hospitality during crisis. Management Decision, 59(5), pp.1025-1042.</w:t>
      </w:r>
    </w:p>
    <w:p w14:paraId="02C21AD7" w14:textId="77777777" w:rsidR="00805A05" w:rsidRDefault="001812E9">
      <w:pPr>
        <w:ind w:left="720" w:hanging="720"/>
      </w:pPr>
      <w:r>
        <w:t>Qiu, S., Dooley, L.M. and Xie, L., 2020. How servant leadership and self-efficacy interact to affect service quality in the hospitality industry: A polynomial regression with response surface analysis. Tourism Management, 78, p.104051.</w:t>
      </w:r>
    </w:p>
    <w:p w14:paraId="02C21AD8" w14:textId="77777777" w:rsidR="00805A05" w:rsidRDefault="001812E9">
      <w:pPr>
        <w:ind w:left="720" w:hanging="720"/>
      </w:pPr>
      <w:r>
        <w:t>Ruiz-Palomino, P. and Zoghbi-Manrique-de-Lara, P., 2020. How and when servant leaders fuel creativity: The role of servant attitude and intrinsic motivation. International Journal of Hospitality Management, 89, p.102537.</w:t>
      </w:r>
    </w:p>
    <w:p w14:paraId="02C21AD9" w14:textId="77777777" w:rsidR="00805A05" w:rsidRDefault="001812E9">
      <w:pPr>
        <w:ind w:left="720" w:hanging="720"/>
      </w:pPr>
      <w:r>
        <w:lastRenderedPageBreak/>
        <w:t xml:space="preserve">Sürücü, L. and </w:t>
      </w:r>
      <w:proofErr w:type="spellStart"/>
      <w:r>
        <w:t>Sağbaş</w:t>
      </w:r>
      <w:proofErr w:type="spellEnd"/>
      <w:r>
        <w:t xml:space="preserve">, M., 2021. The impact of leadership styles on job satisfaction: A study of the hospitality industry. </w:t>
      </w:r>
      <w:proofErr w:type="spellStart"/>
      <w:r>
        <w:t>Yönetim</w:t>
      </w:r>
      <w:proofErr w:type="spellEnd"/>
      <w:r>
        <w:t xml:space="preserve"> </w:t>
      </w:r>
      <w:proofErr w:type="spellStart"/>
      <w:r>
        <w:t>Bilimleri</w:t>
      </w:r>
      <w:proofErr w:type="spellEnd"/>
      <w:r>
        <w:t xml:space="preserve"> </w:t>
      </w:r>
      <w:proofErr w:type="spellStart"/>
      <w:r>
        <w:t>Dergisi</w:t>
      </w:r>
      <w:proofErr w:type="spellEnd"/>
      <w:r>
        <w:t>, 19(40), pp.323-346.</w:t>
      </w:r>
    </w:p>
    <w:p w14:paraId="02C21ADA" w14:textId="77777777" w:rsidR="00805A05" w:rsidRDefault="001812E9">
      <w:pPr>
        <w:ind w:left="720" w:hanging="720"/>
      </w:pPr>
      <w:r>
        <w:t>Touma, J., 2021. Theories X and Y in combination for effective change during economic crisis. Journal of Human Resource and Sustainability Studies, 9(01), p.20.</w:t>
      </w:r>
    </w:p>
    <w:p w14:paraId="02C21ADB" w14:textId="77777777" w:rsidR="00805A05" w:rsidRDefault="001812E9">
      <w:pPr>
        <w:ind w:left="720" w:hanging="720"/>
      </w:pPr>
      <w:r>
        <w:t>Tuan, L.T., 2021. Employer event communication and hospitality workers’ resilience during the COVID-19 crisis: the role of core beliefs examination and family support. International Journal of Contemporary Hospitality Management, 33(5), pp.1593-1619.</w:t>
      </w:r>
    </w:p>
    <w:p w14:paraId="02C21ADC" w14:textId="77777777" w:rsidR="00805A05" w:rsidRDefault="001812E9">
      <w:pPr>
        <w:ind w:left="720" w:hanging="720"/>
      </w:pPr>
      <w:r>
        <w:t>Wong, I.A., Huang, J., Lin, Z. and Jiao, H., 2022. Smart dining, smart restaurant, and smart service quality (SSQ). International Journal of Contemporary Hospitality Management, 34(6), pp.2272-2297.</w:t>
      </w:r>
    </w:p>
    <w:p w14:paraId="02C21ADD" w14:textId="77777777" w:rsidR="00805A05" w:rsidRDefault="001812E9">
      <w:pPr>
        <w:ind w:left="720" w:hanging="720"/>
      </w:pPr>
      <w:proofErr w:type="spellStart"/>
      <w:r>
        <w:t>Каламан</w:t>
      </w:r>
      <w:proofErr w:type="spellEnd"/>
      <w:r>
        <w:t xml:space="preserve">, О., </w:t>
      </w:r>
      <w:proofErr w:type="spellStart"/>
      <w:r>
        <w:t>Дишкантюк</w:t>
      </w:r>
      <w:proofErr w:type="spellEnd"/>
      <w:r>
        <w:t xml:space="preserve">, О. and </w:t>
      </w:r>
      <w:proofErr w:type="spellStart"/>
      <w:r>
        <w:t>Власюк</w:t>
      </w:r>
      <w:proofErr w:type="spellEnd"/>
      <w:r>
        <w:t xml:space="preserve">, К., 2022. MODERN COMMUNICATION MANAGEMENT PARADIGM IN THE HOSPITALITY INDUSTRY ENTERPRISES. </w:t>
      </w:r>
      <w:proofErr w:type="spellStart"/>
      <w:r>
        <w:t>Економіка</w:t>
      </w:r>
      <w:proofErr w:type="spellEnd"/>
      <w:r>
        <w:t xml:space="preserve"> </w:t>
      </w:r>
      <w:proofErr w:type="spellStart"/>
      <w:r>
        <w:t>та</w:t>
      </w:r>
      <w:proofErr w:type="spellEnd"/>
      <w:r>
        <w:t xml:space="preserve"> </w:t>
      </w:r>
      <w:proofErr w:type="spellStart"/>
      <w:r>
        <w:t>суспільство</w:t>
      </w:r>
      <w:proofErr w:type="spellEnd"/>
      <w:r>
        <w:t>, (46).</w:t>
      </w:r>
    </w:p>
    <w:p w14:paraId="02C21ADE" w14:textId="77777777" w:rsidR="00805A05" w:rsidRDefault="00805A05"/>
    <w:p w14:paraId="02C21ADF" w14:textId="77777777" w:rsidR="00805A05" w:rsidRDefault="00805A05"/>
    <w:sectPr w:rsidR="00805A05">
      <w:footerReference w:type="default" r:id="rId9"/>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21AE4" w14:textId="77777777" w:rsidR="00805A05" w:rsidRDefault="001812E9">
      <w:pPr>
        <w:spacing w:line="240" w:lineRule="auto"/>
      </w:pPr>
      <w:r>
        <w:separator/>
      </w:r>
    </w:p>
  </w:endnote>
  <w:endnote w:type="continuationSeparator" w:id="0">
    <w:p w14:paraId="02C21AE5" w14:textId="77777777" w:rsidR="00805A05" w:rsidRDefault="001812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6951526"/>
      <w:docPartObj>
        <w:docPartGallery w:val="AutoText"/>
      </w:docPartObj>
    </w:sdtPr>
    <w:sdtEndPr/>
    <w:sdtContent>
      <w:p w14:paraId="02C21AE6" w14:textId="77777777" w:rsidR="00805A05" w:rsidRDefault="001812E9">
        <w:pPr>
          <w:pStyle w:val="Footer"/>
        </w:pPr>
        <w:r>
          <w:rPr>
            <w:noProof/>
            <w:lang w:val="en-IN" w:eastAsia="en-IN" w:bidi="mr-IN"/>
          </w:rPr>
          <mc:AlternateContent>
            <mc:Choice Requires="wps">
              <w:drawing>
                <wp:anchor distT="0" distB="0" distL="114300" distR="114300" simplePos="0" relativeHeight="251659264" behindDoc="0" locked="0" layoutInCell="1" allowOverlap="1" wp14:anchorId="02C21AE7" wp14:editId="02C21AE8">
                  <wp:simplePos x="0" y="0"/>
                  <wp:positionH relativeFrom="page">
                    <wp:align>right</wp:align>
                  </wp:positionH>
                  <wp:positionV relativeFrom="page">
                    <wp:align>bottom</wp:align>
                  </wp:positionV>
                  <wp:extent cx="2125980" cy="2054860"/>
                  <wp:effectExtent l="7620" t="0" r="0" b="2540"/>
                  <wp:wrapNone/>
                  <wp:docPr id="2" name="Isosceles Tri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125980" cy="2054860"/>
                          </a:xfrm>
                          <a:prstGeom prst="triangle">
                            <a:avLst>
                              <a:gd name="adj" fmla="val 100000"/>
                            </a:avLst>
                          </a:prstGeom>
                          <a:solidFill>
                            <a:srgbClr val="D2EAF1"/>
                          </a:solidFill>
                          <a:ln>
                            <a:noFill/>
                          </a:ln>
                        </wps:spPr>
                        <wps:txbx>
                          <w:txbxContent>
                            <w:p w14:paraId="02C21AE9" w14:textId="77777777" w:rsidR="00805A05" w:rsidRDefault="001812E9">
                              <w:pPr>
                                <w:jc w:val="center"/>
                                <w:rPr>
                                  <w:szCs w:val="72"/>
                                </w:rPr>
                              </w:pP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color w:val="FFFFFF" w:themeColor="background1"/>
                                  <w:sz w:val="72"/>
                                  <w:szCs w:val="72"/>
                                </w:rPr>
                                <w:t>2</w:t>
                              </w:r>
                              <w:r>
                                <w:rPr>
                                  <w:rFonts w:asciiTheme="majorHAnsi" w:eastAsiaTheme="majorEastAsia" w:hAnsiTheme="majorHAnsi" w:cstheme="majorBidi"/>
                                  <w:color w:val="FFFFFF" w:themeColor="background1"/>
                                  <w:sz w:val="72"/>
                                  <w:szCs w:val="72"/>
                                </w:rPr>
                                <w:fldChar w:fldCharType="end"/>
                              </w:r>
                            </w:p>
                          </w:txbxContent>
                        </wps:txbx>
                        <wps:bodyPr rot="0" vert="horz" wrap="square" lIns="91440" tIns="45720" rIns="91440" bIns="45720" anchor="t" anchorCtr="0" upright="1">
                          <a:noAutofit/>
                        </wps:bodyPr>
                      </wps:wsp>
                    </a:graphicData>
                  </a:graphic>
                </wp:anchor>
              </w:drawing>
            </mc:Choice>
            <mc:Fallback>
              <w:pict>
                <v:shapetype w14:anchorId="02C21AE7"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left:0;text-align:left;margin-left:116.2pt;margin-top:0;width:167.4pt;height:161.8pt;z-index:251659264;visibility:visible;mso-wrap-style:square;mso-wrap-distance-left:9pt;mso-wrap-distance-top:0;mso-wrap-distance-right:9pt;mso-wrap-distance-bottom:0;mso-position-horizontal:right;mso-position-horizontal-relative:page;mso-position-vertical:bottom;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" adj="21600" fillcolor="#d2eaf1" stroked="f">
                  <v:textbox>
                    <w:txbxContent>
                      <w:p w14:paraId="02C21AE9" w14:textId="77777777" w:rsidR="00805A05" w:rsidRDefault="001812E9">
                        <w:pPr>
                          <w:jc w:val="center"/>
                          <w:rPr>
                            <w:szCs w:val="72"/>
                          </w:rPr>
                        </w:pP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color w:val="FFFFFF" w:themeColor="background1"/>
                            <w:sz w:val="72"/>
                            <w:szCs w:val="72"/>
                          </w:rPr>
                          <w:t>2</w:t>
                        </w:r>
                        <w:r>
                          <w:rPr>
                            <w:rFonts w:asciiTheme="majorHAnsi" w:eastAsiaTheme="majorEastAsia" w:hAnsiTheme="majorHAnsi" w:cstheme="majorBidi"/>
                            <w:color w:val="FFFFFF" w:themeColor="background1"/>
                            <w:sz w:val="72"/>
                            <w:szCs w:val="72"/>
                          </w:rPr>
                          <w:fldChar w:fldCharType="end"/>
                        </w:r>
                      </w:p>
                    </w:txbxContent>
                  </v:textbox>
                  <w10:wrap anchorx="page" anchory="page"/>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C21AE2" w14:textId="77777777" w:rsidR="00805A05" w:rsidRDefault="001812E9">
      <w:r>
        <w:separator/>
      </w:r>
    </w:p>
  </w:footnote>
  <w:footnote w:type="continuationSeparator" w:id="0">
    <w:p w14:paraId="02C21AE3" w14:textId="77777777" w:rsidR="00805A05" w:rsidRDefault="001812E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CD1"/>
    <w:rsid w:val="001812E9"/>
    <w:rsid w:val="00262902"/>
    <w:rsid w:val="002B1ED5"/>
    <w:rsid w:val="003D33EE"/>
    <w:rsid w:val="0041743E"/>
    <w:rsid w:val="00602166"/>
    <w:rsid w:val="0060450B"/>
    <w:rsid w:val="00805A05"/>
    <w:rsid w:val="008E0C23"/>
    <w:rsid w:val="00922B1F"/>
    <w:rsid w:val="009B5D75"/>
    <w:rsid w:val="009E734D"/>
    <w:rsid w:val="00A74156"/>
    <w:rsid w:val="00B2700D"/>
    <w:rsid w:val="00BD09FC"/>
    <w:rsid w:val="00CB773D"/>
    <w:rsid w:val="00CC260D"/>
    <w:rsid w:val="00D65024"/>
    <w:rsid w:val="00F54CD1"/>
    <w:rsid w:val="00F70204"/>
    <w:rsid w:val="00FF4FEE"/>
    <w:rsid w:val="2CCB7EE9"/>
    <w:rsid w:val="6D9B0275"/>
  </w:rsids>
  <m:mathPr>
    <m:mathFont m:val="Cambria Math"/>
    <m:brkBin m:val="before"/>
    <m:brkBinSub m:val="--"/>
    <m:smallFrac m:val="0"/>
    <m:dispDef/>
    <m:lMargin m:val="0"/>
    <m:rMargin m:val="0"/>
    <m:defJc m:val="centerGroup"/>
    <m:wrapIndent m:val="1440"/>
    <m:intLim m:val="subSup"/>
    <m:naryLim m:val="undOvr"/>
  </m:mathPr>
  <w:themeFontLang w:val="en-IN" w:eastAsia="zh-CN" w:bidi="mr-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21A8D"/>
  <w15:docId w15:val="{2FF449C2-35AD-47AB-B3C2-819DBA195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480" w:lineRule="auto"/>
      <w:jc w:val="both"/>
    </w:pPr>
    <w:rPr>
      <w:rFonts w:ascii="Arial" w:hAnsi="Arial" w:cs="Times New Roman"/>
      <w:sz w:val="24"/>
      <w:lang w:eastAsia="en-US"/>
    </w:rPr>
  </w:style>
  <w:style w:type="paragraph" w:styleId="Heading1">
    <w:name w:val="heading 1"/>
    <w:basedOn w:val="Normal"/>
    <w:next w:val="Normal"/>
    <w:link w:val="Heading1Char"/>
    <w:uiPriority w:val="9"/>
    <w:qFormat/>
    <w:pPr>
      <w:keepNext/>
      <w:keepLines/>
      <w:spacing w:before="240" w:line="360" w:lineRule="auto"/>
      <w:outlineLvl w:val="0"/>
    </w:pPr>
    <w:rPr>
      <w:rFonts w:ascii="Times New Roman" w:eastAsiaTheme="majorEastAsia" w:hAnsi="Times New Roman" w:cstheme="majorBidi"/>
      <w:b/>
      <w:sz w:val="28"/>
      <w:szCs w:val="29"/>
    </w:rPr>
  </w:style>
  <w:style w:type="paragraph" w:styleId="Heading2">
    <w:name w:val="heading 2"/>
    <w:basedOn w:val="Normal"/>
    <w:next w:val="Normal"/>
    <w:link w:val="Heading2Char"/>
    <w:uiPriority w:val="9"/>
    <w:semiHidden/>
    <w:unhideWhenUsed/>
    <w:qFormat/>
    <w:pPr>
      <w:keepNext/>
      <w:keepLines/>
      <w:spacing w:before="40" w:line="360" w:lineRule="auto"/>
      <w:outlineLvl w:val="1"/>
    </w:pPr>
    <w:rPr>
      <w:rFonts w:ascii="Times New Roman" w:eastAsiaTheme="majorEastAsia" w:hAnsi="Times New Roman" w:cstheme="majorBidi"/>
      <w:b/>
      <w:szCs w:val="26"/>
    </w:rPr>
  </w:style>
  <w:style w:type="paragraph" w:styleId="Heading3">
    <w:name w:val="heading 3"/>
    <w:basedOn w:val="Normal"/>
    <w:next w:val="Normal"/>
    <w:link w:val="Heading3Char"/>
    <w:uiPriority w:val="9"/>
    <w:semiHidden/>
    <w:unhideWhenUsed/>
    <w:qFormat/>
    <w:pPr>
      <w:keepNext/>
      <w:keepLines/>
      <w:spacing w:before="40" w:line="360" w:lineRule="auto"/>
      <w:outlineLvl w:val="2"/>
    </w:pPr>
    <w:rPr>
      <w:rFonts w:ascii="Times New Roman" w:eastAsiaTheme="majorEastAsia" w:hAnsi="Times New Roman"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563C1" w:themeColor="hyperlink"/>
      <w:u w:val="single"/>
    </w:rPr>
  </w:style>
  <w:style w:type="paragraph" w:styleId="Title">
    <w:name w:val="Title"/>
    <w:basedOn w:val="Normal"/>
    <w:next w:val="Normal"/>
    <w:link w:val="TitleChar"/>
    <w:uiPriority w:val="10"/>
    <w:qFormat/>
    <w:pPr>
      <w:spacing w:line="360" w:lineRule="auto"/>
      <w:contextualSpacing/>
      <w:jc w:val="center"/>
    </w:pPr>
    <w:rPr>
      <w:rFonts w:ascii="Times New Roman" w:eastAsiaTheme="majorEastAsia" w:hAnsi="Times New Roman" w:cstheme="majorBidi"/>
      <w:b/>
      <w:spacing w:val="-10"/>
      <w:kern w:val="28"/>
      <w:sz w:val="36"/>
      <w:szCs w:val="50"/>
    </w:rPr>
  </w:style>
  <w:style w:type="paragraph" w:styleId="TOC1">
    <w:name w:val="toc 1"/>
    <w:basedOn w:val="Normal"/>
    <w:next w:val="Normal"/>
    <w:uiPriority w:val="39"/>
    <w:unhideWhenUsed/>
    <w:qFormat/>
    <w:pPr>
      <w:spacing w:after="100"/>
    </w:pPr>
  </w:style>
  <w:style w:type="character" w:customStyle="1" w:styleId="Heading1Char">
    <w:name w:val="Heading 1 Char"/>
    <w:basedOn w:val="DefaultParagraphFont"/>
    <w:link w:val="Heading1"/>
    <w:uiPriority w:val="9"/>
    <w:qFormat/>
    <w:rPr>
      <w:rFonts w:ascii="Times New Roman" w:eastAsiaTheme="majorEastAsia" w:hAnsi="Times New Roman" w:cstheme="majorBidi"/>
      <w:b/>
      <w:sz w:val="28"/>
      <w:szCs w:val="29"/>
    </w:rPr>
  </w:style>
  <w:style w:type="character" w:customStyle="1" w:styleId="TitleChar">
    <w:name w:val="Title Char"/>
    <w:basedOn w:val="DefaultParagraphFont"/>
    <w:link w:val="Title"/>
    <w:uiPriority w:val="10"/>
    <w:qFormat/>
    <w:rPr>
      <w:rFonts w:ascii="Times New Roman" w:eastAsiaTheme="majorEastAsia" w:hAnsi="Times New Roman" w:cstheme="majorBidi"/>
      <w:b/>
      <w:spacing w:val="-10"/>
      <w:kern w:val="28"/>
      <w:sz w:val="36"/>
      <w:szCs w:val="50"/>
      <w:lang w:val="en-GB" w:bidi="ar-SA"/>
    </w:rPr>
  </w:style>
  <w:style w:type="character" w:customStyle="1" w:styleId="Heading2Char">
    <w:name w:val="Heading 2 Char"/>
    <w:basedOn w:val="DefaultParagraphFont"/>
    <w:link w:val="Heading2"/>
    <w:uiPriority w:val="9"/>
    <w:semiHidden/>
    <w:qFormat/>
    <w:rPr>
      <w:rFonts w:ascii="Times New Roman" w:eastAsiaTheme="majorEastAsia" w:hAnsi="Times New Roman" w:cstheme="majorBidi"/>
      <w:b/>
      <w:sz w:val="24"/>
      <w:szCs w:val="26"/>
      <w:lang w:val="en-GB" w:bidi="ar-SA"/>
    </w:rPr>
  </w:style>
  <w:style w:type="character" w:customStyle="1" w:styleId="Heading3Char">
    <w:name w:val="Heading 3 Char"/>
    <w:basedOn w:val="DefaultParagraphFont"/>
    <w:link w:val="Heading3"/>
    <w:uiPriority w:val="9"/>
    <w:semiHidden/>
    <w:qFormat/>
    <w:rPr>
      <w:rFonts w:ascii="Times New Roman" w:eastAsiaTheme="majorEastAsia" w:hAnsi="Times New Roman" w:cstheme="majorBidi"/>
      <w:sz w:val="24"/>
      <w:szCs w:val="24"/>
      <w:lang w:val="en-GB" w:bidi="ar-SA"/>
    </w:rPr>
  </w:style>
  <w:style w:type="character" w:customStyle="1" w:styleId="FooterChar">
    <w:name w:val="Footer Char"/>
    <w:basedOn w:val="DefaultParagraphFont"/>
    <w:link w:val="Footer"/>
    <w:uiPriority w:val="99"/>
    <w:qFormat/>
    <w:rPr>
      <w:rFonts w:ascii="Arial" w:hAnsi="Arial" w:cs="Times New Roman"/>
      <w:sz w:val="24"/>
      <w:lang w:val="en-GB" w:bidi="ar-SA"/>
    </w:rPr>
  </w:style>
  <w:style w:type="paragraph" w:customStyle="1" w:styleId="TOCHeading1">
    <w:name w:val="TOC Heading1"/>
    <w:basedOn w:val="Heading1"/>
    <w:next w:val="Normal"/>
    <w:uiPriority w:val="39"/>
    <w:unhideWhenUsed/>
    <w:qFormat/>
    <w:pPr>
      <w:spacing w:line="259" w:lineRule="auto"/>
      <w:jc w:val="left"/>
      <w:outlineLvl w:val="9"/>
    </w:pPr>
    <w:rPr>
      <w:rFonts w:asciiTheme="majorHAnsi" w:hAnsiTheme="majorHAnsi"/>
      <w:b w:val="0"/>
      <w:color w:val="2E74B5"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customShpExts>
</s:customData>
</file>

<file path=customXml/itemProps1.xml><?xml version="1.0" encoding="utf-8"?>
<ds:datastoreItem xmlns:ds="http://schemas.openxmlformats.org/officeDocument/2006/customXml" ds:itemID="{6BD2BEF4-7EFF-460C-92BF-6B1562C20997}">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2848</Words>
  <Characters>16237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Andrea Rotaru</cp:lastModifiedBy>
  <cp:revision>2</cp:revision>
  <dcterms:created xsi:type="dcterms:W3CDTF">2024-02-01T21:07:00Z</dcterms:created>
  <dcterms:modified xsi:type="dcterms:W3CDTF">2024-02-01T21:07:00Z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1033-12.2.0.13431</vt:lpwstr>
  </property>
  <property fmtid="{D5CDD505-2E9C-101B-9397-08002B2CF9AE}" pid="3" name="ICV">
    <vt:lpwstr>E528505863E341E6A6F92E3D9AADB77B_12</vt:lpwstr>
  </property>
</Properties>
</file>