
<file path=[Content_Types].xml><?xml version="1.0" encoding="utf-8"?>
<Types xmlns="http://schemas.openxmlformats.org/package/2006/content-types">
  <Default ContentType="application/vnd.openxmlformats-officedocument.spreadsheetml.sheet" Extension="xlsx"/>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ms-office.chartstyle+xml" PartName="/word/charts/style1.xml"/>
  <Override ContentType="application/vnd.ms-office.chartcolorstyle+xml" PartName="/word/charts/colors1.xml"/>
  <Override ContentType="application/vnd.openxmlformats-officedocument.wordprocessingml.document.main+xml" PartName="/word/document.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drawingml.chart+xml" PartName="/word/charts/chart3.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Arial" w:cs="Arial" w:eastAsia="Arial" w:hAnsi="Arial"/>
          <w:b w:val="1"/>
          <w:sz w:val="28"/>
          <w:szCs w:val="28"/>
        </w:rPr>
      </w:pPr>
      <w:bookmarkStart w:colFirst="0" w:colLast="0" w:name="_heading=h.gjdgxs" w:id="0"/>
      <w:bookmarkEnd w:id="0"/>
      <w:r w:rsidDel="00000000" w:rsidR="00000000" w:rsidRPr="00000000">
        <w:rPr>
          <w:rtl w:val="0"/>
        </w:rPr>
      </w:r>
    </w:p>
    <w:p w:rsidR="00000000" w:rsidDel="00000000" w:rsidP="00000000" w:rsidRDefault="00000000" w:rsidRPr="00000000" w14:paraId="00000002">
      <w:pPr>
        <w:spacing w:line="276" w:lineRule="auto"/>
        <w:rPr>
          <w:rFonts w:ascii="Arial" w:cs="Arial" w:eastAsia="Arial" w:hAnsi="Arial"/>
          <w:b w:val="1"/>
          <w:sz w:val="26"/>
          <w:szCs w:val="26"/>
        </w:rPr>
      </w:pPr>
      <w:bookmarkStart w:colFirst="0" w:colLast="0" w:name="_heading=h.2p5s8wh6vin" w:id="1"/>
      <w:bookmarkEnd w:id="1"/>
      <w:r w:rsidDel="00000000" w:rsidR="00000000" w:rsidRPr="00000000">
        <w:rPr>
          <w:rFonts w:ascii="Arial" w:cs="Arial" w:eastAsia="Arial" w:hAnsi="Arial"/>
          <w:b w:val="1"/>
          <w:sz w:val="26"/>
          <w:szCs w:val="26"/>
          <w:rtl w:val="0"/>
        </w:rPr>
        <w:t xml:space="preserve">Component 2 - Research Report </w:t>
      </w:r>
    </w:p>
    <w:p w:rsidR="00000000" w:rsidDel="00000000" w:rsidP="00000000" w:rsidRDefault="00000000" w:rsidRPr="00000000" w14:paraId="00000003">
      <w:pPr>
        <w:spacing w:line="276" w:lineRule="auto"/>
        <w:rPr>
          <w:rFonts w:ascii="Arial" w:cs="Arial" w:eastAsia="Arial" w:hAnsi="Arial"/>
          <w:sz w:val="26"/>
          <w:szCs w:val="26"/>
        </w:rPr>
      </w:pPr>
      <w:bookmarkStart w:colFirst="0" w:colLast="0" w:name="_heading=h.5milgglkrfjr" w:id="2"/>
      <w:bookmarkEnd w:id="2"/>
      <w:r w:rsidDel="00000000" w:rsidR="00000000" w:rsidRPr="00000000">
        <w:rPr>
          <w:rFonts w:ascii="Arial" w:cs="Arial" w:eastAsia="Arial" w:hAnsi="Arial"/>
          <w:b w:val="1"/>
          <w:sz w:val="26"/>
          <w:szCs w:val="26"/>
          <w:rtl w:val="0"/>
        </w:rPr>
        <w:t xml:space="preserve">Student Name: </w:t>
      </w:r>
      <w:r w:rsidDel="00000000" w:rsidR="00000000" w:rsidRPr="00000000">
        <w:rPr>
          <w:rFonts w:ascii="Arial" w:cs="Arial" w:eastAsia="Arial" w:hAnsi="Arial"/>
          <w:sz w:val="26"/>
          <w:szCs w:val="26"/>
          <w:rtl w:val="0"/>
        </w:rPr>
        <w:t xml:space="preserve">Donna Shilunga </w:t>
      </w:r>
    </w:p>
    <w:p w:rsidR="00000000" w:rsidDel="00000000" w:rsidP="00000000" w:rsidRDefault="00000000" w:rsidRPr="00000000" w14:paraId="00000004">
      <w:pPr>
        <w:spacing w:line="276" w:lineRule="auto"/>
        <w:rPr>
          <w:rFonts w:ascii="Arial" w:cs="Arial" w:eastAsia="Arial" w:hAnsi="Arial"/>
          <w:sz w:val="26"/>
          <w:szCs w:val="26"/>
        </w:rPr>
      </w:pPr>
      <w:bookmarkStart w:colFirst="0" w:colLast="0" w:name="_heading=h.35219i45kogs" w:id="3"/>
      <w:bookmarkEnd w:id="3"/>
      <w:r w:rsidDel="00000000" w:rsidR="00000000" w:rsidRPr="00000000">
        <w:rPr>
          <w:rFonts w:ascii="Arial" w:cs="Arial" w:eastAsia="Arial" w:hAnsi="Arial"/>
          <w:b w:val="1"/>
          <w:sz w:val="26"/>
          <w:szCs w:val="26"/>
          <w:rtl w:val="0"/>
        </w:rPr>
        <w:t xml:space="preserve">Student Number:</w:t>
      </w:r>
      <w:r w:rsidDel="00000000" w:rsidR="00000000" w:rsidRPr="00000000">
        <w:rPr>
          <w:rFonts w:ascii="Arial" w:cs="Arial" w:eastAsia="Arial" w:hAnsi="Arial"/>
          <w:sz w:val="26"/>
          <w:szCs w:val="26"/>
          <w:rtl w:val="0"/>
        </w:rPr>
        <w:t xml:space="preserve"> 2129251</w:t>
      </w:r>
    </w:p>
    <w:p w:rsidR="00000000" w:rsidDel="00000000" w:rsidP="00000000" w:rsidRDefault="00000000" w:rsidRPr="00000000" w14:paraId="00000005">
      <w:pPr>
        <w:spacing w:line="276" w:lineRule="auto"/>
        <w:rPr>
          <w:rFonts w:ascii="Arial" w:cs="Arial" w:eastAsia="Arial" w:hAnsi="Arial"/>
          <w:sz w:val="26"/>
          <w:szCs w:val="26"/>
        </w:rPr>
      </w:pPr>
      <w:bookmarkStart w:colFirst="0" w:colLast="0" w:name="_heading=h.31ib9lpt4etf" w:id="4"/>
      <w:bookmarkEnd w:id="4"/>
      <w:r w:rsidDel="00000000" w:rsidR="00000000" w:rsidRPr="00000000">
        <w:rPr>
          <w:rFonts w:ascii="Arial" w:cs="Arial" w:eastAsia="Arial" w:hAnsi="Arial"/>
          <w:b w:val="1"/>
          <w:sz w:val="26"/>
          <w:szCs w:val="26"/>
          <w:rtl w:val="0"/>
        </w:rPr>
        <w:t xml:space="preserve">Lecturer Name:</w:t>
      </w:r>
      <w:r w:rsidDel="00000000" w:rsidR="00000000" w:rsidRPr="00000000">
        <w:rPr>
          <w:rFonts w:ascii="Arial" w:cs="Arial" w:eastAsia="Arial" w:hAnsi="Arial"/>
          <w:sz w:val="26"/>
          <w:szCs w:val="26"/>
          <w:rtl w:val="0"/>
        </w:rPr>
        <w:t xml:space="preserve"> Robert Nortowski</w:t>
      </w:r>
    </w:p>
    <w:p w:rsidR="00000000" w:rsidDel="00000000" w:rsidP="00000000" w:rsidRDefault="00000000" w:rsidRPr="00000000" w14:paraId="00000006">
      <w:pPr>
        <w:spacing w:line="276" w:lineRule="auto"/>
        <w:rPr>
          <w:rFonts w:ascii="Arial" w:cs="Arial" w:eastAsia="Arial" w:hAnsi="Arial"/>
          <w:b w:val="1"/>
          <w:sz w:val="26"/>
          <w:szCs w:val="26"/>
        </w:rPr>
      </w:pPr>
      <w:bookmarkStart w:colFirst="0" w:colLast="0" w:name="_heading=h.g7iy0jawuvka" w:id="5"/>
      <w:bookmarkEnd w:id="5"/>
      <w:r w:rsidDel="00000000" w:rsidR="00000000" w:rsidRPr="00000000">
        <w:rPr>
          <w:rFonts w:ascii="Arial" w:cs="Arial" w:eastAsia="Arial" w:hAnsi="Arial"/>
          <w:b w:val="1"/>
          <w:sz w:val="26"/>
          <w:szCs w:val="26"/>
          <w:rtl w:val="0"/>
        </w:rPr>
        <w:t xml:space="preserve">LCHS4002_BIRM    </w:t>
      </w:r>
    </w:p>
    <w:p w:rsidR="00000000" w:rsidDel="00000000" w:rsidP="00000000" w:rsidRDefault="00000000" w:rsidRPr="00000000" w14:paraId="00000007">
      <w:pPr>
        <w:spacing w:line="276" w:lineRule="auto"/>
        <w:rPr>
          <w:rFonts w:ascii="Arial" w:cs="Arial" w:eastAsia="Arial" w:hAnsi="Arial"/>
          <w:b w:val="1"/>
          <w:sz w:val="26"/>
          <w:szCs w:val="26"/>
        </w:rPr>
      </w:pPr>
      <w:bookmarkStart w:colFirst="0" w:colLast="0" w:name="_heading=h.n1kjkucdmlau" w:id="6"/>
      <w:bookmarkEnd w:id="6"/>
      <w:r w:rsidDel="00000000" w:rsidR="00000000" w:rsidRPr="00000000">
        <w:rPr>
          <w:rFonts w:ascii="Arial" w:cs="Arial" w:eastAsia="Arial" w:hAnsi="Arial"/>
          <w:b w:val="1"/>
          <w:sz w:val="26"/>
          <w:szCs w:val="26"/>
          <w:rtl w:val="0"/>
        </w:rPr>
        <w:t xml:space="preserve">Digital Skills and Research Methods.</w:t>
      </w:r>
    </w:p>
    <w:p w:rsidR="00000000" w:rsidDel="00000000" w:rsidP="00000000" w:rsidRDefault="00000000" w:rsidRPr="00000000" w14:paraId="00000008">
      <w:pPr>
        <w:spacing w:line="360" w:lineRule="auto"/>
        <w:jc w:val="both"/>
        <w:rPr>
          <w:rFonts w:ascii="Arial" w:cs="Arial" w:eastAsia="Arial" w:hAnsi="Arial"/>
          <w:b w:val="1"/>
          <w:sz w:val="24"/>
          <w:szCs w:val="24"/>
        </w:rPr>
      </w:pPr>
      <w:bookmarkStart w:colFirst="0" w:colLast="0" w:name="_heading=h.sxih47xg7dtn" w:id="7"/>
      <w:bookmarkEnd w:id="7"/>
      <w:r w:rsidDel="00000000" w:rsidR="00000000" w:rsidRPr="00000000">
        <w:rPr>
          <w:rtl w:val="0"/>
        </w:rPr>
      </w:r>
    </w:p>
    <w:p w:rsidR="00000000" w:rsidDel="00000000" w:rsidP="00000000" w:rsidRDefault="00000000" w:rsidRPr="00000000" w14:paraId="00000009">
      <w:pPr>
        <w:spacing w:line="360" w:lineRule="auto"/>
        <w:jc w:val="both"/>
        <w:rPr>
          <w:rFonts w:ascii="Arial" w:cs="Arial" w:eastAsia="Arial" w:hAnsi="Arial"/>
          <w:b w:val="1"/>
          <w:sz w:val="24"/>
          <w:szCs w:val="24"/>
        </w:rPr>
      </w:pPr>
      <w:bookmarkStart w:colFirst="0" w:colLast="0" w:name="_heading=h.vkmvdjmigsmp" w:id="8"/>
      <w:bookmarkEnd w:id="8"/>
      <w:r w:rsidDel="00000000" w:rsidR="00000000" w:rsidRPr="00000000">
        <w:rPr>
          <w:rtl w:val="0"/>
        </w:rPr>
      </w:r>
    </w:p>
    <w:p w:rsidR="00000000" w:rsidDel="00000000" w:rsidP="00000000" w:rsidRDefault="00000000" w:rsidRPr="00000000" w14:paraId="0000000A">
      <w:pPr>
        <w:spacing w:line="360" w:lineRule="auto"/>
        <w:jc w:val="both"/>
        <w:rPr>
          <w:rFonts w:ascii="Arial" w:cs="Arial" w:eastAsia="Arial" w:hAnsi="Arial"/>
          <w:b w:val="1"/>
          <w:sz w:val="24"/>
          <w:szCs w:val="24"/>
        </w:rPr>
      </w:pPr>
      <w:bookmarkStart w:colFirst="0" w:colLast="0" w:name="_heading=h.acoqwz47y2j5" w:id="9"/>
      <w:bookmarkEnd w:id="9"/>
      <w:r w:rsidDel="00000000" w:rsidR="00000000" w:rsidRPr="00000000">
        <w:rPr>
          <w:rtl w:val="0"/>
        </w:rPr>
      </w:r>
    </w:p>
    <w:p w:rsidR="00000000" w:rsidDel="00000000" w:rsidP="00000000" w:rsidRDefault="00000000" w:rsidRPr="00000000" w14:paraId="0000000B">
      <w:pPr>
        <w:spacing w:line="360" w:lineRule="auto"/>
        <w:jc w:val="both"/>
        <w:rPr>
          <w:rFonts w:ascii="Arial" w:cs="Arial" w:eastAsia="Arial" w:hAnsi="Arial"/>
          <w:b w:val="1"/>
          <w:sz w:val="24"/>
          <w:szCs w:val="24"/>
        </w:rPr>
      </w:pPr>
      <w:bookmarkStart w:colFirst="0" w:colLast="0" w:name="_heading=h.z1vg9d2cqf67" w:id="10"/>
      <w:bookmarkEnd w:id="10"/>
      <w:r w:rsidDel="00000000" w:rsidR="00000000" w:rsidRPr="00000000">
        <w:rPr>
          <w:rtl w:val="0"/>
        </w:rPr>
      </w:r>
    </w:p>
    <w:p w:rsidR="00000000" w:rsidDel="00000000" w:rsidP="00000000" w:rsidRDefault="00000000" w:rsidRPr="00000000" w14:paraId="0000000C">
      <w:pPr>
        <w:spacing w:line="360" w:lineRule="auto"/>
        <w:jc w:val="both"/>
        <w:rPr>
          <w:rFonts w:ascii="Arial" w:cs="Arial" w:eastAsia="Arial" w:hAnsi="Arial"/>
          <w:b w:val="1"/>
          <w:sz w:val="24"/>
          <w:szCs w:val="24"/>
        </w:rPr>
      </w:pPr>
      <w:bookmarkStart w:colFirst="0" w:colLast="0" w:name="_heading=h.ypfn2et7b8yl" w:id="11"/>
      <w:bookmarkEnd w:id="11"/>
      <w:r w:rsidDel="00000000" w:rsidR="00000000" w:rsidRPr="00000000">
        <w:rPr>
          <w:rtl w:val="0"/>
        </w:rPr>
      </w:r>
    </w:p>
    <w:p w:rsidR="00000000" w:rsidDel="00000000" w:rsidP="00000000" w:rsidRDefault="00000000" w:rsidRPr="00000000" w14:paraId="0000000D">
      <w:pPr>
        <w:spacing w:line="360" w:lineRule="auto"/>
        <w:jc w:val="both"/>
        <w:rPr>
          <w:rFonts w:ascii="Arial" w:cs="Arial" w:eastAsia="Arial" w:hAnsi="Arial"/>
          <w:b w:val="1"/>
          <w:sz w:val="24"/>
          <w:szCs w:val="24"/>
        </w:rPr>
      </w:pPr>
      <w:bookmarkStart w:colFirst="0" w:colLast="0" w:name="_heading=h.smiw3a9vr2lz" w:id="12"/>
      <w:bookmarkEnd w:id="12"/>
      <w:r w:rsidDel="00000000" w:rsidR="00000000" w:rsidRPr="00000000">
        <w:rPr>
          <w:rtl w:val="0"/>
        </w:rPr>
      </w:r>
    </w:p>
    <w:p w:rsidR="00000000" w:rsidDel="00000000" w:rsidP="00000000" w:rsidRDefault="00000000" w:rsidRPr="00000000" w14:paraId="0000000E">
      <w:pPr>
        <w:spacing w:line="360" w:lineRule="auto"/>
        <w:jc w:val="both"/>
        <w:rPr>
          <w:rFonts w:ascii="Arial" w:cs="Arial" w:eastAsia="Arial" w:hAnsi="Arial"/>
          <w:b w:val="1"/>
          <w:sz w:val="24"/>
          <w:szCs w:val="24"/>
        </w:rPr>
      </w:pPr>
      <w:bookmarkStart w:colFirst="0" w:colLast="0" w:name="_heading=h.siid2c9sj408" w:id="13"/>
      <w:bookmarkEnd w:id="13"/>
      <w:r w:rsidDel="00000000" w:rsidR="00000000" w:rsidRPr="00000000">
        <w:rPr>
          <w:rtl w:val="0"/>
        </w:rPr>
      </w:r>
    </w:p>
    <w:p w:rsidR="00000000" w:rsidDel="00000000" w:rsidP="00000000" w:rsidRDefault="00000000" w:rsidRPr="00000000" w14:paraId="0000000F">
      <w:pPr>
        <w:spacing w:line="360" w:lineRule="auto"/>
        <w:jc w:val="both"/>
        <w:rPr>
          <w:rFonts w:ascii="Arial" w:cs="Arial" w:eastAsia="Arial" w:hAnsi="Arial"/>
          <w:b w:val="1"/>
          <w:sz w:val="24"/>
          <w:szCs w:val="24"/>
        </w:rPr>
      </w:pPr>
      <w:bookmarkStart w:colFirst="0" w:colLast="0" w:name="_heading=h.98e693xerubo" w:id="14"/>
      <w:bookmarkEnd w:id="14"/>
      <w:r w:rsidDel="00000000" w:rsidR="00000000" w:rsidRPr="00000000">
        <w:rPr>
          <w:rtl w:val="0"/>
        </w:rPr>
      </w:r>
    </w:p>
    <w:p w:rsidR="00000000" w:rsidDel="00000000" w:rsidP="00000000" w:rsidRDefault="00000000" w:rsidRPr="00000000" w14:paraId="00000010">
      <w:pPr>
        <w:spacing w:line="360" w:lineRule="auto"/>
        <w:jc w:val="both"/>
        <w:rPr>
          <w:rFonts w:ascii="Arial" w:cs="Arial" w:eastAsia="Arial" w:hAnsi="Arial"/>
          <w:b w:val="1"/>
          <w:sz w:val="24"/>
          <w:szCs w:val="24"/>
        </w:rPr>
      </w:pPr>
      <w:bookmarkStart w:colFirst="0" w:colLast="0" w:name="_heading=h.jfe5z5poie0r" w:id="15"/>
      <w:bookmarkEnd w:id="15"/>
      <w:r w:rsidDel="00000000" w:rsidR="00000000" w:rsidRPr="00000000">
        <w:rPr>
          <w:rtl w:val="0"/>
        </w:rPr>
      </w:r>
    </w:p>
    <w:p w:rsidR="00000000" w:rsidDel="00000000" w:rsidP="00000000" w:rsidRDefault="00000000" w:rsidRPr="00000000" w14:paraId="00000011">
      <w:pPr>
        <w:spacing w:line="360" w:lineRule="auto"/>
        <w:jc w:val="both"/>
        <w:rPr>
          <w:rFonts w:ascii="Arial" w:cs="Arial" w:eastAsia="Arial" w:hAnsi="Arial"/>
          <w:b w:val="1"/>
          <w:sz w:val="24"/>
          <w:szCs w:val="24"/>
        </w:rPr>
      </w:pPr>
      <w:bookmarkStart w:colFirst="0" w:colLast="0" w:name="_heading=h.wpvq9rdepipg" w:id="16"/>
      <w:bookmarkEnd w:id="16"/>
      <w:r w:rsidDel="00000000" w:rsidR="00000000" w:rsidRPr="00000000">
        <w:rPr>
          <w:rtl w:val="0"/>
        </w:rPr>
      </w:r>
    </w:p>
    <w:p w:rsidR="00000000" w:rsidDel="00000000" w:rsidP="00000000" w:rsidRDefault="00000000" w:rsidRPr="00000000" w14:paraId="00000012">
      <w:pPr>
        <w:spacing w:line="360" w:lineRule="auto"/>
        <w:jc w:val="both"/>
        <w:rPr>
          <w:rFonts w:ascii="Arial" w:cs="Arial" w:eastAsia="Arial" w:hAnsi="Arial"/>
          <w:b w:val="1"/>
          <w:sz w:val="24"/>
          <w:szCs w:val="24"/>
        </w:rPr>
      </w:pPr>
      <w:bookmarkStart w:colFirst="0" w:colLast="0" w:name="_heading=h.cof7h2z66bvj" w:id="17"/>
      <w:bookmarkEnd w:id="17"/>
      <w:r w:rsidDel="00000000" w:rsidR="00000000" w:rsidRPr="00000000">
        <w:rPr>
          <w:rtl w:val="0"/>
        </w:rPr>
      </w:r>
    </w:p>
    <w:p w:rsidR="00000000" w:rsidDel="00000000" w:rsidP="00000000" w:rsidRDefault="00000000" w:rsidRPr="00000000" w14:paraId="00000013">
      <w:pPr>
        <w:spacing w:line="360" w:lineRule="auto"/>
        <w:jc w:val="both"/>
        <w:rPr>
          <w:rFonts w:ascii="Arial" w:cs="Arial" w:eastAsia="Arial" w:hAnsi="Arial"/>
          <w:b w:val="1"/>
          <w:sz w:val="24"/>
          <w:szCs w:val="24"/>
        </w:rPr>
      </w:pPr>
      <w:bookmarkStart w:colFirst="0" w:colLast="0" w:name="_heading=h.mdzd9zpicbt4" w:id="18"/>
      <w:bookmarkEnd w:id="18"/>
      <w:r w:rsidDel="00000000" w:rsidR="00000000" w:rsidRPr="00000000">
        <w:rPr>
          <w:rtl w:val="0"/>
        </w:rPr>
      </w:r>
    </w:p>
    <w:p w:rsidR="00000000" w:rsidDel="00000000" w:rsidP="00000000" w:rsidRDefault="00000000" w:rsidRPr="00000000" w14:paraId="00000014">
      <w:pPr>
        <w:spacing w:line="360" w:lineRule="auto"/>
        <w:jc w:val="both"/>
        <w:rPr>
          <w:rFonts w:ascii="Arial" w:cs="Arial" w:eastAsia="Arial" w:hAnsi="Arial"/>
          <w:b w:val="1"/>
          <w:sz w:val="24"/>
          <w:szCs w:val="24"/>
        </w:rPr>
      </w:pPr>
      <w:bookmarkStart w:colFirst="0" w:colLast="0" w:name="_heading=h.qt0algdfgq4v" w:id="19"/>
      <w:bookmarkEnd w:id="19"/>
      <w:r w:rsidDel="00000000" w:rsidR="00000000" w:rsidRPr="00000000">
        <w:rPr>
          <w:rtl w:val="0"/>
        </w:rPr>
      </w:r>
    </w:p>
    <w:p w:rsidR="00000000" w:rsidDel="00000000" w:rsidP="00000000" w:rsidRDefault="00000000" w:rsidRPr="00000000" w14:paraId="00000015">
      <w:pPr>
        <w:spacing w:line="360" w:lineRule="auto"/>
        <w:jc w:val="both"/>
        <w:rPr>
          <w:rFonts w:ascii="Arial" w:cs="Arial" w:eastAsia="Arial" w:hAnsi="Arial"/>
          <w:b w:val="1"/>
          <w:sz w:val="24"/>
          <w:szCs w:val="24"/>
        </w:rPr>
      </w:pPr>
      <w:bookmarkStart w:colFirst="0" w:colLast="0" w:name="_heading=h.novueww6jj0" w:id="20"/>
      <w:bookmarkEnd w:id="20"/>
      <w:r w:rsidDel="00000000" w:rsidR="00000000" w:rsidRPr="00000000">
        <w:rPr>
          <w:rtl w:val="0"/>
        </w:rPr>
      </w:r>
    </w:p>
    <w:p w:rsidR="00000000" w:rsidDel="00000000" w:rsidP="00000000" w:rsidRDefault="00000000" w:rsidRPr="00000000" w14:paraId="00000016">
      <w:pPr>
        <w:spacing w:line="360" w:lineRule="auto"/>
        <w:jc w:val="both"/>
        <w:rPr>
          <w:rFonts w:ascii="Arial" w:cs="Arial" w:eastAsia="Arial" w:hAnsi="Arial"/>
          <w:b w:val="1"/>
          <w:sz w:val="24"/>
          <w:szCs w:val="24"/>
        </w:rPr>
      </w:pPr>
      <w:bookmarkStart w:colFirst="0" w:colLast="0" w:name="_heading=h.yez42j49vu4r" w:id="21"/>
      <w:bookmarkEnd w:id="21"/>
      <w:r w:rsidDel="00000000" w:rsidR="00000000" w:rsidRPr="00000000">
        <w:rPr>
          <w:rtl w:val="0"/>
        </w:rPr>
      </w:r>
    </w:p>
    <w:p w:rsidR="00000000" w:rsidDel="00000000" w:rsidP="00000000" w:rsidRDefault="00000000" w:rsidRPr="00000000" w14:paraId="00000017">
      <w:pPr>
        <w:spacing w:line="360" w:lineRule="auto"/>
        <w:jc w:val="both"/>
        <w:rPr>
          <w:rFonts w:ascii="Arial" w:cs="Arial" w:eastAsia="Arial" w:hAnsi="Arial"/>
          <w:b w:val="1"/>
          <w:sz w:val="24"/>
          <w:szCs w:val="24"/>
        </w:rPr>
      </w:pPr>
      <w:bookmarkStart w:colFirst="0" w:colLast="0" w:name="_heading=h.jwskp1l0v6v4" w:id="22"/>
      <w:bookmarkEnd w:id="22"/>
      <w:r w:rsidDel="00000000" w:rsidR="00000000" w:rsidRPr="00000000">
        <w:rPr>
          <w:rtl w:val="0"/>
        </w:rPr>
      </w:r>
    </w:p>
    <w:p w:rsidR="00000000" w:rsidDel="00000000" w:rsidP="00000000" w:rsidRDefault="00000000" w:rsidRPr="00000000" w14:paraId="00000018">
      <w:pPr>
        <w:spacing w:line="360" w:lineRule="auto"/>
        <w:jc w:val="both"/>
        <w:rPr>
          <w:rFonts w:ascii="Arial" w:cs="Arial" w:eastAsia="Arial" w:hAnsi="Arial"/>
          <w:b w:val="1"/>
          <w:sz w:val="24"/>
          <w:szCs w:val="24"/>
        </w:rPr>
      </w:pPr>
      <w:bookmarkStart w:colFirst="0" w:colLast="0" w:name="_heading=h.1om4tccelodx" w:id="23"/>
      <w:bookmarkEnd w:id="23"/>
      <w:r w:rsidDel="00000000" w:rsidR="00000000" w:rsidRPr="00000000">
        <w:rPr>
          <w:rtl w:val="0"/>
        </w:rPr>
      </w:r>
    </w:p>
    <w:p w:rsidR="00000000" w:rsidDel="00000000" w:rsidP="00000000" w:rsidRDefault="00000000" w:rsidRPr="00000000" w14:paraId="00000019">
      <w:pPr>
        <w:spacing w:line="360" w:lineRule="auto"/>
        <w:jc w:val="both"/>
        <w:rPr>
          <w:rFonts w:ascii="Arial" w:cs="Arial" w:eastAsia="Arial" w:hAnsi="Arial"/>
          <w:b w:val="1"/>
          <w:sz w:val="24"/>
          <w:szCs w:val="24"/>
        </w:rPr>
      </w:pPr>
      <w:bookmarkStart w:colFirst="0" w:colLast="0" w:name="_heading=h.gm4zxlpf7ivp" w:id="24"/>
      <w:bookmarkEnd w:id="24"/>
      <w:r w:rsidDel="00000000" w:rsidR="00000000" w:rsidRPr="00000000">
        <w:rPr>
          <w:rtl w:val="0"/>
        </w:rPr>
      </w:r>
    </w:p>
    <w:p w:rsidR="00000000" w:rsidDel="00000000" w:rsidP="00000000" w:rsidRDefault="00000000" w:rsidRPr="00000000" w14:paraId="0000001A">
      <w:pPr>
        <w:spacing w:line="360" w:lineRule="auto"/>
        <w:jc w:val="both"/>
        <w:rPr>
          <w:rFonts w:ascii="Arial" w:cs="Arial" w:eastAsia="Arial" w:hAnsi="Arial"/>
          <w:b w:val="1"/>
          <w:sz w:val="30"/>
          <w:szCs w:val="30"/>
        </w:rPr>
      </w:pPr>
      <w:bookmarkStart w:colFirst="0" w:colLast="0" w:name="_heading=h.glpiycq7mtdh" w:id="25"/>
      <w:bookmarkEnd w:id="25"/>
      <w:r w:rsidDel="00000000" w:rsidR="00000000" w:rsidRPr="00000000">
        <w:rPr>
          <w:rFonts w:ascii="Arial" w:cs="Arial" w:eastAsia="Arial" w:hAnsi="Arial"/>
          <w:b w:val="1"/>
          <w:sz w:val="30"/>
          <w:szCs w:val="30"/>
          <w:rtl w:val="0"/>
        </w:rPr>
        <w:t xml:space="preserve">Is there a need to provide training on how to use technology to collaborate at UWTSD</w:t>
      </w:r>
    </w:p>
    <w:p w:rsidR="00000000" w:rsidDel="00000000" w:rsidP="00000000" w:rsidRDefault="00000000" w:rsidRPr="00000000" w14:paraId="0000001B">
      <w:pPr>
        <w:spacing w:line="360" w:lineRule="auto"/>
        <w:jc w:val="both"/>
        <w:rPr>
          <w:rFonts w:ascii="Arial" w:cs="Arial" w:eastAsia="Arial" w:hAnsi="Arial"/>
          <w:b w:val="1"/>
          <w:sz w:val="24"/>
          <w:szCs w:val="24"/>
        </w:rPr>
      </w:pPr>
      <w:bookmarkStart w:colFirst="0" w:colLast="0" w:name="_heading=h.ny2t3qa9zkpc" w:id="26"/>
      <w:bookmarkEnd w:id="26"/>
      <w:r w:rsidDel="00000000" w:rsidR="00000000" w:rsidRPr="00000000">
        <w:rPr>
          <w:rtl w:val="0"/>
        </w:rPr>
      </w:r>
    </w:p>
    <w:p w:rsidR="00000000" w:rsidDel="00000000" w:rsidP="00000000" w:rsidRDefault="00000000" w:rsidRPr="00000000" w14:paraId="0000001C">
      <w:pPr>
        <w:spacing w:line="360" w:lineRule="auto"/>
        <w:jc w:val="both"/>
        <w:rPr>
          <w:rFonts w:ascii="Arial" w:cs="Arial" w:eastAsia="Arial" w:hAnsi="Arial"/>
          <w:b w:val="1"/>
          <w:sz w:val="24"/>
          <w:szCs w:val="24"/>
        </w:rPr>
      </w:pPr>
      <w:bookmarkStart w:colFirst="0" w:colLast="0" w:name="_heading=h.rgiyuxjfhdx3" w:id="27"/>
      <w:bookmarkEnd w:id="27"/>
      <w:r w:rsidDel="00000000" w:rsidR="00000000" w:rsidRPr="00000000">
        <w:rPr>
          <w:rtl w:val="0"/>
        </w:rPr>
      </w:r>
    </w:p>
    <w:p w:rsidR="00000000" w:rsidDel="00000000" w:rsidP="00000000" w:rsidRDefault="00000000" w:rsidRPr="00000000" w14:paraId="0000001D">
      <w:pPr>
        <w:spacing w:line="360" w:lineRule="auto"/>
        <w:jc w:val="both"/>
        <w:rPr>
          <w:rFonts w:ascii="Arial" w:cs="Arial" w:eastAsia="Arial" w:hAnsi="Arial"/>
          <w:b w:val="1"/>
          <w:sz w:val="26"/>
          <w:szCs w:val="26"/>
        </w:rPr>
      </w:pPr>
      <w:bookmarkStart w:colFirst="0" w:colLast="0" w:name="_heading=h.vvym83c00yba" w:id="28"/>
      <w:bookmarkEnd w:id="28"/>
      <w:r w:rsidDel="00000000" w:rsidR="00000000" w:rsidRPr="00000000">
        <w:rPr>
          <w:rFonts w:ascii="Arial" w:cs="Arial" w:eastAsia="Arial" w:hAnsi="Arial"/>
          <w:b w:val="1"/>
          <w:sz w:val="26"/>
          <w:szCs w:val="26"/>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right="0"/>
            <w:jc w:val="both"/>
            <w:rPr>
              <w:rFonts w:ascii="Arial" w:cs="Arial" w:eastAsia="Arial" w:hAnsi="Arial"/>
              <w:b w:val="1"/>
              <w:i w:val="0"/>
              <w:smallCaps w:val="0"/>
              <w:strike w:val="0"/>
              <w:color w:val="000000"/>
              <w:sz w:val="26"/>
              <w:szCs w:val="26"/>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 xml:space="preserve">1.Introduction</w:t>
            </w:r>
          </w:hyperlink>
          <w:hyperlink w:anchor="_heading=h.30j0zll">
            <w:r w:rsidDel="00000000" w:rsidR="00000000" w:rsidRPr="00000000">
              <w:rPr>
                <w:rFonts w:ascii="Arial" w:cs="Arial" w:eastAsia="Arial" w:hAnsi="Arial"/>
                <w:b w:val="1"/>
                <w:sz w:val="26"/>
                <w:szCs w:val="26"/>
                <w:rtl w:val="0"/>
              </w:rPr>
              <w:t xml:space="preserve">………………………………………………………………2</w:t>
            </w:r>
          </w:hyperlink>
          <w:hyperlink w:anchor="_heading=h.30j0zll">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right="0"/>
            <w:jc w:val="both"/>
            <w:rPr>
              <w:rFonts w:ascii="Arial" w:cs="Arial" w:eastAsia="Arial" w:hAnsi="Arial"/>
              <w:b w:val="1"/>
              <w:sz w:val="24"/>
              <w:szCs w:val="24"/>
              <w:vertAlign w:val="baseline"/>
            </w:rPr>
          </w:pPr>
          <w:hyperlink w:anchor="_heading=h.1fob9te">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 xml:space="preserve">2. Research design</w:t>
            </w:r>
          </w:hyperlink>
          <w:r w:rsidDel="00000000" w:rsidR="00000000" w:rsidRPr="00000000">
            <w:rPr>
              <w:rFonts w:ascii="Arial" w:cs="Arial" w:eastAsia="Arial" w:hAnsi="Arial"/>
              <w:b w:val="1"/>
              <w:sz w:val="24"/>
              <w:szCs w:val="24"/>
              <w:rtl w:val="0"/>
            </w:rPr>
            <w:t xml:space="preserve">……………………………………………………………….2</w:t>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right="0"/>
            <w:jc w:val="both"/>
            <w:rPr>
              <w:rFonts w:ascii="Arial" w:cs="Arial" w:eastAsia="Arial" w:hAnsi="Arial"/>
              <w:b w:val="1"/>
              <w:i w:val="0"/>
              <w:smallCaps w:val="0"/>
              <w:strike w:val="0"/>
              <w:color w:val="000000"/>
              <w:sz w:val="26"/>
              <w:szCs w:val="26"/>
              <w:u w:val="none"/>
              <w:shd w:fill="auto" w:val="clear"/>
              <w:vertAlign w:val="baseline"/>
            </w:rPr>
          </w:pPr>
          <w:r w:rsidDel="00000000" w:rsidR="00000000" w:rsidRPr="00000000">
            <w:rPr>
              <w:rFonts w:ascii="Arial" w:cs="Arial" w:eastAsia="Arial" w:hAnsi="Arial"/>
              <w:b w:val="1"/>
              <w:sz w:val="24"/>
              <w:szCs w:val="24"/>
              <w:vertAlign w:val="baseline"/>
              <w:rtl w:val="0"/>
            </w:rPr>
            <w:t xml:space="preserve">2.1 Research Ques</w:t>
          </w:r>
          <w:r w:rsidDel="00000000" w:rsidR="00000000" w:rsidRPr="00000000">
            <w:rPr>
              <w:rFonts w:ascii="Arial" w:cs="Arial" w:eastAsia="Arial" w:hAnsi="Arial"/>
              <w:b w:val="1"/>
              <w:sz w:val="24"/>
              <w:szCs w:val="24"/>
              <w:rtl w:val="0"/>
            </w:rPr>
            <w:t xml:space="preserve">tion…………………………………………………………….4</w:t>
          </w:r>
          <w:hyperlink w:anchor="_heading=h.1fob9te">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right="0"/>
            <w:jc w:val="both"/>
            <w:rPr>
              <w:rFonts w:ascii="Arial" w:cs="Arial" w:eastAsia="Arial" w:hAnsi="Arial"/>
              <w:b w:val="1"/>
              <w:sz w:val="24"/>
              <w:szCs w:val="24"/>
              <w:vertAlign w:val="baseline"/>
            </w:rPr>
          </w:pPr>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 xml:space="preserve">2.</w:t>
          </w:r>
          <w:hyperlink w:anchor="_heading=h.3znysh7">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 xml:space="preserve">2</w:t>
            </w:r>
          </w:hyperlink>
          <w:hyperlink w:anchor="_heading=h.3znysh7">
            <w:r w:rsidDel="00000000" w:rsidR="00000000" w:rsidRPr="00000000">
              <w:rPr>
                <w:rFonts w:ascii="Arial" w:cs="Arial" w:eastAsia="Arial" w:hAnsi="Arial"/>
                <w:b w:val="1"/>
                <w:sz w:val="26"/>
                <w:szCs w:val="26"/>
                <w:rtl w:val="0"/>
              </w:rPr>
              <w:t xml:space="preserve"> </w:t>
            </w:r>
          </w:hyperlink>
          <w:hyperlink w:anchor="_heading=h.3znysh7">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 xml:space="preserve">Method</w:t>
            </w:r>
          </w:hyperlink>
          <w:r w:rsidDel="00000000" w:rsidR="00000000" w:rsidRPr="00000000">
            <w:rPr>
              <w:rFonts w:ascii="Arial" w:cs="Arial" w:eastAsia="Arial" w:hAnsi="Arial"/>
              <w:b w:val="1"/>
              <w:sz w:val="24"/>
              <w:szCs w:val="24"/>
              <w:rtl w:val="0"/>
            </w:rPr>
            <w:t xml:space="preserve">……………………………………………………………………….4</w:t>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right="0"/>
            <w:jc w:val="both"/>
            <w:rPr>
              <w:rFonts w:ascii="Arial" w:cs="Arial" w:eastAsia="Arial" w:hAnsi="Arial"/>
              <w:b w:val="1"/>
              <w:i w:val="0"/>
              <w:smallCaps w:val="0"/>
              <w:strike w:val="0"/>
              <w:color w:val="000000"/>
              <w:sz w:val="26"/>
              <w:szCs w:val="26"/>
              <w:u w:val="none"/>
              <w:shd w:fill="auto" w:val="clear"/>
              <w:vertAlign w:val="baseline"/>
            </w:rPr>
          </w:pPr>
          <w:r w:rsidDel="00000000" w:rsidR="00000000" w:rsidRPr="00000000">
            <w:rPr>
              <w:rFonts w:ascii="Arial" w:cs="Arial" w:eastAsia="Arial" w:hAnsi="Arial"/>
              <w:b w:val="1"/>
              <w:sz w:val="24"/>
              <w:szCs w:val="24"/>
              <w:vertAlign w:val="baseline"/>
              <w:rtl w:val="0"/>
            </w:rPr>
            <w:t xml:space="preserve">2.3 Ethical Considerations</w:t>
          </w:r>
          <w:r w:rsidDel="00000000" w:rsidR="00000000" w:rsidRPr="00000000">
            <w:rPr>
              <w:rFonts w:ascii="Arial" w:cs="Arial" w:eastAsia="Arial" w:hAnsi="Arial"/>
              <w:b w:val="1"/>
              <w:sz w:val="24"/>
              <w:szCs w:val="24"/>
              <w:rtl w:val="0"/>
            </w:rPr>
            <w:t xml:space="preserve">…………………………………………………………12</w:t>
          </w:r>
          <w:hyperlink w:anchor="_heading=h.3znysh7">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right="0"/>
            <w:jc w:val="both"/>
            <w:rPr>
              <w:rFonts w:ascii="Arial" w:cs="Arial" w:eastAsia="Arial" w:hAnsi="Arial"/>
              <w:b w:val="1"/>
              <w:i w:val="0"/>
              <w:smallCaps w:val="0"/>
              <w:strike w:val="0"/>
              <w:color w:val="000000"/>
              <w:sz w:val="26"/>
              <w:szCs w:val="26"/>
              <w:u w:val="none"/>
              <w:shd w:fill="auto" w:val="clear"/>
              <w:vertAlign w:val="baseline"/>
            </w:rPr>
          </w:pPr>
          <w:hyperlink w:anchor="_heading=h.2s8eyo1">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 xml:space="preserve">3. Results</w:t>
            </w:r>
          </w:hyperlink>
          <w:hyperlink w:anchor="_heading=h.2s8eyo1">
            <w:r w:rsidDel="00000000" w:rsidR="00000000" w:rsidRPr="00000000">
              <w:rPr>
                <w:rFonts w:ascii="Arial" w:cs="Arial" w:eastAsia="Arial" w:hAnsi="Arial"/>
                <w:b w:val="1"/>
                <w:sz w:val="26"/>
                <w:szCs w:val="26"/>
                <w:rtl w:val="0"/>
              </w:rPr>
              <w:t xml:space="preserve">…………………………………………………………………….7</w:t>
            </w:r>
          </w:hyperlink>
          <w:hyperlink w:anchor="_heading=h.2s8eyo1">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right="0"/>
            <w:jc w:val="both"/>
            <w:rPr>
              <w:rFonts w:ascii="Arial" w:cs="Arial" w:eastAsia="Arial" w:hAnsi="Arial"/>
              <w:b w:val="1"/>
              <w:sz w:val="24"/>
              <w:szCs w:val="24"/>
              <w:vertAlign w:val="baseline"/>
            </w:rPr>
          </w:pPr>
          <w:hyperlink w:anchor="_heading=h.44sinio">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 xml:space="preserve">4.Discussion</w:t>
            </w:r>
          </w:hyperlink>
          <w:hyperlink w:anchor="_heading=h.44sinio">
            <w:r w:rsidDel="00000000" w:rsidR="00000000" w:rsidRPr="00000000">
              <w:rPr>
                <w:rFonts w:ascii="Arial" w:cs="Arial" w:eastAsia="Arial" w:hAnsi="Arial"/>
                <w:b w:val="1"/>
                <w:sz w:val="26"/>
                <w:szCs w:val="26"/>
                <w:rtl w:val="0"/>
              </w:rPr>
              <w:t xml:space="preserve">………………………………………………………………….13</w:t>
            </w:r>
          </w:hyperlink>
          <w:hyperlink w:anchor="_heading=h.44sinio">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right="0"/>
            <w:jc w:val="both"/>
            <w:rPr>
              <w:rFonts w:ascii="Arial" w:cs="Arial" w:eastAsia="Arial" w:hAnsi="Arial"/>
              <w:b w:val="1"/>
              <w:sz w:val="24"/>
              <w:szCs w:val="24"/>
              <w:vertAlign w:val="baseline"/>
            </w:rPr>
          </w:pPr>
          <w:hyperlink w:anchor="_heading=h.2jxsxqh">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 xml:space="preserve">5.Conclusion</w:t>
            </w:r>
          </w:hyperlink>
          <w:hyperlink w:anchor="_heading=h.2jxsxqh">
            <w:r w:rsidDel="00000000" w:rsidR="00000000" w:rsidRPr="00000000">
              <w:rPr>
                <w:rFonts w:ascii="Arial" w:cs="Arial" w:eastAsia="Arial" w:hAnsi="Arial"/>
                <w:b w:val="1"/>
                <w:sz w:val="26"/>
                <w:szCs w:val="26"/>
                <w:rtl w:val="0"/>
              </w:rPr>
              <w:t xml:space="preserve">………………………………………………………………….15</w:t>
            </w:r>
          </w:hyperlink>
          <w:hyperlink w:anchor="_heading=h.2jxsxqh">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right="0"/>
            <w:jc w:val="both"/>
            <w:rPr>
              <w:rFonts w:ascii="Arial" w:cs="Arial" w:eastAsia="Arial" w:hAnsi="Arial"/>
              <w:b w:val="1"/>
              <w:i w:val="0"/>
              <w:smallCaps w:val="0"/>
              <w:strike w:val="0"/>
              <w:color w:val="000000"/>
              <w:sz w:val="26"/>
              <w:szCs w:val="26"/>
              <w:u w:val="none"/>
              <w:shd w:fill="auto" w:val="clear"/>
              <w:vertAlign w:val="baseline"/>
            </w:rPr>
          </w:pPr>
          <w:hyperlink w:anchor="_heading=h.z337ya">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 xml:space="preserve">6.References list</w:t>
            </w:r>
          </w:hyperlink>
          <w:hyperlink w:anchor="_heading=h.z337ya">
            <w:r w:rsidDel="00000000" w:rsidR="00000000" w:rsidRPr="00000000">
              <w:rPr>
                <w:rFonts w:ascii="Arial" w:cs="Arial" w:eastAsia="Arial" w:hAnsi="Arial"/>
                <w:b w:val="1"/>
                <w:sz w:val="26"/>
                <w:szCs w:val="26"/>
                <w:rtl w:val="0"/>
              </w:rPr>
              <w:t xml:space="preserve">……………………………………………………………….15</w:t>
            </w:r>
          </w:hyperlink>
          <w:hyperlink w:anchor="_heading=h.z337ya">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right="0"/>
            <w:jc w:val="both"/>
            <w:rPr>
              <w:rFonts w:ascii="Arial" w:cs="Arial" w:eastAsia="Arial" w:hAnsi="Arial"/>
              <w:b w:val="1"/>
              <w:i w:val="0"/>
              <w:smallCaps w:val="0"/>
              <w:strike w:val="0"/>
              <w:color w:val="000000"/>
              <w:sz w:val="26"/>
              <w:szCs w:val="26"/>
              <w:u w:val="none"/>
              <w:shd w:fill="auto" w:val="clear"/>
              <w:vertAlign w:val="baseline"/>
            </w:rPr>
          </w:pPr>
          <w:hyperlink w:anchor="_heading=h.3j2qqm3">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 xml:space="preserve">7.Appendex A</w:t>
            </w:r>
          </w:hyperlink>
          <w:hyperlink w:anchor="_heading=h.3j2qqm3">
            <w:r w:rsidDel="00000000" w:rsidR="00000000" w:rsidRPr="00000000">
              <w:rPr>
                <w:rFonts w:ascii="Arial" w:cs="Arial" w:eastAsia="Arial" w:hAnsi="Arial"/>
                <w:b w:val="1"/>
                <w:sz w:val="26"/>
                <w:szCs w:val="26"/>
                <w:rtl w:val="0"/>
              </w:rPr>
              <w:t xml:space="preserve">………………………………………………………………….16</w:t>
            </w:r>
          </w:hyperlink>
          <w:hyperlink w:anchor="_heading=h.3j2qqm3">
            <w:r w:rsidDel="00000000" w:rsidR="00000000" w:rsidRPr="00000000">
              <w:rPr>
                <w:rFonts w:ascii="Arial" w:cs="Arial" w:eastAsia="Arial" w:hAnsi="Arial"/>
                <w:b w:val="1"/>
                <w:i w:val="0"/>
                <w:smallCaps w:val="0"/>
                <w:strike w:val="0"/>
                <w:color w:val="000000"/>
                <w:sz w:val="26"/>
                <w:szCs w:val="26"/>
                <w:u w:val="none"/>
                <w:shd w:fill="auto" w:val="clear"/>
                <w:vertAlign w:val="baseline"/>
                <w:rtl w:val="0"/>
              </w:rPr>
              <w:tab/>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spacing w:line="360" w:lineRule="auto"/>
        <w:jc w:val="both"/>
        <w:rPr>
          <w:rFonts w:ascii="Arial" w:cs="Arial" w:eastAsia="Arial" w:hAnsi="Arial"/>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spacing w:line="360" w:lineRule="auto"/>
        <w:jc w:val="both"/>
        <w:rPr>
          <w:rFonts w:ascii="Arial" w:cs="Arial" w:eastAsia="Arial" w:hAnsi="Arial"/>
          <w:b w:val="1"/>
          <w:color w:val="000000"/>
          <w:sz w:val="24"/>
          <w:szCs w:val="24"/>
        </w:rPr>
      </w:pPr>
      <w:bookmarkStart w:colFirst="0" w:colLast="0" w:name="_heading=h.30j0zll" w:id="29"/>
      <w:bookmarkEnd w:id="29"/>
      <w:r w:rsidDel="00000000" w:rsidR="00000000" w:rsidRPr="00000000">
        <w:rPr>
          <w:rFonts w:ascii="Arial" w:cs="Arial" w:eastAsia="Arial" w:hAnsi="Arial"/>
          <w:b w:val="1"/>
          <w:color w:val="000000"/>
          <w:sz w:val="24"/>
          <w:szCs w:val="24"/>
          <w:rtl w:val="0"/>
        </w:rPr>
        <w:t xml:space="preserve">1.Introduction</w:t>
      </w:r>
    </w:p>
    <w:p w:rsidR="00000000" w:rsidDel="00000000" w:rsidP="00000000" w:rsidRDefault="00000000" w:rsidRPr="00000000" w14:paraId="0000003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assignment is going to discuss the research method used to research digital skills and technology using mixed quantitative and qualitative methods. The study investigated information to find out if there is a need to provide training on how to use technology for collaboration at the University of Wales Trinity Saint David. According to the European Union (EU, 2016), the concept of digital competence has been put on the spotlight of European educational systems a decade ago when the EU Parliament has included it in the Reference Framework (EU, 2016). </w:t>
      </w:r>
    </w:p>
    <w:p w:rsidR="00000000" w:rsidDel="00000000" w:rsidP="00000000" w:rsidRDefault="00000000" w:rsidRPr="00000000" w14:paraId="00000032">
      <w:pPr>
        <w:spacing w:line="360" w:lineRule="auto"/>
        <w:jc w:val="both"/>
        <w:rPr>
          <w:rFonts w:ascii="Arial" w:cs="Arial" w:eastAsia="Arial" w:hAnsi="Arial"/>
          <w:b w:val="1"/>
          <w:color w:val="000000"/>
          <w:sz w:val="24"/>
          <w:szCs w:val="24"/>
        </w:rPr>
      </w:pPr>
      <w:r w:rsidDel="00000000" w:rsidR="00000000" w:rsidRPr="00000000">
        <w:rPr>
          <w:rFonts w:ascii="Arial" w:cs="Arial" w:eastAsia="Arial" w:hAnsi="Arial"/>
          <w:sz w:val="24"/>
          <w:szCs w:val="24"/>
          <w:rtl w:val="0"/>
        </w:rPr>
        <w:t xml:space="preserve">Ferrari (2012) stated that the importance of digital skills can be examined from various aspects, such as ICT literacy, Internet literacy, media literacy, information literacy, and digital literacy which also overlap in several ways; several policies adapt a variety of the approaches, emphasizing a need for inclusion in a digital society, for developing ICT skills for innovation and industry, key to lifelong learning, and one of the necessary new skills for new jobs. A conceptual model developed by the scholars emphasizes 1) Instrumental knowledge and skills for digital tool and media usage which are operational and media-related; 2) Advanced skills and knowledge for communication and collaboration, information management, learning and problem-solving, and meaningful participation; and 3) Attitudes to strategic skills usage in intercultural, critical, creative, responsible and autonomous ways. Instrumental knowledge and skills are a precondition for developing or using more advanced skills (Ferrari,2012).</w:t>
      </w:r>
      <w:r w:rsidDel="00000000" w:rsidR="00000000" w:rsidRPr="00000000">
        <w:rPr>
          <w:rtl w:val="0"/>
        </w:rPr>
      </w:r>
    </w:p>
    <w:p w:rsidR="00000000" w:rsidDel="00000000" w:rsidP="00000000" w:rsidRDefault="00000000" w:rsidRPr="00000000" w14:paraId="0000003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b w:val="1"/>
          <w:sz w:val="24"/>
          <w:szCs w:val="24"/>
        </w:rPr>
      </w:pPr>
      <w:r w:rsidDel="00000000" w:rsidR="00000000" w:rsidRPr="00000000">
        <w:rPr>
          <w:rFonts w:ascii="Arial" w:cs="Arial" w:eastAsia="Arial" w:hAnsi="Arial"/>
          <w:sz w:val="24"/>
          <w:szCs w:val="24"/>
          <w:rtl w:val="0"/>
        </w:rPr>
        <w:t xml:space="preserve">2.1</w:t>
      </w:r>
      <w:r w:rsidDel="00000000" w:rsidR="00000000" w:rsidRPr="00000000">
        <w:rPr>
          <w:rFonts w:ascii="Arial" w:cs="Arial" w:eastAsia="Arial" w:hAnsi="Arial"/>
          <w:b w:val="1"/>
          <w:sz w:val="24"/>
          <w:szCs w:val="24"/>
          <w:rtl w:val="0"/>
        </w:rPr>
        <w:t xml:space="preserve"> Research Questions</w:t>
      </w:r>
      <w:r w:rsidDel="00000000" w:rsidR="00000000" w:rsidRPr="00000000">
        <w:rPr>
          <w:rtl w:val="0"/>
        </w:rPr>
      </w:r>
    </w:p>
    <w:p w:rsidR="00000000" w:rsidDel="00000000" w:rsidP="00000000" w:rsidRDefault="00000000" w:rsidRPr="00000000" w14:paraId="0000003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 respondents took part in the research method of which everyone involved was anonymous. There were 6 females and 1 male in the research where everyone consented to continue  using this form. The age group of 36-45 had 5 repondents whereas 26-35 and 18-25 years have 1 responder each.</w:t>
      </w:r>
    </w:p>
    <w:p w:rsidR="00000000" w:rsidDel="00000000" w:rsidP="00000000" w:rsidRDefault="00000000" w:rsidRPr="00000000" w14:paraId="0000003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71% stated that their digital skills are not affected by any health conditions. Whilst 29% possibly thought their digital skills could be affected by  dementia, dyslexia or mental health.</w:t>
      </w:r>
    </w:p>
    <w:p w:rsidR="00000000" w:rsidDel="00000000" w:rsidP="00000000" w:rsidRDefault="00000000" w:rsidRPr="00000000" w14:paraId="00000038">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Arial" w:cs="Arial" w:eastAsia="Arial" w:hAnsi="Arial"/>
          <w:b w:val="1"/>
          <w:color w:val="ff0000"/>
          <w:sz w:val="24"/>
          <w:szCs w:val="24"/>
        </w:rPr>
      </w:pPr>
      <w:r w:rsidDel="00000000" w:rsidR="00000000" w:rsidRPr="00000000">
        <w:rPr>
          <w:rtl w:val="0"/>
        </w:rPr>
      </w:r>
    </w:p>
    <w:p w:rsidR="00000000" w:rsidDel="00000000" w:rsidP="00000000" w:rsidRDefault="00000000" w:rsidRPr="00000000" w14:paraId="0000003A">
      <w:pPr>
        <w:pStyle w:val="Heading1"/>
        <w:spacing w:line="360" w:lineRule="auto"/>
        <w:jc w:val="both"/>
        <w:rPr>
          <w:rFonts w:ascii="Arial" w:cs="Arial" w:eastAsia="Arial" w:hAnsi="Arial"/>
          <w:b w:val="1"/>
          <w:color w:val="000000"/>
          <w:sz w:val="24"/>
          <w:szCs w:val="24"/>
        </w:rPr>
      </w:pPr>
      <w:bookmarkStart w:colFirst="0" w:colLast="0" w:name="_heading=h.3znysh7" w:id="30"/>
      <w:bookmarkEnd w:id="30"/>
      <w:r w:rsidDel="00000000" w:rsidR="00000000" w:rsidRPr="00000000">
        <w:rPr>
          <w:rFonts w:ascii="Arial" w:cs="Arial" w:eastAsia="Arial" w:hAnsi="Arial"/>
          <w:b w:val="1"/>
          <w:color w:val="000000"/>
          <w:sz w:val="24"/>
          <w:szCs w:val="24"/>
          <w:rtl w:val="0"/>
        </w:rPr>
        <w:t xml:space="preserve">2.2 Method</w:t>
      </w:r>
    </w:p>
    <w:p w:rsidR="00000000" w:rsidDel="00000000" w:rsidP="00000000" w:rsidRDefault="00000000" w:rsidRPr="00000000" w14:paraId="0000003B">
      <w:pPr>
        <w:rPr>
          <w:rFonts w:ascii="Arial" w:cs="Arial" w:eastAsia="Arial" w:hAnsi="Arial"/>
        </w:rPr>
      </w:pPr>
      <w:r w:rsidDel="00000000" w:rsidR="00000000" w:rsidRPr="00000000">
        <w:rPr>
          <w:rtl w:val="0"/>
        </w:rPr>
      </w:r>
    </w:p>
    <w:p w:rsidR="00000000" w:rsidDel="00000000" w:rsidP="00000000" w:rsidRDefault="00000000" w:rsidRPr="00000000" w14:paraId="0000003C">
      <w:pPr>
        <w:spacing w:after="200" w:line="360" w:lineRule="auto"/>
        <w:jc w:val="both"/>
        <w:rPr>
          <w:rFonts w:ascii="Arial" w:cs="Arial" w:eastAsia="Arial" w:hAnsi="Arial"/>
          <w:sz w:val="24"/>
          <w:szCs w:val="24"/>
          <w:highlight w:val="white"/>
        </w:rPr>
      </w:pPr>
      <w:bookmarkStart w:colFirst="0" w:colLast="0" w:name="_heading=h.imoy6s4x0y1u" w:id="31"/>
      <w:bookmarkEnd w:id="31"/>
      <w:r w:rsidDel="00000000" w:rsidR="00000000" w:rsidRPr="00000000">
        <w:rPr>
          <w:rFonts w:ascii="Arial" w:cs="Arial" w:eastAsia="Arial" w:hAnsi="Arial"/>
          <w:sz w:val="24"/>
          <w:szCs w:val="24"/>
          <w:highlight w:val="white"/>
          <w:rtl w:val="0"/>
        </w:rPr>
        <w:t xml:space="preserve">The research used a mixed method approach by incorporating qualitative and quantitative methods through engaging respondents’ opinions and attitudes towards the undertaken study. Qualitative  research allows the researcher to  look  for answers to certain questions by gathering evidence with systematically predefined procedures such as face-face interviews and case study (Johnson and christensen, 2019). Whereas, quantitative research is a more subjective form of research that can be studied in an unbiased manner. (Ibid).</w:t>
      </w:r>
    </w:p>
    <w:p w:rsidR="00000000" w:rsidDel="00000000" w:rsidP="00000000" w:rsidRDefault="00000000" w:rsidRPr="00000000" w14:paraId="0000003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researcher employed questionnaires and interview schedules to collect data from the respondents. A</w:t>
      </w:r>
      <w:r w:rsidDel="00000000" w:rsidR="00000000" w:rsidRPr="00000000">
        <w:rPr>
          <w:rFonts w:ascii="Arial" w:cs="Arial" w:eastAsia="Arial" w:hAnsi="Arial"/>
          <w:sz w:val="24"/>
          <w:szCs w:val="24"/>
          <w:highlight w:val="white"/>
          <w:rtl w:val="0"/>
        </w:rPr>
        <w:t xml:space="preserve"> research instrument is a tool used to obtain, measure, and analyze data from subjects around the research topic (</w:t>
      </w:r>
      <w:r w:rsidDel="00000000" w:rsidR="00000000" w:rsidRPr="00000000">
        <w:rPr>
          <w:rFonts w:ascii="Arial" w:cs="Arial" w:eastAsia="Arial" w:hAnsi="Arial"/>
          <w:sz w:val="24"/>
          <w:szCs w:val="24"/>
          <w:rtl w:val="0"/>
        </w:rPr>
        <w:t xml:space="preserve">Tobi, 2018)</w:t>
      </w:r>
      <w:r w:rsidDel="00000000" w:rsidR="00000000" w:rsidRPr="00000000">
        <w:rPr>
          <w:rFonts w:ascii="Arial" w:cs="Arial" w:eastAsia="Arial" w:hAnsi="Arial"/>
          <w:sz w:val="24"/>
          <w:szCs w:val="24"/>
          <w:highlight w:val="white"/>
          <w:rtl w:val="0"/>
        </w:rPr>
        <w:t xml:space="preserve">. This study used questionnaires and interviews.</w:t>
      </w:r>
      <w:r w:rsidDel="00000000" w:rsidR="00000000" w:rsidRPr="00000000">
        <w:rPr>
          <w:rFonts w:ascii="Arial" w:cs="Arial" w:eastAsia="Arial" w:hAnsi="Arial"/>
          <w:sz w:val="24"/>
          <w:szCs w:val="24"/>
          <w:rtl w:val="0"/>
        </w:rPr>
        <w:t xml:space="preserve"> Questionnaires are one of the most affordable ways to gather quantitative data. According to Johnson (2019)</w:t>
      </w:r>
      <w:r w:rsidDel="00000000" w:rsidR="00000000" w:rsidRPr="00000000">
        <w:rPr>
          <w:rFonts w:ascii="Arial" w:cs="Arial" w:eastAsia="Arial" w:hAnsi="Arial"/>
          <w:sz w:val="24"/>
          <w:szCs w:val="24"/>
          <w:highlight w:val="white"/>
          <w:rtl w:val="0"/>
        </w:rPr>
        <w:t xml:space="preserve">, q</w:t>
      </w:r>
      <w:r w:rsidDel="00000000" w:rsidR="00000000" w:rsidRPr="00000000">
        <w:rPr>
          <w:rFonts w:ascii="Arial" w:cs="Arial" w:eastAsia="Arial" w:hAnsi="Arial"/>
          <w:sz w:val="24"/>
          <w:szCs w:val="24"/>
          <w:rtl w:val="0"/>
        </w:rPr>
        <w:t xml:space="preserve">uestionnaires  is a self-report data collection instrument that research participants filled out as part of the research study. Furthermore, Questionnaires are  a practical way to gather data as they can be targeted to groups of the researcher's choice and managed in various ways. </w:t>
      </w:r>
    </w:p>
    <w:p w:rsidR="00000000" w:rsidDel="00000000" w:rsidP="00000000" w:rsidRDefault="00000000" w:rsidRPr="00000000" w14:paraId="0000003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participants were recruited using email where they were asked to fill out the questionnaire. The questions asked  were, what do they think about technology and how can we improve technology?. once the participant completed the questionnaire. They were asked by the researchers to send it back by email. The study used </w:t>
      </w:r>
      <w:r w:rsidDel="00000000" w:rsidR="00000000" w:rsidRPr="00000000">
        <w:rPr>
          <w:rFonts w:ascii="Arial" w:cs="Arial" w:eastAsia="Arial" w:hAnsi="Arial"/>
          <w:sz w:val="24"/>
          <w:szCs w:val="24"/>
          <w:highlight w:val="white"/>
          <w:rtl w:val="0"/>
        </w:rPr>
        <w:t xml:space="preserve"> </w:t>
      </w:r>
      <w:hyperlink r:id="rId7">
        <w:r w:rsidDel="00000000" w:rsidR="00000000" w:rsidRPr="00000000">
          <w:rPr>
            <w:rFonts w:ascii="Arial" w:cs="Arial" w:eastAsia="Arial" w:hAnsi="Arial"/>
            <w:sz w:val="24"/>
            <w:szCs w:val="24"/>
            <w:highlight w:val="white"/>
            <w:rtl w:val="0"/>
          </w:rPr>
          <w:t xml:space="preserve">close-ended </w:t>
        </w:r>
      </w:hyperlink>
      <w:r w:rsidDel="00000000" w:rsidR="00000000" w:rsidRPr="00000000">
        <w:rPr>
          <w:rFonts w:ascii="Arial" w:cs="Arial" w:eastAsia="Arial" w:hAnsi="Arial"/>
          <w:sz w:val="24"/>
          <w:szCs w:val="24"/>
          <w:highlight w:val="white"/>
          <w:rtl w:val="0"/>
        </w:rPr>
        <w:t xml:space="preserve">and </w:t>
      </w:r>
      <w:hyperlink r:id="rId8">
        <w:r w:rsidDel="00000000" w:rsidR="00000000" w:rsidRPr="00000000">
          <w:rPr>
            <w:rFonts w:ascii="Arial" w:cs="Arial" w:eastAsia="Arial" w:hAnsi="Arial"/>
            <w:sz w:val="24"/>
            <w:szCs w:val="24"/>
            <w:highlight w:val="white"/>
            <w:rtl w:val="0"/>
          </w:rPr>
          <w:t xml:space="preserve">open-ended question</w:t>
        </w:r>
      </w:hyperlink>
      <w:r w:rsidDel="00000000" w:rsidR="00000000" w:rsidRPr="00000000">
        <w:rPr>
          <w:rFonts w:ascii="Arial" w:cs="Arial" w:eastAsia="Arial" w:hAnsi="Arial"/>
          <w:sz w:val="24"/>
          <w:szCs w:val="24"/>
          <w:rtl w:val="0"/>
        </w:rPr>
        <w:t xml:space="preserve">s. Closed ended questions  allow the respondents to select between a limited number of answers. whereas, open-ended questions allow the respondents to use their discretion in providing answers to the questions asked which are written down </w:t>
      </w:r>
    </w:p>
    <w:p w:rsidR="00000000" w:rsidDel="00000000" w:rsidP="00000000" w:rsidRDefault="00000000" w:rsidRPr="00000000" w14:paraId="0000003F">
      <w:pPr>
        <w:pStyle w:val="Heading3"/>
        <w:spacing w:line="360" w:lineRule="auto"/>
        <w:jc w:val="both"/>
        <w:rPr>
          <w:rFonts w:ascii="Arial" w:cs="Arial" w:eastAsia="Arial" w:hAnsi="Arial"/>
          <w:color w:val="000000"/>
          <w:sz w:val="24"/>
          <w:szCs w:val="24"/>
        </w:rPr>
      </w:pPr>
      <w:bookmarkStart w:colFirst="0" w:colLast="0" w:name="_heading=h.31c9p5dg0qzs" w:id="32"/>
      <w:bookmarkEnd w:id="32"/>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i w:val="0"/>
          <w:smallCaps w:val="0"/>
          <w:strike w:val="0"/>
          <w:sz w:val="24"/>
          <w:szCs w:val="24"/>
          <w:highlight w:val="white"/>
          <w:u w:val="none"/>
          <w:vertAlign w:val="baseline"/>
        </w:rPr>
      </w:pPr>
      <w:r w:rsidDel="00000000" w:rsidR="00000000" w:rsidRPr="00000000">
        <w:rPr>
          <w:rFonts w:ascii="Arial" w:cs="Arial" w:eastAsia="Arial" w:hAnsi="Arial"/>
          <w:i w:val="0"/>
          <w:smallCaps w:val="0"/>
          <w:strike w:val="0"/>
          <w:sz w:val="24"/>
          <w:szCs w:val="24"/>
          <w:u w:val="none"/>
          <w:shd w:fill="auto" w:val="clear"/>
          <w:vertAlign w:val="baseline"/>
          <w:rtl w:val="0"/>
        </w:rPr>
        <w:t xml:space="preserve">An interview is a systematic way of talking and listening to people and is another way of collecting data from individuals through conversations (Polak, 2017).</w:t>
      </w:r>
      <w:r w:rsidDel="00000000" w:rsidR="00000000" w:rsidRPr="00000000">
        <w:rPr>
          <w:rFonts w:ascii="Arial" w:cs="Arial" w:eastAsia="Arial" w:hAnsi="Arial"/>
          <w:i w:val="0"/>
          <w:smallCaps w:val="0"/>
          <w:strike w:val="0"/>
          <w:sz w:val="24"/>
          <w:szCs w:val="24"/>
          <w:highlight w:val="white"/>
          <w:u w:val="none"/>
          <w:vertAlign w:val="baseline"/>
          <w:rtl w:val="0"/>
        </w:rPr>
        <w:t xml:space="preserve"> An interview is possible to reach a large number of people at the same time. Secondly, a representative sample is possible and questions and </w:t>
      </w:r>
      <w:r w:rsidDel="00000000" w:rsidR="00000000" w:rsidRPr="00000000">
        <w:rPr>
          <w:rFonts w:ascii="Arial" w:cs="Arial" w:eastAsia="Arial" w:hAnsi="Arial"/>
          <w:sz w:val="24"/>
          <w:szCs w:val="24"/>
          <w:highlight w:val="white"/>
          <w:rtl w:val="0"/>
        </w:rPr>
        <w:t xml:space="preserve">answers</w:t>
      </w:r>
      <w:r w:rsidDel="00000000" w:rsidR="00000000" w:rsidRPr="00000000">
        <w:rPr>
          <w:rFonts w:ascii="Arial" w:cs="Arial" w:eastAsia="Arial" w:hAnsi="Arial"/>
          <w:i w:val="0"/>
          <w:smallCaps w:val="0"/>
          <w:strike w:val="0"/>
          <w:sz w:val="24"/>
          <w:szCs w:val="24"/>
          <w:highlight w:val="white"/>
          <w:u w:val="none"/>
          <w:vertAlign w:val="baseline"/>
          <w:rtl w:val="0"/>
        </w:rPr>
        <w:t xml:space="preserve"> could be </w:t>
      </w:r>
      <w:r w:rsidDel="00000000" w:rsidR="00000000" w:rsidRPr="00000000">
        <w:rPr>
          <w:rFonts w:ascii="Arial" w:cs="Arial" w:eastAsia="Arial" w:hAnsi="Arial"/>
          <w:sz w:val="24"/>
          <w:szCs w:val="24"/>
          <w:highlight w:val="white"/>
          <w:rtl w:val="0"/>
        </w:rPr>
        <w:t xml:space="preserve">modeled</w:t>
      </w:r>
      <w:r w:rsidDel="00000000" w:rsidR="00000000" w:rsidRPr="00000000">
        <w:rPr>
          <w:rFonts w:ascii="Arial" w:cs="Arial" w:eastAsia="Arial" w:hAnsi="Arial"/>
          <w:i w:val="0"/>
          <w:smallCaps w:val="0"/>
          <w:strike w:val="0"/>
          <w:sz w:val="24"/>
          <w:szCs w:val="24"/>
          <w:highlight w:val="white"/>
          <w:u w:val="none"/>
          <w:vertAlign w:val="baseline"/>
          <w:rtl w:val="0"/>
        </w:rPr>
        <w:t xml:space="preserve"> on such samples and models. The respondents feel more confident in answering through such a process and finally, a large population base could be reached within a short period (Polak, 2017).</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 </w:t>
      </w: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highlight w:val="white"/>
          <w:u w:val="none"/>
          <w:vertAlign w:val="baseline"/>
        </w:rPr>
      </w:pPr>
      <w:r w:rsidDel="00000000" w:rsidR="00000000" w:rsidRPr="00000000">
        <w:rPr>
          <w:rFonts w:ascii="Arial" w:cs="Arial" w:eastAsia="Arial" w:hAnsi="Arial"/>
          <w:b w:val="1"/>
          <w:i w:val="0"/>
          <w:smallCaps w:val="0"/>
          <w:strike w:val="0"/>
          <w:color w:val="000000"/>
          <w:sz w:val="24"/>
          <w:szCs w:val="24"/>
          <w:highlight w:val="white"/>
          <w:u w:val="none"/>
          <w:vertAlign w:val="baseline"/>
          <w:rtl w:val="0"/>
        </w:rPr>
        <w:t xml:space="preserve">2.3 Ethical consideration</w:t>
      </w:r>
    </w:p>
    <w:p w:rsidR="00000000" w:rsidDel="00000000" w:rsidP="00000000" w:rsidRDefault="00000000" w:rsidRPr="00000000" w14:paraId="0000004F">
      <w:pPr>
        <w:tabs>
          <w:tab w:val="left" w:pos="180"/>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Research ethics involve requirements on daily work, the protection of the dignity of matters and the publication of the information in the research. Therefore, this research made sure that the participants were guaranteed dignity,  confidentiality and informed consent  in all aspects of the study that was conducted. According to Rentz, M and Von Hoene, A.N.N.E (2010), crucial to keep balance between potential risk and benefit of research. The ethical approval was granted by the University of Wales Trinity Saint David and it was a presentation done by the students.</w:t>
      </w:r>
    </w:p>
    <w:p w:rsidR="00000000" w:rsidDel="00000000" w:rsidP="00000000" w:rsidRDefault="00000000" w:rsidRPr="00000000" w14:paraId="00000050">
      <w:pPr>
        <w:pStyle w:val="Heading1"/>
        <w:numPr>
          <w:ilvl w:val="0"/>
          <w:numId w:val="1"/>
        </w:numPr>
        <w:spacing w:before="480" w:line="360" w:lineRule="auto"/>
        <w:ind w:left="720" w:hanging="360"/>
        <w:jc w:val="both"/>
        <w:rPr>
          <w:rFonts w:ascii="Arial" w:cs="Arial" w:eastAsia="Arial" w:hAnsi="Arial"/>
          <w:b w:val="1"/>
          <w:color w:val="000000"/>
          <w:sz w:val="24"/>
          <w:szCs w:val="24"/>
        </w:rPr>
      </w:pPr>
      <w:bookmarkStart w:colFirst="0" w:colLast="0" w:name="_heading=h.3dy6vkm" w:id="33"/>
      <w:bookmarkEnd w:id="33"/>
      <w:r w:rsidDel="00000000" w:rsidR="00000000" w:rsidRPr="00000000">
        <w:rPr>
          <w:rFonts w:ascii="Arial" w:cs="Arial" w:eastAsia="Arial" w:hAnsi="Arial"/>
          <w:b w:val="1"/>
          <w:color w:val="000000"/>
          <w:sz w:val="24"/>
          <w:szCs w:val="24"/>
          <w:rtl w:val="0"/>
        </w:rPr>
        <w:t xml:space="preserve">Informed consent</w:t>
      </w:r>
    </w:p>
    <w:p w:rsidR="00000000" w:rsidDel="00000000" w:rsidP="00000000" w:rsidRDefault="00000000" w:rsidRPr="00000000" w14:paraId="00000051">
      <w:pPr>
        <w:tabs>
          <w:tab w:val="left" w:pos="180"/>
        </w:tabs>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sz w:val="24"/>
          <w:szCs w:val="24"/>
          <w:rtl w:val="0"/>
        </w:rPr>
        <w:t xml:space="preserve">Informed consent is the major ethical issue in conducting research. The researcher understands that informed consent is a way that includes a person knowingly, voluntarily and intelligently, and clearly and manifestly, gives his consent. Informed consent seeks to incorporate the rights of independent individuals through self-determination.</w:t>
      </w:r>
      <w:r w:rsidDel="00000000" w:rsidR="00000000" w:rsidRPr="00000000">
        <w:rPr>
          <w:rFonts w:ascii="Arial" w:cs="Arial" w:eastAsia="Arial" w:hAnsi="Arial"/>
          <w:b w:val="1"/>
          <w:sz w:val="24"/>
          <w:szCs w:val="24"/>
          <w:rtl w:val="0"/>
        </w:rPr>
        <w:t xml:space="preserve"> </w:t>
      </w:r>
    </w:p>
    <w:p w:rsidR="00000000" w:rsidDel="00000000" w:rsidP="00000000" w:rsidRDefault="00000000" w:rsidRPr="00000000" w14:paraId="00000052">
      <w:pPr>
        <w:pStyle w:val="Heading1"/>
        <w:numPr>
          <w:ilvl w:val="0"/>
          <w:numId w:val="1"/>
        </w:numPr>
        <w:spacing w:before="480" w:line="360" w:lineRule="auto"/>
        <w:ind w:left="720" w:hanging="360"/>
        <w:jc w:val="both"/>
        <w:rPr>
          <w:rFonts w:ascii="Arial" w:cs="Arial" w:eastAsia="Arial" w:hAnsi="Arial"/>
          <w:b w:val="1"/>
          <w:color w:val="000000"/>
          <w:sz w:val="24"/>
          <w:szCs w:val="24"/>
        </w:rPr>
      </w:pPr>
      <w:bookmarkStart w:colFirst="0" w:colLast="0" w:name="_heading=h.1t3h5sf" w:id="34"/>
      <w:bookmarkEnd w:id="34"/>
      <w:r w:rsidDel="00000000" w:rsidR="00000000" w:rsidRPr="00000000">
        <w:rPr>
          <w:rFonts w:ascii="Arial" w:cs="Arial" w:eastAsia="Arial" w:hAnsi="Arial"/>
          <w:b w:val="1"/>
          <w:color w:val="000000"/>
          <w:sz w:val="24"/>
          <w:szCs w:val="24"/>
          <w:rtl w:val="0"/>
        </w:rPr>
        <w:t xml:space="preserve">Respect for anonymity and confidentiality</w:t>
      </w:r>
    </w:p>
    <w:p w:rsidR="00000000" w:rsidDel="00000000" w:rsidP="00000000" w:rsidRDefault="00000000" w:rsidRPr="00000000" w14:paraId="00000053">
      <w:pPr>
        <w:tabs>
          <w:tab w:val="left" w:pos="180"/>
        </w:tabs>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issue of confidentiality and anonymity is closely connected with the rights of beneficence, respect for dignity and fidelity. Anonymity is protected when the subject's identity cannot be linked with personal responses. If the researcher is not able to promise anonymity he has to address confidentiality. In the undertaken study, the researcher assured that anonymity and confidentiality have been maintained.</w:t>
      </w:r>
    </w:p>
    <w:p w:rsidR="00000000" w:rsidDel="00000000" w:rsidP="00000000" w:rsidRDefault="00000000" w:rsidRPr="00000000" w14:paraId="00000054">
      <w:pPr>
        <w:pStyle w:val="Heading1"/>
        <w:numPr>
          <w:ilvl w:val="0"/>
          <w:numId w:val="1"/>
        </w:numPr>
        <w:spacing w:before="480" w:line="360" w:lineRule="auto"/>
        <w:ind w:left="720" w:hanging="360"/>
        <w:jc w:val="both"/>
        <w:rPr>
          <w:rFonts w:ascii="Arial" w:cs="Arial" w:eastAsia="Arial" w:hAnsi="Arial"/>
          <w:b w:val="1"/>
          <w:color w:val="000000"/>
          <w:sz w:val="24"/>
          <w:szCs w:val="24"/>
        </w:rPr>
      </w:pPr>
      <w:bookmarkStart w:colFirst="0" w:colLast="0" w:name="_heading=h.4d34og8" w:id="35"/>
      <w:bookmarkEnd w:id="35"/>
      <w:r w:rsidDel="00000000" w:rsidR="00000000" w:rsidRPr="00000000">
        <w:rPr>
          <w:rFonts w:ascii="Arial" w:cs="Arial" w:eastAsia="Arial" w:hAnsi="Arial"/>
          <w:b w:val="1"/>
          <w:color w:val="000000"/>
          <w:sz w:val="24"/>
          <w:szCs w:val="24"/>
          <w:rtl w:val="0"/>
        </w:rPr>
        <w:t xml:space="preserve">Respect for privacy</w:t>
      </w:r>
    </w:p>
    <w:p w:rsidR="00000000" w:rsidDel="00000000" w:rsidP="00000000" w:rsidRDefault="00000000" w:rsidRPr="00000000" w14:paraId="00000055">
      <w:pPr>
        <w:tabs>
          <w:tab w:val="left" w:pos="180"/>
        </w:tabs>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Privacy is the freedom an individual has to determine the time, extent, and general circumstances under which private information is shared with or withheld from others. The researcher ensured that the privacies of respondents were maintained.</w:t>
      </w:r>
    </w:p>
    <w:p w:rsidR="00000000" w:rsidDel="00000000" w:rsidP="00000000" w:rsidRDefault="00000000" w:rsidRPr="00000000" w14:paraId="00000056">
      <w:pPr>
        <w:pStyle w:val="Heading1"/>
        <w:spacing w:line="360" w:lineRule="auto"/>
        <w:jc w:val="both"/>
        <w:rPr>
          <w:rFonts w:ascii="Arial" w:cs="Arial" w:eastAsia="Arial" w:hAnsi="Arial"/>
          <w:b w:val="1"/>
          <w:color w:val="000000"/>
          <w:sz w:val="24"/>
          <w:szCs w:val="24"/>
        </w:rPr>
      </w:pPr>
      <w:bookmarkStart w:colFirst="0" w:colLast="0" w:name="_heading=h.2s8eyo1" w:id="36"/>
      <w:bookmarkEnd w:id="36"/>
      <w:r w:rsidDel="00000000" w:rsidR="00000000" w:rsidRPr="00000000">
        <w:rPr>
          <w:rFonts w:ascii="Arial" w:cs="Arial" w:eastAsia="Arial" w:hAnsi="Arial"/>
          <w:b w:val="1"/>
          <w:color w:val="000000"/>
          <w:sz w:val="24"/>
          <w:szCs w:val="24"/>
          <w:rtl w:val="0"/>
        </w:rPr>
        <w:t xml:space="preserve">3. Results</w:t>
      </w:r>
    </w:p>
    <w:p w:rsidR="00000000" w:rsidDel="00000000" w:rsidP="00000000" w:rsidRDefault="00000000" w:rsidRPr="00000000" w14:paraId="00000057">
      <w:pPr>
        <w:tabs>
          <w:tab w:val="left" w:pos="180"/>
        </w:tabs>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sz w:val="24"/>
          <w:szCs w:val="24"/>
          <w:rtl w:val="0"/>
        </w:rPr>
        <w:t xml:space="preserve">The results</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sz w:val="24"/>
          <w:szCs w:val="24"/>
          <w:rtl w:val="0"/>
        </w:rPr>
        <w:t xml:space="preserve">interpret and present data as per respondent’s participation in the undertaken study.</w:t>
      </w:r>
      <w:r w:rsidDel="00000000" w:rsidR="00000000" w:rsidRPr="00000000">
        <w:rPr>
          <w:rtl w:val="0"/>
        </w:rPr>
      </w:r>
    </w:p>
    <w:p w:rsidR="00000000" w:rsidDel="00000000" w:rsidP="00000000" w:rsidRDefault="00000000" w:rsidRPr="00000000" w14:paraId="00000058">
      <w:pPr>
        <w:pStyle w:val="Heading4"/>
        <w:spacing w:line="360" w:lineRule="auto"/>
        <w:jc w:val="both"/>
        <w:rPr>
          <w:rFonts w:ascii="Arial" w:cs="Arial" w:eastAsia="Arial" w:hAnsi="Arial"/>
          <w:b w:val="1"/>
          <w:i w:val="0"/>
          <w:color w:val="000000"/>
          <w:sz w:val="24"/>
          <w:szCs w:val="24"/>
        </w:rPr>
      </w:pPr>
      <w:bookmarkStart w:colFirst="0" w:colLast="0" w:name="_heading=h.17dp8vu" w:id="37"/>
      <w:bookmarkEnd w:id="37"/>
      <w:r w:rsidDel="00000000" w:rsidR="00000000" w:rsidRPr="00000000">
        <w:rPr>
          <w:rFonts w:ascii="Arial" w:cs="Arial" w:eastAsia="Arial" w:hAnsi="Arial"/>
          <w:b w:val="1"/>
          <w:i w:val="0"/>
          <w:color w:val="000000"/>
          <w:sz w:val="24"/>
          <w:szCs w:val="24"/>
          <w:rtl w:val="0"/>
        </w:rPr>
        <w:t xml:space="preserve">Respondents’ demographic information </w:t>
      </w:r>
    </w:p>
    <w:p w:rsidR="00000000" w:rsidDel="00000000" w:rsidP="00000000" w:rsidRDefault="00000000" w:rsidRPr="00000000" w14:paraId="00000059">
      <w:pPr>
        <w:pStyle w:val="Heading4"/>
        <w:spacing w:line="360" w:lineRule="auto"/>
        <w:jc w:val="both"/>
        <w:rPr>
          <w:rFonts w:ascii="Arial" w:cs="Arial" w:eastAsia="Arial" w:hAnsi="Arial"/>
          <w:b w:val="1"/>
          <w:i w:val="0"/>
          <w:color w:val="000000"/>
          <w:sz w:val="24"/>
          <w:szCs w:val="24"/>
        </w:rPr>
      </w:pPr>
      <w:r w:rsidDel="00000000" w:rsidR="00000000" w:rsidRPr="00000000">
        <w:rPr>
          <w:rFonts w:ascii="Arial" w:cs="Arial" w:eastAsia="Arial" w:hAnsi="Arial"/>
          <w:b w:val="1"/>
          <w:i w:val="0"/>
          <w:color w:val="000000"/>
          <w:sz w:val="24"/>
          <w:szCs w:val="24"/>
          <w:rtl w:val="0"/>
        </w:rPr>
        <w:t xml:space="preserve">3.1 Table 3.1 represents respondents’ gender</w:t>
      </w:r>
    </w:p>
    <w:tbl>
      <w:tblPr>
        <w:tblStyle w:val="Table1"/>
        <w:tblW w:w="9350.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00"/>
      </w:tblPr>
      <w:tblGrid>
        <w:gridCol w:w="3115"/>
        <w:gridCol w:w="3112"/>
        <w:gridCol w:w="3123"/>
        <w:tblGridChange w:id="0">
          <w:tblGrid>
            <w:gridCol w:w="3115"/>
            <w:gridCol w:w="3112"/>
            <w:gridCol w:w="3123"/>
          </w:tblGrid>
        </w:tblGridChange>
      </w:tblGrid>
      <w:tr>
        <w:trPr>
          <w:cantSplit w:val="0"/>
          <w:tblHeader w:val="0"/>
        </w:trPr>
        <w:tc>
          <w:tcPr/>
          <w:p w:rsidR="00000000" w:rsidDel="00000000" w:rsidP="00000000" w:rsidRDefault="00000000" w:rsidRPr="00000000" w14:paraId="0000005A">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Respondents gender</w:t>
            </w:r>
          </w:p>
        </w:tc>
        <w:tc>
          <w:tcPr/>
          <w:p w:rsidR="00000000" w:rsidDel="00000000" w:rsidP="00000000" w:rsidRDefault="00000000" w:rsidRPr="00000000" w14:paraId="0000005B">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Number of respondents</w:t>
            </w:r>
          </w:p>
        </w:tc>
        <w:tc>
          <w:tcPr/>
          <w:p w:rsidR="00000000" w:rsidDel="00000000" w:rsidP="00000000" w:rsidRDefault="00000000" w:rsidRPr="00000000" w14:paraId="0000005C">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Percentages%</w:t>
            </w:r>
          </w:p>
        </w:tc>
      </w:tr>
      <w:tr>
        <w:trPr>
          <w:cantSplit w:val="0"/>
          <w:tblHeader w:val="0"/>
        </w:trPr>
        <w:tc>
          <w:tcPr/>
          <w:p w:rsidR="00000000" w:rsidDel="00000000" w:rsidP="00000000" w:rsidRDefault="00000000" w:rsidRPr="00000000" w14:paraId="0000005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Females  </w:t>
            </w:r>
          </w:p>
        </w:tc>
        <w:tc>
          <w:tcPr/>
          <w:p w:rsidR="00000000" w:rsidDel="00000000" w:rsidP="00000000" w:rsidRDefault="00000000" w:rsidRPr="00000000" w14:paraId="0000005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c>
          <w:tcPr/>
          <w:p w:rsidR="00000000" w:rsidDel="00000000" w:rsidP="00000000" w:rsidRDefault="00000000" w:rsidRPr="00000000" w14:paraId="0000005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80%</w:t>
            </w:r>
          </w:p>
        </w:tc>
      </w:tr>
      <w:tr>
        <w:trPr>
          <w:cantSplit w:val="0"/>
          <w:tblHeader w:val="0"/>
        </w:trPr>
        <w:tc>
          <w:tcPr/>
          <w:p w:rsidR="00000000" w:rsidDel="00000000" w:rsidP="00000000" w:rsidRDefault="00000000" w:rsidRPr="00000000" w14:paraId="0000006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Males  </w:t>
            </w:r>
          </w:p>
        </w:tc>
        <w:tc>
          <w:tcPr/>
          <w:p w:rsidR="00000000" w:rsidDel="00000000" w:rsidP="00000000" w:rsidRDefault="00000000" w:rsidRPr="00000000" w14:paraId="0000006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p w:rsidR="00000000" w:rsidDel="00000000" w:rsidP="00000000" w:rsidRDefault="00000000" w:rsidRPr="00000000" w14:paraId="0000006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w:t>
            </w:r>
          </w:p>
        </w:tc>
      </w:tr>
      <w:tr>
        <w:trPr>
          <w:cantSplit w:val="0"/>
          <w:tblHeader w:val="0"/>
        </w:trPr>
        <w:tc>
          <w:tcPr/>
          <w:p w:rsidR="00000000" w:rsidDel="00000000" w:rsidP="00000000" w:rsidRDefault="00000000" w:rsidRPr="00000000" w14:paraId="00000063">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Total </w:t>
            </w:r>
          </w:p>
        </w:tc>
        <w:tc>
          <w:tcPr/>
          <w:p w:rsidR="00000000" w:rsidDel="00000000" w:rsidP="00000000" w:rsidRDefault="00000000" w:rsidRPr="00000000" w14:paraId="00000064">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N=20</w:t>
            </w:r>
          </w:p>
        </w:tc>
        <w:tc>
          <w:tcPr/>
          <w:p w:rsidR="00000000" w:rsidDel="00000000" w:rsidP="00000000" w:rsidRDefault="00000000" w:rsidRPr="00000000" w14:paraId="00000065">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100%</w:t>
            </w:r>
          </w:p>
        </w:tc>
      </w:tr>
    </w:tbl>
    <w:p w:rsidR="00000000" w:rsidDel="00000000" w:rsidP="00000000" w:rsidRDefault="00000000" w:rsidRPr="00000000" w14:paraId="0000006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7">
      <w:pPr>
        <w:pStyle w:val="Heading4"/>
        <w:spacing w:line="360" w:lineRule="auto"/>
        <w:jc w:val="both"/>
        <w:rPr>
          <w:rFonts w:ascii="Arial" w:cs="Arial" w:eastAsia="Arial" w:hAnsi="Arial"/>
          <w:b w:val="1"/>
          <w:i w:val="0"/>
          <w:color w:val="000000"/>
          <w:sz w:val="24"/>
          <w:szCs w:val="24"/>
        </w:rPr>
      </w:pPr>
      <w:bookmarkStart w:colFirst="0" w:colLast="0" w:name="_heading=h.3rdcrjn" w:id="38"/>
      <w:bookmarkEnd w:id="38"/>
      <w:r w:rsidDel="00000000" w:rsidR="00000000" w:rsidRPr="00000000">
        <w:rPr>
          <w:rFonts w:ascii="Arial" w:cs="Arial" w:eastAsia="Arial" w:hAnsi="Arial"/>
          <w:b w:val="1"/>
          <w:i w:val="0"/>
          <w:color w:val="000000"/>
          <w:sz w:val="24"/>
          <w:szCs w:val="24"/>
          <w:rtl w:val="0"/>
        </w:rPr>
        <w:t xml:space="preserve">3.1.1 Figure 3.1.1. Represents respondents’ gender</w:t>
      </w:r>
    </w:p>
    <w:p w:rsidR="00000000" w:rsidDel="00000000" w:rsidP="00000000" w:rsidRDefault="00000000" w:rsidRPr="00000000" w14:paraId="0000006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9">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Pr>
        <w:drawing>
          <wp:inline distB="0" distT="0" distL="0" distR="0">
            <wp:extent cx="6019800" cy="2504661"/>
            <wp:docPr id="7" name=""/>
            <a:graphic>
              <a:graphicData uri="http://schemas.openxmlformats.org/drawingml/2006/chart">
                <c:chart r:id="rId9"/>
              </a:graphicData>
            </a:graphic>
          </wp:inline>
        </w:drawing>
      </w: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06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table 3.1 and figure 3.1.1 twenty respondents participated in the undertaken study. 16 respondents were females and scored 80% whereas males respondents scored 20%. In all, females’ respondents outnumbered males’ respondents.</w:t>
      </w:r>
    </w:p>
    <w:p w:rsidR="00000000" w:rsidDel="00000000" w:rsidP="00000000" w:rsidRDefault="00000000" w:rsidRPr="00000000" w14:paraId="0000006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D">
      <w:pPr>
        <w:pStyle w:val="Heading4"/>
        <w:spacing w:line="360" w:lineRule="auto"/>
        <w:jc w:val="both"/>
        <w:rPr>
          <w:rFonts w:ascii="Arial" w:cs="Arial" w:eastAsia="Arial" w:hAnsi="Arial"/>
          <w:b w:val="1"/>
          <w:i w:val="0"/>
          <w:color w:val="000000"/>
          <w:sz w:val="24"/>
          <w:szCs w:val="24"/>
        </w:rPr>
      </w:pPr>
      <w:bookmarkStart w:colFirst="0" w:colLast="0" w:name="_heading=h.26in1rg" w:id="39"/>
      <w:bookmarkEnd w:id="39"/>
      <w:r w:rsidDel="00000000" w:rsidR="00000000" w:rsidRPr="00000000">
        <w:rPr>
          <w:rFonts w:ascii="Arial" w:cs="Arial" w:eastAsia="Arial" w:hAnsi="Arial"/>
          <w:b w:val="1"/>
          <w:i w:val="0"/>
          <w:color w:val="000000"/>
          <w:sz w:val="24"/>
          <w:szCs w:val="24"/>
          <w:rtl w:val="0"/>
        </w:rPr>
        <w:t xml:space="preserve">3.2 Table 3.2 outlines respondents’ occupation</w:t>
      </w:r>
    </w:p>
    <w:tbl>
      <w:tblPr>
        <w:tblStyle w:val="Table2"/>
        <w:tblW w:w="9359.999999999998"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3119"/>
        <w:gridCol w:w="3122"/>
        <w:gridCol w:w="3119"/>
        <w:tblGridChange w:id="0">
          <w:tblGrid>
            <w:gridCol w:w="3119"/>
            <w:gridCol w:w="3122"/>
            <w:gridCol w:w="3119"/>
          </w:tblGrid>
        </w:tblGridChange>
      </w:tblGrid>
      <w:tr>
        <w:trPr>
          <w:cantSplit w:val="0"/>
          <w:tblHeader w:val="0"/>
        </w:trPr>
        <w:tc>
          <w:tcPr/>
          <w:p w:rsidR="00000000" w:rsidDel="00000000" w:rsidP="00000000" w:rsidRDefault="00000000" w:rsidRPr="00000000" w14:paraId="0000006E">
            <w:pPr>
              <w:spacing w:line="360" w:lineRule="auto"/>
              <w:jc w:val="both"/>
              <w:rPr>
                <w:rFonts w:ascii="Arial" w:cs="Arial" w:eastAsia="Arial" w:hAnsi="Arial"/>
                <w:b w:val="1"/>
                <w:i w:val="0"/>
                <w:sz w:val="24"/>
                <w:szCs w:val="24"/>
              </w:rPr>
            </w:pPr>
            <w:r w:rsidDel="00000000" w:rsidR="00000000" w:rsidRPr="00000000">
              <w:rPr>
                <w:rFonts w:ascii="Arial" w:cs="Arial" w:eastAsia="Arial" w:hAnsi="Arial"/>
                <w:b w:val="1"/>
                <w:i w:val="0"/>
                <w:sz w:val="24"/>
                <w:szCs w:val="24"/>
                <w:rtl w:val="0"/>
              </w:rPr>
              <w:t xml:space="preserve">Respondent  occupation </w:t>
            </w:r>
          </w:p>
        </w:tc>
        <w:tc>
          <w:tcPr/>
          <w:p w:rsidR="00000000" w:rsidDel="00000000" w:rsidP="00000000" w:rsidRDefault="00000000" w:rsidRPr="00000000" w14:paraId="0000006F">
            <w:pPr>
              <w:spacing w:line="360" w:lineRule="auto"/>
              <w:jc w:val="both"/>
              <w:rPr>
                <w:rFonts w:ascii="Arial" w:cs="Arial" w:eastAsia="Arial" w:hAnsi="Arial"/>
                <w:b w:val="1"/>
                <w:i w:val="0"/>
                <w:sz w:val="24"/>
                <w:szCs w:val="24"/>
              </w:rPr>
            </w:pPr>
            <w:r w:rsidDel="00000000" w:rsidR="00000000" w:rsidRPr="00000000">
              <w:rPr>
                <w:rFonts w:ascii="Arial" w:cs="Arial" w:eastAsia="Arial" w:hAnsi="Arial"/>
                <w:b w:val="1"/>
                <w:i w:val="0"/>
                <w:sz w:val="24"/>
                <w:szCs w:val="24"/>
                <w:rtl w:val="0"/>
              </w:rPr>
              <w:t xml:space="preserve">Respondents number</w:t>
            </w:r>
          </w:p>
        </w:tc>
        <w:tc>
          <w:tcPr/>
          <w:p w:rsidR="00000000" w:rsidDel="00000000" w:rsidP="00000000" w:rsidRDefault="00000000" w:rsidRPr="00000000" w14:paraId="00000070">
            <w:pPr>
              <w:spacing w:line="360" w:lineRule="auto"/>
              <w:jc w:val="both"/>
              <w:rPr>
                <w:rFonts w:ascii="Arial" w:cs="Arial" w:eastAsia="Arial" w:hAnsi="Arial"/>
                <w:b w:val="1"/>
                <w:i w:val="0"/>
                <w:sz w:val="24"/>
                <w:szCs w:val="24"/>
              </w:rPr>
            </w:pPr>
            <w:r w:rsidDel="00000000" w:rsidR="00000000" w:rsidRPr="00000000">
              <w:rPr>
                <w:rFonts w:ascii="Arial" w:cs="Arial" w:eastAsia="Arial" w:hAnsi="Arial"/>
                <w:b w:val="1"/>
                <w:i w:val="0"/>
                <w:sz w:val="24"/>
                <w:szCs w:val="24"/>
                <w:rtl w:val="0"/>
              </w:rPr>
              <w:t xml:space="preserve">Percentages </w:t>
            </w:r>
          </w:p>
        </w:tc>
      </w:tr>
      <w:tr>
        <w:trPr>
          <w:cantSplit w:val="0"/>
          <w:tblHeader w:val="0"/>
        </w:trPr>
        <w:tc>
          <w:tcPr/>
          <w:p w:rsidR="00000000" w:rsidDel="00000000" w:rsidP="00000000" w:rsidRDefault="00000000" w:rsidRPr="00000000" w14:paraId="00000071">
            <w:pPr>
              <w:spacing w:line="360" w:lineRule="auto"/>
              <w:jc w:val="both"/>
              <w:rPr>
                <w:rFonts w:ascii="Arial" w:cs="Arial" w:eastAsia="Arial" w:hAnsi="Arial"/>
                <w:i w:val="0"/>
                <w:sz w:val="24"/>
                <w:szCs w:val="24"/>
              </w:rPr>
            </w:pPr>
            <w:r w:rsidDel="00000000" w:rsidR="00000000" w:rsidRPr="00000000">
              <w:rPr>
                <w:rFonts w:ascii="Arial" w:cs="Arial" w:eastAsia="Arial" w:hAnsi="Arial"/>
                <w:i w:val="0"/>
                <w:sz w:val="24"/>
                <w:szCs w:val="24"/>
                <w:rtl w:val="0"/>
              </w:rPr>
              <w:t xml:space="preserve">Students  </w:t>
            </w:r>
          </w:p>
        </w:tc>
        <w:tc>
          <w:tcPr/>
          <w:p w:rsidR="00000000" w:rsidDel="00000000" w:rsidP="00000000" w:rsidRDefault="00000000" w:rsidRPr="00000000" w14:paraId="0000007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w:t>
            </w:r>
          </w:p>
        </w:tc>
        <w:tc>
          <w:tcPr/>
          <w:p w:rsidR="00000000" w:rsidDel="00000000" w:rsidP="00000000" w:rsidRDefault="00000000" w:rsidRPr="00000000" w14:paraId="0000007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75%</w:t>
            </w:r>
          </w:p>
        </w:tc>
      </w:tr>
      <w:tr>
        <w:trPr>
          <w:cantSplit w:val="0"/>
          <w:tblHeader w:val="0"/>
        </w:trPr>
        <w:tc>
          <w:tcPr/>
          <w:p w:rsidR="00000000" w:rsidDel="00000000" w:rsidP="00000000" w:rsidRDefault="00000000" w:rsidRPr="00000000" w14:paraId="00000074">
            <w:pPr>
              <w:spacing w:line="360" w:lineRule="auto"/>
              <w:jc w:val="both"/>
              <w:rPr>
                <w:rFonts w:ascii="Arial" w:cs="Arial" w:eastAsia="Arial" w:hAnsi="Arial"/>
                <w:i w:val="0"/>
                <w:sz w:val="24"/>
                <w:szCs w:val="24"/>
              </w:rPr>
            </w:pPr>
            <w:r w:rsidDel="00000000" w:rsidR="00000000" w:rsidRPr="00000000">
              <w:rPr>
                <w:rFonts w:ascii="Arial" w:cs="Arial" w:eastAsia="Arial" w:hAnsi="Arial"/>
                <w:i w:val="0"/>
                <w:sz w:val="24"/>
                <w:szCs w:val="24"/>
                <w:rtl w:val="0"/>
              </w:rPr>
              <w:t xml:space="preserve">Lecturers </w:t>
            </w:r>
          </w:p>
        </w:tc>
        <w:tc>
          <w:tcPr/>
          <w:p w:rsidR="00000000" w:rsidDel="00000000" w:rsidP="00000000" w:rsidRDefault="00000000" w:rsidRPr="00000000" w14:paraId="0000007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7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27%</w:t>
            </w:r>
          </w:p>
        </w:tc>
      </w:tr>
      <w:tr>
        <w:trPr>
          <w:cantSplit w:val="0"/>
          <w:tblHeader w:val="0"/>
        </w:trPr>
        <w:tc>
          <w:tcPr/>
          <w:p w:rsidR="00000000" w:rsidDel="00000000" w:rsidP="00000000" w:rsidRDefault="00000000" w:rsidRPr="00000000" w14:paraId="00000077">
            <w:pPr>
              <w:spacing w:line="360" w:lineRule="auto"/>
              <w:jc w:val="both"/>
              <w:rPr>
                <w:rFonts w:ascii="Arial" w:cs="Arial" w:eastAsia="Arial" w:hAnsi="Arial"/>
                <w:b w:val="1"/>
                <w:i w:val="0"/>
                <w:sz w:val="24"/>
                <w:szCs w:val="24"/>
              </w:rPr>
            </w:pPr>
            <w:r w:rsidDel="00000000" w:rsidR="00000000" w:rsidRPr="00000000">
              <w:rPr>
                <w:rFonts w:ascii="Arial" w:cs="Arial" w:eastAsia="Arial" w:hAnsi="Arial"/>
                <w:b w:val="1"/>
                <w:i w:val="0"/>
                <w:sz w:val="24"/>
                <w:szCs w:val="24"/>
                <w:rtl w:val="0"/>
              </w:rPr>
              <w:t xml:space="preserve">Total </w:t>
            </w:r>
          </w:p>
        </w:tc>
        <w:tc>
          <w:tcPr/>
          <w:p w:rsidR="00000000" w:rsidDel="00000000" w:rsidP="00000000" w:rsidRDefault="00000000" w:rsidRPr="00000000" w14:paraId="00000078">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N=20</w:t>
            </w:r>
          </w:p>
        </w:tc>
        <w:tc>
          <w:tcPr/>
          <w:p w:rsidR="00000000" w:rsidDel="00000000" w:rsidP="00000000" w:rsidRDefault="00000000" w:rsidRPr="00000000" w14:paraId="00000079">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100%</w:t>
            </w:r>
          </w:p>
        </w:tc>
      </w:tr>
    </w:tbl>
    <w:p w:rsidR="00000000" w:rsidDel="00000000" w:rsidP="00000000" w:rsidRDefault="00000000" w:rsidRPr="00000000" w14:paraId="0000007A">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B">
      <w:pPr>
        <w:pStyle w:val="Heading4"/>
        <w:spacing w:line="360" w:lineRule="auto"/>
        <w:jc w:val="both"/>
        <w:rPr>
          <w:rFonts w:ascii="Arial" w:cs="Arial" w:eastAsia="Arial" w:hAnsi="Arial"/>
          <w:b w:val="1"/>
          <w:i w:val="0"/>
          <w:color w:val="000000"/>
          <w:sz w:val="24"/>
          <w:szCs w:val="24"/>
        </w:rPr>
      </w:pPr>
      <w:bookmarkStart w:colFirst="0" w:colLast="0" w:name="_heading=h.lnxbz9" w:id="40"/>
      <w:bookmarkEnd w:id="40"/>
      <w:r w:rsidDel="00000000" w:rsidR="00000000" w:rsidRPr="00000000">
        <w:rPr>
          <w:rFonts w:ascii="Arial" w:cs="Arial" w:eastAsia="Arial" w:hAnsi="Arial"/>
          <w:b w:val="1"/>
          <w:i w:val="0"/>
          <w:color w:val="000000"/>
          <w:sz w:val="24"/>
          <w:szCs w:val="24"/>
          <w:rtl w:val="0"/>
        </w:rPr>
        <w:t xml:space="preserve">3.2.1 Figure 3.2.1 Outlines respondents’ occupation</w:t>
      </w:r>
    </w:p>
    <w:p w:rsidR="00000000" w:rsidDel="00000000" w:rsidP="00000000" w:rsidRDefault="00000000" w:rsidRPr="00000000" w14:paraId="0000007C">
      <w:pPr>
        <w:pStyle w:val="Heading4"/>
        <w:spacing w:line="360" w:lineRule="auto"/>
        <w:jc w:val="both"/>
        <w:rPr>
          <w:rFonts w:ascii="Arial" w:cs="Arial" w:eastAsia="Arial" w:hAnsi="Arial"/>
          <w:i w:val="0"/>
          <w:color w:val="000000"/>
          <w:sz w:val="24"/>
          <w:szCs w:val="24"/>
        </w:rPr>
      </w:pPr>
      <w:r w:rsidDel="00000000" w:rsidR="00000000" w:rsidRPr="00000000">
        <w:rPr>
          <w:rtl w:val="0"/>
        </w:rPr>
      </w:r>
    </w:p>
    <w:p w:rsidR="00000000" w:rsidDel="00000000" w:rsidP="00000000" w:rsidRDefault="00000000" w:rsidRPr="00000000" w14:paraId="0000007D">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Pr>
        <w:drawing>
          <wp:inline distB="0" distT="0" distL="0" distR="0">
            <wp:extent cx="6076950" cy="2571750"/>
            <wp:docPr id="9" name=""/>
            <a:graphic>
              <a:graphicData uri="http://schemas.openxmlformats.org/drawingml/2006/chart">
                <c:chart r:id="rId10"/>
              </a:graphicData>
            </a:graphic>
          </wp:inline>
        </w:drawing>
      </w:r>
      <w:r w:rsidDel="00000000" w:rsidR="00000000" w:rsidRPr="00000000">
        <w:rPr>
          <w:rtl w:val="0"/>
        </w:rPr>
      </w:r>
    </w:p>
    <w:p w:rsidR="00000000" w:rsidDel="00000000" w:rsidP="00000000" w:rsidRDefault="00000000" w:rsidRPr="00000000" w14:paraId="0000007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Table 3.2 and Figure 3.2.1 illustrates respondents’ occupation. Respondents were students and lecturers. Students had participated highly with 75% than lecturers that scored 25%. It can be said that students greatly participated more than lecturers when the study was conducted.</w:t>
      </w:r>
    </w:p>
    <w:p w:rsidR="00000000" w:rsidDel="00000000" w:rsidP="00000000" w:rsidRDefault="00000000" w:rsidRPr="00000000" w14:paraId="0000008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5">
      <w:pPr>
        <w:pStyle w:val="Heading4"/>
        <w:spacing w:line="360" w:lineRule="auto"/>
        <w:jc w:val="both"/>
        <w:rPr>
          <w:rFonts w:ascii="Arial" w:cs="Arial" w:eastAsia="Arial" w:hAnsi="Arial"/>
          <w:b w:val="1"/>
          <w:i w:val="0"/>
          <w:color w:val="000000"/>
          <w:sz w:val="24"/>
          <w:szCs w:val="24"/>
        </w:rPr>
      </w:pPr>
      <w:bookmarkStart w:colFirst="0" w:colLast="0" w:name="_heading=h.35nkun2" w:id="41"/>
      <w:bookmarkEnd w:id="41"/>
      <w:r w:rsidDel="00000000" w:rsidR="00000000" w:rsidRPr="00000000">
        <w:rPr>
          <w:rFonts w:ascii="Arial" w:cs="Arial" w:eastAsia="Arial" w:hAnsi="Arial"/>
          <w:b w:val="1"/>
          <w:i w:val="0"/>
          <w:color w:val="000000"/>
          <w:sz w:val="24"/>
          <w:szCs w:val="24"/>
          <w:rtl w:val="0"/>
        </w:rPr>
        <w:t xml:space="preserve">3.3 Table 3.3 indicates respondents’ qualification level</w:t>
      </w:r>
    </w:p>
    <w:p w:rsidR="00000000" w:rsidDel="00000000" w:rsidP="00000000" w:rsidRDefault="00000000" w:rsidRPr="00000000" w14:paraId="00000086">
      <w:pPr>
        <w:spacing w:line="360" w:lineRule="auto"/>
        <w:jc w:val="both"/>
        <w:rPr>
          <w:rFonts w:ascii="Arial" w:cs="Arial" w:eastAsia="Arial" w:hAnsi="Arial"/>
          <w:sz w:val="24"/>
          <w:szCs w:val="24"/>
        </w:rPr>
      </w:pPr>
      <w:r w:rsidDel="00000000" w:rsidR="00000000" w:rsidRPr="00000000">
        <w:rPr>
          <w:rtl w:val="0"/>
        </w:rPr>
      </w:r>
    </w:p>
    <w:tbl>
      <w:tblPr>
        <w:tblStyle w:val="Table3"/>
        <w:tblW w:w="9349.999999999998"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00"/>
      </w:tblPr>
      <w:tblGrid>
        <w:gridCol w:w="3119"/>
        <w:gridCol w:w="3117"/>
        <w:gridCol w:w="3114"/>
        <w:tblGridChange w:id="0">
          <w:tblGrid>
            <w:gridCol w:w="3119"/>
            <w:gridCol w:w="3117"/>
            <w:gridCol w:w="3114"/>
          </w:tblGrid>
        </w:tblGridChange>
      </w:tblGrid>
      <w:tr>
        <w:trPr>
          <w:cantSplit w:val="0"/>
          <w:tblHeader w:val="0"/>
        </w:trPr>
        <w:tc>
          <w:tcPr/>
          <w:p w:rsidR="00000000" w:rsidDel="00000000" w:rsidP="00000000" w:rsidRDefault="00000000" w:rsidRPr="00000000" w14:paraId="00000087">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Qualification level</w:t>
            </w:r>
          </w:p>
        </w:tc>
        <w:tc>
          <w:tcPr/>
          <w:p w:rsidR="00000000" w:rsidDel="00000000" w:rsidP="00000000" w:rsidRDefault="00000000" w:rsidRPr="00000000" w14:paraId="00000088">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Respondents number</w:t>
            </w:r>
          </w:p>
        </w:tc>
        <w:tc>
          <w:tcPr/>
          <w:p w:rsidR="00000000" w:rsidDel="00000000" w:rsidP="00000000" w:rsidRDefault="00000000" w:rsidRPr="00000000" w14:paraId="00000089">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Percentages </w:t>
            </w:r>
          </w:p>
        </w:tc>
      </w:tr>
      <w:tr>
        <w:trPr>
          <w:cantSplit w:val="0"/>
          <w:tblHeader w:val="0"/>
        </w:trPr>
        <w:tc>
          <w:tcPr/>
          <w:p w:rsidR="00000000" w:rsidDel="00000000" w:rsidP="00000000" w:rsidRDefault="00000000" w:rsidRPr="00000000" w14:paraId="0000008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Certificates </w:t>
            </w:r>
          </w:p>
        </w:tc>
        <w:tc>
          <w:tcPr/>
          <w:p w:rsidR="00000000" w:rsidDel="00000000" w:rsidP="00000000" w:rsidRDefault="00000000" w:rsidRPr="00000000" w14:paraId="0000008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w:t>
            </w:r>
          </w:p>
        </w:tc>
        <w:tc>
          <w:tcPr/>
          <w:p w:rsidR="00000000" w:rsidDel="00000000" w:rsidP="00000000" w:rsidRDefault="00000000" w:rsidRPr="00000000" w14:paraId="0000008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75%</w:t>
            </w:r>
          </w:p>
        </w:tc>
      </w:tr>
      <w:tr>
        <w:trPr>
          <w:cantSplit w:val="0"/>
          <w:tblHeader w:val="0"/>
        </w:trPr>
        <w:tc>
          <w:tcPr/>
          <w:p w:rsidR="00000000" w:rsidDel="00000000" w:rsidP="00000000" w:rsidRDefault="00000000" w:rsidRPr="00000000" w14:paraId="0000008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Degrees</w:t>
            </w:r>
          </w:p>
        </w:tc>
        <w:tc>
          <w:tcPr/>
          <w:p w:rsidR="00000000" w:rsidDel="00000000" w:rsidP="00000000" w:rsidRDefault="00000000" w:rsidRPr="00000000" w14:paraId="0000008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w:t>
            </w:r>
          </w:p>
        </w:tc>
        <w:tc>
          <w:tcPr/>
          <w:p w:rsidR="00000000" w:rsidDel="00000000" w:rsidP="00000000" w:rsidRDefault="00000000" w:rsidRPr="00000000" w14:paraId="0000008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w:t>
            </w:r>
          </w:p>
        </w:tc>
      </w:tr>
      <w:tr>
        <w:trPr>
          <w:cantSplit w:val="0"/>
          <w:tblHeader w:val="0"/>
        </w:trPr>
        <w:tc>
          <w:tcPr/>
          <w:p w:rsidR="00000000" w:rsidDel="00000000" w:rsidP="00000000" w:rsidRDefault="00000000" w:rsidRPr="00000000" w14:paraId="0000009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Master Degrees </w:t>
            </w:r>
          </w:p>
        </w:tc>
        <w:tc>
          <w:tcPr/>
          <w:p w:rsidR="00000000" w:rsidDel="00000000" w:rsidP="00000000" w:rsidRDefault="00000000" w:rsidRPr="00000000" w14:paraId="0000009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p w:rsidR="00000000" w:rsidDel="00000000" w:rsidP="00000000" w:rsidRDefault="00000000" w:rsidRPr="00000000" w14:paraId="0000009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r>
      <w:tr>
        <w:trPr>
          <w:cantSplit w:val="0"/>
          <w:tblHeader w:val="0"/>
        </w:trPr>
        <w:tc>
          <w:tcPr/>
          <w:p w:rsidR="00000000" w:rsidDel="00000000" w:rsidP="00000000" w:rsidRDefault="00000000" w:rsidRPr="00000000" w14:paraId="0000009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PhDs </w:t>
            </w:r>
          </w:p>
        </w:tc>
        <w:tc>
          <w:tcPr/>
          <w:p w:rsidR="00000000" w:rsidDel="00000000" w:rsidP="00000000" w:rsidRDefault="00000000" w:rsidRPr="00000000" w14:paraId="0000009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p w:rsidR="00000000" w:rsidDel="00000000" w:rsidP="00000000" w:rsidRDefault="00000000" w:rsidRPr="00000000" w14:paraId="0000009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w:t>
            </w:r>
          </w:p>
        </w:tc>
      </w:tr>
      <w:tr>
        <w:trPr>
          <w:cantSplit w:val="0"/>
          <w:tblHeader w:val="0"/>
        </w:trPr>
        <w:tc>
          <w:tcPr/>
          <w:p w:rsidR="00000000" w:rsidDel="00000000" w:rsidP="00000000" w:rsidRDefault="00000000" w:rsidRPr="00000000" w14:paraId="00000096">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Total </w:t>
            </w:r>
          </w:p>
        </w:tc>
        <w:tc>
          <w:tcPr/>
          <w:p w:rsidR="00000000" w:rsidDel="00000000" w:rsidP="00000000" w:rsidRDefault="00000000" w:rsidRPr="00000000" w14:paraId="00000097">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N=20</w:t>
            </w:r>
          </w:p>
        </w:tc>
        <w:tc>
          <w:tcPr/>
          <w:p w:rsidR="00000000" w:rsidDel="00000000" w:rsidP="00000000" w:rsidRDefault="00000000" w:rsidRPr="00000000" w14:paraId="00000098">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100%</w:t>
            </w:r>
          </w:p>
        </w:tc>
      </w:tr>
    </w:tbl>
    <w:p w:rsidR="00000000" w:rsidDel="00000000" w:rsidP="00000000" w:rsidRDefault="00000000" w:rsidRPr="00000000" w14:paraId="00000099">
      <w:pPr>
        <w:pStyle w:val="Heading4"/>
        <w:spacing w:line="360" w:lineRule="auto"/>
        <w:jc w:val="both"/>
        <w:rPr>
          <w:rFonts w:ascii="Arial" w:cs="Arial" w:eastAsia="Arial" w:hAnsi="Arial"/>
          <w:i w:val="0"/>
          <w:color w:val="000000"/>
          <w:sz w:val="24"/>
          <w:szCs w:val="24"/>
        </w:rPr>
      </w:pPr>
      <w:r w:rsidDel="00000000" w:rsidR="00000000" w:rsidRPr="00000000">
        <w:rPr>
          <w:rtl w:val="0"/>
        </w:rPr>
      </w:r>
    </w:p>
    <w:p w:rsidR="00000000" w:rsidDel="00000000" w:rsidP="00000000" w:rsidRDefault="00000000" w:rsidRPr="00000000" w14:paraId="0000009A">
      <w:pPr>
        <w:pStyle w:val="Heading4"/>
        <w:spacing w:line="360" w:lineRule="auto"/>
        <w:jc w:val="both"/>
        <w:rPr>
          <w:rFonts w:ascii="Arial" w:cs="Arial" w:eastAsia="Arial" w:hAnsi="Arial"/>
          <w:b w:val="1"/>
          <w:i w:val="0"/>
          <w:color w:val="000000"/>
          <w:sz w:val="24"/>
          <w:szCs w:val="24"/>
        </w:rPr>
      </w:pPr>
      <w:bookmarkStart w:colFirst="0" w:colLast="0" w:name="_heading=h.1ksv4uv" w:id="42"/>
      <w:bookmarkEnd w:id="42"/>
      <w:r w:rsidDel="00000000" w:rsidR="00000000" w:rsidRPr="00000000">
        <w:rPr>
          <w:rFonts w:ascii="Arial" w:cs="Arial" w:eastAsia="Arial" w:hAnsi="Arial"/>
          <w:b w:val="1"/>
          <w:i w:val="0"/>
          <w:color w:val="000000"/>
          <w:sz w:val="24"/>
          <w:szCs w:val="24"/>
          <w:rtl w:val="0"/>
        </w:rPr>
        <w:t xml:space="preserve">3.3.1 Figure 3.3.1 indicates respondents’ qualification level</w:t>
      </w:r>
    </w:p>
    <w:p w:rsidR="00000000" w:rsidDel="00000000" w:rsidP="00000000" w:rsidRDefault="00000000" w:rsidRPr="00000000" w14:paraId="0000009B">
      <w:pPr>
        <w:tabs>
          <w:tab w:val="left" w:pos="3767"/>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ab/>
      </w:r>
    </w:p>
    <w:p w:rsidR="00000000" w:rsidDel="00000000" w:rsidP="00000000" w:rsidRDefault="00000000" w:rsidRPr="00000000" w14:paraId="0000009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5638800" cy="2581275"/>
            <wp:docPr id="8" name=""/>
            <a:graphic>
              <a:graphicData uri="http://schemas.openxmlformats.org/drawingml/2006/chart">
                <c:chart r:id="rId11"/>
              </a:graphicData>
            </a:graphic>
          </wp:inline>
        </w:drawing>
      </w:r>
      <w:r w:rsidDel="00000000" w:rsidR="00000000" w:rsidRPr="00000000">
        <w:rPr>
          <w:rtl w:val="0"/>
        </w:rPr>
      </w:r>
    </w:p>
    <w:p w:rsidR="00000000" w:rsidDel="00000000" w:rsidP="00000000" w:rsidRDefault="00000000" w:rsidRPr="00000000" w14:paraId="0000009D">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Table 3.3 and figure 3.3.1 indicates that 20 respondents participated in the undertaken study. Among all respondents, respondents with certificates recorded 75 % and Master Degrees scored 10% and respondents with PhDs recorded 15%.it can be concluded that respondents with certificates greatly participated and outnumbered other respondents.</w:t>
      </w:r>
    </w:p>
    <w:p w:rsidR="00000000" w:rsidDel="00000000" w:rsidP="00000000" w:rsidRDefault="00000000" w:rsidRPr="00000000" w14:paraId="0000009E">
      <w:pPr>
        <w:spacing w:line="360" w:lineRule="auto"/>
        <w:jc w:val="both"/>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9F">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Presentation of findings -questionnaires</w:t>
      </w:r>
    </w:p>
    <w:p w:rsidR="00000000" w:rsidDel="00000000" w:rsidP="00000000" w:rsidRDefault="00000000" w:rsidRPr="00000000" w14:paraId="000000A0">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3.4 table 3.4 Demonstrate respondents rate for digital skills</w:t>
      </w:r>
    </w:p>
    <w:tbl>
      <w:tblPr>
        <w:tblStyle w:val="Table4"/>
        <w:tblW w:w="9493.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3116"/>
        <w:gridCol w:w="3117"/>
        <w:gridCol w:w="3260"/>
        <w:tblGridChange w:id="0">
          <w:tblGrid>
            <w:gridCol w:w="3116"/>
            <w:gridCol w:w="3117"/>
            <w:gridCol w:w="3260"/>
          </w:tblGrid>
        </w:tblGridChange>
      </w:tblGrid>
      <w:tr>
        <w:trPr>
          <w:cantSplit w:val="0"/>
          <w:tblHeader w:val="0"/>
        </w:trPr>
        <w:tc>
          <w:tcPr/>
          <w:p w:rsidR="00000000" w:rsidDel="00000000" w:rsidP="00000000" w:rsidRDefault="00000000" w:rsidRPr="00000000" w14:paraId="000000A1">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Rating </w:t>
            </w:r>
          </w:p>
        </w:tc>
        <w:tc>
          <w:tcPr/>
          <w:p w:rsidR="00000000" w:rsidDel="00000000" w:rsidP="00000000" w:rsidRDefault="00000000" w:rsidRPr="00000000" w14:paraId="000000A2">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Number of respondents</w:t>
            </w:r>
          </w:p>
        </w:tc>
        <w:tc>
          <w:tcPr/>
          <w:p w:rsidR="00000000" w:rsidDel="00000000" w:rsidP="00000000" w:rsidRDefault="00000000" w:rsidRPr="00000000" w14:paraId="000000A3">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Percentages %</w:t>
            </w:r>
          </w:p>
        </w:tc>
      </w:tr>
      <w:tr>
        <w:trPr>
          <w:cantSplit w:val="0"/>
          <w:tblHeader w:val="0"/>
        </w:trPr>
        <w:tc>
          <w:tcPr/>
          <w:p w:rsidR="00000000" w:rsidDel="00000000" w:rsidP="00000000" w:rsidRDefault="00000000" w:rsidRPr="00000000" w14:paraId="000000A4">
            <w:pPr>
              <w:spacing w:after="240" w:line="360" w:lineRule="auto"/>
              <w:jc w:val="both"/>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Better </w:t>
            </w:r>
          </w:p>
        </w:tc>
        <w:tc>
          <w:tcPr/>
          <w:p w:rsidR="00000000" w:rsidDel="00000000" w:rsidP="00000000" w:rsidRDefault="00000000" w:rsidRPr="00000000" w14:paraId="000000A5">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p w:rsidR="00000000" w:rsidDel="00000000" w:rsidP="00000000" w:rsidRDefault="00000000" w:rsidRPr="00000000" w14:paraId="000000A6">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r>
      <w:tr>
        <w:trPr>
          <w:cantSplit w:val="0"/>
          <w:tblHeader w:val="0"/>
        </w:trPr>
        <w:tc>
          <w:tcPr/>
          <w:p w:rsidR="00000000" w:rsidDel="00000000" w:rsidP="00000000" w:rsidRDefault="00000000" w:rsidRPr="00000000" w14:paraId="000000A7">
            <w:pPr>
              <w:spacing w:after="240" w:line="360" w:lineRule="auto"/>
              <w:jc w:val="both"/>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Good </w:t>
            </w:r>
          </w:p>
        </w:tc>
        <w:tc>
          <w:tcPr/>
          <w:p w:rsidR="00000000" w:rsidDel="00000000" w:rsidP="00000000" w:rsidRDefault="00000000" w:rsidRPr="00000000" w14:paraId="000000A8">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c>
          <w:tcPr/>
          <w:p w:rsidR="00000000" w:rsidDel="00000000" w:rsidP="00000000" w:rsidRDefault="00000000" w:rsidRPr="00000000" w14:paraId="000000A9">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50%</w:t>
            </w:r>
          </w:p>
        </w:tc>
      </w:tr>
      <w:tr>
        <w:trPr>
          <w:cantSplit w:val="0"/>
          <w:tblHeader w:val="0"/>
        </w:trPr>
        <w:tc>
          <w:tcPr/>
          <w:p w:rsidR="00000000" w:rsidDel="00000000" w:rsidP="00000000" w:rsidRDefault="00000000" w:rsidRPr="00000000" w14:paraId="000000AA">
            <w:pPr>
              <w:spacing w:after="240" w:line="360" w:lineRule="auto"/>
              <w:jc w:val="both"/>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Excellent </w:t>
            </w:r>
          </w:p>
        </w:tc>
        <w:tc>
          <w:tcPr/>
          <w:p w:rsidR="00000000" w:rsidDel="00000000" w:rsidP="00000000" w:rsidRDefault="00000000" w:rsidRPr="00000000" w14:paraId="000000AB">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8</w:t>
            </w:r>
          </w:p>
        </w:tc>
        <w:tc>
          <w:tcPr/>
          <w:p w:rsidR="00000000" w:rsidDel="00000000" w:rsidP="00000000" w:rsidRDefault="00000000" w:rsidRPr="00000000" w14:paraId="000000AC">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40%</w:t>
            </w:r>
          </w:p>
        </w:tc>
      </w:tr>
      <w:tr>
        <w:trPr>
          <w:cantSplit w:val="0"/>
          <w:tblHeader w:val="0"/>
        </w:trPr>
        <w:tc>
          <w:tcPr/>
          <w:p w:rsidR="00000000" w:rsidDel="00000000" w:rsidP="00000000" w:rsidRDefault="00000000" w:rsidRPr="00000000" w14:paraId="000000AD">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Total </w:t>
            </w:r>
          </w:p>
        </w:tc>
        <w:tc>
          <w:tcPr/>
          <w:p w:rsidR="00000000" w:rsidDel="00000000" w:rsidP="00000000" w:rsidRDefault="00000000" w:rsidRPr="00000000" w14:paraId="000000AE">
            <w:pPr>
              <w:spacing w:after="24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N=20</w:t>
            </w:r>
          </w:p>
        </w:tc>
        <w:tc>
          <w:tcPr/>
          <w:p w:rsidR="00000000" w:rsidDel="00000000" w:rsidP="00000000" w:rsidRDefault="00000000" w:rsidRPr="00000000" w14:paraId="000000AF">
            <w:pPr>
              <w:spacing w:after="24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100%</w:t>
            </w:r>
          </w:p>
        </w:tc>
      </w:tr>
    </w:tbl>
    <w:p w:rsidR="00000000" w:rsidDel="00000000" w:rsidP="00000000" w:rsidRDefault="00000000" w:rsidRPr="00000000" w14:paraId="000000B0">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Table 4.4 demonstrates that respondents were asked to rate their digital skills. Most respondents opined that their digital skills were good, average respondents suggested that their digital skills were excellent and fewer respondents stated that their digital skills were better.</w:t>
      </w:r>
    </w:p>
    <w:p w:rsidR="00000000" w:rsidDel="00000000" w:rsidP="00000000" w:rsidRDefault="00000000" w:rsidRPr="00000000" w14:paraId="000000B1">
      <w:pPr>
        <w:tabs>
          <w:tab w:val="left" w:pos="180"/>
        </w:tabs>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3.5 Table 3.5 represent respondents level of agreement towards the need of digital skills training</w:t>
      </w:r>
    </w:p>
    <w:tbl>
      <w:tblPr>
        <w:tblStyle w:val="Table5"/>
        <w:tblW w:w="9836.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3278"/>
        <w:gridCol w:w="3279"/>
        <w:gridCol w:w="3279"/>
        <w:tblGridChange w:id="0">
          <w:tblGrid>
            <w:gridCol w:w="3278"/>
            <w:gridCol w:w="3279"/>
            <w:gridCol w:w="3279"/>
          </w:tblGrid>
        </w:tblGridChange>
      </w:tblGrid>
      <w:tr>
        <w:trPr>
          <w:cantSplit w:val="0"/>
          <w:trHeight w:val="696" w:hRule="atLeast"/>
          <w:tblHeader w:val="0"/>
        </w:trPr>
        <w:tc>
          <w:tcPr/>
          <w:p w:rsidR="00000000" w:rsidDel="00000000" w:rsidP="00000000" w:rsidRDefault="00000000" w:rsidRPr="00000000" w14:paraId="000000B2">
            <w:pPr>
              <w:tabs>
                <w:tab w:val="left" w:pos="180"/>
              </w:tabs>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Agreement level</w:t>
            </w:r>
          </w:p>
        </w:tc>
        <w:tc>
          <w:tcPr/>
          <w:p w:rsidR="00000000" w:rsidDel="00000000" w:rsidP="00000000" w:rsidRDefault="00000000" w:rsidRPr="00000000" w14:paraId="000000B3">
            <w:pPr>
              <w:tabs>
                <w:tab w:val="left" w:pos="180"/>
              </w:tabs>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Number of respondents</w:t>
            </w:r>
          </w:p>
        </w:tc>
        <w:tc>
          <w:tcPr/>
          <w:p w:rsidR="00000000" w:rsidDel="00000000" w:rsidP="00000000" w:rsidRDefault="00000000" w:rsidRPr="00000000" w14:paraId="000000B4">
            <w:pPr>
              <w:tabs>
                <w:tab w:val="left" w:pos="180"/>
              </w:tabs>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Percentages%</w:t>
            </w:r>
          </w:p>
        </w:tc>
      </w:tr>
      <w:tr>
        <w:trPr>
          <w:cantSplit w:val="0"/>
          <w:trHeight w:val="696" w:hRule="atLeast"/>
          <w:tblHeader w:val="0"/>
        </w:trPr>
        <w:tc>
          <w:tcPr/>
          <w:p w:rsidR="00000000" w:rsidDel="00000000" w:rsidP="00000000" w:rsidRDefault="00000000" w:rsidRPr="00000000" w14:paraId="000000B5">
            <w:pPr>
              <w:tabs>
                <w:tab w:val="left" w:pos="180"/>
              </w:tabs>
              <w:spacing w:line="360" w:lineRule="auto"/>
              <w:jc w:val="both"/>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Strongly agree</w:t>
            </w:r>
          </w:p>
        </w:tc>
        <w:tc>
          <w:tcPr/>
          <w:p w:rsidR="00000000" w:rsidDel="00000000" w:rsidP="00000000" w:rsidRDefault="00000000" w:rsidRPr="00000000" w14:paraId="000000B6">
            <w:pPr>
              <w:tabs>
                <w:tab w:val="left" w:pos="180"/>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18</w:t>
            </w:r>
          </w:p>
        </w:tc>
        <w:tc>
          <w:tcPr/>
          <w:p w:rsidR="00000000" w:rsidDel="00000000" w:rsidP="00000000" w:rsidRDefault="00000000" w:rsidRPr="00000000" w14:paraId="000000B7">
            <w:pPr>
              <w:tabs>
                <w:tab w:val="left" w:pos="180"/>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90%</w:t>
            </w:r>
          </w:p>
        </w:tc>
      </w:tr>
      <w:tr>
        <w:trPr>
          <w:cantSplit w:val="0"/>
          <w:trHeight w:val="696" w:hRule="atLeast"/>
          <w:tblHeader w:val="0"/>
        </w:trPr>
        <w:tc>
          <w:tcPr/>
          <w:p w:rsidR="00000000" w:rsidDel="00000000" w:rsidP="00000000" w:rsidRDefault="00000000" w:rsidRPr="00000000" w14:paraId="000000B8">
            <w:pPr>
              <w:tabs>
                <w:tab w:val="left" w:pos="180"/>
              </w:tabs>
              <w:spacing w:line="360" w:lineRule="auto"/>
              <w:jc w:val="both"/>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Neither agree</w:t>
            </w:r>
          </w:p>
        </w:tc>
        <w:tc>
          <w:tcPr/>
          <w:p w:rsidR="00000000" w:rsidDel="00000000" w:rsidP="00000000" w:rsidRDefault="00000000" w:rsidRPr="00000000" w14:paraId="000000B9">
            <w:pPr>
              <w:tabs>
                <w:tab w:val="left" w:pos="180"/>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p w:rsidR="00000000" w:rsidDel="00000000" w:rsidP="00000000" w:rsidRDefault="00000000" w:rsidRPr="00000000" w14:paraId="000000BA">
            <w:pPr>
              <w:tabs>
                <w:tab w:val="left" w:pos="180"/>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r>
      <w:tr>
        <w:trPr>
          <w:cantSplit w:val="0"/>
          <w:trHeight w:val="676" w:hRule="atLeast"/>
          <w:tblHeader w:val="0"/>
        </w:trPr>
        <w:tc>
          <w:tcPr/>
          <w:p w:rsidR="00000000" w:rsidDel="00000000" w:rsidP="00000000" w:rsidRDefault="00000000" w:rsidRPr="00000000" w14:paraId="000000BB">
            <w:pPr>
              <w:tabs>
                <w:tab w:val="left" w:pos="180"/>
              </w:tabs>
              <w:spacing w:line="360" w:lineRule="auto"/>
              <w:jc w:val="both"/>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Strongly disagree </w:t>
            </w:r>
          </w:p>
        </w:tc>
        <w:tc>
          <w:tcPr/>
          <w:p w:rsidR="00000000" w:rsidDel="00000000" w:rsidP="00000000" w:rsidRDefault="00000000" w:rsidRPr="00000000" w14:paraId="000000BC">
            <w:pPr>
              <w:tabs>
                <w:tab w:val="left" w:pos="180"/>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p w:rsidR="00000000" w:rsidDel="00000000" w:rsidP="00000000" w:rsidRDefault="00000000" w:rsidRPr="00000000" w14:paraId="000000BD">
            <w:pPr>
              <w:tabs>
                <w:tab w:val="left" w:pos="180"/>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r>
      <w:tr>
        <w:trPr>
          <w:cantSplit w:val="0"/>
          <w:trHeight w:val="696" w:hRule="atLeast"/>
          <w:tblHeader w:val="0"/>
        </w:trPr>
        <w:tc>
          <w:tcPr/>
          <w:p w:rsidR="00000000" w:rsidDel="00000000" w:rsidP="00000000" w:rsidRDefault="00000000" w:rsidRPr="00000000" w14:paraId="000000BE">
            <w:pPr>
              <w:tabs>
                <w:tab w:val="left" w:pos="180"/>
              </w:tabs>
              <w:spacing w:line="360" w:lineRule="auto"/>
              <w:jc w:val="both"/>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Total </w:t>
            </w:r>
          </w:p>
        </w:tc>
        <w:tc>
          <w:tcPr/>
          <w:p w:rsidR="00000000" w:rsidDel="00000000" w:rsidP="00000000" w:rsidRDefault="00000000" w:rsidRPr="00000000" w14:paraId="000000BF">
            <w:pPr>
              <w:tabs>
                <w:tab w:val="left" w:pos="180"/>
              </w:tabs>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N=20</w:t>
            </w:r>
          </w:p>
        </w:tc>
        <w:tc>
          <w:tcPr/>
          <w:p w:rsidR="00000000" w:rsidDel="00000000" w:rsidP="00000000" w:rsidRDefault="00000000" w:rsidRPr="00000000" w14:paraId="000000C0">
            <w:pPr>
              <w:tabs>
                <w:tab w:val="left" w:pos="180"/>
              </w:tabs>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100%</w:t>
            </w:r>
          </w:p>
        </w:tc>
      </w:tr>
    </w:tbl>
    <w:p w:rsidR="00000000" w:rsidDel="00000000" w:rsidP="00000000" w:rsidRDefault="00000000" w:rsidRPr="00000000" w14:paraId="000000C1">
      <w:pPr>
        <w:tabs>
          <w:tab w:val="left" w:pos="180"/>
        </w:tabs>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Table 3.5 represents respondents' level of agreement towards the need for digital skills training. Respondents that strongly agreed recorded 90% whereas respondents that neither agreed and strongly disagreed scored 5% respectively.</w:t>
      </w:r>
    </w:p>
    <w:p w:rsidR="00000000" w:rsidDel="00000000" w:rsidP="00000000" w:rsidRDefault="00000000" w:rsidRPr="00000000" w14:paraId="000000C2">
      <w:pPr>
        <w:tabs>
          <w:tab w:val="left" w:pos="180"/>
        </w:tabs>
        <w:spacing w:after="280" w:before="280"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C3">
      <w:pPr>
        <w:tabs>
          <w:tab w:val="left" w:pos="180"/>
        </w:tabs>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3.6 Table 3.6 table present respondents’ likeliness to use digital devices to collaborate? rating 0-10!</w:t>
      </w:r>
    </w:p>
    <w:tbl>
      <w:tblPr>
        <w:tblStyle w:val="Table6"/>
        <w:tblW w:w="9350.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C4">
            <w:pPr>
              <w:tabs>
                <w:tab w:val="left" w:pos="180"/>
              </w:tabs>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Rating </w:t>
            </w:r>
          </w:p>
        </w:tc>
        <w:tc>
          <w:tcPr/>
          <w:p w:rsidR="00000000" w:rsidDel="00000000" w:rsidP="00000000" w:rsidRDefault="00000000" w:rsidRPr="00000000" w14:paraId="000000C5">
            <w:pPr>
              <w:tabs>
                <w:tab w:val="left" w:pos="180"/>
              </w:tabs>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Number of respondents</w:t>
            </w:r>
          </w:p>
        </w:tc>
        <w:tc>
          <w:tcPr/>
          <w:p w:rsidR="00000000" w:rsidDel="00000000" w:rsidP="00000000" w:rsidRDefault="00000000" w:rsidRPr="00000000" w14:paraId="000000C6">
            <w:pPr>
              <w:tabs>
                <w:tab w:val="left" w:pos="180"/>
              </w:tabs>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Percentages %</w:t>
            </w:r>
          </w:p>
        </w:tc>
      </w:tr>
      <w:tr>
        <w:trPr>
          <w:cantSplit w:val="0"/>
          <w:tblHeader w:val="0"/>
        </w:trPr>
        <w:tc>
          <w:tcPr/>
          <w:p w:rsidR="00000000" w:rsidDel="00000000" w:rsidP="00000000" w:rsidRDefault="00000000" w:rsidRPr="00000000" w14:paraId="000000C7">
            <w:pPr>
              <w:tabs>
                <w:tab w:val="left" w:pos="180"/>
              </w:tabs>
              <w:spacing w:line="360" w:lineRule="auto"/>
              <w:jc w:val="both"/>
              <w:rPr>
                <w:rFonts w:ascii="Arial" w:cs="Arial" w:eastAsia="Arial" w:hAnsi="Arial"/>
                <w:b w:val="0"/>
                <w:color w:val="000000"/>
                <w:sz w:val="24"/>
                <w:szCs w:val="24"/>
              </w:rPr>
            </w:pPr>
            <w:r w:rsidDel="00000000" w:rsidR="00000000" w:rsidRPr="00000000">
              <w:rPr>
                <w:rFonts w:ascii="Arial" w:cs="Arial" w:eastAsia="Arial" w:hAnsi="Arial"/>
                <w:b w:val="0"/>
                <w:color w:val="000000"/>
                <w:sz w:val="24"/>
                <w:szCs w:val="24"/>
                <w:rtl w:val="0"/>
              </w:rPr>
              <w:t xml:space="preserve">0-5</w:t>
            </w:r>
          </w:p>
        </w:tc>
        <w:tc>
          <w:tcPr/>
          <w:p w:rsidR="00000000" w:rsidDel="00000000" w:rsidP="00000000" w:rsidRDefault="00000000" w:rsidRPr="00000000" w14:paraId="000000C8">
            <w:pPr>
              <w:tabs>
                <w:tab w:val="left" w:pos="180"/>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w:t>
            </w:r>
          </w:p>
        </w:tc>
        <w:tc>
          <w:tcPr/>
          <w:p w:rsidR="00000000" w:rsidDel="00000000" w:rsidP="00000000" w:rsidRDefault="00000000" w:rsidRPr="00000000" w14:paraId="000000C9">
            <w:pPr>
              <w:tabs>
                <w:tab w:val="left" w:pos="180"/>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35%</w:t>
            </w:r>
          </w:p>
        </w:tc>
      </w:tr>
      <w:tr>
        <w:trPr>
          <w:cantSplit w:val="0"/>
          <w:tblHeader w:val="0"/>
        </w:trPr>
        <w:tc>
          <w:tcPr/>
          <w:p w:rsidR="00000000" w:rsidDel="00000000" w:rsidP="00000000" w:rsidRDefault="00000000" w:rsidRPr="00000000" w14:paraId="000000CA">
            <w:pPr>
              <w:tabs>
                <w:tab w:val="left" w:pos="180"/>
              </w:tabs>
              <w:spacing w:line="360" w:lineRule="auto"/>
              <w:jc w:val="both"/>
              <w:rPr>
                <w:rFonts w:ascii="Arial" w:cs="Arial" w:eastAsia="Arial" w:hAnsi="Arial"/>
                <w:b w:val="0"/>
                <w:color w:val="000000"/>
                <w:sz w:val="24"/>
                <w:szCs w:val="24"/>
              </w:rPr>
            </w:pPr>
            <w:r w:rsidDel="00000000" w:rsidR="00000000" w:rsidRPr="00000000">
              <w:rPr>
                <w:rFonts w:ascii="Arial" w:cs="Arial" w:eastAsia="Arial" w:hAnsi="Arial"/>
                <w:b w:val="0"/>
                <w:color w:val="000000"/>
                <w:sz w:val="24"/>
                <w:szCs w:val="24"/>
                <w:rtl w:val="0"/>
              </w:rPr>
              <w:t xml:space="preserve">5-10</w:t>
            </w:r>
          </w:p>
        </w:tc>
        <w:tc>
          <w:tcPr/>
          <w:p w:rsidR="00000000" w:rsidDel="00000000" w:rsidP="00000000" w:rsidRDefault="00000000" w:rsidRPr="00000000" w14:paraId="000000CB">
            <w:pPr>
              <w:tabs>
                <w:tab w:val="left" w:pos="180"/>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13</w:t>
            </w:r>
          </w:p>
        </w:tc>
        <w:tc>
          <w:tcPr/>
          <w:p w:rsidR="00000000" w:rsidDel="00000000" w:rsidP="00000000" w:rsidRDefault="00000000" w:rsidRPr="00000000" w14:paraId="000000CC">
            <w:pPr>
              <w:tabs>
                <w:tab w:val="left" w:pos="180"/>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65%</w:t>
            </w:r>
          </w:p>
        </w:tc>
      </w:tr>
      <w:tr>
        <w:trPr>
          <w:cantSplit w:val="0"/>
          <w:tblHeader w:val="0"/>
        </w:trPr>
        <w:tc>
          <w:tcPr/>
          <w:p w:rsidR="00000000" w:rsidDel="00000000" w:rsidP="00000000" w:rsidRDefault="00000000" w:rsidRPr="00000000" w14:paraId="000000CD">
            <w:pPr>
              <w:tabs>
                <w:tab w:val="left" w:pos="180"/>
              </w:tabs>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Total </w:t>
            </w:r>
          </w:p>
        </w:tc>
        <w:tc>
          <w:tcPr/>
          <w:p w:rsidR="00000000" w:rsidDel="00000000" w:rsidP="00000000" w:rsidRDefault="00000000" w:rsidRPr="00000000" w14:paraId="000000CE">
            <w:pPr>
              <w:tabs>
                <w:tab w:val="left" w:pos="180"/>
              </w:tabs>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N=20</w:t>
            </w:r>
          </w:p>
        </w:tc>
        <w:tc>
          <w:tcPr/>
          <w:p w:rsidR="00000000" w:rsidDel="00000000" w:rsidP="00000000" w:rsidRDefault="00000000" w:rsidRPr="00000000" w14:paraId="000000CF">
            <w:pPr>
              <w:tabs>
                <w:tab w:val="left" w:pos="180"/>
              </w:tabs>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100%</w:t>
            </w:r>
          </w:p>
        </w:tc>
      </w:tr>
    </w:tbl>
    <w:p w:rsidR="00000000" w:rsidDel="00000000" w:rsidP="00000000" w:rsidRDefault="00000000" w:rsidRPr="00000000" w14:paraId="000000D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Table 3.6 presents respondents’ likeliness to use digital devices to collaborate? Rating was splitted into two parts. Most respondents rated their likeliness to use digital devices which recorded 65% whereas few respondents participated with 35%. </w:t>
      </w:r>
    </w:p>
    <w:p w:rsidR="00000000" w:rsidDel="00000000" w:rsidP="00000000" w:rsidRDefault="00000000" w:rsidRPr="00000000" w14:paraId="000000D2">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3.7 Table 3.7 demonstrates respondents type of digital devices used</w:t>
      </w:r>
    </w:p>
    <w:tbl>
      <w:tblPr>
        <w:tblStyle w:val="Table7"/>
        <w:tblW w:w="9350.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D3">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Types of digital devices</w:t>
            </w:r>
          </w:p>
        </w:tc>
        <w:tc>
          <w:tcPr/>
          <w:p w:rsidR="00000000" w:rsidDel="00000000" w:rsidP="00000000" w:rsidRDefault="00000000" w:rsidRPr="00000000" w14:paraId="000000D4">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Number of respondents</w:t>
            </w:r>
          </w:p>
        </w:tc>
        <w:tc>
          <w:tcPr/>
          <w:p w:rsidR="00000000" w:rsidDel="00000000" w:rsidP="00000000" w:rsidRDefault="00000000" w:rsidRPr="00000000" w14:paraId="000000D5">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Percentages %</w:t>
            </w:r>
          </w:p>
        </w:tc>
      </w:tr>
      <w:tr>
        <w:trPr>
          <w:cantSplit w:val="0"/>
          <w:tblHeader w:val="0"/>
        </w:trPr>
        <w:tc>
          <w:tcPr/>
          <w:p w:rsidR="00000000" w:rsidDel="00000000" w:rsidP="00000000" w:rsidRDefault="00000000" w:rsidRPr="00000000" w14:paraId="000000D6">
            <w:pPr>
              <w:spacing w:line="360" w:lineRule="auto"/>
              <w:jc w:val="both"/>
              <w:rPr>
                <w:rFonts w:ascii="Arial" w:cs="Arial" w:eastAsia="Arial" w:hAnsi="Arial"/>
                <w:b w:val="0"/>
                <w:color w:val="000000"/>
                <w:sz w:val="24"/>
                <w:szCs w:val="24"/>
              </w:rPr>
            </w:pPr>
            <w:r w:rsidDel="00000000" w:rsidR="00000000" w:rsidRPr="00000000">
              <w:rPr>
                <w:rFonts w:ascii="Arial" w:cs="Arial" w:eastAsia="Arial" w:hAnsi="Arial"/>
                <w:b w:val="0"/>
                <w:color w:val="000000"/>
                <w:sz w:val="24"/>
                <w:szCs w:val="24"/>
                <w:rtl w:val="0"/>
              </w:rPr>
              <w:t xml:space="preserve">Phones </w:t>
            </w:r>
          </w:p>
        </w:tc>
        <w:tc>
          <w:tcPr/>
          <w:p w:rsidR="00000000" w:rsidDel="00000000" w:rsidP="00000000" w:rsidRDefault="00000000" w:rsidRPr="00000000" w14:paraId="000000D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c>
          <w:tcPr/>
          <w:p w:rsidR="00000000" w:rsidDel="00000000" w:rsidP="00000000" w:rsidRDefault="00000000" w:rsidRPr="00000000" w14:paraId="000000D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50%</w:t>
            </w:r>
          </w:p>
        </w:tc>
      </w:tr>
      <w:tr>
        <w:trPr>
          <w:cantSplit w:val="0"/>
          <w:tblHeader w:val="0"/>
        </w:trPr>
        <w:tc>
          <w:tcPr/>
          <w:p w:rsidR="00000000" w:rsidDel="00000000" w:rsidP="00000000" w:rsidRDefault="00000000" w:rsidRPr="00000000" w14:paraId="000000D9">
            <w:pPr>
              <w:spacing w:line="360" w:lineRule="auto"/>
              <w:jc w:val="both"/>
              <w:rPr>
                <w:rFonts w:ascii="Arial" w:cs="Arial" w:eastAsia="Arial" w:hAnsi="Arial"/>
                <w:b w:val="0"/>
                <w:color w:val="000000"/>
                <w:sz w:val="24"/>
                <w:szCs w:val="24"/>
              </w:rPr>
            </w:pPr>
            <w:r w:rsidDel="00000000" w:rsidR="00000000" w:rsidRPr="00000000">
              <w:rPr>
                <w:rFonts w:ascii="Arial" w:cs="Arial" w:eastAsia="Arial" w:hAnsi="Arial"/>
                <w:b w:val="0"/>
                <w:color w:val="000000"/>
                <w:sz w:val="24"/>
                <w:szCs w:val="24"/>
                <w:rtl w:val="0"/>
              </w:rPr>
              <w:t xml:space="preserve">laptops</w:t>
            </w:r>
          </w:p>
        </w:tc>
        <w:tc>
          <w:tcPr/>
          <w:p w:rsidR="00000000" w:rsidDel="00000000" w:rsidP="00000000" w:rsidRDefault="00000000" w:rsidRPr="00000000" w14:paraId="000000D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D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25%</w:t>
            </w:r>
          </w:p>
        </w:tc>
      </w:tr>
      <w:tr>
        <w:trPr>
          <w:cantSplit w:val="0"/>
          <w:tblHeader w:val="0"/>
        </w:trPr>
        <w:tc>
          <w:tcPr/>
          <w:p w:rsidR="00000000" w:rsidDel="00000000" w:rsidP="00000000" w:rsidRDefault="00000000" w:rsidRPr="00000000" w14:paraId="000000DC">
            <w:pPr>
              <w:spacing w:line="360" w:lineRule="auto"/>
              <w:jc w:val="both"/>
              <w:rPr>
                <w:rFonts w:ascii="Arial" w:cs="Arial" w:eastAsia="Arial" w:hAnsi="Arial"/>
                <w:b w:val="0"/>
                <w:color w:val="000000"/>
                <w:sz w:val="24"/>
                <w:szCs w:val="24"/>
              </w:rPr>
            </w:pPr>
            <w:r w:rsidDel="00000000" w:rsidR="00000000" w:rsidRPr="00000000">
              <w:rPr>
                <w:rFonts w:ascii="Arial" w:cs="Arial" w:eastAsia="Arial" w:hAnsi="Arial"/>
                <w:b w:val="0"/>
                <w:color w:val="000000"/>
                <w:sz w:val="24"/>
                <w:szCs w:val="24"/>
                <w:rtl w:val="0"/>
              </w:rPr>
              <w:t xml:space="preserve">Desktops</w:t>
            </w:r>
          </w:p>
        </w:tc>
        <w:tc>
          <w:tcPr/>
          <w:p w:rsidR="00000000" w:rsidDel="00000000" w:rsidP="00000000" w:rsidRDefault="00000000" w:rsidRPr="00000000" w14:paraId="000000D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D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25%</w:t>
            </w:r>
          </w:p>
        </w:tc>
      </w:tr>
      <w:tr>
        <w:trPr>
          <w:cantSplit w:val="0"/>
          <w:tblHeader w:val="0"/>
        </w:trPr>
        <w:tc>
          <w:tcPr/>
          <w:p w:rsidR="00000000" w:rsidDel="00000000" w:rsidP="00000000" w:rsidRDefault="00000000" w:rsidRPr="00000000" w14:paraId="000000DF">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Total </w:t>
            </w:r>
          </w:p>
        </w:tc>
        <w:tc>
          <w:tcPr/>
          <w:p w:rsidR="00000000" w:rsidDel="00000000" w:rsidP="00000000" w:rsidRDefault="00000000" w:rsidRPr="00000000" w14:paraId="000000E0">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N=20</w:t>
            </w:r>
          </w:p>
        </w:tc>
        <w:tc>
          <w:tcPr/>
          <w:p w:rsidR="00000000" w:rsidDel="00000000" w:rsidP="00000000" w:rsidRDefault="00000000" w:rsidRPr="00000000" w14:paraId="000000E1">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100%</w:t>
            </w:r>
          </w:p>
        </w:tc>
      </w:tr>
    </w:tbl>
    <w:p w:rsidR="00000000" w:rsidDel="00000000" w:rsidP="00000000" w:rsidRDefault="00000000" w:rsidRPr="00000000" w14:paraId="000000E2">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E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Table 3.7 demonstrates respondents' type of digital devices they used. Most respondents stated that they used phones (50%), average respondents used laptops and desktops and recorded (25%).It can be concluded that respondents that used phones as digital devices greatly participated.</w:t>
      </w:r>
    </w:p>
    <w:p w:rsidR="00000000" w:rsidDel="00000000" w:rsidP="00000000" w:rsidRDefault="00000000" w:rsidRPr="00000000" w14:paraId="000000E4">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3.8 table 3.8 outlines respondents’ opinions on which digital programs do they often use</w:t>
      </w:r>
    </w:p>
    <w:tbl>
      <w:tblPr>
        <w:tblStyle w:val="Table8"/>
        <w:tblW w:w="9350.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E5">
            <w:pPr>
              <w:spacing w:line="360" w:lineRule="auto"/>
              <w:jc w:val="both"/>
              <w:rPr>
                <w:rFonts w:ascii="Arial" w:cs="Arial" w:eastAsia="Arial" w:hAnsi="Arial"/>
                <w:i w:val="0"/>
                <w:sz w:val="24"/>
                <w:szCs w:val="24"/>
              </w:rPr>
            </w:pPr>
            <w:r w:rsidDel="00000000" w:rsidR="00000000" w:rsidRPr="00000000">
              <w:rPr>
                <w:rFonts w:ascii="Arial" w:cs="Arial" w:eastAsia="Arial" w:hAnsi="Arial"/>
                <w:i w:val="0"/>
                <w:sz w:val="24"/>
                <w:szCs w:val="24"/>
                <w:rtl w:val="0"/>
              </w:rPr>
              <w:t xml:space="preserve">Digital  programs</w:t>
            </w:r>
          </w:p>
        </w:tc>
        <w:tc>
          <w:tcPr/>
          <w:p w:rsidR="00000000" w:rsidDel="00000000" w:rsidP="00000000" w:rsidRDefault="00000000" w:rsidRPr="00000000" w14:paraId="000000E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Number of respondents</w:t>
            </w:r>
          </w:p>
        </w:tc>
        <w:tc>
          <w:tcPr/>
          <w:p w:rsidR="00000000" w:rsidDel="00000000" w:rsidP="00000000" w:rsidRDefault="00000000" w:rsidRPr="00000000" w14:paraId="000000E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Percentages %</w:t>
            </w:r>
          </w:p>
        </w:tc>
      </w:tr>
      <w:tr>
        <w:trPr>
          <w:cantSplit w:val="0"/>
          <w:tblHeader w:val="0"/>
        </w:trPr>
        <w:tc>
          <w:tcPr/>
          <w:p w:rsidR="00000000" w:rsidDel="00000000" w:rsidP="00000000" w:rsidRDefault="00000000" w:rsidRPr="00000000" w14:paraId="000000E8">
            <w:pPr>
              <w:spacing w:line="360" w:lineRule="auto"/>
              <w:jc w:val="both"/>
              <w:rPr>
                <w:rFonts w:ascii="Arial" w:cs="Arial" w:eastAsia="Arial" w:hAnsi="Arial"/>
                <w:i w:val="0"/>
                <w:sz w:val="24"/>
                <w:szCs w:val="24"/>
              </w:rPr>
            </w:pPr>
            <w:r w:rsidDel="00000000" w:rsidR="00000000" w:rsidRPr="00000000">
              <w:rPr>
                <w:rFonts w:ascii="Arial" w:cs="Arial" w:eastAsia="Arial" w:hAnsi="Arial"/>
                <w:i w:val="0"/>
                <w:sz w:val="24"/>
                <w:szCs w:val="24"/>
                <w:rtl w:val="0"/>
              </w:rPr>
              <w:t xml:space="preserve">Edmodo</w:t>
            </w:r>
          </w:p>
        </w:tc>
        <w:tc>
          <w:tcPr/>
          <w:p w:rsidR="00000000" w:rsidDel="00000000" w:rsidP="00000000" w:rsidRDefault="00000000" w:rsidRPr="00000000" w14:paraId="000000E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8</w:t>
            </w:r>
          </w:p>
        </w:tc>
        <w:tc>
          <w:tcPr/>
          <w:p w:rsidR="00000000" w:rsidDel="00000000" w:rsidP="00000000" w:rsidRDefault="00000000" w:rsidRPr="00000000" w14:paraId="000000E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40%</w:t>
            </w:r>
          </w:p>
        </w:tc>
      </w:tr>
      <w:tr>
        <w:trPr>
          <w:cantSplit w:val="0"/>
          <w:tblHeader w:val="0"/>
        </w:trPr>
        <w:tc>
          <w:tcPr/>
          <w:p w:rsidR="00000000" w:rsidDel="00000000" w:rsidP="00000000" w:rsidRDefault="00000000" w:rsidRPr="00000000" w14:paraId="000000EB">
            <w:pPr>
              <w:spacing w:line="360" w:lineRule="auto"/>
              <w:jc w:val="both"/>
              <w:rPr>
                <w:rFonts w:ascii="Arial" w:cs="Arial" w:eastAsia="Arial" w:hAnsi="Arial"/>
                <w:i w:val="0"/>
                <w:sz w:val="24"/>
                <w:szCs w:val="24"/>
              </w:rPr>
            </w:pPr>
            <w:r w:rsidDel="00000000" w:rsidR="00000000" w:rsidRPr="00000000">
              <w:rPr>
                <w:rFonts w:ascii="Arial" w:cs="Arial" w:eastAsia="Arial" w:hAnsi="Arial"/>
                <w:i w:val="0"/>
                <w:sz w:val="24"/>
                <w:szCs w:val="24"/>
                <w:rtl w:val="0"/>
              </w:rPr>
              <w:t xml:space="preserve">Thinglink</w:t>
            </w:r>
          </w:p>
        </w:tc>
        <w:tc>
          <w:tcPr/>
          <w:p w:rsidR="00000000" w:rsidDel="00000000" w:rsidP="00000000" w:rsidRDefault="00000000" w:rsidRPr="00000000" w14:paraId="000000E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p w:rsidR="00000000" w:rsidDel="00000000" w:rsidP="00000000" w:rsidRDefault="00000000" w:rsidRPr="00000000" w14:paraId="000000E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w:t>
            </w:r>
          </w:p>
        </w:tc>
      </w:tr>
      <w:tr>
        <w:trPr>
          <w:cantSplit w:val="0"/>
          <w:tblHeader w:val="0"/>
        </w:trPr>
        <w:tc>
          <w:tcPr/>
          <w:p w:rsidR="00000000" w:rsidDel="00000000" w:rsidP="00000000" w:rsidRDefault="00000000" w:rsidRPr="00000000" w14:paraId="000000EE">
            <w:pPr>
              <w:spacing w:line="360" w:lineRule="auto"/>
              <w:jc w:val="both"/>
              <w:rPr>
                <w:rFonts w:ascii="Arial" w:cs="Arial" w:eastAsia="Arial" w:hAnsi="Arial"/>
                <w:i w:val="0"/>
                <w:sz w:val="24"/>
                <w:szCs w:val="24"/>
              </w:rPr>
            </w:pPr>
            <w:r w:rsidDel="00000000" w:rsidR="00000000" w:rsidRPr="00000000">
              <w:rPr>
                <w:rFonts w:ascii="Arial" w:cs="Arial" w:eastAsia="Arial" w:hAnsi="Arial"/>
                <w:i w:val="0"/>
                <w:sz w:val="24"/>
                <w:szCs w:val="24"/>
                <w:rtl w:val="0"/>
              </w:rPr>
              <w:t xml:space="preserve">Panopt</w:t>
            </w:r>
          </w:p>
        </w:tc>
        <w:tc>
          <w:tcPr/>
          <w:p w:rsidR="00000000" w:rsidDel="00000000" w:rsidP="00000000" w:rsidRDefault="00000000" w:rsidRPr="00000000" w14:paraId="000000E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8</w:t>
            </w:r>
          </w:p>
        </w:tc>
        <w:tc>
          <w:tcPr/>
          <w:p w:rsidR="00000000" w:rsidDel="00000000" w:rsidP="00000000" w:rsidRDefault="00000000" w:rsidRPr="00000000" w14:paraId="000000F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40%</w:t>
            </w:r>
          </w:p>
        </w:tc>
      </w:tr>
      <w:tr>
        <w:trPr>
          <w:cantSplit w:val="0"/>
          <w:tblHeader w:val="0"/>
        </w:trPr>
        <w:tc>
          <w:tcPr/>
          <w:p w:rsidR="00000000" w:rsidDel="00000000" w:rsidP="00000000" w:rsidRDefault="00000000" w:rsidRPr="00000000" w14:paraId="000000F1">
            <w:pPr>
              <w:spacing w:line="360" w:lineRule="auto"/>
              <w:jc w:val="both"/>
              <w:rPr>
                <w:rFonts w:ascii="Arial" w:cs="Arial" w:eastAsia="Arial" w:hAnsi="Arial"/>
                <w:b w:val="1"/>
                <w:i w:val="0"/>
                <w:sz w:val="24"/>
                <w:szCs w:val="24"/>
              </w:rPr>
            </w:pPr>
            <w:r w:rsidDel="00000000" w:rsidR="00000000" w:rsidRPr="00000000">
              <w:rPr>
                <w:rFonts w:ascii="Arial" w:cs="Arial" w:eastAsia="Arial" w:hAnsi="Arial"/>
                <w:b w:val="1"/>
                <w:i w:val="0"/>
                <w:sz w:val="24"/>
                <w:szCs w:val="24"/>
                <w:rtl w:val="0"/>
              </w:rPr>
              <w:t xml:space="preserve">Total </w:t>
            </w:r>
          </w:p>
        </w:tc>
        <w:tc>
          <w:tcPr/>
          <w:p w:rsidR="00000000" w:rsidDel="00000000" w:rsidP="00000000" w:rsidRDefault="00000000" w:rsidRPr="00000000" w14:paraId="000000F2">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N=20</w:t>
            </w:r>
          </w:p>
        </w:tc>
        <w:tc>
          <w:tcPr/>
          <w:p w:rsidR="00000000" w:rsidDel="00000000" w:rsidP="00000000" w:rsidRDefault="00000000" w:rsidRPr="00000000" w14:paraId="000000F3">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100%</w:t>
            </w:r>
          </w:p>
        </w:tc>
      </w:tr>
    </w:tbl>
    <w:p w:rsidR="00000000" w:rsidDel="00000000" w:rsidP="00000000" w:rsidRDefault="00000000" w:rsidRPr="00000000" w14:paraId="000000F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Table 3.8 outlines respondents’ opinions on which digital programs they often use. Most respondents use Edmodo and Panopt whereas fewer respondents use Thinglink.</w:t>
      </w:r>
    </w:p>
    <w:p w:rsidR="00000000" w:rsidDel="00000000" w:rsidP="00000000" w:rsidRDefault="00000000" w:rsidRPr="00000000" w14:paraId="000000F5">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3.9 table 3.9 illustrates respondents’ digital skills is affected by health conditions such as Mental health, Dyslexia or Dementia</w:t>
      </w:r>
    </w:p>
    <w:tbl>
      <w:tblPr>
        <w:tblStyle w:val="Table9"/>
        <w:tblW w:w="9350.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F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Health conditions</w:t>
            </w:r>
          </w:p>
        </w:tc>
        <w:tc>
          <w:tcPr/>
          <w:p w:rsidR="00000000" w:rsidDel="00000000" w:rsidP="00000000" w:rsidRDefault="00000000" w:rsidRPr="00000000" w14:paraId="000000F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Number of respondents</w:t>
            </w:r>
          </w:p>
        </w:tc>
        <w:tc>
          <w:tcPr/>
          <w:p w:rsidR="00000000" w:rsidDel="00000000" w:rsidP="00000000" w:rsidRDefault="00000000" w:rsidRPr="00000000" w14:paraId="000000F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Percentages%</w:t>
            </w:r>
          </w:p>
        </w:tc>
      </w:tr>
      <w:tr>
        <w:trPr>
          <w:cantSplit w:val="0"/>
          <w:tblHeader w:val="0"/>
        </w:trPr>
        <w:tc>
          <w:tcPr/>
          <w:p w:rsidR="00000000" w:rsidDel="00000000" w:rsidP="00000000" w:rsidRDefault="00000000" w:rsidRPr="00000000" w14:paraId="000000F9">
            <w:pPr>
              <w:spacing w:line="360" w:lineRule="auto"/>
              <w:jc w:val="both"/>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Mental health</w:t>
            </w:r>
          </w:p>
        </w:tc>
        <w:tc>
          <w:tcPr/>
          <w:p w:rsidR="00000000" w:rsidDel="00000000" w:rsidP="00000000" w:rsidRDefault="00000000" w:rsidRPr="00000000" w14:paraId="000000F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c>
          <w:tcPr/>
          <w:p w:rsidR="00000000" w:rsidDel="00000000" w:rsidP="00000000" w:rsidRDefault="00000000" w:rsidRPr="00000000" w14:paraId="000000F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80%</w:t>
            </w:r>
          </w:p>
        </w:tc>
      </w:tr>
      <w:tr>
        <w:trPr>
          <w:cantSplit w:val="0"/>
          <w:tblHeader w:val="0"/>
        </w:trPr>
        <w:tc>
          <w:tcPr/>
          <w:p w:rsidR="00000000" w:rsidDel="00000000" w:rsidP="00000000" w:rsidRDefault="00000000" w:rsidRPr="00000000" w14:paraId="000000FC">
            <w:pPr>
              <w:spacing w:line="360" w:lineRule="auto"/>
              <w:jc w:val="both"/>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Dyslexia </w:t>
            </w:r>
          </w:p>
        </w:tc>
        <w:tc>
          <w:tcPr/>
          <w:p w:rsidR="00000000" w:rsidDel="00000000" w:rsidP="00000000" w:rsidRDefault="00000000" w:rsidRPr="00000000" w14:paraId="000000F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p w:rsidR="00000000" w:rsidDel="00000000" w:rsidP="00000000" w:rsidRDefault="00000000" w:rsidRPr="00000000" w14:paraId="000000F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r>
      <w:tr>
        <w:trPr>
          <w:cantSplit w:val="0"/>
          <w:tblHeader w:val="0"/>
        </w:trPr>
        <w:tc>
          <w:tcPr/>
          <w:p w:rsidR="00000000" w:rsidDel="00000000" w:rsidP="00000000" w:rsidRDefault="00000000" w:rsidRPr="00000000" w14:paraId="000000FF">
            <w:pPr>
              <w:spacing w:line="360" w:lineRule="auto"/>
              <w:jc w:val="both"/>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Dementia</w:t>
            </w:r>
          </w:p>
        </w:tc>
        <w:tc>
          <w:tcPr/>
          <w:p w:rsidR="00000000" w:rsidDel="00000000" w:rsidP="00000000" w:rsidRDefault="00000000" w:rsidRPr="00000000" w14:paraId="0000010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p w:rsidR="00000000" w:rsidDel="00000000" w:rsidP="00000000" w:rsidRDefault="00000000" w:rsidRPr="00000000" w14:paraId="0000010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r>
      <w:tr>
        <w:trPr>
          <w:cantSplit w:val="0"/>
          <w:tblHeader w:val="0"/>
        </w:trPr>
        <w:tc>
          <w:tcPr/>
          <w:p w:rsidR="00000000" w:rsidDel="00000000" w:rsidP="00000000" w:rsidRDefault="00000000" w:rsidRPr="00000000" w14:paraId="0000010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Total </w:t>
            </w:r>
          </w:p>
        </w:tc>
        <w:tc>
          <w:tcPr/>
          <w:p w:rsidR="00000000" w:rsidDel="00000000" w:rsidP="00000000" w:rsidRDefault="00000000" w:rsidRPr="00000000" w14:paraId="00000103">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N=20</w:t>
            </w:r>
          </w:p>
        </w:tc>
        <w:tc>
          <w:tcPr/>
          <w:p w:rsidR="00000000" w:rsidDel="00000000" w:rsidP="00000000" w:rsidRDefault="00000000" w:rsidRPr="00000000" w14:paraId="00000104">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100%</w:t>
            </w:r>
          </w:p>
        </w:tc>
      </w:tr>
    </w:tbl>
    <w:p w:rsidR="00000000" w:rsidDel="00000000" w:rsidP="00000000" w:rsidRDefault="00000000" w:rsidRPr="00000000" w14:paraId="00000105">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0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table 3.9 illustrates respondents’ digital skills are affected by health conditions such as Mental health, Dyslexia or Dementia</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sz w:val="24"/>
          <w:szCs w:val="24"/>
          <w:rtl w:val="0"/>
        </w:rPr>
        <w:t xml:space="preserve">Most respondents’ digital skills were affected by mental health and recorded 80% whereas fewer respondents’ digital skills were affected by Dyslexia or Dementia which recorded 2% each.</w:t>
      </w:r>
    </w:p>
    <w:p w:rsidR="00000000" w:rsidDel="00000000" w:rsidP="00000000" w:rsidRDefault="00000000" w:rsidRPr="00000000" w14:paraId="00000107">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3.10 table 3.10 outlines respondents level of agreement if digital skills has improved since one become a student at the UWTSD</w:t>
      </w:r>
    </w:p>
    <w:tbl>
      <w:tblPr>
        <w:tblStyle w:val="Table10"/>
        <w:tblW w:w="9350.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108">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Agreement level</w:t>
            </w:r>
          </w:p>
        </w:tc>
        <w:tc>
          <w:tcPr/>
          <w:p w:rsidR="00000000" w:rsidDel="00000000" w:rsidP="00000000" w:rsidRDefault="00000000" w:rsidRPr="00000000" w14:paraId="00000109">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Number of respondents</w:t>
            </w:r>
          </w:p>
        </w:tc>
        <w:tc>
          <w:tcPr/>
          <w:p w:rsidR="00000000" w:rsidDel="00000000" w:rsidP="00000000" w:rsidRDefault="00000000" w:rsidRPr="00000000" w14:paraId="0000010A">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Percentages %</w:t>
            </w:r>
          </w:p>
        </w:tc>
      </w:tr>
      <w:tr>
        <w:trPr>
          <w:cantSplit w:val="0"/>
          <w:tblHeader w:val="0"/>
        </w:trPr>
        <w:tc>
          <w:tcPr/>
          <w:p w:rsidR="00000000" w:rsidDel="00000000" w:rsidP="00000000" w:rsidRDefault="00000000" w:rsidRPr="00000000" w14:paraId="0000010B">
            <w:pPr>
              <w:spacing w:line="360" w:lineRule="auto"/>
              <w:jc w:val="both"/>
              <w:rPr>
                <w:rFonts w:ascii="Arial" w:cs="Arial" w:eastAsia="Arial" w:hAnsi="Arial"/>
                <w:b w:val="0"/>
                <w:color w:val="000000"/>
                <w:sz w:val="24"/>
                <w:szCs w:val="24"/>
              </w:rPr>
            </w:pPr>
            <w:r w:rsidDel="00000000" w:rsidR="00000000" w:rsidRPr="00000000">
              <w:rPr>
                <w:rFonts w:ascii="Arial" w:cs="Arial" w:eastAsia="Arial" w:hAnsi="Arial"/>
                <w:b w:val="0"/>
                <w:color w:val="000000"/>
                <w:sz w:val="24"/>
                <w:szCs w:val="24"/>
                <w:rtl w:val="0"/>
              </w:rPr>
              <w:t xml:space="preserve">Yes </w:t>
            </w:r>
          </w:p>
        </w:tc>
        <w:tc>
          <w:tcPr/>
          <w:p w:rsidR="00000000" w:rsidDel="00000000" w:rsidP="00000000" w:rsidRDefault="00000000" w:rsidRPr="00000000" w14:paraId="0000010C">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19 </w:t>
            </w:r>
          </w:p>
        </w:tc>
        <w:tc>
          <w:tcPr/>
          <w:p w:rsidR="00000000" w:rsidDel="00000000" w:rsidP="00000000" w:rsidRDefault="00000000" w:rsidRPr="00000000" w14:paraId="0000010D">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95%</w:t>
            </w:r>
          </w:p>
        </w:tc>
      </w:tr>
      <w:tr>
        <w:trPr>
          <w:cantSplit w:val="0"/>
          <w:tblHeader w:val="0"/>
        </w:trPr>
        <w:tc>
          <w:tcPr/>
          <w:p w:rsidR="00000000" w:rsidDel="00000000" w:rsidP="00000000" w:rsidRDefault="00000000" w:rsidRPr="00000000" w14:paraId="0000010E">
            <w:pPr>
              <w:spacing w:line="360" w:lineRule="auto"/>
              <w:jc w:val="both"/>
              <w:rPr>
                <w:rFonts w:ascii="Arial" w:cs="Arial" w:eastAsia="Arial" w:hAnsi="Arial"/>
                <w:b w:val="0"/>
                <w:color w:val="000000"/>
                <w:sz w:val="24"/>
                <w:szCs w:val="24"/>
              </w:rPr>
            </w:pPr>
            <w:r w:rsidDel="00000000" w:rsidR="00000000" w:rsidRPr="00000000">
              <w:rPr>
                <w:rFonts w:ascii="Arial" w:cs="Arial" w:eastAsia="Arial" w:hAnsi="Arial"/>
                <w:b w:val="0"/>
                <w:color w:val="000000"/>
                <w:sz w:val="24"/>
                <w:szCs w:val="24"/>
                <w:rtl w:val="0"/>
              </w:rPr>
              <w:t xml:space="preserve">No </w:t>
            </w:r>
          </w:p>
        </w:tc>
        <w:tc>
          <w:tcPr/>
          <w:p w:rsidR="00000000" w:rsidDel="00000000" w:rsidP="00000000" w:rsidRDefault="00000000" w:rsidRPr="00000000" w14:paraId="0000010F">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1</w:t>
            </w:r>
          </w:p>
        </w:tc>
        <w:tc>
          <w:tcPr/>
          <w:p w:rsidR="00000000" w:rsidDel="00000000" w:rsidP="00000000" w:rsidRDefault="00000000" w:rsidRPr="00000000" w14:paraId="00000110">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5%</w:t>
            </w:r>
          </w:p>
        </w:tc>
      </w:tr>
      <w:tr>
        <w:trPr>
          <w:cantSplit w:val="0"/>
          <w:tblHeader w:val="0"/>
        </w:trPr>
        <w:tc>
          <w:tcPr/>
          <w:p w:rsidR="00000000" w:rsidDel="00000000" w:rsidP="00000000" w:rsidRDefault="00000000" w:rsidRPr="00000000" w14:paraId="00000111">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Total </w:t>
            </w:r>
          </w:p>
        </w:tc>
        <w:tc>
          <w:tcPr/>
          <w:p w:rsidR="00000000" w:rsidDel="00000000" w:rsidP="00000000" w:rsidRDefault="00000000" w:rsidRPr="00000000" w14:paraId="00000112">
            <w:pPr>
              <w:spacing w:line="360" w:lineRule="auto"/>
              <w:jc w:val="both"/>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N=20</w:t>
            </w:r>
          </w:p>
        </w:tc>
        <w:tc>
          <w:tcPr/>
          <w:p w:rsidR="00000000" w:rsidDel="00000000" w:rsidP="00000000" w:rsidRDefault="00000000" w:rsidRPr="00000000" w14:paraId="00000113">
            <w:pPr>
              <w:spacing w:line="360" w:lineRule="auto"/>
              <w:jc w:val="both"/>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100%</w:t>
            </w:r>
          </w:p>
        </w:tc>
      </w:tr>
    </w:tbl>
    <w:p w:rsidR="00000000" w:rsidDel="00000000" w:rsidP="00000000" w:rsidRDefault="00000000" w:rsidRPr="00000000" w14:paraId="00000114">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1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Table 3.10 outlines respondents' level of agreement if digital skills have improved since one became a student at the UWTSD. Respondents that said yes recorded 95% whereas respondents that said no scored 5%.it can be said that respondents that said yes outnumbered the respondents that said no.</w:t>
      </w:r>
    </w:p>
    <w:p w:rsidR="00000000" w:rsidDel="00000000" w:rsidP="00000000" w:rsidRDefault="00000000" w:rsidRPr="00000000" w14:paraId="0000011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7">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18">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19">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1A">
      <w:pPr>
        <w:pStyle w:val="Heading1"/>
        <w:spacing w:line="360" w:lineRule="auto"/>
        <w:jc w:val="both"/>
        <w:rPr>
          <w:rFonts w:ascii="Arial" w:cs="Arial" w:eastAsia="Arial" w:hAnsi="Arial"/>
          <w:b w:val="1"/>
          <w:color w:val="000000"/>
          <w:sz w:val="24"/>
          <w:szCs w:val="24"/>
        </w:rPr>
      </w:pPr>
      <w:bookmarkStart w:colFirst="0" w:colLast="0" w:name="_heading=h.44sinio" w:id="43"/>
      <w:bookmarkEnd w:id="43"/>
      <w:r w:rsidDel="00000000" w:rsidR="00000000" w:rsidRPr="00000000">
        <w:rPr>
          <w:rFonts w:ascii="Arial" w:cs="Arial" w:eastAsia="Arial" w:hAnsi="Arial"/>
          <w:b w:val="1"/>
          <w:color w:val="000000"/>
          <w:sz w:val="24"/>
          <w:szCs w:val="24"/>
          <w:rtl w:val="0"/>
        </w:rPr>
        <w:t xml:space="preserve">4.Discussion</w:t>
      </w:r>
    </w:p>
    <w:p w:rsidR="00000000" w:rsidDel="00000000" w:rsidP="00000000" w:rsidRDefault="00000000" w:rsidRPr="00000000" w14:paraId="0000011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researcher found that</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sz w:val="24"/>
          <w:szCs w:val="24"/>
          <w:rtl w:val="0"/>
        </w:rPr>
        <w:t xml:space="preserve">twenty respondents participated in the undertaken study. 16 respondents were females and scored 80% whereas males respondents scored 20%. In all, females’ respondents outnumbered males’ respondents.</w:t>
      </w:r>
    </w:p>
    <w:p w:rsidR="00000000" w:rsidDel="00000000" w:rsidP="00000000" w:rsidRDefault="00000000" w:rsidRPr="00000000" w14:paraId="0000011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researcher found that respondents were asked to state their occupation. Respondents were students and lecturers. Students had participated highly with 75% than lecturers that scored 25%. It can be said that students greatly participated more than lecturers when the study was conducted.</w:t>
      </w:r>
    </w:p>
    <w:p w:rsidR="00000000" w:rsidDel="00000000" w:rsidP="00000000" w:rsidRDefault="00000000" w:rsidRPr="00000000" w14:paraId="0000011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researcher found that 20 respondents participating in the undertaken study were asked to indicate their qualification level. Among all respondents, respondents with certificates recorded 75 % and Master Degrees scored 10% and respondents with PhDs recorded 15%. It can be concluded that respondents with certificates greatly participated and outnumbered other respondents.</w:t>
      </w:r>
    </w:p>
    <w:p w:rsidR="00000000" w:rsidDel="00000000" w:rsidP="00000000" w:rsidRDefault="00000000" w:rsidRPr="00000000" w14:paraId="0000011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researcher found that respondents were asked to rate their digital skills. Most respondents opined that their digital skills were good, average respondents suggested that their digital skills were excellent and fewer respondents stated that their digital skills were better.</w:t>
      </w:r>
    </w:p>
    <w:p w:rsidR="00000000" w:rsidDel="00000000" w:rsidP="00000000" w:rsidRDefault="00000000" w:rsidRPr="00000000" w14:paraId="0000011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researcher found that respondents were asked to indicate their level of agreement towards the need for digital skills training. Respondents that strongly agreed recorded 90% whereas respondents that neither agreed and strongly disagreed scored 5% respectively.</w:t>
      </w:r>
    </w:p>
    <w:p w:rsidR="00000000" w:rsidDel="00000000" w:rsidP="00000000" w:rsidRDefault="00000000" w:rsidRPr="00000000" w14:paraId="0000012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researchers found that respondents were asked to rate their likeliness to use digital devices to collaborate. Rating was splitted into two parts. Most respondents rated their likeliness to use digital devices which recorded 65% whereas few respondents participated with 35%.</w:t>
      </w:r>
    </w:p>
    <w:p w:rsidR="00000000" w:rsidDel="00000000" w:rsidP="00000000" w:rsidRDefault="00000000" w:rsidRPr="00000000" w14:paraId="0000012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found that respondents were asked to mention the type of digital devices they used. Most respondents stated that they used phones (50%), average respondents used laptops and desktops and recorded (25%).It can be concluded that respondents that used phones as digital devices greatly participated.</w:t>
      </w:r>
    </w:p>
    <w:p w:rsidR="00000000" w:rsidDel="00000000" w:rsidP="00000000" w:rsidRDefault="00000000" w:rsidRPr="00000000" w14:paraId="0000012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researcher found that respondents were asked to express their opinions on which digital programs they often use. Most respondents use Edmodo and Panopt whereas fewer respondents use Thinglink.</w:t>
      </w:r>
    </w:p>
    <w:p w:rsidR="00000000" w:rsidDel="00000000" w:rsidP="00000000" w:rsidRDefault="00000000" w:rsidRPr="00000000" w14:paraId="0000012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researcher found that the respondents were asked to indicate whether their digital skills are affected by health conditions such as Mental health, Dyslexia or Dementia</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sz w:val="24"/>
          <w:szCs w:val="24"/>
          <w:rtl w:val="0"/>
        </w:rPr>
        <w:t xml:space="preserve">Most respondents’ digital skills were affected by mental health and recorded 80% whereas fewer respondents’ digital skills were affected by Dyslexia or Dementia which recorded 2% each.</w:t>
      </w:r>
    </w:p>
    <w:p w:rsidR="00000000" w:rsidDel="00000000" w:rsidP="00000000" w:rsidRDefault="00000000" w:rsidRPr="00000000" w14:paraId="0000012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researcher found that respondents were asked to indicate their level of agreement if digital skills have improved since one became a student at the UWTSD. Respondents that said yes recorded 95% whereas respondents that said no scored 5%. It can be said that respondents that said yes outnumbered the respondents that said no.</w:t>
      </w:r>
    </w:p>
    <w:p w:rsidR="00000000" w:rsidDel="00000000" w:rsidP="00000000" w:rsidRDefault="00000000" w:rsidRPr="00000000" w14:paraId="0000012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(EU, 2016), The concept of digital competence has been put on the spotlight of European educational systems a decade ago when the EU Parliament has included it in the Reference Framework (EU, 2016) of key competences for lifelong learning each citizen will need to develop in order ‘to adapt flexibly to a rapidly changing and highly interconnected world’. A number of follow-up documents have been produced within this context aiming to define, conceptualize, operationalize and assess this concept. </w:t>
      </w:r>
    </w:p>
    <w:p w:rsidR="00000000" w:rsidDel="00000000" w:rsidP="00000000" w:rsidRDefault="00000000" w:rsidRPr="00000000" w14:paraId="0000012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Ferrari (2012) stated that the importance of digital skills can be examined from various aspects, such as ICT literacy, Internet literacy, media literacy, information literacy, and digital literacy which also overlap in several ways; several policies adapt a variety of the approaches, emphasizing a need for inclusion in a digital society, for developing ICT skills for innovation and industry, key to lifelong learning, and one of the necessary new skills for new jobs. A conceptual model developed by the scholars emphasizes 1) Instrumental knowledge and skills for digital tool and media usage which are operational and media-related; 2) Advanced skills and knowledge for communication and collaboration, information management, learning and problem-solving, and meaningful participation; and 3) Attitudes to strategic skills usage in intercultural, critical, creative, responsible and autonomous ways. Instrumental knowledge and skills are a precondition for developing or using more advanced skills (Ferrari,2012).</w:t>
      </w:r>
    </w:p>
    <w:p w:rsidR="00000000" w:rsidDel="00000000" w:rsidP="00000000" w:rsidRDefault="00000000" w:rsidRPr="00000000" w14:paraId="00000127">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28">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29">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2A">
      <w:pPr>
        <w:pStyle w:val="Heading1"/>
        <w:spacing w:line="360" w:lineRule="auto"/>
        <w:jc w:val="both"/>
        <w:rPr>
          <w:rFonts w:ascii="Arial" w:cs="Arial" w:eastAsia="Arial" w:hAnsi="Arial"/>
          <w:b w:val="1"/>
          <w:color w:val="000000"/>
          <w:sz w:val="24"/>
          <w:szCs w:val="24"/>
        </w:rPr>
      </w:pPr>
      <w:bookmarkStart w:colFirst="0" w:colLast="0" w:name="_heading=h.2jxsxqh" w:id="44"/>
      <w:bookmarkEnd w:id="44"/>
      <w:r w:rsidDel="00000000" w:rsidR="00000000" w:rsidRPr="00000000">
        <w:rPr>
          <w:rFonts w:ascii="Arial" w:cs="Arial" w:eastAsia="Arial" w:hAnsi="Arial"/>
          <w:b w:val="1"/>
          <w:color w:val="000000"/>
          <w:sz w:val="24"/>
          <w:szCs w:val="24"/>
          <w:rtl w:val="0"/>
        </w:rPr>
        <w:t xml:space="preserve">5.Conclusion</w:t>
      </w:r>
    </w:p>
    <w:p w:rsidR="00000000" w:rsidDel="00000000" w:rsidP="00000000" w:rsidRDefault="00000000" w:rsidRPr="00000000" w14:paraId="0000012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importance of digital skills can be examined from various aspects, such as ICT literacy, Internet literacy, media literacy, information literacy, and digital literacy which also overlap in several ways; several policies adapt a variety of the approaches, emphasizing a need for inclusion in a digital society, for developing ICT skills for innovation and industry, key to lifelong learning, and one of the necessary new skills for new jobs. Digital skills were good, average respondents suggested that their digital skills were excellent and fewer respondents stated that their digital skills were better. Respondents that strongly agreed recorded 90% whereas respondents that neither agreed and strongly disagreed scored 5% respectively. Most respondents rated their likeliness to use digital devices which recorded 65% whereas few respondents participated with 35%. Most respondents stated that they used phones (50%), average respondents used laptops and desktops and recorded (25%).It can be concluded that respondents that used phones as digital devices greatly participated. Most respondents use Edmodo and Panopt whereas fewer respondents use Thinglink. Most respondents’ digital skills were affected by mental health and recorded 80% whereas fewer respondents’ digital skills were affected by Dyslexia or Dementia which recorded 2% each. Most respondents indicated that their level of digital skills has improved by saying yes or no. Respondents that said yes recorded 95% whereas respondents that said no scored 5%. It can be said that respondents that said yes outnumbered the respondents that said no.</w:t>
      </w:r>
    </w:p>
    <w:p w:rsidR="00000000" w:rsidDel="00000000" w:rsidP="00000000" w:rsidRDefault="00000000" w:rsidRPr="00000000" w14:paraId="0000012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3">
      <w:pPr>
        <w:pStyle w:val="Heading1"/>
        <w:spacing w:line="360" w:lineRule="auto"/>
        <w:jc w:val="both"/>
        <w:rPr>
          <w:rFonts w:ascii="Arial" w:cs="Arial" w:eastAsia="Arial" w:hAnsi="Arial"/>
          <w:b w:val="1"/>
          <w:color w:val="000000"/>
          <w:sz w:val="24"/>
          <w:szCs w:val="24"/>
        </w:rPr>
      </w:pPr>
      <w:bookmarkStart w:colFirst="0" w:colLast="0" w:name="_heading=h.z337ya" w:id="45"/>
      <w:bookmarkEnd w:id="45"/>
      <w:r w:rsidDel="00000000" w:rsidR="00000000" w:rsidRPr="00000000">
        <w:rPr>
          <w:rFonts w:ascii="Arial" w:cs="Arial" w:eastAsia="Arial" w:hAnsi="Arial"/>
          <w:b w:val="1"/>
          <w:color w:val="000000"/>
          <w:sz w:val="24"/>
          <w:szCs w:val="24"/>
          <w:rtl w:val="0"/>
        </w:rPr>
        <w:t xml:space="preserve">6.References</w:t>
      </w:r>
    </w:p>
    <w:p w:rsidR="00000000" w:rsidDel="00000000" w:rsidP="00000000" w:rsidRDefault="00000000" w:rsidRPr="00000000" w14:paraId="00000134">
      <w:pPr>
        <w:rPr>
          <w:rFonts w:ascii="Arial" w:cs="Arial" w:eastAsia="Arial" w:hAnsi="Arial"/>
        </w:rPr>
      </w:pPr>
      <w:r w:rsidDel="00000000" w:rsidR="00000000" w:rsidRPr="00000000">
        <w:rPr>
          <w:rtl w:val="0"/>
        </w:rPr>
      </w:r>
    </w:p>
    <w:p w:rsidR="00000000" w:rsidDel="00000000" w:rsidP="00000000" w:rsidRDefault="00000000" w:rsidRPr="00000000" w14:paraId="00000135">
      <w:pPr>
        <w:spacing w:line="360" w:lineRule="auto"/>
        <w:ind w:left="720" w:firstLine="0"/>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European Union (2016). Recommendation of the European Parliament and of </w:t>
      </w:r>
      <w:r w:rsidDel="00000000" w:rsidR="00000000" w:rsidRPr="00000000">
        <w:rPr>
          <w:rFonts w:ascii="Arial" w:cs="Arial" w:eastAsia="Arial" w:hAnsi="Arial"/>
          <w:i w:val="1"/>
          <w:sz w:val="24"/>
          <w:szCs w:val="24"/>
          <w:rtl w:val="0"/>
        </w:rPr>
        <w:t xml:space="preserve">trje</w:t>
      </w:r>
      <w:r w:rsidDel="00000000" w:rsidR="00000000" w:rsidRPr="00000000">
        <w:rPr>
          <w:rFonts w:ascii="Arial" w:cs="Arial" w:eastAsia="Arial" w:hAnsi="Arial"/>
          <w:i w:val="1"/>
          <w:sz w:val="24"/>
          <w:szCs w:val="24"/>
          <w:rtl w:val="0"/>
        </w:rPr>
        <w:t xml:space="preserve"> Council of 18</w:t>
      </w:r>
    </w:p>
    <w:p w:rsidR="00000000" w:rsidDel="00000000" w:rsidP="00000000" w:rsidRDefault="00000000" w:rsidRPr="00000000" w14:paraId="00000136">
      <w:pPr>
        <w:spacing w:line="360" w:lineRule="auto"/>
        <w:ind w:left="720" w:firstLine="0"/>
        <w:jc w:val="both"/>
        <w:rPr>
          <w:rFonts w:ascii="Arial" w:cs="Arial" w:eastAsia="Arial" w:hAnsi="Arial"/>
          <w:i w:val="1"/>
        </w:rPr>
      </w:pPr>
      <w:r w:rsidDel="00000000" w:rsidR="00000000" w:rsidRPr="00000000">
        <w:rPr>
          <w:rFonts w:ascii="Arial" w:cs="Arial" w:eastAsia="Arial" w:hAnsi="Arial"/>
          <w:i w:val="1"/>
          <w:sz w:val="24"/>
          <w:szCs w:val="24"/>
          <w:rtl w:val="0"/>
        </w:rPr>
        <w:t xml:space="preserve">December 2006 on key competences for lifelong learning. http://eur-lex.europa.eu/legalcontent/</w:t>
      </w:r>
      <w:r w:rsidDel="00000000" w:rsidR="00000000" w:rsidRPr="00000000">
        <w:rPr>
          <w:rtl w:val="0"/>
        </w:rPr>
      </w:r>
    </w:p>
    <w:p w:rsidR="00000000" w:rsidDel="00000000" w:rsidP="00000000" w:rsidRDefault="00000000" w:rsidRPr="00000000" w14:paraId="00000137">
      <w:pPr>
        <w:rPr>
          <w:rFonts w:ascii="Arial" w:cs="Arial" w:eastAsia="Arial" w:hAnsi="Arial"/>
          <w:i w:val="1"/>
        </w:rPr>
      </w:pPr>
      <w:r w:rsidDel="00000000" w:rsidR="00000000" w:rsidRPr="00000000">
        <w:rPr>
          <w:rtl w:val="0"/>
        </w:rPr>
      </w:r>
    </w:p>
    <w:p w:rsidR="00000000" w:rsidDel="00000000" w:rsidP="00000000" w:rsidRDefault="00000000" w:rsidRPr="00000000" w14:paraId="00000138">
      <w:pPr>
        <w:spacing w:line="360" w:lineRule="auto"/>
        <w:ind w:left="720" w:firstLine="0"/>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Ferrari, A. (2012). Digital Competence in practice : An analysis of frameworks. Joint Research Center. Institute for Prospective Technological Studies (IPTS). Scientific and Technical Research series (en ligne) Disponible </w:t>
      </w:r>
    </w:p>
    <w:p w:rsidR="00000000" w:rsidDel="00000000" w:rsidP="00000000" w:rsidRDefault="00000000" w:rsidRPr="00000000" w14:paraId="00000139">
      <w:pPr>
        <w:spacing w:line="360" w:lineRule="auto"/>
        <w:ind w:left="720" w:firstLine="0"/>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Johnson, B. &amp; Christensen, L. (2019). Educational research: quantitative, qualitative, and mixed approaches. (4th ed.). London: Sage.</w:t>
      </w:r>
    </w:p>
    <w:p w:rsidR="00000000" w:rsidDel="00000000" w:rsidP="00000000" w:rsidRDefault="00000000" w:rsidRPr="00000000" w14:paraId="0000013A">
      <w:pPr>
        <w:spacing w:line="360" w:lineRule="auto"/>
        <w:ind w:left="720" w:firstLine="0"/>
        <w:jc w:val="both"/>
        <w:rPr>
          <w:rFonts w:ascii="Arial" w:cs="Arial" w:eastAsia="Arial" w:hAnsi="Arial"/>
          <w:i w:val="1"/>
        </w:rPr>
      </w:pPr>
      <w:r w:rsidDel="00000000" w:rsidR="00000000" w:rsidRPr="00000000">
        <w:rPr>
          <w:rFonts w:ascii="Arial" w:cs="Arial" w:eastAsia="Arial" w:hAnsi="Arial"/>
          <w:i w:val="1"/>
          <w:sz w:val="24"/>
          <w:szCs w:val="24"/>
          <w:rtl w:val="0"/>
        </w:rPr>
        <w:t xml:space="preserve">Polak, L; Green, J (2017). </w:t>
      </w:r>
      <w:hyperlink r:id="rId12">
        <w:r w:rsidDel="00000000" w:rsidR="00000000" w:rsidRPr="00000000">
          <w:rPr>
            <w:rFonts w:ascii="Arial" w:cs="Arial" w:eastAsia="Arial" w:hAnsi="Arial"/>
            <w:i w:val="1"/>
            <w:sz w:val="24"/>
            <w:szCs w:val="24"/>
            <w:rtl w:val="0"/>
          </w:rPr>
          <w:t xml:space="preserve">"Using Joint Interviews to Add Analytic Value"</w:t>
        </w:r>
      </w:hyperlink>
      <w:r w:rsidDel="00000000" w:rsidR="00000000" w:rsidRPr="00000000">
        <w:rPr>
          <w:rFonts w:ascii="Arial" w:cs="Arial" w:eastAsia="Arial" w:hAnsi="Arial"/>
          <w:i w:val="1"/>
          <w:sz w:val="24"/>
          <w:szCs w:val="24"/>
          <w:rtl w:val="0"/>
        </w:rPr>
        <w:t xml:space="preserve">. </w:t>
      </w:r>
      <w:hyperlink r:id="rId13">
        <w:r w:rsidDel="00000000" w:rsidR="00000000" w:rsidRPr="00000000">
          <w:rPr>
            <w:rFonts w:ascii="Arial" w:cs="Arial" w:eastAsia="Arial" w:hAnsi="Arial"/>
            <w:i w:val="1"/>
            <w:sz w:val="24"/>
            <w:szCs w:val="24"/>
            <w:rtl w:val="0"/>
          </w:rPr>
          <w:t xml:space="preserve">Qualitative Health Research</w:t>
        </w:r>
      </w:hyperlink>
      <w:r w:rsidDel="00000000" w:rsidR="00000000" w:rsidRPr="00000000">
        <w:rPr>
          <w:rFonts w:ascii="Arial" w:cs="Arial" w:eastAsia="Arial" w:hAnsi="Arial"/>
          <w:i w:val="1"/>
          <w:sz w:val="24"/>
          <w:szCs w:val="24"/>
          <w:rtl w:val="0"/>
        </w:rPr>
        <w:t xml:space="preserve">. 26 (12): 1638–48. </w:t>
      </w:r>
      <w:hyperlink r:id="rId14">
        <w:r w:rsidDel="00000000" w:rsidR="00000000" w:rsidRPr="00000000">
          <w:rPr>
            <w:rFonts w:ascii="Arial" w:cs="Arial" w:eastAsia="Arial" w:hAnsi="Arial"/>
            <w:i w:val="1"/>
            <w:sz w:val="24"/>
            <w:szCs w:val="24"/>
            <w:rtl w:val="0"/>
          </w:rPr>
          <w:t xml:space="preserve">doi</w:t>
        </w:r>
      </w:hyperlink>
      <w:r w:rsidDel="00000000" w:rsidR="00000000" w:rsidRPr="00000000">
        <w:rPr>
          <w:rFonts w:ascii="Arial" w:cs="Arial" w:eastAsia="Arial" w:hAnsi="Arial"/>
          <w:i w:val="1"/>
          <w:sz w:val="24"/>
          <w:szCs w:val="24"/>
          <w:rtl w:val="0"/>
        </w:rPr>
        <w:t xml:space="preserve">:</w:t>
      </w:r>
      <w:hyperlink r:id="rId15">
        <w:r w:rsidDel="00000000" w:rsidR="00000000" w:rsidRPr="00000000">
          <w:rPr>
            <w:rFonts w:ascii="Arial" w:cs="Arial" w:eastAsia="Arial" w:hAnsi="Arial"/>
            <w:i w:val="1"/>
            <w:sz w:val="24"/>
            <w:szCs w:val="24"/>
            <w:rtl w:val="0"/>
          </w:rPr>
          <w:t xml:space="preserve">10.1177/1049732315580103</w:t>
        </w:r>
      </w:hyperlink>
      <w:r w:rsidDel="00000000" w:rsidR="00000000" w:rsidRPr="00000000">
        <w:rPr>
          <w:rFonts w:ascii="Arial" w:cs="Arial" w:eastAsia="Arial" w:hAnsi="Arial"/>
          <w:i w:val="1"/>
          <w:sz w:val="24"/>
          <w:szCs w:val="24"/>
          <w:rtl w:val="0"/>
        </w:rPr>
        <w:t xml:space="preserve">. </w:t>
      </w:r>
      <w:hyperlink r:id="rId16">
        <w:r w:rsidDel="00000000" w:rsidR="00000000" w:rsidRPr="00000000">
          <w:rPr>
            <w:rFonts w:ascii="Arial" w:cs="Arial" w:eastAsia="Arial" w:hAnsi="Arial"/>
            <w:i w:val="1"/>
            <w:sz w:val="24"/>
            <w:szCs w:val="24"/>
            <w:rtl w:val="0"/>
          </w:rPr>
          <w:t xml:space="preserve">PMID</w:t>
        </w:r>
      </w:hyperlink>
      <w:r w:rsidDel="00000000" w:rsidR="00000000" w:rsidRPr="00000000">
        <w:rPr>
          <w:rFonts w:ascii="Arial" w:cs="Arial" w:eastAsia="Arial" w:hAnsi="Arial"/>
          <w:i w:val="1"/>
          <w:sz w:val="24"/>
          <w:szCs w:val="24"/>
          <w:rtl w:val="0"/>
        </w:rPr>
        <w:t xml:space="preserve"> </w:t>
      </w:r>
      <w:hyperlink r:id="rId17">
        <w:r w:rsidDel="00000000" w:rsidR="00000000" w:rsidRPr="00000000">
          <w:rPr>
            <w:rFonts w:ascii="Arial" w:cs="Arial" w:eastAsia="Arial" w:hAnsi="Arial"/>
            <w:i w:val="1"/>
            <w:sz w:val="24"/>
            <w:szCs w:val="24"/>
            <w:rtl w:val="0"/>
          </w:rPr>
          <w:t xml:space="preserve">25850721</w:t>
        </w:r>
      </w:hyperlink>
      <w:r w:rsidDel="00000000" w:rsidR="00000000" w:rsidRPr="00000000">
        <w:rPr>
          <w:rFonts w:ascii="Arial" w:cs="Arial" w:eastAsia="Arial" w:hAnsi="Arial"/>
          <w:i w:val="1"/>
          <w:sz w:val="24"/>
          <w:szCs w:val="24"/>
          <w:rtl w:val="0"/>
        </w:rPr>
        <w:t xml:space="preserve">. </w:t>
      </w:r>
      <w:hyperlink r:id="rId18">
        <w:r w:rsidDel="00000000" w:rsidR="00000000" w:rsidRPr="00000000">
          <w:rPr>
            <w:rFonts w:ascii="Arial" w:cs="Arial" w:eastAsia="Arial" w:hAnsi="Arial"/>
            <w:i w:val="1"/>
            <w:sz w:val="24"/>
            <w:szCs w:val="24"/>
            <w:rtl w:val="0"/>
          </w:rPr>
          <w:t xml:space="preserve">S2CID</w:t>
        </w:r>
      </w:hyperlink>
      <w:r w:rsidDel="00000000" w:rsidR="00000000" w:rsidRPr="00000000">
        <w:rPr>
          <w:rFonts w:ascii="Arial" w:cs="Arial" w:eastAsia="Arial" w:hAnsi="Arial"/>
          <w:i w:val="1"/>
          <w:sz w:val="24"/>
          <w:szCs w:val="24"/>
          <w:rtl w:val="0"/>
        </w:rPr>
        <w:t xml:space="preserve"> </w:t>
      </w:r>
      <w:hyperlink r:id="rId19">
        <w:r w:rsidDel="00000000" w:rsidR="00000000" w:rsidRPr="00000000">
          <w:rPr>
            <w:rFonts w:ascii="Arial" w:cs="Arial" w:eastAsia="Arial" w:hAnsi="Arial"/>
            <w:i w:val="1"/>
            <w:sz w:val="24"/>
            <w:szCs w:val="24"/>
            <w:rtl w:val="0"/>
          </w:rPr>
          <w:t xml:space="preserve">4442342</w:t>
        </w:r>
      </w:hyperlink>
      <w:r w:rsidDel="00000000" w:rsidR="00000000" w:rsidRPr="00000000">
        <w:rPr>
          <w:rFonts w:ascii="Arial" w:cs="Arial" w:eastAsia="Arial" w:hAnsi="Arial"/>
          <w:i w:val="1"/>
          <w:sz w:val="24"/>
          <w:szCs w:val="24"/>
          <w:rtl w:val="0"/>
        </w:rPr>
        <w:t xml:space="preserve">.</w:t>
      </w:r>
      <w:r w:rsidDel="00000000" w:rsidR="00000000" w:rsidRPr="00000000">
        <w:rPr>
          <w:rtl w:val="0"/>
        </w:rPr>
      </w:r>
    </w:p>
    <w:p w:rsidR="00000000" w:rsidDel="00000000" w:rsidP="00000000" w:rsidRDefault="00000000" w:rsidRPr="00000000" w14:paraId="000001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360" w:lineRule="auto"/>
        <w:ind w:left="720" w:right="136" w:hanging="720"/>
        <w:jc w:val="both"/>
        <w:rPr>
          <w:rFonts w:ascii="Arial" w:cs="Arial" w:eastAsia="Arial" w:hAnsi="Arial"/>
          <w:i w:val="1"/>
          <w:sz w:val="24"/>
          <w:szCs w:val="24"/>
        </w:rPr>
      </w:pPr>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Tobi, Hilde; Kampen, Jarl K. (2018). </w:t>
      </w:r>
      <w:hyperlink r:id="rId20">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"Research design: the methodology for interdisciplinary research framework"</w:t>
        </w:r>
      </w:hyperlink>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 Quality &amp; Quantity. </w:t>
      </w:r>
      <w:r w:rsidDel="00000000" w:rsidR="00000000" w:rsidRPr="00000000">
        <w:rPr>
          <w:rFonts w:ascii="Arial" w:cs="Arial" w:eastAsia="Arial" w:hAnsi="Arial"/>
          <w:b w:val="1"/>
          <w:i w:val="1"/>
          <w:smallCaps w:val="0"/>
          <w:strike w:val="0"/>
          <w:color w:val="000000"/>
          <w:sz w:val="24"/>
          <w:szCs w:val="24"/>
          <w:highlight w:val="white"/>
          <w:u w:val="none"/>
          <w:vertAlign w:val="baseline"/>
          <w:rtl w:val="0"/>
        </w:rPr>
        <w:t xml:space="preserve">52</w:t>
      </w:r>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 (3): 1209–1225. </w:t>
      </w:r>
      <w:hyperlink r:id="rId21">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doi</w:t>
        </w:r>
      </w:hyperlink>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w:t>
      </w:r>
      <w:hyperlink r:id="rId22">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10.1007/s11135-017-0513-8</w:t>
        </w:r>
      </w:hyperlink>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 </w:t>
      </w:r>
      <w:hyperlink r:id="rId23">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ISSN</w:t>
        </w:r>
      </w:hyperlink>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 </w:t>
      </w:r>
      <w:hyperlink r:id="rId24">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0033-5177</w:t>
        </w:r>
      </w:hyperlink>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 </w:t>
      </w:r>
      <w:hyperlink r:id="rId25">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PMC</w:t>
        </w:r>
      </w:hyperlink>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 </w:t>
      </w:r>
      <w:hyperlink r:id="rId26">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5897493</w:t>
        </w:r>
      </w:hyperlink>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 </w:t>
      </w:r>
      <w:hyperlink r:id="rId27">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PMID</w:t>
        </w:r>
      </w:hyperlink>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 </w:t>
      </w:r>
      <w:hyperlink r:id="rId28">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29674791</w:t>
        </w:r>
      </w:hyperlink>
      <w:r w:rsidDel="00000000" w:rsidR="00000000" w:rsidRPr="00000000">
        <w:rPr>
          <w:rFonts w:ascii="Arial" w:cs="Arial" w:eastAsia="Arial" w:hAnsi="Arial"/>
          <w:i w:val="1"/>
          <w:smallCaps w:val="0"/>
          <w:strike w:val="0"/>
          <w:color w:val="000000"/>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1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360" w:lineRule="auto"/>
        <w:ind w:left="720" w:right="136" w:hanging="720"/>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1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360" w:lineRule="auto"/>
        <w:ind w:left="720" w:right="136" w:hanging="720"/>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1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360" w:lineRule="auto"/>
        <w:ind w:left="720" w:right="136" w:hanging="720"/>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1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360" w:lineRule="auto"/>
        <w:ind w:left="720" w:right="136" w:hanging="720"/>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1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360" w:lineRule="auto"/>
        <w:ind w:left="720" w:right="136" w:hanging="720"/>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1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360" w:lineRule="auto"/>
        <w:ind w:left="720" w:right="136" w:hanging="720"/>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1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360" w:lineRule="auto"/>
        <w:ind w:left="720" w:right="136" w:hanging="720"/>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1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360" w:lineRule="auto"/>
        <w:ind w:left="720" w:right="136" w:hanging="720"/>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144">
      <w:pPr>
        <w:pStyle w:val="Heading1"/>
        <w:spacing w:line="360" w:lineRule="auto"/>
        <w:jc w:val="both"/>
        <w:rPr>
          <w:rFonts w:ascii="Arial" w:cs="Arial" w:eastAsia="Arial" w:hAnsi="Arial"/>
          <w:b w:val="1"/>
          <w:color w:val="000000"/>
          <w:sz w:val="24"/>
          <w:szCs w:val="24"/>
        </w:rPr>
      </w:pPr>
      <w:bookmarkStart w:colFirst="0" w:colLast="0" w:name="_heading=h.3j2qqm3" w:id="46"/>
      <w:bookmarkEnd w:id="46"/>
      <w:r w:rsidDel="00000000" w:rsidR="00000000" w:rsidRPr="00000000">
        <w:rPr>
          <w:rFonts w:ascii="Arial" w:cs="Arial" w:eastAsia="Arial" w:hAnsi="Arial"/>
          <w:b w:val="1"/>
          <w:color w:val="000000"/>
          <w:sz w:val="24"/>
          <w:szCs w:val="24"/>
          <w:rtl w:val="0"/>
        </w:rPr>
        <w:t xml:space="preserve">7.Appendix A</w:t>
      </w:r>
    </w:p>
    <w:p w:rsidR="00000000" w:rsidDel="00000000" w:rsidP="00000000" w:rsidRDefault="00000000" w:rsidRPr="00000000" w14:paraId="00000145">
      <w:pPr>
        <w:spacing w:line="360" w:lineRule="auto"/>
        <w:ind w:left="720" w:hanging="72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46">
      <w:pPr>
        <w:spacing w:line="360" w:lineRule="auto"/>
        <w:ind w:left="720" w:hanging="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055563" cy="3300693"/>
            <wp:effectExtent b="0" l="0" r="0" t="0"/>
            <wp:docPr id="11" name="image1.png"/>
            <a:graphic>
              <a:graphicData uri="http://schemas.openxmlformats.org/drawingml/2006/picture">
                <pic:pic>
                  <pic:nvPicPr>
                    <pic:cNvPr id="0" name="image1.png"/>
                    <pic:cNvPicPr preferRelativeResize="0"/>
                  </pic:nvPicPr>
                  <pic:blipFill>
                    <a:blip r:embed="rId29"/>
                    <a:srcRect b="6437" l="15920" r="15842" t="4710"/>
                    <a:stretch>
                      <a:fillRect/>
                    </a:stretch>
                  </pic:blipFill>
                  <pic:spPr>
                    <a:xfrm>
                      <a:off x="0" y="0"/>
                      <a:ext cx="4055563" cy="3300693"/>
                    </a:xfrm>
                    <a:prstGeom prst="rect"/>
                    <a:ln/>
                  </pic:spPr>
                </pic:pic>
              </a:graphicData>
            </a:graphic>
          </wp:inline>
        </w:drawing>
      </w:r>
      <w:r w:rsidDel="00000000" w:rsidR="00000000" w:rsidRPr="00000000">
        <w:rPr>
          <w:rtl w:val="0"/>
        </w:rPr>
      </w:r>
    </w:p>
    <w:p w:rsidR="00000000" w:rsidDel="00000000" w:rsidP="00000000" w:rsidRDefault="00000000" w:rsidRPr="00000000" w14:paraId="0000014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081037" cy="2592082"/>
            <wp:effectExtent b="0" l="0" r="0" t="0"/>
            <wp:docPr id="10" name="image2.png"/>
            <a:graphic>
              <a:graphicData uri="http://schemas.openxmlformats.org/drawingml/2006/picture">
                <pic:pic>
                  <pic:nvPicPr>
                    <pic:cNvPr id="0" name="image2.png"/>
                    <pic:cNvPicPr preferRelativeResize="0"/>
                  </pic:nvPicPr>
                  <pic:blipFill>
                    <a:blip r:embed="rId30"/>
                    <a:srcRect b="26364" l="16190" r="15143" t="3854"/>
                    <a:stretch>
                      <a:fillRect/>
                    </a:stretch>
                  </pic:blipFill>
                  <pic:spPr>
                    <a:xfrm>
                      <a:off x="0" y="0"/>
                      <a:ext cx="4081037" cy="2592082"/>
                    </a:xfrm>
                    <a:prstGeom prst="rect"/>
                    <a:ln/>
                  </pic:spPr>
                </pic:pic>
              </a:graphicData>
            </a:graphic>
          </wp:inline>
        </w:drawing>
      </w:r>
      <w:r w:rsidDel="00000000" w:rsidR="00000000" w:rsidRPr="00000000">
        <w:rPr>
          <w:rtl w:val="0"/>
        </w:rPr>
      </w:r>
    </w:p>
    <w:p w:rsidR="00000000" w:rsidDel="00000000" w:rsidP="00000000" w:rsidRDefault="00000000" w:rsidRPr="00000000" w14:paraId="0000014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_____________________________________________________________________________</w:t>
      </w:r>
    </w:p>
    <w:sectPr>
      <w:footerReference r:id="rId3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4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spacing w:after="0" w:before="200" w:line="276" w:lineRule="auto"/>
    </w:pPr>
    <w:rPr>
      <w:rFonts w:ascii="Calibri" w:cs="Calibri" w:eastAsia="Calibri" w:hAnsi="Calibri"/>
      <w:b w:val="1"/>
      <w:color w:val="5b9bd5"/>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e75b5"/>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spacing w:after="0" w:before="200" w:line="276" w:lineRule="auto"/>
    </w:pPr>
    <w:rPr>
      <w:rFonts w:ascii="Calibri" w:cs="Calibri" w:eastAsia="Calibri" w:hAnsi="Calibri"/>
      <w:b w:val="1"/>
      <w:color w:val="5b9bd5"/>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e75b5"/>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style>
  <w:style w:type="table" w:styleId="Table2">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style>
  <w:style w:type="table" w:styleId="Table3">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style>
  <w:style w:type="table" w:styleId="Table4">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style>
  <w:style w:type="table" w:styleId="Table5">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f2f2f2" w:val="clear"/>
      </w:tcPr>
    </w:tblStylePr>
    <w:tblStylePr w:type="band1Vert">
      <w:tcPr>
        <w:shd w:fill="f2f2f2" w:val="clear"/>
      </w:tcPr>
    </w:tblStylePr>
    <w:tblStylePr w:type="firstCol">
      <w:pPr>
        <w:jc w:val="right"/>
      </w:pPr>
      <w:rPr>
        <w:rFonts w:ascii="Calibri" w:cs="Calibri" w:eastAsia="Calibri" w:hAnsi="Calibri"/>
        <w:i w:val="1"/>
        <w:sz w:val="26"/>
        <w:szCs w:val="26"/>
      </w:rPr>
      <w:tcPr>
        <w:tcBorders>
          <w:right w:color="7f7f7f" w:space="0" w:sz="4" w:val="single"/>
        </w:tcBorders>
        <w:shd w:fill="ffffff" w:val="clear"/>
      </w:tcPr>
    </w:tblStylePr>
    <w:tblStylePr w:type="firstRow">
      <w:rPr>
        <w:rFonts w:ascii="Calibri" w:cs="Calibri" w:eastAsia="Calibri" w:hAnsi="Calibri"/>
        <w:i w:val="1"/>
        <w:sz w:val="26"/>
        <w:szCs w:val="26"/>
      </w:rPr>
      <w:tcPr>
        <w:tcBorders>
          <w:bottom w:color="7f7f7f" w:space="0" w:sz="4" w:val="single"/>
        </w:tcBorders>
        <w:shd w:fill="ffffff" w:val="clear"/>
      </w:tcPr>
    </w:tblStylePr>
    <w:tblStylePr w:type="lastCol">
      <w:rPr>
        <w:rFonts w:ascii="Calibri" w:cs="Calibri" w:eastAsia="Calibri" w:hAnsi="Calibri"/>
        <w:i w:val="1"/>
        <w:sz w:val="26"/>
        <w:szCs w:val="26"/>
      </w:rPr>
      <w:tcPr>
        <w:tcBorders>
          <w:left w:color="7f7f7f" w:space="0" w:sz="4" w:val="single"/>
        </w:tcBorders>
        <w:shd w:fill="ffffff" w:val="clear"/>
      </w:tcPr>
    </w:tblStylePr>
    <w:tblStylePr w:type="lastRow">
      <w:rPr>
        <w:rFonts w:ascii="Calibri" w:cs="Calibri" w:eastAsia="Calibri" w:hAnsi="Calibri"/>
        <w:i w:val="1"/>
        <w:sz w:val="26"/>
        <w:szCs w:val="26"/>
      </w:rPr>
      <w:tcPr>
        <w:tcBorders>
          <w:top w:color="7f7f7f" w:space="0" w:sz="4" w:val="single"/>
        </w:tcBorders>
        <w:shd w:fill="ffffff" w:val="clear"/>
      </w:tcPr>
    </w:tblStylePr>
    <w:tblStylePr w:type="neCell">
      <w:tcPr>
        <w:tcBorders>
          <w:left w:color="000000" w:space="0" w:sz="0" w:val="nil"/>
        </w:tcBorders>
      </w:tcPr>
    </w:tblStylePr>
    <w:tblStylePr w:type="nwCell">
      <w:tcPr>
        <w:tcBorders>
          <w:right w:color="000000" w:space="0" w:sz="0" w:val="nil"/>
        </w:tcBorders>
      </w:tcPr>
    </w:tblStylePr>
    <w:tblStylePr w:type="seCell">
      <w:tcPr>
        <w:tcBorders>
          <w:left w:color="000000" w:space="0" w:sz="0" w:val="nil"/>
        </w:tcBorders>
      </w:tcPr>
    </w:tblStylePr>
    <w:tblStylePr w:type="swCell">
      <w:tcPr>
        <w:tcBorders>
          <w:right w:color="000000" w:space="0" w:sz="0" w:val="nil"/>
        </w:tcBorders>
      </w:tcPr>
    </w:tblStylePr>
  </w:style>
  <w:style w:type="table" w:styleId="Table6">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style>
  <w:style w:type="table" w:styleId="Table7">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f2f2f2" w:val="clear"/>
      </w:tcPr>
    </w:tblStylePr>
    <w:tblStylePr w:type="band1Vert">
      <w:tcPr>
        <w:shd w:fill="f2f2f2" w:val="clear"/>
      </w:tcPr>
    </w:tblStylePr>
    <w:tblStylePr w:type="firstCol">
      <w:rPr>
        <w:b w:val="1"/>
      </w:rPr>
    </w:tblStylePr>
    <w:tblStylePr w:type="firstRow">
      <w:rPr>
        <w:b w:val="1"/>
      </w:rPr>
    </w:tblStylePr>
    <w:tblStylePr w:type="lastCol">
      <w:rPr>
        <w:b w:val="1"/>
      </w:rPr>
    </w:tblStylePr>
    <w:tblStylePr w:type="lastRow">
      <w:rPr>
        <w:b w:val="1"/>
      </w:rPr>
    </w:tblStylePr>
  </w:style>
  <w:style w:type="table" w:styleId="Table8">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d9e2f3" w:val="clear"/>
      </w:tcPr>
    </w:tblStylePr>
    <w:tblStylePr w:type="band1Vert">
      <w:tcPr>
        <w:shd w:fill="d9e2f3" w:val="clear"/>
      </w:tcPr>
    </w:tblStylePr>
    <w:tblStylePr w:type="firstCol">
      <w:rPr>
        <w:b w:val="1"/>
      </w:rPr>
    </w:tblStylePr>
    <w:tblStylePr w:type="firstRow">
      <w:rPr>
        <w:b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rPr>
    </w:tblStylePr>
    <w:tblStylePr w:type="lastRow">
      <w:rPr>
        <w:b w:val="1"/>
      </w:rPr>
      <w:tcPr>
        <w:tcBorders>
          <w:top w:color="4472c4" w:space="0" w:sz="4" w:val="single"/>
        </w:tcBorders>
      </w:tcPr>
    </w:tblStylePr>
  </w:style>
  <w:style w:type="table" w:styleId="Table9">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c5e0b3" w:val="clear"/>
      </w:tcPr>
    </w:tblStylePr>
    <w:tblStylePr w:type="band1Vert">
      <w:tcPr>
        <w:shd w:fill="c5e0b3"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70ad47"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70ad47"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70ad47"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70ad47" w:val="clear"/>
      </w:tcPr>
    </w:tblStylePr>
  </w:style>
  <w:style w:type="table" w:styleId="Table10">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f7cbac" w:val="clear"/>
      </w:tcPr>
    </w:tblStylePr>
    <w:tblStylePr w:type="band1Vert">
      <w:tcPr>
        <w:shd w:fill="f7cbac"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ed7d31"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ed7d31"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ed7d31"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ed7d31" w:val="clear"/>
      </w:tcPr>
    </w:tblStylePr>
  </w:style>
  <w:style w:type="table" w:styleId="Table11">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cccccc" w:val="clear"/>
      </w:tcPr>
    </w:tblStylePr>
    <w:tblStylePr w:type="band1Vert">
      <w:tcPr>
        <w:shd w:fill="cccccc" w:val="clear"/>
      </w:tcPr>
    </w:tblStylePr>
    <w:tblStylePr w:type="firstCol">
      <w:pPr>
        <w:jc w:val="right"/>
      </w:pPr>
      <w:rPr>
        <w:i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666666" w:space="0" w:sz="4" w:val="single"/>
        </w:tcBorders>
      </w:tcPr>
    </w:tblStylePr>
    <w:tblStylePr w:type="nwCell">
      <w:tcPr>
        <w:tcBorders>
          <w:bottom w:color="666666" w:space="0" w:sz="4" w:val="single"/>
        </w:tcBorders>
      </w:tcPr>
    </w:tblStylePr>
    <w:tblStylePr w:type="seCell">
      <w:tcPr>
        <w:tcBorders>
          <w:top w:color="666666" w:space="0" w:sz="4" w:val="single"/>
        </w:tcBorders>
      </w:tcPr>
    </w:tblStylePr>
    <w:tblStylePr w:type="swCell">
      <w:tcPr>
        <w:tcBorders>
          <w:top w:color="666666" w:space="0" w:sz="4" w:val="single"/>
        </w:tcBorders>
      </w:tcPr>
    </w:tblStylePr>
  </w:style>
  <w:style w:type="table" w:styleId="Table12">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fbe5d5" w:val="clear"/>
      </w:tcPr>
    </w:tblStylePr>
    <w:tblStylePr w:type="band1Vert">
      <w:tcPr>
        <w:shd w:fill="fbe5d5" w:val="clear"/>
      </w:tcPr>
    </w:tblStylePr>
    <w:tblStylePr w:type="firstCol">
      <w:rPr>
        <w:b w:val="1"/>
      </w:rPr>
    </w:tblStylePr>
    <w:tblStylePr w:type="firstRow">
      <w:rPr>
        <w:b w:val="1"/>
      </w:rPr>
      <w:tcPr>
        <w:tcBorders>
          <w:top w:color="000000" w:space="0" w:sz="0" w:val="nil"/>
          <w:bottom w:color="f4b083" w:space="0" w:sz="12" w:val="single"/>
          <w:insideH w:color="000000" w:space="0" w:sz="0" w:val="nil"/>
          <w:insideV w:color="000000" w:space="0" w:sz="0" w:val="nil"/>
        </w:tcBorders>
        <w:shd w:fill="ffffff" w:val="clear"/>
      </w:tcPr>
    </w:tblStylePr>
    <w:tblStylePr w:type="lastCol">
      <w:rPr>
        <w:b w:val="1"/>
      </w:rPr>
    </w:tblStylePr>
    <w:tblStylePr w:type="lastRow">
      <w:rPr>
        <w:b w:val="1"/>
      </w:rPr>
      <w:tcPr>
        <w:tcBorders>
          <w:top w:color="f4b083" w:space="0" w:sz="4" w:val="single"/>
          <w:bottom w:color="000000" w:space="0" w:sz="0" w:val="nil"/>
          <w:insideH w:color="000000" w:space="0" w:sz="0" w:val="nil"/>
          <w:insideV w:color="000000" w:space="0" w:sz="0" w:val="nil"/>
        </w:tcBorders>
        <w:shd w:fill="ffffff" w:val="clear"/>
      </w:tcPr>
    </w:tblStylePr>
  </w:style>
  <w:style w:type="table" w:styleId="Table13">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cccccc" w:val="clear"/>
      </w:tcPr>
    </w:tblStylePr>
    <w:tblStylePr w:type="band1Vert">
      <w:tcPr>
        <w:shd w:fill="cccccc" w:val="clear"/>
      </w:tcPr>
    </w:tblStylePr>
    <w:tblStylePr w:type="firstCol">
      <w:rPr>
        <w:b w:val="1"/>
      </w:rPr>
    </w:tblStylePr>
    <w:tblStylePr w:type="firstRow">
      <w:rPr>
        <w:b w:val="1"/>
      </w:rPr>
      <w:tcPr>
        <w:tcBorders>
          <w:bottom w:color="666666" w:space="0" w:sz="12" w:val="single"/>
        </w:tcBorders>
      </w:tcPr>
    </w:tblStylePr>
    <w:tblStylePr w:type="lastCol">
      <w:rPr>
        <w:b w:val="1"/>
      </w:rPr>
    </w:tblStylePr>
    <w:tblStylePr w:type="lastRow">
      <w:rPr>
        <w:b w:val="1"/>
      </w:rPr>
      <w:tcPr>
        <w:tcBorders>
          <w:top w:color="666666" w:space="0" w:sz="4" w:val="single"/>
        </w:tcBorders>
      </w:tcPr>
    </w:tblStyle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style>
  <w:style w:type="table" w:styleId="Table2">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f2f2f2" w:val="clear"/>
      </w:tcPr>
    </w:tblStylePr>
    <w:tblStylePr w:type="band1Vert">
      <w:tcPr>
        <w:shd w:fill="f2f2f2" w:val="clear"/>
      </w:tcPr>
    </w:tblStylePr>
    <w:tblStylePr w:type="firstCol">
      <w:pPr>
        <w:jc w:val="right"/>
      </w:pPr>
      <w:rPr>
        <w:rFonts w:ascii="Calibri" w:cs="Calibri" w:eastAsia="Calibri" w:hAnsi="Calibri"/>
        <w:i w:val="1"/>
        <w:sz w:val="26"/>
        <w:szCs w:val="26"/>
      </w:rPr>
      <w:tcPr>
        <w:tcBorders>
          <w:right w:color="7f7f7f" w:space="0" w:sz="4" w:val="single"/>
        </w:tcBorders>
        <w:shd w:fill="ffffff" w:val="clear"/>
      </w:tcPr>
    </w:tblStylePr>
    <w:tblStylePr w:type="firstRow">
      <w:rPr>
        <w:rFonts w:ascii="Calibri" w:cs="Calibri" w:eastAsia="Calibri" w:hAnsi="Calibri"/>
        <w:i w:val="1"/>
        <w:sz w:val="26"/>
        <w:szCs w:val="26"/>
      </w:rPr>
      <w:tcPr>
        <w:tcBorders>
          <w:bottom w:color="7f7f7f" w:space="0" w:sz="4" w:val="single"/>
        </w:tcBorders>
        <w:shd w:fill="ffffff" w:val="clear"/>
      </w:tcPr>
    </w:tblStylePr>
    <w:tblStylePr w:type="lastCol">
      <w:rPr>
        <w:rFonts w:ascii="Calibri" w:cs="Calibri" w:eastAsia="Calibri" w:hAnsi="Calibri"/>
        <w:i w:val="1"/>
        <w:sz w:val="26"/>
        <w:szCs w:val="26"/>
      </w:rPr>
      <w:tcPr>
        <w:tcBorders>
          <w:left w:color="7f7f7f" w:space="0" w:sz="4" w:val="single"/>
        </w:tcBorders>
        <w:shd w:fill="ffffff" w:val="clear"/>
      </w:tcPr>
    </w:tblStylePr>
    <w:tblStylePr w:type="lastRow">
      <w:rPr>
        <w:rFonts w:ascii="Calibri" w:cs="Calibri" w:eastAsia="Calibri" w:hAnsi="Calibri"/>
        <w:i w:val="1"/>
        <w:sz w:val="26"/>
        <w:szCs w:val="26"/>
      </w:rPr>
      <w:tcPr>
        <w:tcBorders>
          <w:top w:color="7f7f7f" w:space="0" w:sz="4" w:val="single"/>
        </w:tcBorders>
        <w:shd w:fill="ffffff" w:val="clear"/>
      </w:tcPr>
    </w:tblStylePr>
    <w:tblStylePr w:type="neCell">
      <w:tcPr>
        <w:tcBorders>
          <w:left w:color="000000" w:space="0" w:sz="0" w:val="nil"/>
        </w:tcBorders>
      </w:tcPr>
    </w:tblStylePr>
    <w:tblStylePr w:type="nwCell">
      <w:tcPr>
        <w:tcBorders>
          <w:right w:color="000000" w:space="0" w:sz="0" w:val="nil"/>
        </w:tcBorders>
      </w:tcPr>
    </w:tblStylePr>
    <w:tblStylePr w:type="seCell">
      <w:tcPr>
        <w:tcBorders>
          <w:left w:color="000000" w:space="0" w:sz="0" w:val="nil"/>
        </w:tcBorders>
      </w:tcPr>
    </w:tblStylePr>
    <w:tblStylePr w:type="swCell">
      <w:tcPr>
        <w:tcBorders>
          <w:right w:color="000000" w:space="0" w:sz="0" w:val="nil"/>
        </w:tcBorders>
      </w:tcPr>
    </w:tblStylePr>
  </w:style>
  <w:style w:type="table" w:styleId="Table3">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style>
  <w:style w:type="table" w:styleId="Table4">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f2f2f2" w:val="clear"/>
      </w:tcPr>
    </w:tblStylePr>
    <w:tblStylePr w:type="band1Vert">
      <w:tcPr>
        <w:shd w:fill="f2f2f2" w:val="clear"/>
      </w:tcPr>
    </w:tblStylePr>
    <w:tblStylePr w:type="firstCol">
      <w:rPr>
        <w:b w:val="1"/>
      </w:rPr>
    </w:tblStylePr>
    <w:tblStylePr w:type="firstRow">
      <w:rPr>
        <w:b w:val="1"/>
      </w:rPr>
    </w:tblStylePr>
    <w:tblStylePr w:type="lastCol">
      <w:rPr>
        <w:b w:val="1"/>
      </w:rPr>
    </w:tblStylePr>
    <w:tblStylePr w:type="lastRow">
      <w:rPr>
        <w:b w:val="1"/>
      </w:rPr>
    </w:tblStylePr>
  </w:style>
  <w:style w:type="table" w:styleId="Table5">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d9e2f3" w:val="clear"/>
      </w:tcPr>
    </w:tblStylePr>
    <w:tblStylePr w:type="band1Vert">
      <w:tcPr>
        <w:shd w:fill="d9e2f3" w:val="clear"/>
      </w:tcPr>
    </w:tblStylePr>
    <w:tblStylePr w:type="firstCol">
      <w:rPr>
        <w:b w:val="1"/>
      </w:rPr>
    </w:tblStylePr>
    <w:tblStylePr w:type="firstRow">
      <w:rPr>
        <w:b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rPr>
    </w:tblStylePr>
    <w:tblStylePr w:type="lastRow">
      <w:rPr>
        <w:b w:val="1"/>
      </w:rPr>
      <w:tcPr>
        <w:tcBorders>
          <w:top w:color="4472c4" w:space="0" w:sz="4" w:val="single"/>
        </w:tcBorders>
      </w:tcPr>
    </w:tblStylePr>
  </w:style>
  <w:style w:type="table" w:styleId="Table6">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c5e0b3" w:val="clear"/>
      </w:tcPr>
    </w:tblStylePr>
    <w:tblStylePr w:type="band1Vert">
      <w:tcPr>
        <w:shd w:fill="c5e0b3"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70ad47"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70ad47"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70ad47"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70ad47" w:val="clear"/>
      </w:tcPr>
    </w:tblStylePr>
  </w:style>
  <w:style w:type="table" w:styleId="Table7">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f7cbac" w:val="clear"/>
      </w:tcPr>
    </w:tblStylePr>
    <w:tblStylePr w:type="band1Vert">
      <w:tcPr>
        <w:shd w:fill="f7cbac"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ed7d31"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ed7d31"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ed7d31"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ed7d31" w:val="clear"/>
      </w:tcPr>
    </w:tblStylePr>
  </w:style>
  <w:style w:type="table" w:styleId="Table8">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cccccc" w:val="clear"/>
      </w:tcPr>
    </w:tblStylePr>
    <w:tblStylePr w:type="band1Vert">
      <w:tcPr>
        <w:shd w:fill="cccccc" w:val="clear"/>
      </w:tcPr>
    </w:tblStylePr>
    <w:tblStylePr w:type="firstCol">
      <w:pPr>
        <w:jc w:val="right"/>
      </w:pPr>
      <w:rPr>
        <w:i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666666" w:space="0" w:sz="4" w:val="single"/>
        </w:tcBorders>
      </w:tcPr>
    </w:tblStylePr>
    <w:tblStylePr w:type="nwCell">
      <w:tcPr>
        <w:tcBorders>
          <w:bottom w:color="666666" w:space="0" w:sz="4" w:val="single"/>
        </w:tcBorders>
      </w:tcPr>
    </w:tblStylePr>
    <w:tblStylePr w:type="seCell">
      <w:tcPr>
        <w:tcBorders>
          <w:top w:color="666666" w:space="0" w:sz="4" w:val="single"/>
        </w:tcBorders>
      </w:tcPr>
    </w:tblStylePr>
    <w:tblStylePr w:type="swCell">
      <w:tcPr>
        <w:tcBorders>
          <w:top w:color="666666" w:space="0" w:sz="4" w:val="single"/>
        </w:tcBorders>
      </w:tcPr>
    </w:tblStylePr>
  </w:style>
  <w:style w:type="table" w:styleId="Table9">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fbe5d5" w:val="clear"/>
      </w:tcPr>
    </w:tblStylePr>
    <w:tblStylePr w:type="band1Vert">
      <w:tcPr>
        <w:shd w:fill="fbe5d5" w:val="clear"/>
      </w:tcPr>
    </w:tblStylePr>
    <w:tblStylePr w:type="firstCol">
      <w:rPr>
        <w:b w:val="1"/>
      </w:rPr>
    </w:tblStylePr>
    <w:tblStylePr w:type="firstRow">
      <w:rPr>
        <w:b w:val="1"/>
      </w:rPr>
      <w:tcPr>
        <w:tcBorders>
          <w:top w:color="000000" w:space="0" w:sz="0" w:val="nil"/>
          <w:bottom w:color="f4b083" w:space="0" w:sz="12" w:val="single"/>
          <w:insideH w:color="000000" w:space="0" w:sz="0" w:val="nil"/>
          <w:insideV w:color="000000" w:space="0" w:sz="0" w:val="nil"/>
        </w:tcBorders>
        <w:shd w:fill="ffffff" w:val="clear"/>
      </w:tcPr>
    </w:tblStylePr>
    <w:tblStylePr w:type="lastCol">
      <w:rPr>
        <w:b w:val="1"/>
      </w:rPr>
    </w:tblStylePr>
    <w:tblStylePr w:type="lastRow">
      <w:rPr>
        <w:b w:val="1"/>
      </w:rPr>
      <w:tcPr>
        <w:tcBorders>
          <w:top w:color="f4b083" w:space="0" w:sz="4" w:val="single"/>
          <w:bottom w:color="000000" w:space="0" w:sz="0" w:val="nil"/>
          <w:insideH w:color="000000" w:space="0" w:sz="0" w:val="nil"/>
          <w:insideV w:color="000000" w:space="0" w:sz="0" w:val="nil"/>
        </w:tcBorders>
        <w:shd w:fill="ffffff" w:val="clear"/>
      </w:tcPr>
    </w:tblStylePr>
  </w:style>
  <w:style w:type="table" w:styleId="Table10">
    <w:basedOn w:val="TableNormal"/>
    <w:pPr>
      <w:spacing w:after="0" w:line="240" w:lineRule="auto"/>
    </w:pPr>
    <w:rPr>
      <w:rFonts w:ascii="Calibri" w:cs="Calibri" w:eastAsia="Calibri" w:hAnsi="Calibri"/>
      <w:color w:val="000000"/>
    </w:rPr>
    <w:tblPr>
      <w:tblStyleRowBandSize w:val="1"/>
      <w:tblStyleColBandSize w:val="1"/>
      <w:tblCellMar>
        <w:top w:w="0.0" w:type="dxa"/>
        <w:left w:w="115.0" w:type="dxa"/>
        <w:bottom w:w="0.0" w:type="dxa"/>
        <w:right w:w="115.0" w:type="dxa"/>
      </w:tblCellMar>
    </w:tblPr>
    <w:tcPr>
      <w:shd w:fill="fbe5d5" w:val="clear"/>
    </w:tcPr>
    <w:tblStylePr w:type="band1Horz">
      <w:tcPr>
        <w:shd w:fill="cccccc" w:val="clear"/>
      </w:tcPr>
    </w:tblStylePr>
    <w:tblStylePr w:type="band1Vert">
      <w:tcPr>
        <w:shd w:fill="cccccc" w:val="clear"/>
      </w:tcPr>
    </w:tblStylePr>
    <w:tblStylePr w:type="firstCol">
      <w:rPr>
        <w:b w:val="1"/>
      </w:rPr>
    </w:tblStylePr>
    <w:tblStylePr w:type="firstRow">
      <w:rPr>
        <w:b w:val="1"/>
      </w:rPr>
      <w:tcPr>
        <w:tcBorders>
          <w:bottom w:color="666666" w:space="0" w:sz="12" w:val="single"/>
        </w:tcBorders>
      </w:tcPr>
    </w:tblStylePr>
    <w:tblStylePr w:type="lastCol">
      <w:rPr>
        <w:b w:val="1"/>
      </w:rPr>
    </w:tblStylePr>
    <w:tblStylePr w:type="lastRow">
      <w:rPr>
        <w:b w:val="1"/>
      </w:rPr>
      <w:tcPr>
        <w:tcBorders>
          <w:top w:color="666666" w:space="0" w:sz="4" w:val="single"/>
        </w:tcBorders>
      </w:tcPr>
    </w:tblStylePr>
  </w:style>
</w:styles>
</file>

<file path=word/_rels/document.xml.rels><?xml version="1.0" encoding="UTF-8" standalone="yes"?><Relationships xmlns="http://schemas.openxmlformats.org/package/2006/relationships"><Relationship Id="rId20" Type="http://schemas.openxmlformats.org/officeDocument/2006/relationships/hyperlink" Target="about:blank" TargetMode="External"/><Relationship Id="rId22" Type="http://schemas.openxmlformats.org/officeDocument/2006/relationships/hyperlink" Target="about:blank" TargetMode="External"/><Relationship Id="rId21" Type="http://schemas.openxmlformats.org/officeDocument/2006/relationships/hyperlink" Target="about:blank" TargetMode="External"/><Relationship Id="rId24" Type="http://schemas.openxmlformats.org/officeDocument/2006/relationships/hyperlink" Target="about:blank" TargetMode="External"/><Relationship Id="rId23" Type="http://schemas.openxmlformats.org/officeDocument/2006/relationships/hyperlink" Target="about:blan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chart" Target="charts/chart1.xml"/><Relationship Id="rId26" Type="http://schemas.openxmlformats.org/officeDocument/2006/relationships/hyperlink" Target="about:blank" TargetMode="External"/><Relationship Id="rId25" Type="http://schemas.openxmlformats.org/officeDocument/2006/relationships/hyperlink" Target="about:blank" TargetMode="External"/><Relationship Id="rId28" Type="http://schemas.openxmlformats.org/officeDocument/2006/relationships/hyperlink" Target="about:blank" TargetMode="External"/><Relationship Id="rId27" Type="http://schemas.openxmlformats.org/officeDocument/2006/relationships/hyperlink" Target="about:blank"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image" Target="media/image1.png"/><Relationship Id="rId7" Type="http://schemas.openxmlformats.org/officeDocument/2006/relationships/hyperlink" Target="about:blank" TargetMode="External"/><Relationship Id="rId8" Type="http://schemas.openxmlformats.org/officeDocument/2006/relationships/hyperlink" Target="about:blank" TargetMode="External"/><Relationship Id="rId31" Type="http://schemas.openxmlformats.org/officeDocument/2006/relationships/footer" Target="footer1.xml"/><Relationship Id="rId30" Type="http://schemas.openxmlformats.org/officeDocument/2006/relationships/image" Target="media/image2.png"/><Relationship Id="rId11" Type="http://schemas.openxmlformats.org/officeDocument/2006/relationships/chart" Target="charts/chart2.xml"/><Relationship Id="rId10" Type="http://schemas.openxmlformats.org/officeDocument/2006/relationships/chart" Target="charts/chart3.xml"/><Relationship Id="rId13" Type="http://schemas.openxmlformats.org/officeDocument/2006/relationships/hyperlink" Target="about:blank" TargetMode="External"/><Relationship Id="rId12" Type="http://schemas.openxmlformats.org/officeDocument/2006/relationships/hyperlink" Target="about:blank" TargetMode="External"/><Relationship Id="rId15" Type="http://schemas.openxmlformats.org/officeDocument/2006/relationships/hyperlink" Target="about:blank" TargetMode="External"/><Relationship Id="rId14" Type="http://schemas.openxmlformats.org/officeDocument/2006/relationships/hyperlink" Target="about:blank" TargetMode="External"/><Relationship Id="rId17" Type="http://schemas.openxmlformats.org/officeDocument/2006/relationships/hyperlink" Target="about:blank" TargetMode="External"/><Relationship Id="rId16" Type="http://schemas.openxmlformats.org/officeDocument/2006/relationships/hyperlink" Target="about:blank" TargetMode="External"/><Relationship Id="rId19" Type="http://schemas.openxmlformats.org/officeDocument/2006/relationships/hyperlink" Target="about:blank" TargetMode="External"/><Relationship Id="rId18" Type="http://schemas.openxmlformats.org/officeDocument/2006/relationships/hyperlink" Target="about:blank" TargetMode="Externa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sz="1200" b="1">
                <a:solidFill>
                  <a:sysClr val="windowText" lastClr="000000"/>
                </a:solidFill>
                <a:latin typeface="Times New Roman" panose="02020603050405020304" pitchFamily="18" charset="0"/>
                <a:cs typeface="Times New Roman" panose="02020603050405020304" pitchFamily="18" charset="0"/>
              </a:rPr>
              <a:t>Respondents gender</a:t>
            </a:r>
          </a:p>
        </c:rich>
      </c:tx>
      <c:layout/>
      <c:overlay val="0"/>
      <c:spPr>
        <a:noFill/>
        <a:ln>
          <a:noFill/>
        </a:ln>
        <a:effectLst/>
      </c:spPr>
      <c:txPr>
        <a:bodyPr rot="0" spcFirstLastPara="1" vertOverflow="ellipsis" vert="horz" wrap="square" anchor="ctr" anchorCtr="1"/>
        <a:lstStyle/>
        <a:p>
          <a:pPr>
            <a:defRPr sz="12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respondents gender</c:v>
                </c:pt>
              </c:strCache>
            </c:strRef>
          </c:tx>
          <c:explosion val="4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DDDA-48B2-ABD0-DCB5E8A49F3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DDDA-48B2-ABD0-DCB5E8A49F3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DDDA-48B2-ABD0-DCB5E8A49F3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DDDA-48B2-ABD0-DCB5E8A49F34}"/>
              </c:ext>
            </c:extLst>
          </c:dPt>
          <c:dLbls>
            <c:dLbl>
              <c:idx val="2"/>
              <c:delete val="1"/>
              <c:extLst>
                <c:ext xmlns:c15="http://schemas.microsoft.com/office/drawing/2012/chart" uri="{CE6537A1-D6FC-4f65-9D91-7224C49458BB}"/>
                <c:ext xmlns:c16="http://schemas.microsoft.com/office/drawing/2014/chart" uri="{C3380CC4-5D6E-409C-BE32-E72D297353CC}">
                  <c16:uniqueId val="{00000005-DDDA-48B2-ABD0-DCB5E8A49F34}"/>
                </c:ext>
              </c:extLst>
            </c:dLbl>
            <c:dLbl>
              <c:idx val="3"/>
              <c:delete val="1"/>
              <c:extLst>
                <c:ext xmlns:c15="http://schemas.microsoft.com/office/drawing/2012/chart" uri="{CE6537A1-D6FC-4f65-9D91-7224C49458BB}"/>
                <c:ext xmlns:c16="http://schemas.microsoft.com/office/drawing/2014/chart" uri="{C3380CC4-5D6E-409C-BE32-E72D297353CC}">
                  <c16:uniqueId val="{00000007-DDDA-48B2-ABD0-DCB5E8A49F34}"/>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2"/>
                <c:pt idx="0">
                  <c:v>Females</c:v>
                </c:pt>
                <c:pt idx="1">
                  <c:v>Males</c:v>
                </c:pt>
              </c:strCache>
            </c:strRef>
          </c:cat>
          <c:val>
            <c:numRef>
              <c:f>Sheet1!$B$2:$B$5</c:f>
              <c:numCache>
                <c:formatCode>0%</c:formatCode>
                <c:ptCount val="4"/>
                <c:pt idx="0">
                  <c:v>0.8</c:v>
                </c:pt>
                <c:pt idx="1">
                  <c:v>0.2</c:v>
                </c:pt>
              </c:numCache>
            </c:numRef>
          </c:val>
          <c:extLst>
            <c:ext xmlns:c16="http://schemas.microsoft.com/office/drawing/2014/chart" uri="{C3380CC4-5D6E-409C-BE32-E72D297353CC}">
              <c16:uniqueId val="{00000008-DDDA-48B2-ABD0-DCB5E8A49F34}"/>
            </c:ext>
          </c:extLst>
        </c:ser>
        <c:dLbls>
          <c:dLblPos val="bestFit"/>
          <c:showLegendKey val="0"/>
          <c:showVal val="1"/>
          <c:showCatName val="0"/>
          <c:showSerName val="0"/>
          <c:showPercent val="0"/>
          <c:showBubbleSize val="0"/>
          <c:showLeaderLines val="1"/>
        </c:dLbls>
      </c:pie3DChart>
      <c:spPr>
        <a:noFill/>
        <a:ln>
          <a:noFill/>
        </a:ln>
        <a:effectLst/>
      </c:spPr>
    </c:plotArea>
    <c:legend>
      <c:legendPos val="r"/>
      <c:legendEntry>
        <c:idx val="2"/>
        <c:delete val="1"/>
      </c:legendEntry>
      <c:legendEntry>
        <c:idx val="3"/>
        <c:delete val="1"/>
      </c:legendEntry>
      <c:layout/>
      <c:overlay val="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200">
                <a:latin typeface="Times New Roman" pitchFamily="18" charset="0"/>
                <a:cs typeface="Times New Roman" pitchFamily="18" charset="0"/>
              </a:defRPr>
            </a:pPr>
            <a:r>
              <a:rPr lang="en-US" sz="1200">
                <a:latin typeface="Times New Roman" pitchFamily="18" charset="0"/>
                <a:cs typeface="Times New Roman" pitchFamily="18" charset="0"/>
              </a:rPr>
              <a:t>Respondents</a:t>
            </a:r>
            <a:r>
              <a:rPr lang="en-US" sz="1200" baseline="0">
                <a:latin typeface="Times New Roman" pitchFamily="18" charset="0"/>
                <a:cs typeface="Times New Roman" pitchFamily="18" charset="0"/>
              </a:rPr>
              <a:t> qualification level</a:t>
            </a:r>
            <a:endParaRPr lang="en-US" sz="1200">
              <a:latin typeface="Times New Roman" pitchFamily="18" charset="0"/>
              <a:cs typeface="Times New Roman" pitchFamily="18" charset="0"/>
            </a:endParaRPr>
          </a:p>
        </c:rich>
      </c:tx>
      <c:layout/>
      <c:overlay val="1"/>
    </c:title>
    <c:autoTitleDeleted val="0"/>
    <c:plotArea>
      <c:layout>
        <c:manualLayout>
          <c:layoutTarget val="inner"/>
          <c:xMode val="edge"/>
          <c:yMode val="edge"/>
          <c:x val="9.8434773356033192E-2"/>
          <c:y val="4.2534019040977804E-2"/>
          <c:w val="0.68027842803433358"/>
          <c:h val="0.81025810888030136"/>
        </c:manualLayout>
      </c:layout>
      <c:barChart>
        <c:barDir val="col"/>
        <c:grouping val="clustered"/>
        <c:varyColors val="0"/>
        <c:ser>
          <c:idx val="0"/>
          <c:order val="0"/>
          <c:tx>
            <c:strRef>
              <c:f>Sheet1!$B$1</c:f>
              <c:strCache>
                <c:ptCount val="1"/>
                <c:pt idx="0">
                  <c:v>Certificates</c:v>
                </c:pt>
              </c:strCache>
            </c:strRef>
          </c:tx>
          <c:spPr>
            <a:solidFill>
              <a:srgbClr val="00B0F0"/>
            </a:solidFill>
          </c:spPr>
          <c:invertIfNegative val="0"/>
          <c:dPt>
            <c:idx val="1"/>
            <c:invertIfNegative val="0"/>
            <c:bubble3D val="0"/>
            <c:spPr>
              <a:solidFill>
                <a:srgbClr val="00B0F0"/>
              </a:solidFill>
            </c:spPr>
            <c:extLst>
              <c:ext xmlns:c16="http://schemas.microsoft.com/office/drawing/2014/chart" uri="{C3380CC4-5D6E-409C-BE32-E72D297353CC}">
                <c16:uniqueId val="{00000001-11FD-4F6F-A442-99B4B3C4FD82}"/>
              </c:ext>
            </c:extLst>
          </c:dPt>
          <c:dPt>
            <c:idx val="2"/>
            <c:invertIfNegative val="0"/>
            <c:bubble3D val="0"/>
            <c:spPr>
              <a:solidFill>
                <a:srgbClr val="00B050"/>
              </a:solidFill>
            </c:spPr>
            <c:extLst>
              <c:ext xmlns:c16="http://schemas.microsoft.com/office/drawing/2014/chart" uri="{C3380CC4-5D6E-409C-BE32-E72D297353CC}">
                <c16:uniqueId val="{00000003-11FD-4F6F-A442-99B4B3C4FD82}"/>
              </c:ext>
            </c:extLst>
          </c:dPt>
          <c:dPt>
            <c:idx val="3"/>
            <c:invertIfNegative val="0"/>
            <c:bubble3D val="0"/>
            <c:spPr>
              <a:solidFill>
                <a:srgbClr val="FF0000"/>
              </a:solidFill>
            </c:spPr>
            <c:extLst>
              <c:ext xmlns:c16="http://schemas.microsoft.com/office/drawing/2014/chart" uri="{C3380CC4-5D6E-409C-BE32-E72D297353CC}">
                <c16:uniqueId val="{00000004-11FD-4F6F-A442-99B4B3C4FD82}"/>
              </c:ext>
            </c:extLst>
          </c:dPt>
          <c:cat>
            <c:strRef>
              <c:f>Sheet1!$A$2:$A$5</c:f>
              <c:strCache>
                <c:ptCount val="4"/>
                <c:pt idx="0">
                  <c:v>Certificates </c:v>
                </c:pt>
                <c:pt idx="1">
                  <c:v>Degrees</c:v>
                </c:pt>
                <c:pt idx="2">
                  <c:v>Master degrees</c:v>
                </c:pt>
                <c:pt idx="3">
                  <c:v>PhDs</c:v>
                </c:pt>
              </c:strCache>
            </c:strRef>
          </c:cat>
          <c:val>
            <c:numRef>
              <c:f>Sheet1!$B$2:$B$5</c:f>
              <c:numCache>
                <c:formatCode>0%</c:formatCode>
                <c:ptCount val="4"/>
                <c:pt idx="0">
                  <c:v>0.75</c:v>
                </c:pt>
                <c:pt idx="1">
                  <c:v>0</c:v>
                </c:pt>
                <c:pt idx="2">
                  <c:v>0.1</c:v>
                </c:pt>
                <c:pt idx="3">
                  <c:v>0.15</c:v>
                </c:pt>
              </c:numCache>
            </c:numRef>
          </c:val>
          <c:extLst>
            <c:ext xmlns:c16="http://schemas.microsoft.com/office/drawing/2014/chart" uri="{C3380CC4-5D6E-409C-BE32-E72D297353CC}">
              <c16:uniqueId val="{00000005-11FD-4F6F-A442-99B4B3C4FD82}"/>
            </c:ext>
          </c:extLst>
        </c:ser>
        <c:ser>
          <c:idx val="1"/>
          <c:order val="1"/>
          <c:tx>
            <c:strRef>
              <c:f>Sheet1!$C$1</c:f>
              <c:strCache>
                <c:ptCount val="1"/>
                <c:pt idx="0">
                  <c:v>Degrees</c:v>
                </c:pt>
              </c:strCache>
            </c:strRef>
          </c:tx>
          <c:spPr>
            <a:solidFill>
              <a:schemeClr val="bg1"/>
            </a:solidFill>
          </c:spPr>
          <c:invertIfNegative val="0"/>
          <c:cat>
            <c:strRef>
              <c:f>Sheet1!$A$2:$A$5</c:f>
              <c:strCache>
                <c:ptCount val="4"/>
                <c:pt idx="0">
                  <c:v>Certificates </c:v>
                </c:pt>
                <c:pt idx="1">
                  <c:v>Degrees</c:v>
                </c:pt>
                <c:pt idx="2">
                  <c:v>Master degrees</c:v>
                </c:pt>
                <c:pt idx="3">
                  <c:v>PhDs</c:v>
                </c:pt>
              </c:strCache>
            </c:strRef>
          </c:cat>
          <c:val>
            <c:numRef>
              <c:f>Sheet1!$C$2:$C$5</c:f>
              <c:numCache>
                <c:formatCode>General</c:formatCode>
                <c:ptCount val="4"/>
              </c:numCache>
            </c:numRef>
          </c:val>
          <c:extLst>
            <c:ext xmlns:c16="http://schemas.microsoft.com/office/drawing/2014/chart" uri="{C3380CC4-5D6E-409C-BE32-E72D297353CC}">
              <c16:uniqueId val="{00000006-11FD-4F6F-A442-99B4B3C4FD82}"/>
            </c:ext>
          </c:extLst>
        </c:ser>
        <c:ser>
          <c:idx val="2"/>
          <c:order val="2"/>
          <c:tx>
            <c:strRef>
              <c:f>Sheet1!$D$1</c:f>
              <c:strCache>
                <c:ptCount val="1"/>
                <c:pt idx="0">
                  <c:v>Master degrees</c:v>
                </c:pt>
              </c:strCache>
            </c:strRef>
          </c:tx>
          <c:spPr>
            <a:solidFill>
              <a:srgbClr val="00B050"/>
            </a:solidFill>
          </c:spPr>
          <c:invertIfNegative val="0"/>
          <c:cat>
            <c:strRef>
              <c:f>Sheet1!$A$2:$A$5</c:f>
              <c:strCache>
                <c:ptCount val="4"/>
                <c:pt idx="0">
                  <c:v>Certificates </c:v>
                </c:pt>
                <c:pt idx="1">
                  <c:v>Degrees</c:v>
                </c:pt>
                <c:pt idx="2">
                  <c:v>Master degrees</c:v>
                </c:pt>
                <c:pt idx="3">
                  <c:v>PhDs</c:v>
                </c:pt>
              </c:strCache>
            </c:strRef>
          </c:cat>
          <c:val>
            <c:numRef>
              <c:f>Sheet1!$D$2:$D$5</c:f>
              <c:numCache>
                <c:formatCode>General</c:formatCode>
                <c:ptCount val="4"/>
              </c:numCache>
            </c:numRef>
          </c:val>
          <c:extLst>
            <c:ext xmlns:c16="http://schemas.microsoft.com/office/drawing/2014/chart" uri="{C3380CC4-5D6E-409C-BE32-E72D297353CC}">
              <c16:uniqueId val="{00000007-11FD-4F6F-A442-99B4B3C4FD82}"/>
            </c:ext>
          </c:extLst>
        </c:ser>
        <c:ser>
          <c:idx val="3"/>
          <c:order val="3"/>
          <c:tx>
            <c:strRef>
              <c:f>Sheet1!$E$1</c:f>
              <c:strCache>
                <c:ptCount val="1"/>
                <c:pt idx="0">
                  <c:v>PhDs</c:v>
                </c:pt>
              </c:strCache>
            </c:strRef>
          </c:tx>
          <c:spPr>
            <a:solidFill>
              <a:srgbClr val="FF0000"/>
            </a:solidFill>
          </c:spPr>
          <c:invertIfNegative val="0"/>
          <c:cat>
            <c:strRef>
              <c:f>Sheet1!$A$2:$A$5</c:f>
              <c:strCache>
                <c:ptCount val="4"/>
                <c:pt idx="0">
                  <c:v>Certificates </c:v>
                </c:pt>
                <c:pt idx="1">
                  <c:v>Degrees</c:v>
                </c:pt>
                <c:pt idx="2">
                  <c:v>Master degrees</c:v>
                </c:pt>
                <c:pt idx="3">
                  <c:v>PhDs</c:v>
                </c:pt>
              </c:strCache>
            </c:strRef>
          </c:cat>
          <c:val>
            <c:numRef>
              <c:f>Sheet1!$E$2:$E$5</c:f>
              <c:numCache>
                <c:formatCode>General</c:formatCode>
                <c:ptCount val="4"/>
              </c:numCache>
            </c:numRef>
          </c:val>
          <c:extLst>
            <c:ext xmlns:c16="http://schemas.microsoft.com/office/drawing/2014/chart" uri="{C3380CC4-5D6E-409C-BE32-E72D297353CC}">
              <c16:uniqueId val="{00000008-11FD-4F6F-A442-99B4B3C4FD82}"/>
            </c:ext>
          </c:extLst>
        </c:ser>
        <c:dLbls>
          <c:showLegendKey val="0"/>
          <c:showVal val="0"/>
          <c:showCatName val="0"/>
          <c:showSerName val="0"/>
          <c:showPercent val="0"/>
          <c:showBubbleSize val="0"/>
        </c:dLbls>
        <c:gapWidth val="150"/>
        <c:axId val="1091801392"/>
        <c:axId val="1091795408"/>
      </c:barChart>
      <c:catAx>
        <c:axId val="1091801392"/>
        <c:scaling>
          <c:orientation val="minMax"/>
        </c:scaling>
        <c:delete val="0"/>
        <c:axPos val="b"/>
        <c:numFmt formatCode="General" sourceLinked="0"/>
        <c:majorTickMark val="out"/>
        <c:minorTickMark val="none"/>
        <c:tickLblPos val="nextTo"/>
        <c:txPr>
          <a:bodyPr/>
          <a:lstStyle/>
          <a:p>
            <a:pPr>
              <a:defRPr sz="1200">
                <a:latin typeface="Times New Roman" pitchFamily="18" charset="0"/>
                <a:cs typeface="Times New Roman" pitchFamily="18" charset="0"/>
              </a:defRPr>
            </a:pPr>
            <a:endParaRPr lang="en-US"/>
          </a:p>
        </c:txPr>
        <c:crossAx val="1091795408"/>
        <c:crosses val="autoZero"/>
        <c:auto val="1"/>
        <c:lblAlgn val="ctr"/>
        <c:lblOffset val="100"/>
        <c:noMultiLvlLbl val="0"/>
      </c:catAx>
      <c:valAx>
        <c:axId val="1091795408"/>
        <c:scaling>
          <c:orientation val="minMax"/>
        </c:scaling>
        <c:delete val="0"/>
        <c:axPos val="l"/>
        <c:majorGridlines/>
        <c:numFmt formatCode="0%" sourceLinked="1"/>
        <c:majorTickMark val="out"/>
        <c:minorTickMark val="none"/>
        <c:tickLblPos val="nextTo"/>
        <c:txPr>
          <a:bodyPr/>
          <a:lstStyle/>
          <a:p>
            <a:pPr>
              <a:defRPr sz="1200">
                <a:latin typeface="Times New Roman" panose="02020603050405020304" pitchFamily="18" charset="0"/>
                <a:cs typeface="Times New Roman" panose="02020603050405020304" pitchFamily="18" charset="0"/>
              </a:defRPr>
            </a:pPr>
            <a:endParaRPr lang="en-US"/>
          </a:p>
        </c:txPr>
        <c:crossAx val="1091801392"/>
        <c:crosses val="autoZero"/>
        <c:crossBetween val="between"/>
      </c:valAx>
    </c:plotArea>
    <c:legend>
      <c:legendPos val="r"/>
      <c:layout>
        <c:manualLayout>
          <c:xMode val="edge"/>
          <c:yMode val="edge"/>
          <c:x val="0.7817086968858622"/>
          <c:y val="0.31149218893763742"/>
          <c:w val="0.20477778960062423"/>
          <c:h val="0.50493651393206851"/>
        </c:manualLayout>
      </c:layout>
      <c:overlay val="0"/>
      <c:txPr>
        <a:bodyPr/>
        <a:lstStyle/>
        <a:p>
          <a:pPr>
            <a:defRPr sz="1200">
              <a:latin typeface="Times New Roman" panose="02020603050405020304" pitchFamily="18" charset="0"/>
              <a:cs typeface="Times New Roman" panose="02020603050405020304" pitchFamily="18" charset="0"/>
            </a:defRPr>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xPr>
        <a:bodyPr/>
        <a:lstStyle/>
        <a:p>
          <a:pPr>
            <a:defRPr sz="1200">
              <a:latin typeface="Times New Roman" pitchFamily="18" charset="0"/>
              <a:cs typeface="Times New Roman" pitchFamily="18" charset="0"/>
            </a:defRPr>
          </a:pPr>
          <a:endParaRPr lang="en-US"/>
        </a:p>
      </c:txPr>
    </c:title>
    <c:autoTitleDeleted val="0"/>
    <c:view3D>
      <c:rotX val="30"/>
      <c:rotY val="0"/>
      <c:rAngAx val="0"/>
    </c:view3D>
    <c:floor>
      <c:thickness val="0"/>
    </c:floor>
    <c:sideWall>
      <c:thickness val="0"/>
    </c:sideWall>
    <c:backWall>
      <c:thickness val="0"/>
    </c:backWall>
    <c:plotArea>
      <c:layout>
        <c:manualLayout>
          <c:layoutTarget val="inner"/>
          <c:xMode val="edge"/>
          <c:yMode val="edge"/>
          <c:x val="2.7777777777777811E-2"/>
          <c:y val="0.15863110861142374"/>
          <c:w val="0.77261610527850721"/>
          <c:h val="0.7895410389703017"/>
        </c:manualLayout>
      </c:layout>
      <c:pie3DChart>
        <c:varyColors val="1"/>
        <c:ser>
          <c:idx val="0"/>
          <c:order val="0"/>
          <c:tx>
            <c:strRef>
              <c:f>Sheet1!$B$1</c:f>
              <c:strCache>
                <c:ptCount val="1"/>
                <c:pt idx="0">
                  <c:v>respondents occupation</c:v>
                </c:pt>
              </c:strCache>
            </c:strRef>
          </c:tx>
          <c:explosion val="26"/>
          <c:dPt>
            <c:idx val="0"/>
            <c:bubble3D val="0"/>
            <c:spPr>
              <a:solidFill>
                <a:srgbClr val="00B050"/>
              </a:solidFill>
              <a:ln>
                <a:solidFill>
                  <a:srgbClr val="00B050"/>
                </a:solidFill>
              </a:ln>
            </c:spPr>
            <c:extLst>
              <c:ext xmlns:c16="http://schemas.microsoft.com/office/drawing/2014/chart" uri="{C3380CC4-5D6E-409C-BE32-E72D297353CC}">
                <c16:uniqueId val="{00000001-E88B-48F0-B9E1-4A6FB582D2A9}"/>
              </c:ext>
            </c:extLst>
          </c:dPt>
          <c:dPt>
            <c:idx val="1"/>
            <c:bubble3D val="0"/>
            <c:spPr>
              <a:solidFill>
                <a:srgbClr val="FF0000"/>
              </a:solidFill>
            </c:spPr>
            <c:extLst>
              <c:ext xmlns:c16="http://schemas.microsoft.com/office/drawing/2014/chart" uri="{C3380CC4-5D6E-409C-BE32-E72D297353CC}">
                <c16:uniqueId val="{00000002-E88B-48F0-B9E1-4A6FB582D2A9}"/>
              </c:ext>
            </c:extLst>
          </c:dPt>
          <c:dLbls>
            <c:spPr>
              <a:noFill/>
              <a:ln>
                <a:noFill/>
              </a:ln>
              <a:effectLst/>
            </c:spPr>
            <c:txPr>
              <a:bodyPr wrap="square" lIns="38100" tIns="19050" rIns="38100" bIns="19050" anchor="ctr">
                <a:spAutoFit/>
              </a:bodyPr>
              <a:lstStyle/>
              <a:p>
                <a:pPr>
                  <a:defRPr sz="1100">
                    <a:latin typeface="Times New Roman" panose="02020603050405020304" pitchFamily="18" charset="0"/>
                    <a:cs typeface="Times New Roman" panose="02020603050405020304" pitchFamily="18" charset="0"/>
                  </a:defRPr>
                </a:pPr>
                <a:endParaRPr lang="en-US"/>
              </a:p>
            </c:txPr>
            <c:dLblPos val="ctr"/>
            <c:showLegendKey val="0"/>
            <c:showVal val="1"/>
            <c:showCatName val="0"/>
            <c:showSerName val="0"/>
            <c:showPercent val="0"/>
            <c:showBubbleSize val="0"/>
            <c:showLeaderLines val="1"/>
            <c:extLst>
              <c:ext xmlns:c15="http://schemas.microsoft.com/office/drawing/2012/chart" uri="{CE6537A1-D6FC-4f65-9D91-7224C49458BB}">
                <c15:layout/>
              </c:ext>
            </c:extLst>
          </c:dLbls>
          <c:cat>
            <c:strRef>
              <c:f>Sheet1!$A$2:$A$3</c:f>
              <c:strCache>
                <c:ptCount val="2"/>
                <c:pt idx="0">
                  <c:v>Students</c:v>
                </c:pt>
                <c:pt idx="1">
                  <c:v>Lecturers</c:v>
                </c:pt>
              </c:strCache>
            </c:strRef>
          </c:cat>
          <c:val>
            <c:numRef>
              <c:f>Sheet1!$B$2:$B$3</c:f>
              <c:numCache>
                <c:formatCode>0%</c:formatCode>
                <c:ptCount val="2"/>
                <c:pt idx="0">
                  <c:v>0.75</c:v>
                </c:pt>
                <c:pt idx="1">
                  <c:v>0.25</c:v>
                </c:pt>
              </c:numCache>
            </c:numRef>
          </c:val>
          <c:extLst>
            <c:ext xmlns:c16="http://schemas.microsoft.com/office/drawing/2014/chart" uri="{C3380CC4-5D6E-409C-BE32-E72D297353CC}">
              <c16:uniqueId val="{00000000-E88B-48F0-B9E1-4A6FB582D2A9}"/>
            </c:ext>
          </c:extLst>
        </c:ser>
        <c:dLbls>
          <c:showLegendKey val="0"/>
          <c:showVal val="1"/>
          <c:showCatName val="0"/>
          <c:showSerName val="0"/>
          <c:showPercent val="0"/>
          <c:showBubbleSize val="0"/>
          <c:showLeaderLines val="1"/>
        </c:dLbls>
      </c:pie3DChart>
    </c:plotArea>
    <c:legend>
      <c:legendPos val="r"/>
      <c:layout/>
      <c:overlay val="0"/>
      <c:txPr>
        <a:bodyPr/>
        <a:lstStyle/>
        <a:p>
          <a:pPr>
            <a:defRPr sz="1200">
              <a:latin typeface="Times New Roman" pitchFamily="18" charset="0"/>
              <a:cs typeface="Times New Roman" pitchFamily="18" charset="0"/>
            </a:defRPr>
          </a:pPr>
          <a:endParaRPr lang="en-US"/>
        </a:p>
      </c:txPr>
    </c:legend>
    <c:plotVisOnly val="1"/>
    <c:dispBlanksAs val="zero"/>
    <c:showDLblsOverMax val="0"/>
  </c:chart>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wWnaHNmqww+RNdRw+OGTHujknhg==">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