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E7FB57" w14:textId="1D28E50E" w:rsidR="005F2C7F" w:rsidRPr="005F2C7F" w:rsidRDefault="005F2C7F">
      <w:pPr>
        <w:rPr>
          <w:b/>
          <w:u w:val="single"/>
        </w:rPr>
      </w:pPr>
      <w:r w:rsidRPr="005F2C7F">
        <w:rPr>
          <w:b/>
          <w:u w:val="single"/>
        </w:rPr>
        <w:t>Part 1</w:t>
      </w:r>
    </w:p>
    <w:p w14:paraId="6D7E23B2" w14:textId="3E09B16A" w:rsidR="007A7155" w:rsidRDefault="007A7155">
      <w:r>
        <w:t>Iceland and several other countries believe that it’s crucial that children are playing outdoors as part of their development. Government documents and journals look deeper into this idea</w:t>
      </w:r>
      <w:r w:rsidR="00847077">
        <w:t xml:space="preserve">; </w:t>
      </w:r>
      <w:r>
        <w:t xml:space="preserve">stating that the outdoor is beneficial towards children’s lifestyles. The curriculum guidelines </w:t>
      </w:r>
      <w:r w:rsidR="00FA43C0">
        <w:t>discus how the outdoors are effective learning environments that allow children to view the natural world in a positive light, and as a place where exercising and healthy living is available (</w:t>
      </w:r>
      <w:proofErr w:type="spellStart"/>
      <w:r w:rsidR="00FA43C0">
        <w:t>Noradahl</w:t>
      </w:r>
      <w:proofErr w:type="spellEnd"/>
      <w:r w:rsidR="00FA43C0">
        <w:t xml:space="preserve"> and </w:t>
      </w:r>
      <w:proofErr w:type="spellStart"/>
      <w:r w:rsidR="00FA43C0">
        <w:t>Johannesson</w:t>
      </w:r>
      <w:proofErr w:type="spellEnd"/>
      <w:r w:rsidR="00FA43C0">
        <w:t xml:space="preserve">, 2014). </w:t>
      </w:r>
      <w:r>
        <w:t xml:space="preserve"> </w:t>
      </w:r>
    </w:p>
    <w:p w14:paraId="46EFCEE4" w14:textId="5D2911E2" w:rsidR="00847077" w:rsidRDefault="00847077">
      <w:r>
        <w:t xml:space="preserve">The emphasis on outdoor involvement for children has been adapted into schools within Iceland for a while now. For children aged 1-6 play outside every day; whereas children aged 6-16 only have the opportunity to go outside during ‘playtime’ periods with their peers. The tasks involved in outdoor education and learning development depends on the type of school, and the teacher’s own ideas and lesson plans. I believe that knowing all of the diverse types of tasks can be very difficult to understand, unless you are aware of the differences between schools. However, within Iceland there are signs that show us how teachers are incorporating outdoors into their lesson plans more often than previous accounts.  This is apparent in the capital of Iceland, </w:t>
      </w:r>
      <w:proofErr w:type="spellStart"/>
      <w:r>
        <w:t>Reyjkavik</w:t>
      </w:r>
      <w:proofErr w:type="spellEnd"/>
      <w:r>
        <w:t>, which shows that 70</w:t>
      </w:r>
      <w:r w:rsidR="001B4FD4">
        <w:t>% of schools involve outdoor education thoroughly (</w:t>
      </w:r>
      <w:proofErr w:type="spellStart"/>
      <w:r w:rsidR="001B4FD4">
        <w:t>Oladottir</w:t>
      </w:r>
      <w:proofErr w:type="spellEnd"/>
      <w:r w:rsidR="001B4FD4">
        <w:t xml:space="preserve">, 2008). </w:t>
      </w:r>
    </w:p>
    <w:p w14:paraId="0B9FF833" w14:textId="130181FD" w:rsidR="00FB3A04" w:rsidRDefault="00FB3A04"/>
    <w:p w14:paraId="3BE488FF" w14:textId="782D4F42" w:rsidR="00FB3A04" w:rsidRDefault="00FB3A04">
      <w:pPr>
        <w:rPr>
          <w:b/>
          <w:u w:val="single"/>
        </w:rPr>
      </w:pPr>
      <w:r w:rsidRPr="00FB3A04">
        <w:rPr>
          <w:b/>
          <w:u w:val="single"/>
        </w:rPr>
        <w:t>Part 2</w:t>
      </w:r>
      <w:r>
        <w:rPr>
          <w:b/>
          <w:u w:val="single"/>
        </w:rPr>
        <w:t>a</w:t>
      </w:r>
    </w:p>
    <w:p w14:paraId="71255BE7" w14:textId="0EC5A90F" w:rsidR="00FB3A04" w:rsidRDefault="00FB3A04">
      <w:r>
        <w:t>This essay will focus on Forest Schools. The definition of Forest School, written by the Forest school Network, states that:</w:t>
      </w:r>
    </w:p>
    <w:p w14:paraId="3D9C7123" w14:textId="1FDF6A15" w:rsidR="00FB3A04" w:rsidRDefault="00982B69">
      <w:pPr>
        <w:rPr>
          <w:i/>
        </w:rPr>
      </w:pPr>
      <w:r>
        <w:rPr>
          <w:i/>
        </w:rPr>
        <w:t xml:space="preserve">      </w:t>
      </w:r>
      <w:r w:rsidR="00FB3A04">
        <w:rPr>
          <w:i/>
        </w:rPr>
        <w:t>I</w:t>
      </w:r>
      <w:r w:rsidR="00FB3A04" w:rsidRPr="00FB3A04">
        <w:rPr>
          <w:i/>
        </w:rPr>
        <w:t xml:space="preserve">t is an inspirational process that offers children, young people and </w:t>
      </w:r>
      <w:r w:rsidR="00A45D2B" w:rsidRPr="00FB3A04">
        <w:rPr>
          <w:i/>
        </w:rPr>
        <w:t>adults’</w:t>
      </w:r>
      <w:r w:rsidR="00FB3A04" w:rsidRPr="00FB3A04">
        <w:rPr>
          <w:i/>
        </w:rPr>
        <w:t xml:space="preserve"> regular opportunities to achieve and develop confidence and self-esteem though hands on learning experiences in a woodland environment (Murry and </w:t>
      </w:r>
      <w:proofErr w:type="spellStart"/>
      <w:r w:rsidR="00FB3A04" w:rsidRPr="00FB3A04">
        <w:rPr>
          <w:i/>
        </w:rPr>
        <w:t>O’brien</w:t>
      </w:r>
      <w:proofErr w:type="spellEnd"/>
      <w:r w:rsidR="00FB3A04" w:rsidRPr="00FB3A04">
        <w:rPr>
          <w:i/>
        </w:rPr>
        <w:t xml:space="preserve">, 2006). </w:t>
      </w:r>
    </w:p>
    <w:p w14:paraId="0F9E3078" w14:textId="0CDAD55A" w:rsidR="007D3676" w:rsidRPr="007D3676" w:rsidRDefault="00A45D2B">
      <w:r>
        <w:t>People are concerned that young children no longer have the opportunity to experience woodlands and other outdoor areas like their parents did. This is due to people being concerned and worried that something could happen in an unpredictable, outdoor environment, and that children are able to carry out countless tasks indoor during this modern day (Murry and O’Brien, 2006).</w:t>
      </w:r>
      <w:r w:rsidR="00A95CDD">
        <w:t xml:space="preserve"> There is also further research that informs us that if children don’t experience outdoor education at a young age, they will miss out on physical and emotional benefits that are developed through the access of nature (Aspinall, Bell and Thompson, 2004). Furthermore, learning outdoors is a different experience of cognitive development compared to indoor, classroom leaning. The Welsh Government are encouraging teachers to involve Forest Schools in their own curriculums, especially at foundation phase. </w:t>
      </w:r>
    </w:p>
    <w:p w14:paraId="2F1B5143" w14:textId="0FD91A57" w:rsidR="00A95CDD" w:rsidRPr="00BF4877" w:rsidRDefault="00FB3A04">
      <w:pPr>
        <w:rPr>
          <w:u w:val="single"/>
        </w:rPr>
      </w:pPr>
      <w:r w:rsidRPr="00BF4877">
        <w:rPr>
          <w:u w:val="single"/>
        </w:rPr>
        <w:t xml:space="preserve">Reference List: </w:t>
      </w:r>
    </w:p>
    <w:p w14:paraId="75C6D36C" w14:textId="77777777" w:rsidR="00BF4877" w:rsidRPr="00BF4877" w:rsidRDefault="00BF4877" w:rsidP="00BF4877">
      <w:pPr>
        <w:pStyle w:val="NormalWeb"/>
        <w:rPr>
          <w:rFonts w:asciiTheme="minorHAnsi" w:hAnsiTheme="minorHAnsi" w:cstheme="minorHAnsi"/>
          <w:color w:val="000000"/>
          <w:sz w:val="22"/>
          <w:szCs w:val="27"/>
        </w:rPr>
      </w:pPr>
      <w:r w:rsidRPr="00BF4877">
        <w:rPr>
          <w:rFonts w:asciiTheme="minorHAnsi" w:hAnsiTheme="minorHAnsi" w:cstheme="minorHAnsi"/>
          <w:color w:val="000000"/>
          <w:sz w:val="22"/>
          <w:szCs w:val="27"/>
        </w:rPr>
        <w:t>O'Brien, E &amp; Murray, R. (2006) A marvellous opportunity for children to learn: A participatory evaluation of Forest School in England and Wales. Farnham: Forest Research.</w:t>
      </w:r>
    </w:p>
    <w:p w14:paraId="67A9BF82" w14:textId="77777777" w:rsidR="00BF4877" w:rsidRPr="00BF4877" w:rsidRDefault="00BF4877" w:rsidP="00BF4877">
      <w:pPr>
        <w:pStyle w:val="NormalWeb"/>
        <w:rPr>
          <w:rFonts w:asciiTheme="minorHAnsi" w:hAnsiTheme="minorHAnsi" w:cstheme="minorHAnsi"/>
          <w:color w:val="000000"/>
          <w:sz w:val="22"/>
          <w:szCs w:val="27"/>
        </w:rPr>
      </w:pPr>
      <w:r w:rsidRPr="00BF4877">
        <w:rPr>
          <w:rFonts w:asciiTheme="minorHAnsi" w:hAnsiTheme="minorHAnsi" w:cstheme="minorHAnsi"/>
          <w:color w:val="000000"/>
          <w:sz w:val="22"/>
          <w:szCs w:val="27"/>
        </w:rPr>
        <w:t xml:space="preserve">Ward Thompson, C., Aspinall, P., Bell, S., Findlay, C., </w:t>
      </w:r>
      <w:proofErr w:type="spellStart"/>
      <w:r w:rsidRPr="00BF4877">
        <w:rPr>
          <w:rFonts w:asciiTheme="minorHAnsi" w:hAnsiTheme="minorHAnsi" w:cstheme="minorHAnsi"/>
          <w:color w:val="000000"/>
          <w:sz w:val="22"/>
          <w:szCs w:val="27"/>
        </w:rPr>
        <w:t>Wherrett</w:t>
      </w:r>
      <w:proofErr w:type="spellEnd"/>
      <w:r w:rsidRPr="00BF4877">
        <w:rPr>
          <w:rFonts w:asciiTheme="minorHAnsi" w:hAnsiTheme="minorHAnsi" w:cstheme="minorHAnsi"/>
          <w:color w:val="000000"/>
          <w:sz w:val="22"/>
          <w:szCs w:val="27"/>
        </w:rPr>
        <w:t xml:space="preserve">, J. and </w:t>
      </w:r>
      <w:proofErr w:type="spellStart"/>
      <w:r w:rsidRPr="00BF4877">
        <w:rPr>
          <w:rFonts w:asciiTheme="minorHAnsi" w:hAnsiTheme="minorHAnsi" w:cstheme="minorHAnsi"/>
          <w:color w:val="000000"/>
          <w:sz w:val="22"/>
          <w:szCs w:val="27"/>
        </w:rPr>
        <w:t>Travlou</w:t>
      </w:r>
      <w:proofErr w:type="spellEnd"/>
      <w:r w:rsidRPr="00BF4877">
        <w:rPr>
          <w:rFonts w:asciiTheme="minorHAnsi" w:hAnsiTheme="minorHAnsi" w:cstheme="minorHAnsi"/>
          <w:color w:val="000000"/>
          <w:sz w:val="22"/>
          <w:szCs w:val="27"/>
        </w:rPr>
        <w:t>, P. (2004) Open space and social inclusion: Local woodland use in central Scotland. Report to the Forestry Commission, Edinburgh.</w:t>
      </w:r>
    </w:p>
    <w:p w14:paraId="3DE8B786" w14:textId="77777777" w:rsidR="00BF4877" w:rsidRDefault="00BF4877" w:rsidP="00BF4877">
      <w:pPr>
        <w:pStyle w:val="NormalWeb"/>
        <w:rPr>
          <w:rFonts w:asciiTheme="minorHAnsi" w:hAnsiTheme="minorHAnsi" w:cstheme="minorHAnsi"/>
          <w:color w:val="000000"/>
          <w:sz w:val="22"/>
          <w:szCs w:val="27"/>
        </w:rPr>
      </w:pPr>
      <w:r w:rsidRPr="00BF4877">
        <w:rPr>
          <w:rFonts w:asciiTheme="minorHAnsi" w:hAnsiTheme="minorHAnsi" w:cstheme="minorHAnsi"/>
          <w:color w:val="000000"/>
          <w:sz w:val="22"/>
          <w:szCs w:val="27"/>
        </w:rPr>
        <w:t>Welsh Assembly Government (2009). Outdoor Learning Handbook. Cardiff</w:t>
      </w:r>
    </w:p>
    <w:p w14:paraId="67FA83B8" w14:textId="22374898" w:rsidR="00847077" w:rsidRPr="00BF4877" w:rsidRDefault="002A636B" w:rsidP="00BF4877">
      <w:pPr>
        <w:pStyle w:val="NormalWeb"/>
        <w:rPr>
          <w:rFonts w:asciiTheme="minorHAnsi" w:hAnsiTheme="minorHAnsi" w:cstheme="minorHAnsi"/>
          <w:color w:val="000000"/>
          <w:sz w:val="22"/>
          <w:szCs w:val="27"/>
        </w:rPr>
      </w:pPr>
      <w:r w:rsidRPr="00BF4877">
        <w:rPr>
          <w:rFonts w:asciiTheme="minorHAnsi" w:hAnsiTheme="minorHAnsi" w:cstheme="minorHAnsi"/>
          <w:b/>
          <w:u w:val="single"/>
        </w:rPr>
        <w:lastRenderedPageBreak/>
        <w:t>Part 2b</w:t>
      </w:r>
    </w:p>
    <w:p w14:paraId="4F40F659" w14:textId="3DA71824" w:rsidR="00C25D00" w:rsidRPr="00C25D00" w:rsidRDefault="00BF4877">
      <w:r>
        <w:t xml:space="preserve">Failing to acknowledge the source of which you have retrieved information for academic writing essays can result in being accused of plagiarism. </w:t>
      </w:r>
      <w:r w:rsidR="00B86479">
        <w:t xml:space="preserve">It is important for students to avoid this as it a form of theft and can result in great consequences. </w:t>
      </w:r>
      <w:r>
        <w:t xml:space="preserve">This is due to the direct copying and/or use of others words and ideas. To ensure that the way in which you use others concepts and words correctly, you must reference to show your readers where you gathered the ideas and research from. </w:t>
      </w:r>
    </w:p>
    <w:p w14:paraId="1D88068D" w14:textId="4E55FF29" w:rsidR="002A636B" w:rsidRPr="002A636B" w:rsidRDefault="00BF4877">
      <w:r>
        <w:t xml:space="preserve">The idea that you may only reference when only using a direct quotation and no other is false. Therefore, you must always reference any idea or statement from your chosen research source when used in your own piece of writing, as this can result in plagiarism. </w:t>
      </w:r>
      <w:r w:rsidR="00067AFB">
        <w:t xml:space="preserve">Some may say it is okay to re-write others work and use it as your own, however this still must be referenced due to the idea not being from your own original source. This is called paraphrasing, and when you use this skill you must include a small reference at the end of the paragraph/sentence to save yourself from being prosecuted through the use of plagiarism. </w:t>
      </w:r>
    </w:p>
    <w:p w14:paraId="7E89D203" w14:textId="1342BD36" w:rsidR="0081549F" w:rsidRPr="00067AFB" w:rsidRDefault="00067AFB">
      <w:r>
        <w:t xml:space="preserve">Wikipedia is definitely considered useful to those in lower education, however when carrying out research for academic assignments it is definitely not a trusted source and should be avoided at all costs. The format of Wikipedia is the reasoning behind this. Anyone who wishes to include information to any page on Wikipedia is free to do so – therefore allowing us to understand that the writers may not be credible, or qualified to write certain statements and/or facts surrounding a certain topic. To write correctly in an academic assignment we </w:t>
      </w:r>
      <w:r w:rsidR="0081549F">
        <w:t xml:space="preserve">must be able to retrieve both first and second-hand sources, and Wikipedia cannot provide us with the correct referencing, or assure us that the information given is 100% trusted – this is why academic journals are used as an alternative of websites such as Wikipedia. </w:t>
      </w:r>
    </w:p>
    <w:p w14:paraId="3B1196B3" w14:textId="1255425C" w:rsidR="00923755" w:rsidRDefault="00923755">
      <w:r>
        <w:t>How to construct a correct reference for a long quotation:</w:t>
      </w:r>
    </w:p>
    <w:p w14:paraId="6BDF880E" w14:textId="0A00AB4D" w:rsidR="00923755" w:rsidRDefault="00923755" w:rsidP="00923755">
      <w:pPr>
        <w:pStyle w:val="ListParagraph"/>
        <w:numPr>
          <w:ilvl w:val="0"/>
          <w:numId w:val="1"/>
        </w:numPr>
      </w:pPr>
      <w:r>
        <w:t>Your quotation must be longer than 2 lines, or have more than 30 words</w:t>
      </w:r>
    </w:p>
    <w:p w14:paraId="3419D8EB" w14:textId="3E1C4B9F" w:rsidR="00923755" w:rsidRDefault="00923755" w:rsidP="00923755">
      <w:pPr>
        <w:pStyle w:val="ListParagraph"/>
        <w:numPr>
          <w:ilvl w:val="0"/>
          <w:numId w:val="1"/>
        </w:numPr>
      </w:pPr>
      <w:r>
        <w:t>The quote must be indented ½ inch from the left margin on the page</w:t>
      </w:r>
    </w:p>
    <w:p w14:paraId="01AD5A61" w14:textId="7AE1EFE4" w:rsidR="00923755" w:rsidRDefault="00923755" w:rsidP="00923755">
      <w:pPr>
        <w:pStyle w:val="ListParagraph"/>
        <w:numPr>
          <w:ilvl w:val="0"/>
          <w:numId w:val="1"/>
        </w:numPr>
      </w:pPr>
      <w:r>
        <w:t xml:space="preserve">Single line spacing must be used </w:t>
      </w:r>
    </w:p>
    <w:p w14:paraId="6746B93A" w14:textId="7C527AA5" w:rsidR="00923755" w:rsidRDefault="00923755" w:rsidP="00923755">
      <w:pPr>
        <w:pStyle w:val="ListParagraph"/>
        <w:numPr>
          <w:ilvl w:val="0"/>
          <w:numId w:val="1"/>
        </w:numPr>
      </w:pPr>
      <w:r>
        <w:t xml:space="preserve">No quotation marks </w:t>
      </w:r>
    </w:p>
    <w:p w14:paraId="0338137E" w14:textId="560BFE77" w:rsidR="00923755" w:rsidRDefault="00923755" w:rsidP="00923755">
      <w:pPr>
        <w:pStyle w:val="ListParagraph"/>
        <w:numPr>
          <w:ilvl w:val="0"/>
          <w:numId w:val="1"/>
        </w:numPr>
      </w:pPr>
      <w:r>
        <w:t xml:space="preserve">Keep words justified (spread the words out) </w:t>
      </w:r>
    </w:p>
    <w:p w14:paraId="252DFAFE" w14:textId="537C21EB" w:rsidR="00923755" w:rsidRDefault="00EB5F55" w:rsidP="00923755">
      <w:pPr>
        <w:pStyle w:val="ListParagraph"/>
        <w:numPr>
          <w:ilvl w:val="0"/>
          <w:numId w:val="1"/>
        </w:numPr>
      </w:pPr>
      <w:r>
        <w:t xml:space="preserve">Include the surname of author, year of publication and page number </w:t>
      </w:r>
    </w:p>
    <w:p w14:paraId="5C2E218A" w14:textId="2BD927E8" w:rsidR="00EB5F55" w:rsidRPr="00923755" w:rsidRDefault="00EB5F55" w:rsidP="00923755">
      <w:pPr>
        <w:pStyle w:val="ListParagraph"/>
        <w:numPr>
          <w:ilvl w:val="0"/>
          <w:numId w:val="1"/>
        </w:numPr>
      </w:pPr>
      <w:r>
        <w:t>In some cases, there may be several authors so you must write all authors when referencing them for the first time, however after this you only write the first surname followed by ‘et al’</w:t>
      </w:r>
    </w:p>
    <w:p w14:paraId="3BC68856" w14:textId="1E6FCE3F" w:rsidR="00EB5F55" w:rsidRDefault="00EB5F55">
      <w:r>
        <w:t>To carry out a successful academic assignment, you must conduct research correctly. Most assignments are covering a broad topic; so, to make things easier for the student, you must split your topic into sub-topics to help retrieve information with more ease. Not only will this give you more detailed research, but it also allows you to cover each section of your work easily; managing your time well. Many students limit themselves using sources when researching their topic, so here are five sources that are acceptable and recommended to use when looking into an academic study:</w:t>
      </w:r>
    </w:p>
    <w:p w14:paraId="42481A6F" w14:textId="73A9D10C" w:rsidR="00EB5F55" w:rsidRDefault="00EB5F55" w:rsidP="00EB5F55">
      <w:pPr>
        <w:pStyle w:val="ListParagraph"/>
        <w:numPr>
          <w:ilvl w:val="0"/>
          <w:numId w:val="2"/>
        </w:numPr>
      </w:pPr>
      <w:r>
        <w:t xml:space="preserve">Newspapers and magazines </w:t>
      </w:r>
    </w:p>
    <w:p w14:paraId="54C5B1FC" w14:textId="71FBBE34" w:rsidR="00EB5F55" w:rsidRDefault="00EB5F55" w:rsidP="00EB5F55">
      <w:pPr>
        <w:pStyle w:val="ListParagraph"/>
        <w:numPr>
          <w:ilvl w:val="0"/>
          <w:numId w:val="2"/>
        </w:numPr>
      </w:pPr>
      <w:r>
        <w:t>Academic journals</w:t>
      </w:r>
    </w:p>
    <w:p w14:paraId="3A118E1A" w14:textId="17DB139F" w:rsidR="00EB5F55" w:rsidRDefault="00EB5F55" w:rsidP="00EB5F55">
      <w:pPr>
        <w:pStyle w:val="ListParagraph"/>
        <w:numPr>
          <w:ilvl w:val="0"/>
          <w:numId w:val="2"/>
        </w:numPr>
      </w:pPr>
      <w:r>
        <w:t>Google Scholar</w:t>
      </w:r>
    </w:p>
    <w:p w14:paraId="59F2D0E6" w14:textId="5FA3765D" w:rsidR="00EB5F55" w:rsidRDefault="00EB5F55" w:rsidP="00EB5F55">
      <w:pPr>
        <w:pStyle w:val="ListParagraph"/>
        <w:numPr>
          <w:ilvl w:val="0"/>
          <w:numId w:val="2"/>
        </w:numPr>
      </w:pPr>
      <w:r>
        <w:t>Library Catalogue</w:t>
      </w:r>
    </w:p>
    <w:p w14:paraId="1D00BF14" w14:textId="2EED68F7" w:rsidR="00EB5F55" w:rsidRDefault="00EB5F55" w:rsidP="00EB5F55">
      <w:pPr>
        <w:pStyle w:val="ListParagraph"/>
        <w:numPr>
          <w:ilvl w:val="0"/>
          <w:numId w:val="2"/>
        </w:numPr>
      </w:pPr>
      <w:r>
        <w:t>Books on chosen topic</w:t>
      </w:r>
    </w:p>
    <w:p w14:paraId="6593EBA7" w14:textId="77777777" w:rsidR="00A36D6A" w:rsidRDefault="00A36D6A" w:rsidP="00A36D6A"/>
    <w:p w14:paraId="2EC66FBF" w14:textId="2C737D1F" w:rsidR="00A36D6A" w:rsidRPr="00A36D6A" w:rsidRDefault="00D57600" w:rsidP="00A36D6A">
      <w:pPr>
        <w:rPr>
          <w:b/>
        </w:rPr>
      </w:pPr>
      <w:r>
        <w:lastRenderedPageBreak/>
        <w:t xml:space="preserve"> </w:t>
      </w:r>
      <w:r w:rsidR="00A36D6A" w:rsidRPr="00A36D6A">
        <w:rPr>
          <w:b/>
        </w:rPr>
        <w:t xml:space="preserve">Part 3: Write a critical response to an article </w:t>
      </w:r>
    </w:p>
    <w:p w14:paraId="0DB9C868" w14:textId="77777777" w:rsidR="00A36D6A" w:rsidRDefault="00A36D6A" w:rsidP="00A36D6A">
      <w:r>
        <w:t xml:space="preserve">‘Schooled to Fail? The Underachievement Debate in Wales’, by Emma Smith from the University of York, writes about the underachievement of pupils within Wales and the different aspects that contribute towards this. Smith informs us about the two main perspectives of the debate, and to help all readers understand that Welsh students are “no longer being schooled to fail” (Smith, 2005). </w:t>
      </w:r>
    </w:p>
    <w:p w14:paraId="2B4A0557" w14:textId="77777777" w:rsidR="00A36D6A" w:rsidRDefault="00A36D6A" w:rsidP="00A36D6A">
      <w:r>
        <w:t xml:space="preserve">The key arguments used by Smith throughout the article are the use of economic factors within Wales and how they can contribute towards underachieving pupils, and the argument that genders are outperforming each other, writing about how/why this happens and that they should be considered as equals rather than competitors. Along with this, Smiths main purpose of the article is to help people understand that it is unfair to label Wales as an underachieving country. </w:t>
      </w:r>
    </w:p>
    <w:p w14:paraId="51BB9FFD" w14:textId="77777777" w:rsidR="00A36D6A" w:rsidRDefault="00A36D6A" w:rsidP="00A36D6A">
      <w:r>
        <w:t>To begin, Smith states that 50% of students are leaving education without achieving 5 or more acceptable GCSE grades (DfES, 2003). This is followed by the argument that the economic factors, which link to the population of Wales can be seen as the reasoning why Wales should not compare their overall student grades with England as they have a much bigger population:</w:t>
      </w:r>
    </w:p>
    <w:p w14:paraId="25F58E65" w14:textId="77777777" w:rsidR="00A36D6A" w:rsidRPr="00982B69" w:rsidRDefault="00A36D6A" w:rsidP="00A36D6A">
      <w:pPr>
        <w:rPr>
          <w:i/>
        </w:rPr>
      </w:pPr>
      <w:r w:rsidRPr="00982B69">
        <w:rPr>
          <w:i/>
        </w:rPr>
        <w:t xml:space="preserve">         Even if economic factors are put to one side and the comparison is made simply on size of population, surely, it is unfair to write policy based on a comparison of nation of just under 3 million people with one of just under 50 million? (Smith, 2005, p.88)</w:t>
      </w:r>
    </w:p>
    <w:p w14:paraId="5864783B" w14:textId="39E75AE6" w:rsidR="00A36D6A" w:rsidRDefault="00A36D6A" w:rsidP="00A36D6A">
      <w:r>
        <w:t xml:space="preserve">Furthermore, the argument that </w:t>
      </w:r>
      <w:r w:rsidR="00940197">
        <w:t>economic</w:t>
      </w:r>
      <w:r>
        <w:t xml:space="preserve"> factors can have an impact t</w:t>
      </w:r>
      <w:bookmarkStart w:id="0" w:name="_GoBack"/>
      <w:bookmarkEnd w:id="0"/>
      <w:r>
        <w:t xml:space="preserve">owards the way that students preform is carried out throughout the article. This is followed by the argument that girls and boys are out preforming each other. Smith quotes Gorard (2001), stating that over the past 25 years, girls have performed higher in their GCSE compared to boys. She then brings forth historic statistics from the 1970s to help people understand that the correlation between both genders has ‘hardly changed’. Smith’s evidential graph (Figure 7.1, p.91), shows us that the largest difference between the grading of girls and boys is during the early years of the 1980s. However, to contradict the females higher achieving grades, up until 1995 boys over-preformed girls during their Math examinations – which then goes onto Smiths argument about economic factors and how during modern days, schools have “never been able to deal with the working-class boy” (Smith, 2005). </w:t>
      </w:r>
    </w:p>
    <w:p w14:paraId="21654A79" w14:textId="77777777" w:rsidR="00A36D6A" w:rsidRDefault="00A36D6A" w:rsidP="00A36D6A">
      <w:r>
        <w:t>Language is a major part in constructing not only a good academic piece of writing, but also in engaging the readers into the writer’s arguments, opinions and points towards their chosen topic. Smith uses formal language, avoiding slag and colloquialisms, as she is aware of her selected audience - it is not a neutral written article. Throughout the article, Smith uses persuasive language that leans towards helpful information to help people understand her point, objective language to illustrate clear and accurate information, avoiding opinionated sentences, and finally subjective language is used to allow an opinion to be formed.</w:t>
      </w:r>
    </w:p>
    <w:p w14:paraId="45E6D208" w14:textId="77777777" w:rsidR="00A36D6A" w:rsidRDefault="00A36D6A" w:rsidP="00A36D6A">
      <w:r>
        <w:t xml:space="preserve">The way in which an article is structured can have a crucial effect on the way it is read and understood by their chosen audience. The length and structure of paragraphs throughout the article depends on the argument being made by Smith in that specific section. The beginning of the article includes a large block of writing, allowing a lack of paragraph use. This is due to Smith using one specific point that she further develops with her own explanations and references from other authors. Her introduction includes a large amount of negative argument towards Britain obtaining ‘unacceptable levels’ which are additionally commented on using authors such as Phillips (1996), DfES (2003) and Nuthall (2001). Not only is her use of other authors work beneficial towards her own work, but it also shows different opinions of authors from different periods of time. Giving a larger </w:t>
      </w:r>
      <w:r>
        <w:lastRenderedPageBreak/>
        <w:t>view and understanding towards the unachievable levels of students within Wales and England – also including how things have developed.</w:t>
      </w:r>
    </w:p>
    <w:p w14:paraId="43146116" w14:textId="77777777" w:rsidR="00A36D6A" w:rsidRDefault="00A36D6A" w:rsidP="00A36D6A">
      <w:r>
        <w:t xml:space="preserve">Following this, as the article continues, the paragraphs begin to shorten as Smith starts to introduce other arguments that are accompanied by evidential graphs and statistics. This layout used allows the article to be read easily, allowing information to be shown and understood without any trouble, and so the writer can portray information using trusted evidence. This is apparent during her paragraph where Smith creates the argument that comparing Wales with England can be of ‘little value’ following the negative economic constellation with higher valued countries, such as England. To back up this point, Smith writes about how North England would be a better component to compare economic values with Wales: “the region most similar to Wales is the North East of England” and “Wales and England </w:t>
      </w:r>
      <w:proofErr w:type="gramStart"/>
      <w:r>
        <w:t>is</w:t>
      </w:r>
      <w:proofErr w:type="gramEnd"/>
      <w:r>
        <w:t xml:space="preserve"> not simply a comparison of like with like”, (Smith, 2005). </w:t>
      </w:r>
    </w:p>
    <w:p w14:paraId="7FDD5D35" w14:textId="77777777" w:rsidR="00A36D6A" w:rsidRDefault="00A36D6A" w:rsidP="00A36D6A">
      <w:r>
        <w:t xml:space="preserve">All evidence must be backed up with reasoning within any academic article, especially when it has been written to help give an argument. The evidence that supports the claims made by Smith includes the use of graphs, statistical graphs and references from other authors discussing a similar topic; consequently, looking at the results of examinations from students during their finished time in compulsory education. As previously stated, Smith backs up her shortened paragraphs by referencing towards a series of statistical tables. The use of evidence here allows readers to have a wider understanding of Smiths point. </w:t>
      </w:r>
    </w:p>
    <w:p w14:paraId="6A4DC0BF" w14:textId="77777777" w:rsidR="00A36D6A" w:rsidRDefault="00A36D6A" w:rsidP="00A36D6A">
      <w:r>
        <w:t xml:space="preserve">To conclude, the critical response to Smith’s article helps the reader to understand that she uses a vary of techniques to allow the reader to pay full attention to the arguments she is trying to make. All points are backed up with corrected evidence and references from other sources, allowing her article to be credible and trusted. Smith also formed a correctly structured referencing list at the conclusion of her article, to allow her readers to be aware of where she gathered her information. </w:t>
      </w:r>
    </w:p>
    <w:p w14:paraId="43E86163" w14:textId="77777777" w:rsidR="00A36D6A" w:rsidRDefault="00A36D6A" w:rsidP="00A36D6A"/>
    <w:p w14:paraId="44ECF26C" w14:textId="77777777" w:rsidR="00A36D6A" w:rsidRDefault="00A36D6A" w:rsidP="00A36D6A"/>
    <w:p w14:paraId="511D02CF" w14:textId="77777777" w:rsidR="00A36D6A" w:rsidRPr="00A36D6A" w:rsidRDefault="00A36D6A" w:rsidP="00A36D6A">
      <w:pPr>
        <w:rPr>
          <w:u w:val="single"/>
        </w:rPr>
      </w:pPr>
      <w:r w:rsidRPr="00A36D6A">
        <w:rPr>
          <w:u w:val="single"/>
        </w:rPr>
        <w:t>Reference List:</w:t>
      </w:r>
    </w:p>
    <w:p w14:paraId="6101966A" w14:textId="77777777" w:rsidR="00A36D6A" w:rsidRDefault="00A36D6A" w:rsidP="00A36D6A">
      <w:r>
        <w:t>DfES (2000, 2001, 2002, 2003). Statistics of Education: Public Examinations in England, London, HMSO.</w:t>
      </w:r>
    </w:p>
    <w:p w14:paraId="14F44AD6" w14:textId="77777777" w:rsidR="00A36D6A" w:rsidRDefault="00A36D6A" w:rsidP="00A36D6A">
      <w:r>
        <w:t xml:space="preserve">Gorard, S. (2001). ‘An alternative account of “boys’ underachievement” at school”. Welsh Journal of Education, 10 (2), 4-14. </w:t>
      </w:r>
    </w:p>
    <w:p w14:paraId="7AE79D8D" w14:textId="77777777" w:rsidR="00A36D6A" w:rsidRDefault="00A36D6A" w:rsidP="00A36D6A">
      <w:r>
        <w:t xml:space="preserve">Nuthall, K. (2001). ‘We are the biggest quitters in Europe’, Times Educational Supplement, 1 June, www.tes.co.uk, accessed December 2001. </w:t>
      </w:r>
    </w:p>
    <w:p w14:paraId="229411B3" w14:textId="77777777" w:rsidR="00A36D6A" w:rsidRDefault="00A36D6A" w:rsidP="00A36D6A">
      <w:r>
        <w:t>Phillips, M. (1996). All Must Have Prizes, London, Little, Brown &amp; Co.</w:t>
      </w:r>
    </w:p>
    <w:p w14:paraId="2577D406" w14:textId="77777777" w:rsidR="00A36D6A" w:rsidRDefault="00A36D6A" w:rsidP="00A36D6A">
      <w:r>
        <w:t>Smith, E. (2005) Schooled to Fail? Th Underachievement Debate in Wales. The Welsh Journal of Education, 13(2), (p. 84-102).</w:t>
      </w:r>
    </w:p>
    <w:p w14:paraId="570F8205" w14:textId="6D71E4AF" w:rsidR="00BA12E4" w:rsidRPr="00754CF8" w:rsidRDefault="00BA12E4"/>
    <w:sectPr w:rsidR="00BA12E4" w:rsidRPr="00754CF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1465684"/>
    <w:multiLevelType w:val="hybridMultilevel"/>
    <w:tmpl w:val="83DAEC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32A7E49"/>
    <w:multiLevelType w:val="hybridMultilevel"/>
    <w:tmpl w:val="2ED4F3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7155"/>
    <w:rsid w:val="00067AFB"/>
    <w:rsid w:val="00146CCB"/>
    <w:rsid w:val="001B4FD4"/>
    <w:rsid w:val="00246447"/>
    <w:rsid w:val="00253E2A"/>
    <w:rsid w:val="00272E39"/>
    <w:rsid w:val="002A636B"/>
    <w:rsid w:val="004868EA"/>
    <w:rsid w:val="004A7F24"/>
    <w:rsid w:val="00510D06"/>
    <w:rsid w:val="00515DF1"/>
    <w:rsid w:val="00591901"/>
    <w:rsid w:val="005F2C7F"/>
    <w:rsid w:val="00754CF8"/>
    <w:rsid w:val="00776C34"/>
    <w:rsid w:val="007A7155"/>
    <w:rsid w:val="007D3676"/>
    <w:rsid w:val="0081549F"/>
    <w:rsid w:val="00847077"/>
    <w:rsid w:val="00882DF7"/>
    <w:rsid w:val="00923755"/>
    <w:rsid w:val="00940197"/>
    <w:rsid w:val="00982B69"/>
    <w:rsid w:val="00A36D6A"/>
    <w:rsid w:val="00A45D2B"/>
    <w:rsid w:val="00A95CDD"/>
    <w:rsid w:val="00B86479"/>
    <w:rsid w:val="00BA12E4"/>
    <w:rsid w:val="00BF4877"/>
    <w:rsid w:val="00C25D00"/>
    <w:rsid w:val="00D57600"/>
    <w:rsid w:val="00DD5B12"/>
    <w:rsid w:val="00EB5F55"/>
    <w:rsid w:val="00FA43C0"/>
    <w:rsid w:val="00FB3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BD8CD1"/>
  <w15:chartTrackingRefBased/>
  <w15:docId w15:val="{6C30FDCB-8707-495C-A8AB-0C68DEB84F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F487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92375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03733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1269</TotalTime>
  <Pages>4</Pages>
  <Words>1942</Words>
  <Characters>11072</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Hari Boswell</dc:creator>
  <cp:keywords/>
  <dc:description/>
  <cp:lastModifiedBy>Hari Boswell</cp:lastModifiedBy>
  <cp:revision>30</cp:revision>
  <dcterms:created xsi:type="dcterms:W3CDTF">2018-11-06T18:11:00Z</dcterms:created>
  <dcterms:modified xsi:type="dcterms:W3CDTF">2018-12-04T19:24:00Z</dcterms:modified>
</cp:coreProperties>
</file>