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5513F4" w14:textId="77777777" w:rsidR="002126A2" w:rsidRPr="003D5C4E" w:rsidRDefault="002126A2" w:rsidP="002126A2">
      <w:pPr>
        <w:jc w:val="center"/>
        <w:rPr>
          <w:b/>
          <w:color w:val="auto"/>
          <w:sz w:val="28"/>
          <w:szCs w:val="28"/>
        </w:rPr>
      </w:pPr>
      <w:r w:rsidRPr="003D5C4E">
        <w:rPr>
          <w:b/>
          <w:color w:val="auto"/>
          <w:sz w:val="28"/>
          <w:szCs w:val="28"/>
        </w:rPr>
        <w:t>Task 4</w:t>
      </w:r>
    </w:p>
    <w:p w14:paraId="53EB5A18" w14:textId="77777777" w:rsidR="002126A2" w:rsidRPr="003D5C4E" w:rsidRDefault="002126A2" w:rsidP="002126A2">
      <w:pPr>
        <w:jc w:val="center"/>
        <w:rPr>
          <w:b/>
          <w:color w:val="auto"/>
          <w:sz w:val="28"/>
          <w:szCs w:val="28"/>
        </w:rPr>
      </w:pPr>
    </w:p>
    <w:p w14:paraId="06EC3E7D" w14:textId="77777777" w:rsidR="002126A2" w:rsidRPr="003D5C4E" w:rsidRDefault="002126A2" w:rsidP="002126A2">
      <w:pPr>
        <w:jc w:val="center"/>
        <w:rPr>
          <w:b/>
          <w:color w:val="auto"/>
          <w:sz w:val="28"/>
          <w:szCs w:val="28"/>
        </w:rPr>
      </w:pPr>
      <w:r w:rsidRPr="003D5C4E">
        <w:rPr>
          <w:b/>
          <w:color w:val="auto"/>
          <w:sz w:val="28"/>
          <w:szCs w:val="28"/>
        </w:rPr>
        <w:t>Safeguarding in an area which is not your main area of work</w:t>
      </w:r>
    </w:p>
    <w:p w14:paraId="3025E6E0" w14:textId="77777777" w:rsidR="002126A2" w:rsidRPr="003D5C4E" w:rsidRDefault="002126A2" w:rsidP="002126A2">
      <w:pPr>
        <w:jc w:val="both"/>
        <w:rPr>
          <w:b/>
          <w:color w:val="auto"/>
          <w:sz w:val="24"/>
          <w:szCs w:val="24"/>
        </w:rPr>
      </w:pPr>
    </w:p>
    <w:p w14:paraId="3916F252" w14:textId="77777777" w:rsidR="002126A2" w:rsidRPr="003D5C4E" w:rsidRDefault="002126A2" w:rsidP="002126A2">
      <w:pPr>
        <w:ind w:left="-90"/>
        <w:jc w:val="both"/>
        <w:rPr>
          <w:b/>
          <w:i/>
          <w:color w:val="auto"/>
          <w:sz w:val="24"/>
          <w:szCs w:val="24"/>
        </w:rPr>
      </w:pPr>
      <w:r w:rsidRPr="003D5C4E">
        <w:rPr>
          <w:b/>
          <w:i/>
          <w:color w:val="auto"/>
          <w:sz w:val="24"/>
          <w:szCs w:val="24"/>
        </w:rPr>
        <w:t xml:space="preserve">Guidance: </w:t>
      </w:r>
    </w:p>
    <w:p w14:paraId="405B108D" w14:textId="77777777" w:rsidR="002126A2" w:rsidRPr="003D5C4E" w:rsidRDefault="002126A2" w:rsidP="002126A2">
      <w:pPr>
        <w:ind w:left="-90"/>
        <w:jc w:val="both"/>
        <w:rPr>
          <w:i/>
          <w:iCs/>
          <w:color w:val="auto"/>
          <w:sz w:val="24"/>
          <w:szCs w:val="24"/>
        </w:rPr>
      </w:pPr>
      <w:r w:rsidRPr="003D5C4E">
        <w:rPr>
          <w:i/>
          <w:iCs/>
          <w:color w:val="auto"/>
          <w:sz w:val="24"/>
          <w:szCs w:val="24"/>
        </w:rPr>
        <w:t xml:space="preserve">Social Care Wales require newly qualified social workers to provide evidence of their understanding of safeguarding work with adults and children. The assignment below will enable you to demonstrate this. </w:t>
      </w:r>
      <w:r w:rsidRPr="003D5C4E">
        <w:rPr>
          <w:b/>
          <w:bCs/>
          <w:i/>
          <w:iCs/>
          <w:color w:val="auto"/>
          <w:sz w:val="24"/>
          <w:szCs w:val="24"/>
        </w:rPr>
        <w:t>N.B</w:t>
      </w:r>
      <w:r w:rsidRPr="003D5C4E">
        <w:rPr>
          <w:i/>
          <w:iCs/>
          <w:color w:val="auto"/>
          <w:sz w:val="24"/>
          <w:szCs w:val="24"/>
        </w:rPr>
        <w:t>. if your usual area of work is with children please write about adult safeguarding. If you usually work with adults, then write about child safeguarding.  Ensure you meet the learning out comes for this task (see appendix 5 of the handbook).</w:t>
      </w:r>
    </w:p>
    <w:p w14:paraId="0096C61F" w14:textId="77777777" w:rsidR="002126A2" w:rsidRPr="003D5C4E" w:rsidRDefault="002126A2" w:rsidP="002126A2">
      <w:pPr>
        <w:ind w:left="360" w:hanging="360"/>
        <w:jc w:val="both"/>
        <w:rPr>
          <w:color w:val="auto"/>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26A2" w:rsidRPr="003D5C4E" w14:paraId="0136520D" w14:textId="77777777" w:rsidTr="002054A7">
        <w:tc>
          <w:tcPr>
            <w:tcW w:w="10188" w:type="dxa"/>
            <w:shd w:val="clear" w:color="auto" w:fill="auto"/>
          </w:tcPr>
          <w:p w14:paraId="333B3F05" w14:textId="77777777" w:rsidR="002126A2" w:rsidRPr="003D5C4E" w:rsidRDefault="002126A2" w:rsidP="002054A7">
            <w:pPr>
              <w:jc w:val="both"/>
              <w:rPr>
                <w:b/>
                <w:color w:val="auto"/>
                <w:sz w:val="24"/>
                <w:szCs w:val="24"/>
              </w:rPr>
            </w:pPr>
            <w:r w:rsidRPr="003D5C4E">
              <w:rPr>
                <w:b/>
                <w:color w:val="auto"/>
                <w:sz w:val="24"/>
                <w:szCs w:val="24"/>
              </w:rPr>
              <w:t>Question a:</w:t>
            </w:r>
          </w:p>
          <w:p w14:paraId="02ED7FA8" w14:textId="77777777" w:rsidR="002126A2" w:rsidRPr="003D5C4E" w:rsidRDefault="002126A2" w:rsidP="002054A7">
            <w:pPr>
              <w:jc w:val="both"/>
              <w:rPr>
                <w:color w:val="auto"/>
                <w:sz w:val="24"/>
                <w:szCs w:val="24"/>
              </w:rPr>
            </w:pPr>
            <w:r w:rsidRPr="003D5C4E">
              <w:rPr>
                <w:color w:val="auto"/>
                <w:sz w:val="24"/>
                <w:szCs w:val="24"/>
              </w:rPr>
              <w:t xml:space="preserve">In an area </w:t>
            </w:r>
            <w:r w:rsidRPr="003D5C4E">
              <w:rPr>
                <w:b/>
                <w:color w:val="auto"/>
                <w:sz w:val="24"/>
                <w:szCs w:val="24"/>
              </w:rPr>
              <w:t xml:space="preserve">that is not your main focus of work </w:t>
            </w:r>
            <w:r w:rsidRPr="003D5C4E">
              <w:rPr>
                <w:color w:val="auto"/>
                <w:sz w:val="24"/>
                <w:szCs w:val="24"/>
              </w:rPr>
              <w:t>(see guidance above), explain the relevant legislation, and the national, local and organisational policies and procedures for safeguarding.</w:t>
            </w:r>
          </w:p>
          <w:p w14:paraId="6C471107" w14:textId="77777777" w:rsidR="002126A2" w:rsidRPr="003D5C4E" w:rsidRDefault="002126A2" w:rsidP="002054A7">
            <w:pPr>
              <w:jc w:val="both"/>
              <w:rPr>
                <w:color w:val="auto"/>
                <w:sz w:val="24"/>
                <w:szCs w:val="24"/>
              </w:rPr>
            </w:pPr>
          </w:p>
          <w:p w14:paraId="7D653C8E" w14:textId="77777777" w:rsidR="002126A2" w:rsidRPr="003D5C4E" w:rsidRDefault="002126A2" w:rsidP="002054A7">
            <w:pPr>
              <w:jc w:val="both"/>
              <w:rPr>
                <w:color w:val="auto"/>
                <w:sz w:val="24"/>
                <w:szCs w:val="24"/>
              </w:rPr>
            </w:pPr>
            <w:r w:rsidRPr="003D5C4E">
              <w:rPr>
                <w:i/>
                <w:color w:val="auto"/>
                <w:sz w:val="24"/>
                <w:szCs w:val="24"/>
              </w:rPr>
              <w:t>500 words</w:t>
            </w:r>
            <w:r w:rsidRPr="003D5C4E">
              <w:rPr>
                <w:color w:val="auto"/>
                <w:sz w:val="24"/>
                <w:szCs w:val="24"/>
              </w:rPr>
              <w:t xml:space="preserve"> (+/- 10%: include your actual word count at the end of each section).</w:t>
            </w:r>
          </w:p>
          <w:p w14:paraId="2FD10840" w14:textId="77777777" w:rsidR="002126A2" w:rsidRPr="003D5C4E" w:rsidRDefault="002126A2" w:rsidP="002054A7">
            <w:pPr>
              <w:jc w:val="both"/>
              <w:rPr>
                <w:b/>
                <w:color w:val="auto"/>
                <w:sz w:val="24"/>
                <w:szCs w:val="24"/>
              </w:rPr>
            </w:pPr>
          </w:p>
        </w:tc>
      </w:tr>
    </w:tbl>
    <w:p w14:paraId="1BF66530" w14:textId="77777777" w:rsidR="002126A2" w:rsidRPr="003D5C4E" w:rsidRDefault="002126A2" w:rsidP="002126A2">
      <w:pPr>
        <w:jc w:val="both"/>
        <w:rPr>
          <w:color w:val="auto"/>
          <w:sz w:val="24"/>
          <w:szCs w:val="24"/>
        </w:rPr>
      </w:pPr>
    </w:p>
    <w:p w14:paraId="56949936" w14:textId="77777777" w:rsidR="002126A2" w:rsidRPr="003D5C4E" w:rsidRDefault="002126A2" w:rsidP="002126A2">
      <w:pPr>
        <w:spacing w:line="360" w:lineRule="auto"/>
        <w:jc w:val="both"/>
        <w:rPr>
          <w:color w:val="auto"/>
          <w:sz w:val="24"/>
          <w:szCs w:val="24"/>
        </w:rPr>
      </w:pPr>
      <w:r w:rsidRPr="003D5C4E">
        <w:rPr>
          <w:color w:val="auto"/>
          <w:sz w:val="24"/>
          <w:szCs w:val="24"/>
        </w:rPr>
        <w:t>Public Health Wales (PHW, 2023) notes safeguarding adults equates to protecting those suffering from or at risk of abuse/harm. Safeguarding encompasses preventing abuse and ill-health, whilst protecting human rights and promote wellbeing (PHW, 2023). XXXXX Safeguarding Board (XXXXSB, 2023) state adults are entitled to live free from fear and their choices valued. Adult safeguarding is underpinned by Welsh Legislation: Social Service and Wellbeing (Wales) Act, 2014 (SSWA) and Wales Safeguarding Procedures (WSP) (Welsh Government, 2022).</w:t>
      </w:r>
    </w:p>
    <w:p w14:paraId="1DC6897E" w14:textId="77777777" w:rsidR="002126A2" w:rsidRPr="003D5C4E" w:rsidRDefault="002126A2" w:rsidP="002126A2">
      <w:pPr>
        <w:spacing w:line="360" w:lineRule="auto"/>
        <w:jc w:val="both"/>
        <w:rPr>
          <w:color w:val="auto"/>
          <w:sz w:val="24"/>
          <w:szCs w:val="24"/>
        </w:rPr>
      </w:pPr>
    </w:p>
    <w:p w14:paraId="649572E6" w14:textId="77777777" w:rsidR="002126A2" w:rsidRPr="003D5C4E" w:rsidRDefault="002126A2" w:rsidP="002126A2">
      <w:pPr>
        <w:spacing w:line="360" w:lineRule="auto"/>
        <w:jc w:val="both"/>
        <w:rPr>
          <w:color w:val="auto"/>
          <w:sz w:val="24"/>
          <w:szCs w:val="24"/>
        </w:rPr>
      </w:pPr>
      <w:r w:rsidRPr="003D5C4E">
        <w:rPr>
          <w:color w:val="auto"/>
          <w:sz w:val="24"/>
          <w:szCs w:val="24"/>
        </w:rPr>
        <w:t xml:space="preserve">The SSWA, 2014 s126(1) defines ‘Adult at Risk’ as an individual </w:t>
      </w:r>
      <w:r w:rsidRPr="003D5C4E">
        <w:rPr>
          <w:i/>
          <w:color w:val="auto"/>
          <w:sz w:val="24"/>
          <w:szCs w:val="24"/>
        </w:rPr>
        <w:t xml:space="preserve">‘experiencing or is at risk of abuse or neglect; requires care and support needs; and as a result of those needs is unable to protect themselves against the abuse or risk of it’ </w:t>
      </w:r>
      <w:r w:rsidRPr="003D5C4E">
        <w:rPr>
          <w:color w:val="auto"/>
          <w:sz w:val="24"/>
          <w:szCs w:val="24"/>
        </w:rPr>
        <w:t xml:space="preserve">(Welsh Government, 2018b).  Individuals may not understand harmful behaviours of abuse, including coercive control behaviours portrayed by perpetrators, equally individuals may not identify themselves as victims of domestic abuse, and seek to continue in abusive and harmful relationships. </w:t>
      </w:r>
    </w:p>
    <w:p w14:paraId="5465D05F" w14:textId="77777777" w:rsidR="002126A2" w:rsidRPr="003D5C4E" w:rsidRDefault="002126A2" w:rsidP="002126A2">
      <w:pPr>
        <w:spacing w:line="360" w:lineRule="auto"/>
        <w:jc w:val="both"/>
        <w:rPr>
          <w:color w:val="auto"/>
          <w:sz w:val="24"/>
          <w:szCs w:val="24"/>
        </w:rPr>
      </w:pPr>
    </w:p>
    <w:p w14:paraId="60F7BF26" w14:textId="77777777" w:rsidR="002126A2" w:rsidRPr="003D5C4E" w:rsidRDefault="002126A2" w:rsidP="002126A2">
      <w:pPr>
        <w:spacing w:line="360" w:lineRule="auto"/>
        <w:jc w:val="both"/>
        <w:rPr>
          <w:color w:val="auto"/>
          <w:sz w:val="24"/>
          <w:szCs w:val="24"/>
        </w:rPr>
      </w:pPr>
      <w:r w:rsidRPr="003D5C4E">
        <w:rPr>
          <w:color w:val="auto"/>
          <w:sz w:val="24"/>
          <w:szCs w:val="24"/>
        </w:rPr>
        <w:t xml:space="preserve">The WSP (Welsh Government, 2022), expands upon the above description and provides practice indicators/advice for those safeguarding adults. The reoccurring phrase within the legislation ‘at risk’ allows for early intervention measures to be put in place prior to abuse or neglect taking place (SSWBA, 2014; XXXXXSB, 2020). </w:t>
      </w:r>
      <w:r w:rsidRPr="003D5C4E">
        <w:rPr>
          <w:color w:val="auto"/>
          <w:sz w:val="24"/>
          <w:szCs w:val="24"/>
        </w:rPr>
        <w:lastRenderedPageBreak/>
        <w:t xml:space="preserve">Additionally, these principles are incorporated within the Human Rights Act (1998), concurring with articles amongst the European Convention on Human Rights in UK legislation; that too dissipates principles from the United Nations Principles for Older People (1991), (United Nations Human Rights, 1998). They work collectively with adult safeguarding principles adopted within the SSWA (2014). </w:t>
      </w:r>
    </w:p>
    <w:p w14:paraId="1B6D1190" w14:textId="77777777" w:rsidR="002126A2" w:rsidRPr="003D5C4E" w:rsidRDefault="002126A2" w:rsidP="002126A2">
      <w:pPr>
        <w:spacing w:line="360" w:lineRule="auto"/>
        <w:jc w:val="both"/>
        <w:rPr>
          <w:color w:val="auto"/>
          <w:sz w:val="24"/>
          <w:szCs w:val="24"/>
        </w:rPr>
      </w:pPr>
    </w:p>
    <w:p w14:paraId="42478559" w14:textId="77777777" w:rsidR="002126A2" w:rsidRPr="003D5C4E" w:rsidRDefault="002126A2" w:rsidP="002126A2">
      <w:pPr>
        <w:spacing w:line="360" w:lineRule="auto"/>
        <w:jc w:val="both"/>
        <w:rPr>
          <w:color w:val="auto"/>
          <w:sz w:val="24"/>
          <w:szCs w:val="24"/>
        </w:rPr>
      </w:pPr>
      <w:r w:rsidRPr="003D5C4E">
        <w:rPr>
          <w:color w:val="auto"/>
          <w:sz w:val="24"/>
          <w:szCs w:val="24"/>
        </w:rPr>
        <w:t xml:space="preserve">Additional legislation can be drawn upon to underpin adult safeguarding in Wales and the United Kingdom including, Human Rights Act (1998), Modern Slavery Act (2015), Mental Capacity Act (2005), Domestic Abuse Violence against Women Act (1993), and Domestic Abuse and Sexual Violence (Wales) Act 2015. Legislation certifies safeguarding measures of adults’ constitutional rights, relating to any methods or forms of maltreatment. Likewise, safeguarding principles protects the moralities of diverse groups and amidst the United Nations Convention on the rights of Persons with Disabilities. </w:t>
      </w:r>
    </w:p>
    <w:p w14:paraId="4CD37E79" w14:textId="77777777" w:rsidR="002126A2" w:rsidRPr="003D5C4E" w:rsidRDefault="002126A2" w:rsidP="002126A2">
      <w:pPr>
        <w:spacing w:line="360" w:lineRule="auto"/>
        <w:jc w:val="both"/>
        <w:rPr>
          <w:color w:val="auto"/>
          <w:sz w:val="24"/>
          <w:szCs w:val="24"/>
        </w:rPr>
      </w:pPr>
    </w:p>
    <w:p w14:paraId="68A7CB4F" w14:textId="77777777" w:rsidR="002126A2" w:rsidRPr="003D5C4E" w:rsidRDefault="002126A2" w:rsidP="002126A2">
      <w:pPr>
        <w:spacing w:line="360" w:lineRule="auto"/>
        <w:jc w:val="both"/>
        <w:rPr>
          <w:color w:val="auto"/>
          <w:sz w:val="24"/>
          <w:szCs w:val="24"/>
        </w:rPr>
      </w:pPr>
      <w:r w:rsidRPr="003D5C4E">
        <w:rPr>
          <w:color w:val="auto"/>
          <w:sz w:val="24"/>
          <w:szCs w:val="24"/>
        </w:rPr>
        <w:t xml:space="preserve">In accordance with SSWBA (2014), partner agencies have a duty to relay any concerns and collaborate with the Local Authority (LA) to meet the adults’ desires. Likewise, legislative framework impose LA’s need to undertake essential investigations to determine the appropriate action regarding an adult at risk. The Liberty Protection Safeguards ensures protection for adults who due to circumstance lack mental capacity and need to be deprived of their liberty to receive necessary care/treatment (Department of Health &amp; Social Care, 2021). Early intervention and prevention are fundamental within the SSWBA (2014), framework.  SSWBA (Vol 4, 2014), Adult Protection and Support Orders (APSO) enable personnel to liaise with adults suspected of being at risk of abuse, and to ascertain if the adult can make decisions single-handedly. Additionally, assessing appropriate action needed to best safeguard the adult (SSWBA, 2014). Amidst the umbrella of the SSWBA (2014), Regional Safeguarding Adult Boards in Wales supervise and examine adult safeguarding practices and provide guidance aimed to support adults who hoard, self-neglect or are utilising disguise compliance.  (National Independent Safeguarding Board, NISB, 2023). </w:t>
      </w:r>
    </w:p>
    <w:p w14:paraId="082F905C" w14:textId="77777777" w:rsidR="002126A2" w:rsidRPr="003D5C4E" w:rsidRDefault="002126A2" w:rsidP="002126A2">
      <w:pPr>
        <w:spacing w:line="360" w:lineRule="auto"/>
        <w:jc w:val="both"/>
        <w:rPr>
          <w:color w:val="auto"/>
          <w:sz w:val="24"/>
          <w:szCs w:val="24"/>
        </w:rPr>
      </w:pPr>
      <w:r w:rsidRPr="003D5C4E">
        <w:rPr>
          <w:color w:val="auto"/>
          <w:sz w:val="24"/>
          <w:szCs w:val="24"/>
        </w:rPr>
        <w:t xml:space="preserve">Adult safeguarding is comprehensive and underpinned by a variation of legislative frameworks, policies, procedures and ethical dilemmas. Adult safeguarding requires skill to identify and respond to risk appropriately, in a nonintrusive manner. </w:t>
      </w:r>
    </w:p>
    <w:p w14:paraId="23C1DA29" w14:textId="77777777" w:rsidR="002126A2" w:rsidRPr="003D5C4E" w:rsidRDefault="002126A2" w:rsidP="002126A2">
      <w:pPr>
        <w:spacing w:line="360" w:lineRule="auto"/>
        <w:jc w:val="both"/>
        <w:rPr>
          <w:color w:val="auto"/>
          <w:sz w:val="24"/>
          <w:szCs w:val="24"/>
        </w:rPr>
      </w:pPr>
      <w:r w:rsidRPr="003D5C4E">
        <w:rPr>
          <w:color w:val="auto"/>
          <w:sz w:val="24"/>
          <w:szCs w:val="24"/>
        </w:rPr>
        <w:lastRenderedPageBreak/>
        <w:t>Total word count – 549.</w:t>
      </w:r>
    </w:p>
    <w:p w14:paraId="5EDB2E56" w14:textId="77777777" w:rsidR="002126A2" w:rsidRPr="003D5C4E" w:rsidRDefault="002126A2" w:rsidP="002126A2">
      <w:pPr>
        <w:jc w:val="both"/>
        <w:rPr>
          <w:color w:val="auto"/>
          <w:sz w:val="24"/>
          <w:szCs w:val="24"/>
        </w:rPr>
      </w:pPr>
    </w:p>
    <w:p w14:paraId="198D721C" w14:textId="77777777" w:rsidR="002126A2" w:rsidRPr="003D5C4E" w:rsidRDefault="002126A2" w:rsidP="002126A2">
      <w:pPr>
        <w:jc w:val="both"/>
        <w:rPr>
          <w:color w:val="auto"/>
          <w:sz w:val="24"/>
          <w:szCs w:val="24"/>
        </w:rPr>
      </w:pPr>
    </w:p>
    <w:p w14:paraId="625F5FFB" w14:textId="77777777" w:rsidR="002126A2" w:rsidRPr="003D5C4E" w:rsidRDefault="002126A2" w:rsidP="002126A2">
      <w:pPr>
        <w:jc w:val="both"/>
        <w:rPr>
          <w:color w:val="auto"/>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26A2" w:rsidRPr="003D5C4E" w14:paraId="3783F980" w14:textId="77777777" w:rsidTr="002054A7">
        <w:tc>
          <w:tcPr>
            <w:tcW w:w="10278" w:type="dxa"/>
            <w:shd w:val="clear" w:color="auto" w:fill="auto"/>
          </w:tcPr>
          <w:p w14:paraId="7FF208C8" w14:textId="77777777" w:rsidR="002126A2" w:rsidRPr="003D5C4E" w:rsidRDefault="002126A2" w:rsidP="002054A7">
            <w:pPr>
              <w:jc w:val="both"/>
              <w:rPr>
                <w:b/>
                <w:color w:val="auto"/>
                <w:sz w:val="24"/>
                <w:szCs w:val="24"/>
              </w:rPr>
            </w:pPr>
            <w:r w:rsidRPr="003D5C4E">
              <w:rPr>
                <w:b/>
                <w:color w:val="auto"/>
                <w:sz w:val="24"/>
                <w:szCs w:val="24"/>
              </w:rPr>
              <w:t>Question b:</w:t>
            </w:r>
          </w:p>
          <w:p w14:paraId="0347D061" w14:textId="77777777" w:rsidR="002126A2" w:rsidRPr="003D5C4E" w:rsidRDefault="002126A2" w:rsidP="002054A7">
            <w:pPr>
              <w:jc w:val="both"/>
              <w:rPr>
                <w:color w:val="auto"/>
                <w:sz w:val="24"/>
                <w:szCs w:val="24"/>
              </w:rPr>
            </w:pPr>
            <w:r w:rsidRPr="003D5C4E">
              <w:rPr>
                <w:color w:val="auto"/>
                <w:sz w:val="24"/>
                <w:szCs w:val="24"/>
              </w:rPr>
              <w:t>Reflect on the difference between safeguarding in adults’ and children’s work</w:t>
            </w:r>
          </w:p>
          <w:p w14:paraId="7511C61E" w14:textId="77777777" w:rsidR="002126A2" w:rsidRPr="003D5C4E" w:rsidRDefault="002126A2" w:rsidP="002054A7">
            <w:pPr>
              <w:jc w:val="both"/>
              <w:rPr>
                <w:color w:val="auto"/>
                <w:sz w:val="24"/>
                <w:szCs w:val="24"/>
              </w:rPr>
            </w:pPr>
          </w:p>
          <w:p w14:paraId="45EA6589" w14:textId="77777777" w:rsidR="002126A2" w:rsidRPr="003D5C4E" w:rsidRDefault="002126A2" w:rsidP="002054A7">
            <w:pPr>
              <w:jc w:val="both"/>
              <w:rPr>
                <w:i/>
                <w:color w:val="auto"/>
                <w:sz w:val="24"/>
                <w:szCs w:val="24"/>
              </w:rPr>
            </w:pPr>
            <w:r w:rsidRPr="003D5C4E">
              <w:rPr>
                <w:i/>
                <w:color w:val="auto"/>
                <w:sz w:val="24"/>
                <w:szCs w:val="24"/>
              </w:rPr>
              <w:t>400 words</w:t>
            </w:r>
            <w:r w:rsidRPr="003D5C4E">
              <w:rPr>
                <w:color w:val="auto"/>
                <w:sz w:val="24"/>
                <w:szCs w:val="24"/>
              </w:rPr>
              <w:t xml:space="preserve"> </w:t>
            </w:r>
            <w:r w:rsidRPr="003D5C4E">
              <w:rPr>
                <w:i/>
                <w:color w:val="auto"/>
                <w:sz w:val="24"/>
                <w:szCs w:val="24"/>
              </w:rPr>
              <w:t>(+/- 10%: include your actual word count at the end of each section).</w:t>
            </w:r>
          </w:p>
          <w:p w14:paraId="4C461442" w14:textId="77777777" w:rsidR="002126A2" w:rsidRPr="003D5C4E" w:rsidRDefault="002126A2" w:rsidP="002054A7">
            <w:pPr>
              <w:jc w:val="both"/>
              <w:rPr>
                <w:color w:val="auto"/>
                <w:sz w:val="24"/>
                <w:szCs w:val="24"/>
              </w:rPr>
            </w:pPr>
          </w:p>
        </w:tc>
      </w:tr>
    </w:tbl>
    <w:p w14:paraId="5D076EF4" w14:textId="77777777" w:rsidR="002126A2" w:rsidRPr="003D5C4E" w:rsidRDefault="002126A2" w:rsidP="002126A2">
      <w:pPr>
        <w:jc w:val="both"/>
        <w:rPr>
          <w:color w:val="auto"/>
          <w:sz w:val="24"/>
          <w:szCs w:val="24"/>
        </w:rPr>
      </w:pPr>
    </w:p>
    <w:p w14:paraId="01385D1D" w14:textId="77777777" w:rsidR="002126A2" w:rsidRPr="003D5C4E" w:rsidRDefault="002126A2" w:rsidP="002126A2">
      <w:pPr>
        <w:spacing w:line="276" w:lineRule="auto"/>
        <w:jc w:val="both"/>
        <w:rPr>
          <w:color w:val="auto"/>
          <w:sz w:val="24"/>
          <w:szCs w:val="24"/>
        </w:rPr>
      </w:pPr>
      <w:r w:rsidRPr="003D5C4E">
        <w:rPr>
          <w:color w:val="auto"/>
          <w:sz w:val="24"/>
          <w:szCs w:val="24"/>
        </w:rPr>
        <w:t xml:space="preserve">Safeguarding both adults and children in Wales is primarily underpinned utilising principles embedded in the (SSWBA 2014). Similarly, the WSP (Welsh Government, 2022), provide procedures to safeguard adults/children. Notably, in the WSP, there are differences between adult and children’s sections, whereby there is no ’All Wales Practice Guidance’ for adult safeguarding (Welsh Government 2022). </w:t>
      </w:r>
    </w:p>
    <w:p w14:paraId="6A58C62C" w14:textId="77777777" w:rsidR="002126A2" w:rsidRPr="003D5C4E" w:rsidRDefault="002126A2" w:rsidP="002126A2">
      <w:pPr>
        <w:spacing w:line="276" w:lineRule="auto"/>
        <w:jc w:val="both"/>
        <w:rPr>
          <w:color w:val="auto"/>
          <w:sz w:val="24"/>
          <w:szCs w:val="24"/>
        </w:rPr>
      </w:pPr>
    </w:p>
    <w:p w14:paraId="6AB77F5E" w14:textId="77777777" w:rsidR="002126A2" w:rsidRPr="003D5C4E" w:rsidRDefault="002126A2" w:rsidP="002126A2">
      <w:pPr>
        <w:spacing w:line="276" w:lineRule="auto"/>
        <w:jc w:val="both"/>
        <w:rPr>
          <w:color w:val="auto"/>
          <w:sz w:val="24"/>
          <w:szCs w:val="24"/>
        </w:rPr>
      </w:pPr>
      <w:r w:rsidRPr="003D5C4E">
        <w:rPr>
          <w:color w:val="auto"/>
          <w:sz w:val="24"/>
          <w:szCs w:val="24"/>
        </w:rPr>
        <w:t xml:space="preserve">The SSWBA (2014), outlines an emphasis on well-being for children, including being able to happily grow, develop and be cared for; and acknowledges adults being in control of their day-to-day life. These principles coincide with Article 8 of the European Convention on Human Rights, and note everyone has a right to a private family life in view of increased well-being and protection of rights (European Court of Human Rights, 2022). </w:t>
      </w:r>
    </w:p>
    <w:p w14:paraId="1C9E2858" w14:textId="77777777" w:rsidR="002126A2" w:rsidRPr="003D5C4E" w:rsidRDefault="002126A2" w:rsidP="002126A2">
      <w:pPr>
        <w:spacing w:line="276" w:lineRule="auto"/>
        <w:jc w:val="both"/>
        <w:rPr>
          <w:color w:val="auto"/>
          <w:sz w:val="24"/>
          <w:szCs w:val="24"/>
        </w:rPr>
      </w:pPr>
    </w:p>
    <w:p w14:paraId="7A7E80B9" w14:textId="77777777" w:rsidR="002126A2" w:rsidRPr="003D5C4E" w:rsidRDefault="002126A2" w:rsidP="002126A2">
      <w:pPr>
        <w:spacing w:line="276" w:lineRule="auto"/>
        <w:jc w:val="both"/>
        <w:rPr>
          <w:color w:val="auto"/>
          <w:sz w:val="24"/>
          <w:szCs w:val="24"/>
        </w:rPr>
      </w:pPr>
      <w:r w:rsidRPr="003D5C4E">
        <w:rPr>
          <w:color w:val="auto"/>
          <w:sz w:val="24"/>
          <w:szCs w:val="24"/>
        </w:rPr>
        <w:t xml:space="preserve">Overall, the SSWBA (2014) highlights that both adults and children have needs for care and support if assessed to be at risk of abuse/neglect. In addition, adult safeguarding identifies that adults who are assessed to be incapable of safeguarding themselves are unable to apply autonomy concerning their own wellbeing. </w:t>
      </w:r>
    </w:p>
    <w:p w14:paraId="621D215B" w14:textId="77777777" w:rsidR="002126A2" w:rsidRPr="003D5C4E" w:rsidRDefault="002126A2" w:rsidP="002126A2">
      <w:pPr>
        <w:spacing w:line="276" w:lineRule="auto"/>
        <w:jc w:val="both"/>
        <w:rPr>
          <w:color w:val="auto"/>
          <w:sz w:val="24"/>
          <w:szCs w:val="24"/>
        </w:rPr>
      </w:pPr>
    </w:p>
    <w:p w14:paraId="12958C7C" w14:textId="77777777" w:rsidR="002126A2" w:rsidRPr="003D5C4E" w:rsidRDefault="002126A2" w:rsidP="002126A2">
      <w:pPr>
        <w:spacing w:line="276" w:lineRule="auto"/>
        <w:jc w:val="both"/>
        <w:rPr>
          <w:color w:val="auto"/>
          <w:sz w:val="24"/>
          <w:szCs w:val="24"/>
        </w:rPr>
      </w:pPr>
      <w:r w:rsidRPr="003D5C4E">
        <w:rPr>
          <w:color w:val="auto"/>
          <w:sz w:val="24"/>
          <w:szCs w:val="24"/>
        </w:rPr>
        <w:t>Obtaining consent in adult safeguarding is a fundamental principle amongst effective social work practice. It allows individuals to make voluntary informed decisions. WSP (Welsh Government 2022), state a report should not be submitted about an individual if they have capacity, and it is visibly documented that they have refused this. However, professionals can overrule such request if the individual lacks capacity, and failure to share significant information places the adults at increased risk of serious harm. Likewise, the same process encompasses the LA duty to assess based upon multiagency information identifying the adult to be at risk of serious harm.</w:t>
      </w:r>
    </w:p>
    <w:p w14:paraId="0E3B1E28" w14:textId="77777777" w:rsidR="002126A2" w:rsidRPr="003D5C4E" w:rsidRDefault="002126A2" w:rsidP="002126A2">
      <w:pPr>
        <w:spacing w:line="276" w:lineRule="auto"/>
        <w:jc w:val="both"/>
        <w:rPr>
          <w:color w:val="auto"/>
          <w:sz w:val="24"/>
          <w:szCs w:val="24"/>
        </w:rPr>
      </w:pPr>
    </w:p>
    <w:p w14:paraId="0D00A559" w14:textId="77777777" w:rsidR="002126A2" w:rsidRPr="003D5C4E" w:rsidRDefault="002126A2" w:rsidP="002126A2">
      <w:pPr>
        <w:spacing w:line="276" w:lineRule="auto"/>
        <w:jc w:val="both"/>
        <w:rPr>
          <w:color w:val="auto"/>
          <w:sz w:val="24"/>
          <w:szCs w:val="24"/>
        </w:rPr>
      </w:pPr>
      <w:r w:rsidRPr="003D5C4E">
        <w:rPr>
          <w:color w:val="auto"/>
          <w:sz w:val="24"/>
          <w:szCs w:val="24"/>
        </w:rPr>
        <w:t>The legislative framework of ‘Mental Capacity Act (2005)’ provides a structure regarding individuals assessed to not have capacity amongst decision-making. As briefly outlined in SSWBA (2014), APSO allow authorised personnel to speak privately with an individual identified to be at risk, to assess the situation; their capacity; and to determine any appropriate action following an application to the Magistrates Court to permit the LA intervention. Similarly, ‘</w:t>
      </w:r>
      <w:proofErr w:type="spellStart"/>
      <w:r w:rsidRPr="003D5C4E">
        <w:rPr>
          <w:color w:val="auto"/>
          <w:sz w:val="24"/>
          <w:szCs w:val="24"/>
        </w:rPr>
        <w:t>Gillick</w:t>
      </w:r>
      <w:proofErr w:type="spellEnd"/>
      <w:r w:rsidRPr="003D5C4E">
        <w:rPr>
          <w:color w:val="auto"/>
          <w:sz w:val="24"/>
          <w:szCs w:val="24"/>
        </w:rPr>
        <w:t xml:space="preserve"> Competency’ enables practitioners to assess whether a child is mature enough and has capacity to make decisions </w:t>
      </w:r>
      <w:r w:rsidRPr="003D5C4E">
        <w:rPr>
          <w:color w:val="auto"/>
          <w:sz w:val="24"/>
          <w:szCs w:val="24"/>
        </w:rPr>
        <w:lastRenderedPageBreak/>
        <w:t xml:space="preserve">medically without parental consent, whilst balancing the best interests and needs of the child, ultimately keeping them safe (NSPCC, 2018). The Children’s Act (1989), categorise children up to the age of 16, and acknowledge parental permission must be obtained from those with parental responsibility. Social workers need to assess/decide if seeking consent from primary caregivers is within the child’s best interest, especially if they are the alleged instigator of abuse (Children’s Act 1989). </w:t>
      </w:r>
    </w:p>
    <w:p w14:paraId="6CD3FF60" w14:textId="77777777" w:rsidR="002126A2" w:rsidRPr="003D5C4E" w:rsidRDefault="002126A2" w:rsidP="002126A2">
      <w:pPr>
        <w:spacing w:line="276" w:lineRule="auto"/>
        <w:jc w:val="both"/>
        <w:rPr>
          <w:color w:val="auto"/>
          <w:sz w:val="24"/>
          <w:szCs w:val="24"/>
        </w:rPr>
      </w:pPr>
    </w:p>
    <w:p w14:paraId="1BF900FC" w14:textId="77777777" w:rsidR="002126A2" w:rsidRPr="003D5C4E" w:rsidRDefault="002126A2" w:rsidP="002126A2">
      <w:pPr>
        <w:spacing w:line="276" w:lineRule="auto"/>
        <w:jc w:val="both"/>
        <w:rPr>
          <w:color w:val="auto"/>
          <w:sz w:val="24"/>
          <w:szCs w:val="24"/>
        </w:rPr>
      </w:pPr>
      <w:r w:rsidRPr="003D5C4E">
        <w:rPr>
          <w:color w:val="auto"/>
          <w:sz w:val="24"/>
          <w:szCs w:val="24"/>
        </w:rPr>
        <w:t xml:space="preserve">Total word count – 430. </w:t>
      </w:r>
    </w:p>
    <w:p w14:paraId="3AA787CF" w14:textId="77777777" w:rsidR="002126A2" w:rsidRPr="003D5C4E" w:rsidRDefault="002126A2" w:rsidP="002126A2">
      <w:pPr>
        <w:spacing w:line="276" w:lineRule="auto"/>
        <w:jc w:val="both"/>
        <w:rPr>
          <w:color w:val="auto"/>
          <w:sz w:val="24"/>
          <w:szCs w:val="24"/>
        </w:rPr>
      </w:pPr>
    </w:p>
    <w:p w14:paraId="4811D5E2" w14:textId="77777777" w:rsidR="002126A2" w:rsidRPr="003D5C4E" w:rsidRDefault="002126A2" w:rsidP="002126A2">
      <w:pPr>
        <w:spacing w:line="276" w:lineRule="auto"/>
        <w:jc w:val="both"/>
        <w:rPr>
          <w:color w:val="auto"/>
          <w:sz w:val="24"/>
          <w:szCs w:val="24"/>
        </w:rPr>
      </w:pPr>
    </w:p>
    <w:p w14:paraId="6F471617" w14:textId="77777777" w:rsidR="002126A2" w:rsidRPr="003D5C4E" w:rsidRDefault="002126A2" w:rsidP="002126A2">
      <w:pPr>
        <w:spacing w:line="276" w:lineRule="auto"/>
        <w:jc w:val="both"/>
        <w:rPr>
          <w:color w:val="auto"/>
          <w:sz w:val="24"/>
          <w:szCs w:val="24"/>
        </w:rPr>
      </w:pPr>
    </w:p>
    <w:p w14:paraId="15276C24" w14:textId="77777777" w:rsidR="002126A2" w:rsidRPr="00134162" w:rsidRDefault="002126A2" w:rsidP="002126A2"/>
    <w:p w14:paraId="246C5741" w14:textId="77777777" w:rsidR="002126A2" w:rsidRDefault="002126A2" w:rsidP="002126A2">
      <w:pPr>
        <w:overflowPunct/>
        <w:autoSpaceDE/>
        <w:autoSpaceDN/>
        <w:adjustRightInd/>
        <w:textAlignment w:val="auto"/>
        <w:rPr>
          <w:color w:val="auto"/>
          <w:sz w:val="28"/>
          <w:szCs w:val="28"/>
        </w:rPr>
      </w:pPr>
      <w:r>
        <w:rPr>
          <w:color w:val="auto"/>
          <w:sz w:val="28"/>
          <w:szCs w:val="28"/>
        </w:rPr>
        <w:br w:type="page"/>
      </w:r>
      <w:bookmarkStart w:id="0" w:name="_GoBack"/>
      <w:bookmarkEnd w:id="0"/>
    </w:p>
    <w:p w14:paraId="6B5C189A" w14:textId="77777777" w:rsidR="00E83C79" w:rsidRPr="00134162" w:rsidRDefault="00E83C79"/>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750ECF9C-3FFB-4E9C-9D1F-D92C40DD8EAC}"/>
    <w:docVar w:name="dgnword-eventsink" w:val="654183880"/>
  </w:docVars>
  <w:rsids>
    <w:rsidRoot w:val="002126A2"/>
    <w:rsid w:val="00134162"/>
    <w:rsid w:val="002126A2"/>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8A621"/>
  <w15:chartTrackingRefBased/>
  <w15:docId w15:val="{279810C4-E241-4E8A-BB63-E818CEFEA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26A2"/>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F37530F2B5B7A45960EDB3E9E47E172" ma:contentTypeVersion="16" ma:contentTypeDescription="Create a new document." ma:contentTypeScope="" ma:versionID="56a44fd60e819102e51041c2496265a4">
  <xsd:schema xmlns:xsd="http://www.w3.org/2001/XMLSchema" xmlns:xs="http://www.w3.org/2001/XMLSchema" xmlns:p="http://schemas.microsoft.com/office/2006/metadata/properties" xmlns:ns1="http://schemas.microsoft.com/sharepoint/v3" xmlns:ns3="fc66e692-abd3-4568-9182-793fcb63dd14" xmlns:ns4="b0f473c0-b787-45a4-a39b-98ec5dff6305" targetNamespace="http://schemas.microsoft.com/office/2006/metadata/properties" ma:root="true" ma:fieldsID="72e0485482a59b9586774ef66872158a" ns1:_="" ns3:_="" ns4:_="">
    <xsd:import namespace="http://schemas.microsoft.com/sharepoint/v3"/>
    <xsd:import namespace="fc66e692-abd3-4568-9182-793fcb63dd14"/>
    <xsd:import namespace="b0f473c0-b787-45a4-a39b-98ec5dff6305"/>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c66e692-abd3-4568-9182-793fcb63dd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473c0-b787-45a4-a39b-98ec5dff630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48F154DC-2C71-4F8C-AA47-DF8B556DD9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c66e692-abd3-4568-9182-793fcb63dd14"/>
    <ds:schemaRef ds:uri="b0f473c0-b787-45a4-a39b-98ec5dff63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A8F76-4F55-45C8-89F6-678BCFD10531}">
  <ds:schemaRefs>
    <ds:schemaRef ds:uri="http://schemas.microsoft.com/sharepoint/v3/contenttype/forms"/>
  </ds:schemaRefs>
</ds:datastoreItem>
</file>

<file path=customXml/itemProps3.xml><?xml version="1.0" encoding="utf-8"?>
<ds:datastoreItem xmlns:ds="http://schemas.openxmlformats.org/officeDocument/2006/customXml" ds:itemID="{38D69C28-E3BF-4A9F-9FC1-EAAB2D980677}">
  <ds:schemaRefs>
    <ds:schemaRef ds:uri="http://purl.org/dc/elements/1.1/"/>
    <ds:schemaRef ds:uri="http://schemas.microsoft.com/office/2006/metadata/properties"/>
    <ds:schemaRef ds:uri="http://schemas.microsoft.com/sharepoint/v3"/>
    <ds:schemaRef ds:uri="fc66e692-abd3-4568-9182-793fcb63dd1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0f473c0-b787-45a4-a39b-98ec5dff630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1166</Words>
  <Characters>6649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Hatton</dc:creator>
  <cp:keywords/>
  <dc:description/>
  <cp:lastModifiedBy>Fiona Hatton</cp:lastModifiedBy>
  <cp:revision>1</cp:revision>
  <dcterms:created xsi:type="dcterms:W3CDTF">2023-02-22T20:37:00Z</dcterms:created>
  <dcterms:modified xsi:type="dcterms:W3CDTF">2023-02-22T20:38:00Z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0x010100BF37530F2B5B7A45960EDB3E9E47E172</vt:lpwstr>
  </property>
</Properties>
</file>