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B8B6FFB" w14:textId="77777777" w:rsidR="00485AFB" w:rsidRDefault="00000000">
      <w:pPr>
        <w:spacing w:line="360" w:lineRule="auto"/>
        <w:jc w:val="both"/>
        <w:rPr>
          <w:rFonts w:ascii="Times New Roman" w:eastAsia="Times New Roman" w:hAnsi="Times New Roman" w:cs="Times New Roman"/>
          <w:sz w:val="24"/>
          <w:szCs w:val="24"/>
        </w:rPr>
      </w:pPr>
      <w:r>
        <w:rPr>
          <w:noProof/>
        </w:rPr>
        <w:drawing>
          <wp:anchor distT="114300" distB="114300" distL="114300" distR="114300" simplePos="0" relativeHeight="251658240" behindDoc="1" locked="0" layoutInCell="1" hidden="0" allowOverlap="1" wp14:anchorId="1C010DE0" wp14:editId="6F7DFCCD">
            <wp:simplePos x="0" y="0"/>
            <wp:positionH relativeFrom="column">
              <wp:posOffset>1451138</wp:posOffset>
            </wp:positionH>
            <wp:positionV relativeFrom="paragraph">
              <wp:posOffset>114300</wp:posOffset>
            </wp:positionV>
            <wp:extent cx="2828925" cy="1133475"/>
            <wp:effectExtent l="0" t="0" r="0" b="0"/>
            <wp:wrapNone/>
            <wp:docPr id="1"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8"/>
                    <a:srcRect/>
                    <a:stretch>
                      <a:fillRect/>
                    </a:stretch>
                  </pic:blipFill>
                  <pic:spPr>
                    <a:xfrm>
                      <a:off x="0" y="0"/>
                      <a:ext cx="2828925" cy="1133475"/>
                    </a:xfrm>
                    <a:prstGeom prst="rect">
                      <a:avLst/>
                    </a:prstGeom>
                    <a:ln/>
                  </pic:spPr>
                </pic:pic>
              </a:graphicData>
            </a:graphic>
          </wp:anchor>
        </w:drawing>
      </w:r>
    </w:p>
    <w:p w14:paraId="4F53A083" w14:textId="77777777" w:rsidR="00485AFB" w:rsidRDefault="00485AFB">
      <w:pPr>
        <w:spacing w:line="360" w:lineRule="auto"/>
        <w:jc w:val="both"/>
        <w:rPr>
          <w:rFonts w:ascii="Times New Roman" w:eastAsia="Times New Roman" w:hAnsi="Times New Roman" w:cs="Times New Roman"/>
          <w:sz w:val="24"/>
          <w:szCs w:val="24"/>
        </w:rPr>
      </w:pPr>
    </w:p>
    <w:p w14:paraId="5641A17F" w14:textId="77777777" w:rsidR="00485AFB" w:rsidRDefault="00485AFB">
      <w:pPr>
        <w:spacing w:line="360" w:lineRule="auto"/>
        <w:jc w:val="both"/>
        <w:rPr>
          <w:rFonts w:ascii="Times New Roman" w:eastAsia="Times New Roman" w:hAnsi="Times New Roman" w:cs="Times New Roman"/>
          <w:sz w:val="24"/>
          <w:szCs w:val="24"/>
        </w:rPr>
      </w:pPr>
    </w:p>
    <w:p w14:paraId="2EDD7229" w14:textId="77777777" w:rsidR="00485AFB" w:rsidRDefault="00485AFB">
      <w:pPr>
        <w:spacing w:line="360" w:lineRule="auto"/>
        <w:jc w:val="both"/>
        <w:rPr>
          <w:rFonts w:ascii="Times New Roman" w:eastAsia="Times New Roman" w:hAnsi="Times New Roman" w:cs="Times New Roman"/>
          <w:sz w:val="24"/>
          <w:szCs w:val="24"/>
        </w:rPr>
      </w:pPr>
    </w:p>
    <w:p w14:paraId="00714D64" w14:textId="77777777" w:rsidR="00485AFB" w:rsidRDefault="00485AFB">
      <w:pPr>
        <w:spacing w:line="360" w:lineRule="auto"/>
        <w:jc w:val="both"/>
        <w:rPr>
          <w:rFonts w:ascii="Times New Roman" w:eastAsia="Times New Roman" w:hAnsi="Times New Roman" w:cs="Times New Roman"/>
          <w:sz w:val="24"/>
          <w:szCs w:val="24"/>
        </w:rPr>
      </w:pPr>
    </w:p>
    <w:p w14:paraId="15B2952D" w14:textId="77777777" w:rsidR="00485AFB" w:rsidRDefault="00485AFB">
      <w:pPr>
        <w:spacing w:line="360" w:lineRule="auto"/>
        <w:jc w:val="both"/>
        <w:rPr>
          <w:rFonts w:ascii="Times New Roman" w:eastAsia="Times New Roman" w:hAnsi="Times New Roman" w:cs="Times New Roman"/>
          <w:sz w:val="24"/>
          <w:szCs w:val="24"/>
        </w:rPr>
      </w:pPr>
    </w:p>
    <w:p w14:paraId="7F119A64" w14:textId="77777777" w:rsidR="00485AFB" w:rsidRDefault="00485AFB">
      <w:pPr>
        <w:spacing w:line="360" w:lineRule="auto"/>
        <w:jc w:val="both"/>
        <w:rPr>
          <w:rFonts w:ascii="Times New Roman" w:eastAsia="Times New Roman" w:hAnsi="Times New Roman" w:cs="Times New Roman"/>
          <w:sz w:val="24"/>
          <w:szCs w:val="24"/>
        </w:rPr>
      </w:pPr>
    </w:p>
    <w:p w14:paraId="615CD8C3" w14:textId="77777777" w:rsidR="00485AFB" w:rsidRDefault="00000000">
      <w:pPr>
        <w:spacing w:before="240" w:after="240" w:line="48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MODULE:</w:t>
      </w:r>
    </w:p>
    <w:p w14:paraId="41F49EC3" w14:textId="77777777" w:rsidR="00485AFB" w:rsidRDefault="00000000">
      <w:pPr>
        <w:spacing w:before="240" w:after="240" w:line="48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Contract Law (BMLW5009)</w:t>
      </w:r>
    </w:p>
    <w:p w14:paraId="607B6439" w14:textId="77777777" w:rsidR="00485AFB" w:rsidRDefault="00485AFB">
      <w:pPr>
        <w:spacing w:before="240" w:after="240" w:line="480" w:lineRule="auto"/>
        <w:jc w:val="center"/>
        <w:rPr>
          <w:rFonts w:ascii="Times New Roman" w:eastAsia="Times New Roman" w:hAnsi="Times New Roman" w:cs="Times New Roman"/>
          <w:b/>
          <w:sz w:val="24"/>
          <w:szCs w:val="24"/>
        </w:rPr>
      </w:pPr>
    </w:p>
    <w:p w14:paraId="78C0C030" w14:textId="77777777" w:rsidR="00485AFB" w:rsidRDefault="00000000">
      <w:pPr>
        <w:spacing w:before="240" w:after="240" w:line="48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ASSIGNMENT TITLE:</w:t>
      </w:r>
    </w:p>
    <w:p w14:paraId="1599D758" w14:textId="77777777" w:rsidR="00485AFB" w:rsidRDefault="00000000">
      <w:pPr>
        <w:spacing w:before="240" w:after="240" w:line="48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Intention to Create Legal Relations</w:t>
      </w:r>
    </w:p>
    <w:p w14:paraId="49E6FFA5" w14:textId="77777777" w:rsidR="00485AFB" w:rsidRDefault="00485AFB">
      <w:pPr>
        <w:spacing w:before="240" w:after="240" w:line="480" w:lineRule="auto"/>
        <w:jc w:val="center"/>
        <w:rPr>
          <w:rFonts w:ascii="Times New Roman" w:eastAsia="Times New Roman" w:hAnsi="Times New Roman" w:cs="Times New Roman"/>
          <w:b/>
          <w:sz w:val="24"/>
          <w:szCs w:val="24"/>
        </w:rPr>
      </w:pPr>
    </w:p>
    <w:p w14:paraId="3DEA2B04" w14:textId="77777777" w:rsidR="00485AFB" w:rsidRDefault="00000000">
      <w:pPr>
        <w:spacing w:before="240" w:after="240" w:line="48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LECTURER:</w:t>
      </w:r>
    </w:p>
    <w:p w14:paraId="5B811CA2" w14:textId="77777777" w:rsidR="00485AFB" w:rsidRDefault="00000000">
      <w:pPr>
        <w:spacing w:before="240" w:after="240" w:line="48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Laura Knight</w:t>
      </w:r>
    </w:p>
    <w:p w14:paraId="03344713" w14:textId="77777777" w:rsidR="00485AFB" w:rsidRDefault="00000000">
      <w:pPr>
        <w:spacing w:before="240" w:after="240" w:line="48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 </w:t>
      </w:r>
    </w:p>
    <w:p w14:paraId="07975DAD" w14:textId="77777777" w:rsidR="00485AFB" w:rsidRDefault="00000000">
      <w:pPr>
        <w:spacing w:before="240" w:after="240" w:line="48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SUBMISSION DEADLINES:</w:t>
      </w:r>
    </w:p>
    <w:p w14:paraId="54F16B0C" w14:textId="77777777" w:rsidR="00485AFB" w:rsidRDefault="00000000">
      <w:pPr>
        <w:spacing w:before="240" w:after="240" w:line="48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10th March 2023</w:t>
      </w:r>
    </w:p>
    <w:p w14:paraId="4CA49AD8" w14:textId="77777777" w:rsidR="00485AFB" w:rsidRDefault="00485AFB">
      <w:pPr>
        <w:rPr>
          <w:rFonts w:ascii="Times New Roman" w:eastAsia="Times New Roman" w:hAnsi="Times New Roman" w:cs="Times New Roman"/>
          <w:sz w:val="24"/>
          <w:szCs w:val="24"/>
        </w:rPr>
      </w:pPr>
    </w:p>
    <w:tbl>
      <w:tblPr>
        <w:tblStyle w:val="a"/>
        <w:tblW w:w="9525" w:type="dxa"/>
        <w:jc w:val="center"/>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5025"/>
        <w:gridCol w:w="4500"/>
      </w:tblGrid>
      <w:tr w:rsidR="00485AFB" w14:paraId="49DF4676" w14:textId="77777777">
        <w:trPr>
          <w:jc w:val="center"/>
        </w:trPr>
        <w:tc>
          <w:tcPr>
            <w:tcW w:w="5025" w:type="dxa"/>
            <w:shd w:val="clear" w:color="auto" w:fill="auto"/>
            <w:tcMar>
              <w:top w:w="100" w:type="dxa"/>
              <w:left w:w="100" w:type="dxa"/>
              <w:bottom w:w="100" w:type="dxa"/>
              <w:right w:w="100" w:type="dxa"/>
            </w:tcMar>
          </w:tcPr>
          <w:p w14:paraId="61D525CF" w14:textId="77777777" w:rsidR="00485AFB" w:rsidRDefault="00000000">
            <w:pPr>
              <w:widowControl w:val="0"/>
              <w:spacing w:line="360" w:lineRule="auto"/>
              <w:rPr>
                <w:rFonts w:ascii="Times New Roman" w:eastAsia="Times New Roman" w:hAnsi="Times New Roman" w:cs="Times New Roman"/>
                <w:b/>
                <w:sz w:val="24"/>
                <w:szCs w:val="24"/>
              </w:rPr>
            </w:pPr>
            <w:r>
              <w:rPr>
                <w:rFonts w:ascii="Times New Roman" w:eastAsia="Times New Roman" w:hAnsi="Times New Roman" w:cs="Times New Roman"/>
                <w:b/>
                <w:sz w:val="24"/>
                <w:szCs w:val="24"/>
              </w:rPr>
              <w:t>NUR ADRIANA BT MOHD SAIFULLIZAN</w:t>
            </w:r>
          </w:p>
        </w:tc>
        <w:tc>
          <w:tcPr>
            <w:tcW w:w="4500" w:type="dxa"/>
            <w:shd w:val="clear" w:color="auto" w:fill="auto"/>
            <w:tcMar>
              <w:top w:w="100" w:type="dxa"/>
              <w:left w:w="100" w:type="dxa"/>
              <w:bottom w:w="100" w:type="dxa"/>
              <w:right w:w="100" w:type="dxa"/>
            </w:tcMar>
          </w:tcPr>
          <w:p w14:paraId="49187221" w14:textId="77777777" w:rsidR="00485AFB" w:rsidRDefault="00000000">
            <w:pPr>
              <w:widowControl w:val="0"/>
              <w:spacing w:line="360" w:lineRule="auto"/>
              <w:ind w:left="720"/>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2225959</w:t>
            </w:r>
          </w:p>
        </w:tc>
      </w:tr>
    </w:tbl>
    <w:p w14:paraId="159EFAFB" w14:textId="77777777" w:rsidR="00485AFB" w:rsidRDefault="00485AFB">
      <w:pPr>
        <w:rPr>
          <w:rFonts w:ascii="Times New Roman" w:eastAsia="Times New Roman" w:hAnsi="Times New Roman" w:cs="Times New Roman"/>
          <w:sz w:val="24"/>
          <w:szCs w:val="24"/>
        </w:rPr>
      </w:pPr>
    </w:p>
    <w:p w14:paraId="0F0F280F" w14:textId="77777777" w:rsidR="00485AFB" w:rsidRDefault="00485AFB">
      <w:pPr>
        <w:rPr>
          <w:rFonts w:ascii="Times New Roman" w:eastAsia="Times New Roman" w:hAnsi="Times New Roman" w:cs="Times New Roman"/>
          <w:sz w:val="24"/>
          <w:szCs w:val="24"/>
        </w:rPr>
      </w:pPr>
    </w:p>
    <w:p w14:paraId="538075C1" w14:textId="77777777" w:rsidR="00485AFB" w:rsidRDefault="00485AFB">
      <w:pPr>
        <w:rPr>
          <w:rFonts w:ascii="Times New Roman" w:eastAsia="Times New Roman" w:hAnsi="Times New Roman" w:cs="Times New Roman"/>
          <w:sz w:val="24"/>
          <w:szCs w:val="24"/>
        </w:rPr>
      </w:pPr>
    </w:p>
    <w:sdt>
      <w:sdtPr>
        <w:rPr>
          <w:b/>
          <w:bCs/>
          <w:color w:val="auto"/>
        </w:rPr>
        <w:id w:val="1070846462"/>
        <w:docPartObj>
          <w:docPartGallery w:val="Table of Contents"/>
          <w:docPartUnique/>
        </w:docPartObj>
      </w:sdtPr>
      <w:sdtEndPr>
        <w:rPr>
          <w:rFonts w:ascii="Arial" w:eastAsia="Arial" w:hAnsi="Arial" w:cs="Arial"/>
          <w:noProof/>
          <w:sz w:val="22"/>
          <w:szCs w:val="22"/>
          <w:lang w:val="en-GB" w:eastAsia="en-MY"/>
        </w:rPr>
      </w:sdtEndPr>
      <w:sdtContent>
        <w:p w14:paraId="52AC7786" w14:textId="6BBF2B37" w:rsidR="00902F1D" w:rsidRPr="003E358C" w:rsidRDefault="00902F1D" w:rsidP="003E358C">
          <w:pPr>
            <w:pStyle w:val="TOCHeading"/>
            <w:jc w:val="both"/>
            <w:rPr>
              <w:rFonts w:ascii="Times New Roman" w:hAnsi="Times New Roman" w:cs="Times New Roman"/>
              <w:b/>
              <w:bCs/>
              <w:color w:val="auto"/>
              <w:sz w:val="24"/>
              <w:szCs w:val="24"/>
            </w:rPr>
          </w:pPr>
          <w:r w:rsidRPr="003E358C">
            <w:rPr>
              <w:rFonts w:ascii="Times New Roman" w:hAnsi="Times New Roman" w:cs="Times New Roman"/>
              <w:b/>
              <w:bCs/>
              <w:color w:val="auto"/>
              <w:sz w:val="24"/>
              <w:szCs w:val="24"/>
            </w:rPr>
            <w:t>Table of Contents</w:t>
          </w:r>
        </w:p>
        <w:p w14:paraId="43A90191" w14:textId="75B2279D" w:rsidR="00902F1D" w:rsidRPr="003E358C" w:rsidRDefault="00902F1D" w:rsidP="003E358C">
          <w:pPr>
            <w:pStyle w:val="TOC1"/>
            <w:rPr>
              <w:noProof/>
              <w:lang w:val="en-MY" w:eastAsia="en-MY"/>
            </w:rPr>
          </w:pPr>
          <w:r w:rsidRPr="003E358C">
            <w:fldChar w:fldCharType="begin"/>
          </w:r>
          <w:r w:rsidRPr="003E358C">
            <w:instrText xml:space="preserve"> TOC \o "1-3" \h \z \u </w:instrText>
          </w:r>
          <w:r w:rsidRPr="003E358C">
            <w:fldChar w:fldCharType="separate"/>
          </w:r>
          <w:hyperlink w:anchor="_Toc129370119" w:history="1">
            <w:r w:rsidRPr="003E358C">
              <w:rPr>
                <w:rStyle w:val="Hyperlink"/>
                <w:rFonts w:ascii="Times New Roman" w:hAnsi="Times New Roman"/>
                <w:noProof/>
                <w:sz w:val="24"/>
                <w:szCs w:val="24"/>
              </w:rPr>
              <w:t>1.0 Introduction</w:t>
            </w:r>
            <w:r w:rsidRPr="003E358C">
              <w:rPr>
                <w:noProof/>
                <w:webHidden/>
              </w:rPr>
              <w:tab/>
            </w:r>
            <w:r w:rsidRPr="003E358C">
              <w:rPr>
                <w:noProof/>
                <w:webHidden/>
              </w:rPr>
              <w:fldChar w:fldCharType="begin"/>
            </w:r>
            <w:r w:rsidRPr="003E358C">
              <w:rPr>
                <w:noProof/>
                <w:webHidden/>
              </w:rPr>
              <w:instrText xml:space="preserve"> PAGEREF _Toc129370119 \h </w:instrText>
            </w:r>
            <w:r w:rsidRPr="003E358C">
              <w:rPr>
                <w:noProof/>
                <w:webHidden/>
              </w:rPr>
            </w:r>
            <w:r w:rsidRPr="003E358C">
              <w:rPr>
                <w:noProof/>
                <w:webHidden/>
              </w:rPr>
              <w:fldChar w:fldCharType="separate"/>
            </w:r>
            <w:r w:rsidRPr="003E358C">
              <w:rPr>
                <w:noProof/>
                <w:webHidden/>
              </w:rPr>
              <w:t>3</w:t>
            </w:r>
            <w:r w:rsidRPr="003E358C">
              <w:rPr>
                <w:noProof/>
                <w:webHidden/>
              </w:rPr>
              <w:fldChar w:fldCharType="end"/>
            </w:r>
          </w:hyperlink>
        </w:p>
        <w:p w14:paraId="45ADF809" w14:textId="6486FC93" w:rsidR="00902F1D" w:rsidRPr="003E358C" w:rsidRDefault="00902F1D" w:rsidP="003E358C">
          <w:pPr>
            <w:pStyle w:val="TOC1"/>
            <w:rPr>
              <w:noProof/>
              <w:lang w:val="en-MY" w:eastAsia="en-MY"/>
            </w:rPr>
          </w:pPr>
          <w:hyperlink w:anchor="_Toc129370120" w:history="1">
            <w:r w:rsidRPr="003E358C">
              <w:rPr>
                <w:rStyle w:val="Hyperlink"/>
                <w:rFonts w:ascii="Times New Roman" w:hAnsi="Times New Roman"/>
                <w:noProof/>
                <w:sz w:val="24"/>
                <w:szCs w:val="24"/>
              </w:rPr>
              <w:t>2.0 The approach of the courts</w:t>
            </w:r>
            <w:r w:rsidRPr="003E358C">
              <w:rPr>
                <w:noProof/>
                <w:webHidden/>
              </w:rPr>
              <w:tab/>
            </w:r>
            <w:r w:rsidRPr="003E358C">
              <w:rPr>
                <w:noProof/>
                <w:webHidden/>
              </w:rPr>
              <w:fldChar w:fldCharType="begin"/>
            </w:r>
            <w:r w:rsidRPr="003E358C">
              <w:rPr>
                <w:noProof/>
                <w:webHidden/>
              </w:rPr>
              <w:instrText xml:space="preserve"> PAGEREF _Toc129370120 \h </w:instrText>
            </w:r>
            <w:r w:rsidRPr="003E358C">
              <w:rPr>
                <w:noProof/>
                <w:webHidden/>
              </w:rPr>
            </w:r>
            <w:r w:rsidRPr="003E358C">
              <w:rPr>
                <w:noProof/>
                <w:webHidden/>
              </w:rPr>
              <w:fldChar w:fldCharType="separate"/>
            </w:r>
            <w:r w:rsidRPr="003E358C">
              <w:rPr>
                <w:noProof/>
                <w:webHidden/>
              </w:rPr>
              <w:t>3</w:t>
            </w:r>
            <w:r w:rsidRPr="003E358C">
              <w:rPr>
                <w:noProof/>
                <w:webHidden/>
              </w:rPr>
              <w:fldChar w:fldCharType="end"/>
            </w:r>
          </w:hyperlink>
        </w:p>
        <w:p w14:paraId="3E113B60" w14:textId="0966C003" w:rsidR="00902F1D" w:rsidRPr="003E358C" w:rsidRDefault="00902F1D" w:rsidP="003E358C">
          <w:pPr>
            <w:pStyle w:val="TOC2"/>
            <w:tabs>
              <w:tab w:val="right" w:leader="dot" w:pos="9019"/>
            </w:tabs>
            <w:jc w:val="both"/>
            <w:rPr>
              <w:rFonts w:ascii="Times New Roman" w:hAnsi="Times New Roman"/>
              <w:noProof/>
              <w:sz w:val="24"/>
              <w:szCs w:val="24"/>
              <w:lang w:val="en-MY" w:eastAsia="en-MY"/>
            </w:rPr>
          </w:pPr>
          <w:hyperlink w:anchor="_Toc129370121" w:history="1">
            <w:r w:rsidRPr="003E358C">
              <w:rPr>
                <w:rStyle w:val="Hyperlink"/>
                <w:rFonts w:ascii="Times New Roman" w:hAnsi="Times New Roman"/>
                <w:noProof/>
                <w:sz w:val="24"/>
                <w:szCs w:val="24"/>
              </w:rPr>
              <w:t>2.1 Agreements made within social or domestic context</w:t>
            </w:r>
            <w:r w:rsidRPr="003E358C">
              <w:rPr>
                <w:rFonts w:ascii="Times New Roman" w:hAnsi="Times New Roman"/>
                <w:noProof/>
                <w:webHidden/>
                <w:sz w:val="24"/>
                <w:szCs w:val="24"/>
              </w:rPr>
              <w:tab/>
            </w:r>
            <w:r w:rsidRPr="003E358C">
              <w:rPr>
                <w:rFonts w:ascii="Times New Roman" w:hAnsi="Times New Roman"/>
                <w:noProof/>
                <w:webHidden/>
                <w:sz w:val="24"/>
                <w:szCs w:val="24"/>
              </w:rPr>
              <w:fldChar w:fldCharType="begin"/>
            </w:r>
            <w:r w:rsidRPr="003E358C">
              <w:rPr>
                <w:rFonts w:ascii="Times New Roman" w:hAnsi="Times New Roman"/>
                <w:noProof/>
                <w:webHidden/>
                <w:sz w:val="24"/>
                <w:szCs w:val="24"/>
              </w:rPr>
              <w:instrText xml:space="preserve"> PAGEREF _Toc129370121 \h </w:instrText>
            </w:r>
            <w:r w:rsidRPr="003E358C">
              <w:rPr>
                <w:rFonts w:ascii="Times New Roman" w:hAnsi="Times New Roman"/>
                <w:noProof/>
                <w:webHidden/>
                <w:sz w:val="24"/>
                <w:szCs w:val="24"/>
              </w:rPr>
            </w:r>
            <w:r w:rsidRPr="003E358C">
              <w:rPr>
                <w:rFonts w:ascii="Times New Roman" w:hAnsi="Times New Roman"/>
                <w:noProof/>
                <w:webHidden/>
                <w:sz w:val="24"/>
                <w:szCs w:val="24"/>
              </w:rPr>
              <w:fldChar w:fldCharType="separate"/>
            </w:r>
            <w:r w:rsidRPr="003E358C">
              <w:rPr>
                <w:rFonts w:ascii="Times New Roman" w:hAnsi="Times New Roman"/>
                <w:noProof/>
                <w:webHidden/>
                <w:sz w:val="24"/>
                <w:szCs w:val="24"/>
              </w:rPr>
              <w:t>3</w:t>
            </w:r>
            <w:r w:rsidRPr="003E358C">
              <w:rPr>
                <w:rFonts w:ascii="Times New Roman" w:hAnsi="Times New Roman"/>
                <w:noProof/>
                <w:webHidden/>
                <w:sz w:val="24"/>
                <w:szCs w:val="24"/>
              </w:rPr>
              <w:fldChar w:fldCharType="end"/>
            </w:r>
          </w:hyperlink>
        </w:p>
        <w:p w14:paraId="361F9E01" w14:textId="6B7EA9DC" w:rsidR="00902F1D" w:rsidRPr="003E358C" w:rsidRDefault="00902F1D" w:rsidP="003E358C">
          <w:pPr>
            <w:pStyle w:val="TOC1"/>
            <w:rPr>
              <w:noProof/>
              <w:lang w:val="en-MY" w:eastAsia="en-MY"/>
            </w:rPr>
          </w:pPr>
          <w:hyperlink w:anchor="_Toc129370122" w:history="1">
            <w:r w:rsidRPr="003E358C">
              <w:rPr>
                <w:rStyle w:val="Hyperlink"/>
                <w:rFonts w:ascii="Times New Roman" w:hAnsi="Times New Roman"/>
                <w:noProof/>
                <w:sz w:val="24"/>
                <w:szCs w:val="24"/>
              </w:rPr>
              <w:t>3.0 Agreements made within the commercial or business context</w:t>
            </w:r>
            <w:r w:rsidRPr="003E358C">
              <w:rPr>
                <w:noProof/>
                <w:webHidden/>
              </w:rPr>
              <w:tab/>
            </w:r>
            <w:r w:rsidRPr="003E358C">
              <w:rPr>
                <w:noProof/>
                <w:webHidden/>
              </w:rPr>
              <w:fldChar w:fldCharType="begin"/>
            </w:r>
            <w:r w:rsidRPr="003E358C">
              <w:rPr>
                <w:noProof/>
                <w:webHidden/>
              </w:rPr>
              <w:instrText xml:space="preserve"> PAGEREF _Toc129370122 \h </w:instrText>
            </w:r>
            <w:r w:rsidRPr="003E358C">
              <w:rPr>
                <w:noProof/>
                <w:webHidden/>
              </w:rPr>
            </w:r>
            <w:r w:rsidRPr="003E358C">
              <w:rPr>
                <w:noProof/>
                <w:webHidden/>
              </w:rPr>
              <w:fldChar w:fldCharType="separate"/>
            </w:r>
            <w:r w:rsidRPr="003E358C">
              <w:rPr>
                <w:noProof/>
                <w:webHidden/>
              </w:rPr>
              <w:t>5</w:t>
            </w:r>
            <w:r w:rsidRPr="003E358C">
              <w:rPr>
                <w:noProof/>
                <w:webHidden/>
              </w:rPr>
              <w:fldChar w:fldCharType="end"/>
            </w:r>
          </w:hyperlink>
        </w:p>
        <w:p w14:paraId="75FD54D1" w14:textId="0E3F369A" w:rsidR="00902F1D" w:rsidRPr="003E358C" w:rsidRDefault="00902F1D" w:rsidP="003E358C">
          <w:pPr>
            <w:pStyle w:val="TOC1"/>
            <w:rPr>
              <w:noProof/>
              <w:lang w:val="en-MY" w:eastAsia="en-MY"/>
            </w:rPr>
          </w:pPr>
          <w:hyperlink w:anchor="_Toc129370123" w:history="1">
            <w:r w:rsidRPr="003E358C">
              <w:rPr>
                <w:rStyle w:val="Hyperlink"/>
                <w:rFonts w:ascii="Times New Roman" w:hAnsi="Times New Roman"/>
                <w:noProof/>
                <w:sz w:val="24"/>
                <w:szCs w:val="24"/>
              </w:rPr>
              <w:t>4.0 Agreements made within public bodies or those which affect the public interest</w:t>
            </w:r>
            <w:r w:rsidRPr="003E358C">
              <w:rPr>
                <w:noProof/>
                <w:webHidden/>
              </w:rPr>
              <w:tab/>
            </w:r>
            <w:r w:rsidRPr="003E358C">
              <w:rPr>
                <w:noProof/>
                <w:webHidden/>
              </w:rPr>
              <w:fldChar w:fldCharType="begin"/>
            </w:r>
            <w:r w:rsidRPr="003E358C">
              <w:rPr>
                <w:noProof/>
                <w:webHidden/>
              </w:rPr>
              <w:instrText xml:space="preserve"> PAGEREF _Toc129370123 \h </w:instrText>
            </w:r>
            <w:r w:rsidRPr="003E358C">
              <w:rPr>
                <w:noProof/>
                <w:webHidden/>
              </w:rPr>
            </w:r>
            <w:r w:rsidRPr="003E358C">
              <w:rPr>
                <w:noProof/>
                <w:webHidden/>
              </w:rPr>
              <w:fldChar w:fldCharType="separate"/>
            </w:r>
            <w:r w:rsidRPr="003E358C">
              <w:rPr>
                <w:noProof/>
                <w:webHidden/>
              </w:rPr>
              <w:t>7</w:t>
            </w:r>
            <w:r w:rsidRPr="003E358C">
              <w:rPr>
                <w:noProof/>
                <w:webHidden/>
              </w:rPr>
              <w:fldChar w:fldCharType="end"/>
            </w:r>
          </w:hyperlink>
        </w:p>
        <w:p w14:paraId="12ABC892" w14:textId="028787C1" w:rsidR="00902F1D" w:rsidRPr="003E358C" w:rsidRDefault="00902F1D" w:rsidP="003E358C">
          <w:pPr>
            <w:pStyle w:val="TOC1"/>
            <w:rPr>
              <w:noProof/>
              <w:lang w:val="en-MY" w:eastAsia="en-MY"/>
            </w:rPr>
          </w:pPr>
          <w:hyperlink w:anchor="_Toc129370124" w:history="1">
            <w:r w:rsidRPr="003E358C">
              <w:rPr>
                <w:rStyle w:val="Hyperlink"/>
                <w:rFonts w:ascii="Times New Roman" w:hAnsi="Times New Roman"/>
                <w:noProof/>
                <w:sz w:val="24"/>
                <w:szCs w:val="24"/>
              </w:rPr>
              <w:t>5.0 Reference List</w:t>
            </w:r>
            <w:r w:rsidRPr="003E358C">
              <w:rPr>
                <w:noProof/>
                <w:webHidden/>
              </w:rPr>
              <w:tab/>
            </w:r>
            <w:r w:rsidRPr="003E358C">
              <w:rPr>
                <w:noProof/>
                <w:webHidden/>
              </w:rPr>
              <w:fldChar w:fldCharType="begin"/>
            </w:r>
            <w:r w:rsidRPr="003E358C">
              <w:rPr>
                <w:noProof/>
                <w:webHidden/>
              </w:rPr>
              <w:instrText xml:space="preserve"> PAGEREF _Toc129370124 \h </w:instrText>
            </w:r>
            <w:r w:rsidRPr="003E358C">
              <w:rPr>
                <w:noProof/>
                <w:webHidden/>
              </w:rPr>
            </w:r>
            <w:r w:rsidRPr="003E358C">
              <w:rPr>
                <w:noProof/>
                <w:webHidden/>
              </w:rPr>
              <w:fldChar w:fldCharType="separate"/>
            </w:r>
            <w:r w:rsidRPr="003E358C">
              <w:rPr>
                <w:noProof/>
                <w:webHidden/>
              </w:rPr>
              <w:t>8</w:t>
            </w:r>
            <w:r w:rsidRPr="003E358C">
              <w:rPr>
                <w:noProof/>
                <w:webHidden/>
              </w:rPr>
              <w:fldChar w:fldCharType="end"/>
            </w:r>
          </w:hyperlink>
        </w:p>
        <w:p w14:paraId="3D72423F" w14:textId="246FAFFC" w:rsidR="00902F1D" w:rsidRDefault="00902F1D" w:rsidP="003E358C">
          <w:pPr>
            <w:jc w:val="both"/>
          </w:pPr>
          <w:r w:rsidRPr="003E358C">
            <w:rPr>
              <w:rFonts w:ascii="Times New Roman" w:hAnsi="Times New Roman" w:cs="Times New Roman"/>
              <w:b/>
              <w:bCs/>
              <w:noProof/>
              <w:sz w:val="24"/>
              <w:szCs w:val="24"/>
            </w:rPr>
            <w:fldChar w:fldCharType="end"/>
          </w:r>
        </w:p>
      </w:sdtContent>
    </w:sdt>
    <w:p w14:paraId="03791501" w14:textId="77777777" w:rsidR="00902F1D" w:rsidRDefault="00902F1D">
      <w:pPr>
        <w:rPr>
          <w:rFonts w:ascii="Times New Roman" w:eastAsia="Times New Roman" w:hAnsi="Times New Roman" w:cs="Times New Roman"/>
          <w:b/>
          <w:sz w:val="24"/>
          <w:szCs w:val="24"/>
        </w:rPr>
      </w:pPr>
    </w:p>
    <w:p w14:paraId="20839D13" w14:textId="77777777" w:rsidR="00902F1D" w:rsidRDefault="00902F1D">
      <w:pPr>
        <w:rPr>
          <w:rFonts w:ascii="Times New Roman" w:eastAsia="Times New Roman" w:hAnsi="Times New Roman" w:cs="Times New Roman"/>
          <w:b/>
          <w:sz w:val="24"/>
          <w:szCs w:val="24"/>
        </w:rPr>
      </w:pPr>
    </w:p>
    <w:p w14:paraId="142477C6" w14:textId="77777777" w:rsidR="00902F1D" w:rsidRDefault="00902F1D">
      <w:pPr>
        <w:rPr>
          <w:rFonts w:ascii="Times New Roman" w:eastAsia="Times New Roman" w:hAnsi="Times New Roman" w:cs="Times New Roman"/>
          <w:b/>
          <w:sz w:val="24"/>
          <w:szCs w:val="24"/>
        </w:rPr>
      </w:pPr>
    </w:p>
    <w:p w14:paraId="4C47B4B9" w14:textId="77777777" w:rsidR="00902F1D" w:rsidRDefault="00902F1D">
      <w:pPr>
        <w:rPr>
          <w:rFonts w:ascii="Times New Roman" w:eastAsia="Times New Roman" w:hAnsi="Times New Roman" w:cs="Times New Roman"/>
          <w:b/>
          <w:sz w:val="24"/>
          <w:szCs w:val="24"/>
        </w:rPr>
      </w:pPr>
    </w:p>
    <w:p w14:paraId="21917938" w14:textId="77777777" w:rsidR="00902F1D" w:rsidRDefault="00902F1D" w:rsidP="003E358C">
      <w:pPr>
        <w:spacing w:line="360" w:lineRule="auto"/>
        <w:rPr>
          <w:rFonts w:ascii="Times New Roman" w:eastAsia="Times New Roman" w:hAnsi="Times New Roman" w:cs="Times New Roman"/>
          <w:b/>
          <w:sz w:val="24"/>
          <w:szCs w:val="24"/>
        </w:rPr>
      </w:pPr>
    </w:p>
    <w:p w14:paraId="1F0880B8" w14:textId="77777777" w:rsidR="00902F1D" w:rsidRDefault="00902F1D">
      <w:pPr>
        <w:rPr>
          <w:rFonts w:ascii="Times New Roman" w:eastAsia="Times New Roman" w:hAnsi="Times New Roman" w:cs="Times New Roman"/>
          <w:b/>
          <w:sz w:val="24"/>
          <w:szCs w:val="24"/>
        </w:rPr>
      </w:pPr>
    </w:p>
    <w:p w14:paraId="1795C61A" w14:textId="77777777" w:rsidR="00902F1D" w:rsidRDefault="00902F1D">
      <w:pPr>
        <w:rPr>
          <w:rFonts w:ascii="Times New Roman" w:eastAsia="Times New Roman" w:hAnsi="Times New Roman" w:cs="Times New Roman"/>
          <w:b/>
          <w:sz w:val="24"/>
          <w:szCs w:val="24"/>
        </w:rPr>
      </w:pPr>
    </w:p>
    <w:p w14:paraId="39AD5079" w14:textId="77777777" w:rsidR="00902F1D" w:rsidRDefault="00902F1D">
      <w:pPr>
        <w:rPr>
          <w:rFonts w:ascii="Times New Roman" w:eastAsia="Times New Roman" w:hAnsi="Times New Roman" w:cs="Times New Roman"/>
          <w:b/>
          <w:sz w:val="24"/>
          <w:szCs w:val="24"/>
        </w:rPr>
      </w:pPr>
    </w:p>
    <w:p w14:paraId="7D3C927C" w14:textId="77777777" w:rsidR="00902F1D" w:rsidRDefault="00902F1D">
      <w:pPr>
        <w:rPr>
          <w:rFonts w:ascii="Times New Roman" w:eastAsia="Times New Roman" w:hAnsi="Times New Roman" w:cs="Times New Roman"/>
          <w:b/>
          <w:sz w:val="24"/>
          <w:szCs w:val="24"/>
        </w:rPr>
      </w:pPr>
    </w:p>
    <w:p w14:paraId="1CE15036" w14:textId="77777777" w:rsidR="00902F1D" w:rsidRDefault="00902F1D">
      <w:pPr>
        <w:rPr>
          <w:rFonts w:ascii="Times New Roman" w:eastAsia="Times New Roman" w:hAnsi="Times New Roman" w:cs="Times New Roman"/>
          <w:b/>
          <w:sz w:val="24"/>
          <w:szCs w:val="24"/>
        </w:rPr>
      </w:pPr>
    </w:p>
    <w:p w14:paraId="3E2508F7" w14:textId="77777777" w:rsidR="00902F1D" w:rsidRDefault="00902F1D">
      <w:pPr>
        <w:rPr>
          <w:rFonts w:ascii="Times New Roman" w:eastAsia="Times New Roman" w:hAnsi="Times New Roman" w:cs="Times New Roman"/>
          <w:b/>
          <w:sz w:val="24"/>
          <w:szCs w:val="24"/>
        </w:rPr>
      </w:pPr>
    </w:p>
    <w:p w14:paraId="7F060CD1" w14:textId="77777777" w:rsidR="00902F1D" w:rsidRDefault="00902F1D">
      <w:pPr>
        <w:rPr>
          <w:rFonts w:ascii="Times New Roman" w:eastAsia="Times New Roman" w:hAnsi="Times New Roman" w:cs="Times New Roman"/>
          <w:b/>
          <w:sz w:val="24"/>
          <w:szCs w:val="24"/>
        </w:rPr>
      </w:pPr>
    </w:p>
    <w:p w14:paraId="34CD9B7E" w14:textId="77777777" w:rsidR="00902F1D" w:rsidRDefault="00902F1D">
      <w:pPr>
        <w:rPr>
          <w:rFonts w:ascii="Times New Roman" w:eastAsia="Times New Roman" w:hAnsi="Times New Roman" w:cs="Times New Roman"/>
          <w:b/>
          <w:sz w:val="24"/>
          <w:szCs w:val="24"/>
        </w:rPr>
      </w:pPr>
    </w:p>
    <w:p w14:paraId="0FD82B65" w14:textId="77777777" w:rsidR="00902F1D" w:rsidRDefault="00902F1D">
      <w:pPr>
        <w:rPr>
          <w:rFonts w:ascii="Times New Roman" w:eastAsia="Times New Roman" w:hAnsi="Times New Roman" w:cs="Times New Roman"/>
          <w:b/>
          <w:sz w:val="24"/>
          <w:szCs w:val="24"/>
        </w:rPr>
      </w:pPr>
    </w:p>
    <w:p w14:paraId="3289AE83" w14:textId="77777777" w:rsidR="00902F1D" w:rsidRDefault="00902F1D">
      <w:pPr>
        <w:rPr>
          <w:rFonts w:ascii="Times New Roman" w:eastAsia="Times New Roman" w:hAnsi="Times New Roman" w:cs="Times New Roman"/>
          <w:b/>
          <w:sz w:val="24"/>
          <w:szCs w:val="24"/>
        </w:rPr>
      </w:pPr>
    </w:p>
    <w:p w14:paraId="6AB93D4A" w14:textId="77777777" w:rsidR="00902F1D" w:rsidRDefault="00902F1D">
      <w:pPr>
        <w:rPr>
          <w:rFonts w:ascii="Times New Roman" w:eastAsia="Times New Roman" w:hAnsi="Times New Roman" w:cs="Times New Roman"/>
          <w:b/>
          <w:sz w:val="24"/>
          <w:szCs w:val="24"/>
        </w:rPr>
      </w:pPr>
    </w:p>
    <w:p w14:paraId="156CAC69" w14:textId="77777777" w:rsidR="00902F1D" w:rsidRDefault="00902F1D">
      <w:pPr>
        <w:rPr>
          <w:rFonts w:ascii="Times New Roman" w:eastAsia="Times New Roman" w:hAnsi="Times New Roman" w:cs="Times New Roman"/>
          <w:b/>
          <w:sz w:val="24"/>
          <w:szCs w:val="24"/>
        </w:rPr>
      </w:pPr>
    </w:p>
    <w:p w14:paraId="0F9AF4EB" w14:textId="77777777" w:rsidR="00902F1D" w:rsidRDefault="00902F1D">
      <w:pPr>
        <w:rPr>
          <w:rFonts w:ascii="Times New Roman" w:eastAsia="Times New Roman" w:hAnsi="Times New Roman" w:cs="Times New Roman"/>
          <w:b/>
          <w:sz w:val="24"/>
          <w:szCs w:val="24"/>
        </w:rPr>
      </w:pPr>
    </w:p>
    <w:p w14:paraId="4BAEA60A" w14:textId="77777777" w:rsidR="00902F1D" w:rsidRDefault="00902F1D">
      <w:pPr>
        <w:rPr>
          <w:rFonts w:ascii="Times New Roman" w:eastAsia="Times New Roman" w:hAnsi="Times New Roman" w:cs="Times New Roman"/>
          <w:b/>
          <w:sz w:val="24"/>
          <w:szCs w:val="24"/>
        </w:rPr>
      </w:pPr>
    </w:p>
    <w:p w14:paraId="450637FA" w14:textId="77777777" w:rsidR="00902F1D" w:rsidRDefault="00902F1D">
      <w:pPr>
        <w:rPr>
          <w:rFonts w:ascii="Times New Roman" w:eastAsia="Times New Roman" w:hAnsi="Times New Roman" w:cs="Times New Roman"/>
          <w:b/>
          <w:sz w:val="24"/>
          <w:szCs w:val="24"/>
        </w:rPr>
      </w:pPr>
    </w:p>
    <w:p w14:paraId="4E1D4E81" w14:textId="6F6CA3B4" w:rsidR="00902F1D" w:rsidRDefault="00902F1D">
      <w:pPr>
        <w:rPr>
          <w:rFonts w:ascii="Times New Roman" w:eastAsia="Times New Roman" w:hAnsi="Times New Roman" w:cs="Times New Roman"/>
          <w:b/>
          <w:sz w:val="24"/>
          <w:szCs w:val="24"/>
        </w:rPr>
      </w:pPr>
    </w:p>
    <w:p w14:paraId="35D12C66" w14:textId="34A11035" w:rsidR="003E358C" w:rsidRDefault="003E358C">
      <w:pPr>
        <w:rPr>
          <w:rFonts w:ascii="Times New Roman" w:eastAsia="Times New Roman" w:hAnsi="Times New Roman" w:cs="Times New Roman"/>
          <w:b/>
          <w:sz w:val="24"/>
          <w:szCs w:val="24"/>
        </w:rPr>
      </w:pPr>
    </w:p>
    <w:p w14:paraId="21F7A237" w14:textId="3416CD1B" w:rsidR="003E358C" w:rsidRDefault="003E358C">
      <w:pPr>
        <w:rPr>
          <w:rFonts w:ascii="Times New Roman" w:eastAsia="Times New Roman" w:hAnsi="Times New Roman" w:cs="Times New Roman"/>
          <w:b/>
          <w:sz w:val="24"/>
          <w:szCs w:val="24"/>
        </w:rPr>
      </w:pPr>
    </w:p>
    <w:p w14:paraId="69C75654" w14:textId="1F47C656" w:rsidR="003E358C" w:rsidRDefault="003E358C">
      <w:pPr>
        <w:rPr>
          <w:rFonts w:ascii="Times New Roman" w:eastAsia="Times New Roman" w:hAnsi="Times New Roman" w:cs="Times New Roman"/>
          <w:b/>
          <w:sz w:val="24"/>
          <w:szCs w:val="24"/>
        </w:rPr>
      </w:pPr>
    </w:p>
    <w:p w14:paraId="1F908159" w14:textId="77777777" w:rsidR="003E358C" w:rsidRDefault="003E358C">
      <w:pPr>
        <w:rPr>
          <w:rFonts w:ascii="Times New Roman" w:eastAsia="Times New Roman" w:hAnsi="Times New Roman" w:cs="Times New Roman"/>
          <w:b/>
          <w:sz w:val="24"/>
          <w:szCs w:val="24"/>
        </w:rPr>
      </w:pPr>
    </w:p>
    <w:p w14:paraId="0882C765" w14:textId="40EA2AA3" w:rsidR="00902F1D" w:rsidRDefault="00902F1D" w:rsidP="00902F1D">
      <w:pPr>
        <w:pStyle w:val="Heading1"/>
      </w:pPr>
    </w:p>
    <w:p w14:paraId="72728F1F" w14:textId="77777777" w:rsidR="003E358C" w:rsidRPr="003E358C" w:rsidRDefault="003E358C" w:rsidP="003E358C"/>
    <w:p w14:paraId="023250B2" w14:textId="6E7157C0" w:rsidR="00485AFB" w:rsidRPr="00902F1D" w:rsidRDefault="00000000" w:rsidP="00902F1D">
      <w:pPr>
        <w:pStyle w:val="Heading1"/>
        <w:rPr>
          <w:rFonts w:ascii="Times New Roman" w:hAnsi="Times New Roman" w:cs="Times New Roman"/>
          <w:b/>
          <w:bCs/>
          <w:sz w:val="24"/>
          <w:szCs w:val="24"/>
        </w:rPr>
      </w:pPr>
      <w:bookmarkStart w:id="0" w:name="_Toc129370119"/>
      <w:r w:rsidRPr="00902F1D">
        <w:rPr>
          <w:rFonts w:ascii="Times New Roman" w:hAnsi="Times New Roman" w:cs="Times New Roman"/>
          <w:b/>
          <w:bCs/>
          <w:sz w:val="24"/>
          <w:szCs w:val="24"/>
        </w:rPr>
        <w:lastRenderedPageBreak/>
        <w:t>1.0 Introduction</w:t>
      </w:r>
      <w:bookmarkEnd w:id="0"/>
    </w:p>
    <w:p w14:paraId="5F4E7F80" w14:textId="77777777" w:rsidR="00485AFB" w:rsidRDefault="00485AFB">
      <w:pPr>
        <w:rPr>
          <w:rFonts w:ascii="Times New Roman" w:eastAsia="Times New Roman" w:hAnsi="Times New Roman" w:cs="Times New Roman"/>
          <w:sz w:val="24"/>
          <w:szCs w:val="24"/>
        </w:rPr>
      </w:pPr>
    </w:p>
    <w:p w14:paraId="617E2C3D" w14:textId="77777777" w:rsidR="00485AFB"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First and foremost, a contract is known as an agreement made or arranged between two or more people. In an agreement, there is an offer, also referred to as an expression of willingness to contract, which specifies the conditions under which the offeror is willing to enter into a binding contract.  Other than that, a contract also needs a valid offer and a valid acceptance of that offer. Offer is known as a promise that is subject to a condition act, another promise, or a tolerance in exchange for the previous promise is known as an offer. By expressing assent, it is an invitation to the other party to sign the agreement and demonstrate the desire to enter into one. One of the cases is Nicolene Ltd v Simmonds (1953). Then, in terms of the consideration whereby it is known as a pledge to carry out action by transferring ownership of property, such as a car, or a house. The benefit of the agreement for one party is that the burden of the other party serves as the goal of the contractual consideration. for instance, getting paid. If neither party has given the agreement adequate thought, the agreement cannot be enforced. As a result, gratuities are not protected by the law (Ellis, 2022). The such case that can relate to the intention to create legal relations is </w:t>
      </w:r>
      <w:proofErr w:type="gramStart"/>
      <w:r>
        <w:rPr>
          <w:rFonts w:ascii="Times New Roman" w:eastAsia="Times New Roman" w:hAnsi="Times New Roman" w:cs="Times New Roman"/>
          <w:sz w:val="24"/>
          <w:szCs w:val="24"/>
        </w:rPr>
        <w:t>Blue</w:t>
      </w:r>
      <w:proofErr w:type="gramEnd"/>
      <w:r>
        <w:rPr>
          <w:rFonts w:ascii="Times New Roman" w:eastAsia="Times New Roman" w:hAnsi="Times New Roman" w:cs="Times New Roman"/>
          <w:sz w:val="24"/>
          <w:szCs w:val="24"/>
        </w:rPr>
        <w:t xml:space="preserve"> v Ashley (2017). </w:t>
      </w:r>
    </w:p>
    <w:p w14:paraId="0239CB2C" w14:textId="2FE98549" w:rsidR="00485AFB" w:rsidRPr="003E358C" w:rsidRDefault="00000000" w:rsidP="003E358C">
      <w:pPr>
        <w:pStyle w:val="Heading1"/>
        <w:spacing w:line="360" w:lineRule="auto"/>
        <w:jc w:val="both"/>
        <w:rPr>
          <w:rFonts w:ascii="Times New Roman" w:hAnsi="Times New Roman" w:cs="Times New Roman"/>
          <w:b/>
          <w:bCs/>
          <w:sz w:val="24"/>
          <w:szCs w:val="24"/>
        </w:rPr>
      </w:pPr>
      <w:bookmarkStart w:id="1" w:name="_Toc129370120"/>
      <w:r w:rsidRPr="003E358C">
        <w:rPr>
          <w:rFonts w:ascii="Times New Roman" w:hAnsi="Times New Roman" w:cs="Times New Roman"/>
          <w:b/>
          <w:bCs/>
          <w:sz w:val="24"/>
          <w:szCs w:val="24"/>
        </w:rPr>
        <w:t>2.0 The approach of the courts</w:t>
      </w:r>
      <w:bookmarkEnd w:id="1"/>
    </w:p>
    <w:p w14:paraId="7E33F866" w14:textId="77777777" w:rsidR="00485AFB" w:rsidRPr="003E358C" w:rsidRDefault="00000000" w:rsidP="00902F1D">
      <w:pPr>
        <w:pStyle w:val="Heading2"/>
        <w:spacing w:line="360" w:lineRule="auto"/>
        <w:jc w:val="both"/>
        <w:rPr>
          <w:rFonts w:ascii="Times New Roman" w:hAnsi="Times New Roman" w:cs="Times New Roman"/>
          <w:b/>
          <w:bCs/>
          <w:sz w:val="24"/>
          <w:szCs w:val="24"/>
        </w:rPr>
      </w:pPr>
      <w:bookmarkStart w:id="2" w:name="_Toc129370121"/>
      <w:r w:rsidRPr="003E358C">
        <w:rPr>
          <w:rFonts w:ascii="Times New Roman" w:hAnsi="Times New Roman" w:cs="Times New Roman"/>
          <w:b/>
          <w:bCs/>
          <w:sz w:val="24"/>
          <w:szCs w:val="24"/>
        </w:rPr>
        <w:t>2.1 Agreements made within social or domestic context</w:t>
      </w:r>
      <w:bookmarkEnd w:id="2"/>
    </w:p>
    <w:p w14:paraId="2ACD61B6" w14:textId="77777777" w:rsidR="00485AFB" w:rsidRDefault="00485AFB">
      <w:pPr>
        <w:spacing w:line="360" w:lineRule="auto"/>
        <w:jc w:val="both"/>
        <w:rPr>
          <w:rFonts w:ascii="Times New Roman" w:eastAsia="Times New Roman" w:hAnsi="Times New Roman" w:cs="Times New Roman"/>
          <w:sz w:val="24"/>
          <w:szCs w:val="24"/>
        </w:rPr>
      </w:pPr>
    </w:p>
    <w:p w14:paraId="242A48E1" w14:textId="77777777" w:rsidR="00485AFB"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In social or domestic agreements, it is generally that an agreement between family members or friends in a social context is not contractual. For instance, whereby the husband worked overseas and his wife will no longer live where he worked the Balfour v Balfour (1919). They make an agreement that he would return overseas while she stayed in England and he would pay her £30 per month. Then, they became estranged and the wife sued to enforce the promise of financial support. The Court of Appeal held that the promise was not legally enforceable because there had been no intention to create legal relations. It is also been said by the court that the agreement was a domestic agreement as the husband did not intend to create the legally binding agreement when he promised. In terms, the presumption is a domestic or social agreement whereby as defined it is no intention to create legal relations and that it is only an assumption parties close one or are related. According to (Richards, 2009), the court held that the burden was on the plaintiff, the wife, to rebut the presumption that there was no intention to create the contract. </w:t>
      </w:r>
    </w:p>
    <w:p w14:paraId="053A9757" w14:textId="77777777" w:rsidR="00485AFB" w:rsidRDefault="00485AFB">
      <w:pPr>
        <w:spacing w:line="360" w:lineRule="auto"/>
        <w:jc w:val="both"/>
        <w:rPr>
          <w:rFonts w:ascii="Times New Roman" w:eastAsia="Times New Roman" w:hAnsi="Times New Roman" w:cs="Times New Roman"/>
          <w:sz w:val="24"/>
          <w:szCs w:val="24"/>
        </w:rPr>
      </w:pPr>
    </w:p>
    <w:p w14:paraId="33CC8F8A" w14:textId="77777777" w:rsidR="00485AFB"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In Jones v </w:t>
      </w:r>
      <w:proofErr w:type="spellStart"/>
      <w:r>
        <w:rPr>
          <w:rFonts w:ascii="Times New Roman" w:eastAsia="Times New Roman" w:hAnsi="Times New Roman" w:cs="Times New Roman"/>
          <w:sz w:val="24"/>
          <w:szCs w:val="24"/>
        </w:rPr>
        <w:t>Padavatton</w:t>
      </w:r>
      <w:proofErr w:type="spellEnd"/>
      <w:r>
        <w:rPr>
          <w:rFonts w:ascii="Times New Roman" w:eastAsia="Times New Roman" w:hAnsi="Times New Roman" w:cs="Times New Roman"/>
          <w:sz w:val="24"/>
          <w:szCs w:val="24"/>
        </w:rPr>
        <w:t xml:space="preserve"> (1969) there was a persuasion where the daughter was asked to take a new career in which the mother then offered to pay her fees and to provide her with a living allowance while she pursued her studies. After a lot of unsuccessful attempts, the mother and daughter left and the mother removed the daughter from the house. According to the Court of Appeal, it was found that the daughter cannot stay in the house because there was no enforceable contract between both parties (Richards, 2009). To add on, an agreement made within a family or domestic setting can be rebutted. Henceforth, in relation to Balfour v Balfour (1919), it was a domestic agreement, and yet the presumption had no intention to create legal relations that was not rebutted because it is a family arrangement and they are not allowed to form a contract (Poole, 2014). </w:t>
      </w:r>
    </w:p>
    <w:p w14:paraId="49AB7E0B" w14:textId="77777777" w:rsidR="00485AFB" w:rsidRDefault="00485AFB">
      <w:pPr>
        <w:spacing w:line="360" w:lineRule="auto"/>
        <w:jc w:val="both"/>
        <w:rPr>
          <w:rFonts w:ascii="Times New Roman" w:eastAsia="Times New Roman" w:hAnsi="Times New Roman" w:cs="Times New Roman"/>
          <w:sz w:val="24"/>
          <w:szCs w:val="24"/>
        </w:rPr>
      </w:pPr>
    </w:p>
    <w:p w14:paraId="530F4ED3" w14:textId="77777777" w:rsidR="00485AFB"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Merritt v Merritt (1970) is about a husband moving out of his marriage to live with a different woman. After speaking with his wife, he promised in writing to give her £40 a month which she would spend to pay the mortgage. Once settled, the house becomes completely hers. However, the husband refused </w:t>
      </w:r>
      <w:proofErr w:type="gramStart"/>
      <w:r>
        <w:rPr>
          <w:rFonts w:ascii="Times New Roman" w:eastAsia="Times New Roman" w:hAnsi="Times New Roman" w:cs="Times New Roman"/>
          <w:sz w:val="24"/>
          <w:szCs w:val="24"/>
        </w:rPr>
        <w:t>to  (</w:t>
      </w:r>
      <w:proofErr w:type="gramEnd"/>
      <w:r>
        <w:rPr>
          <w:rFonts w:ascii="Times New Roman" w:eastAsia="Times New Roman" w:hAnsi="Times New Roman" w:cs="Times New Roman"/>
          <w:sz w:val="24"/>
          <w:szCs w:val="24"/>
        </w:rPr>
        <w:t xml:space="preserve">Poole, 2014). The Court of Appeal in this case determined that there was no intention to create a legal connection and held the husband to his commitment. Then the Court concludes that there was mostly based on the fact that the arrangement was reached in reaction to a divorce. In conclusion, this illustrates that the point given by the courts will take all into account in deciding the existence or non-existence of the intention to create the legal relationship (Richards, 2009). To summarize, the burden was put on the plaintiff to rebut and there was no contract intended to be formed. </w:t>
      </w:r>
    </w:p>
    <w:p w14:paraId="0D4FE4E6" w14:textId="77777777" w:rsidR="00485AFB" w:rsidRDefault="00485AFB">
      <w:pPr>
        <w:spacing w:line="360" w:lineRule="auto"/>
        <w:jc w:val="both"/>
        <w:rPr>
          <w:rFonts w:ascii="Times New Roman" w:eastAsia="Times New Roman" w:hAnsi="Times New Roman" w:cs="Times New Roman"/>
          <w:sz w:val="24"/>
          <w:szCs w:val="24"/>
        </w:rPr>
      </w:pPr>
    </w:p>
    <w:p w14:paraId="4D0D02C7" w14:textId="77777777" w:rsidR="00485AFB"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In addition, for Simpkins v Pays (1955), there was a notice of weekly competition. Hence, a grandmother and her granddaughter, as well as her lodger decided to join and compete. The voucher was sent to Ms, Simpkins, and the three forecasters took turns paying weekly. Other than that, they also agreed to split the prize money equally. Surprisingly, the grandma won the £250 but refused to share those with them as planned. The lodger, Mr. Pays filed the case to get the portion of the winnings. According to the case, there was an intention for legal relations because the three parties had agreed to share their winnings and had taken it seriously by putting the agreement in written form. The judge further concluded that there was enough mutual support in the agreements to create a legal binding agreement to share the rewards, and it was decided that the plaintiff was entitled to his share (Richards, 2009). </w:t>
      </w:r>
    </w:p>
    <w:p w14:paraId="0730611E" w14:textId="77777777" w:rsidR="00485AFB" w:rsidRDefault="00485AFB">
      <w:pPr>
        <w:spacing w:line="360" w:lineRule="auto"/>
        <w:jc w:val="both"/>
        <w:rPr>
          <w:rFonts w:ascii="Times New Roman" w:eastAsia="Times New Roman" w:hAnsi="Times New Roman" w:cs="Times New Roman"/>
          <w:sz w:val="24"/>
          <w:szCs w:val="24"/>
        </w:rPr>
      </w:pPr>
    </w:p>
    <w:p w14:paraId="660A60B0" w14:textId="77777777" w:rsidR="00485AFB" w:rsidRPr="00902F1D" w:rsidRDefault="00000000" w:rsidP="00902F1D">
      <w:pPr>
        <w:pStyle w:val="Heading1"/>
        <w:rPr>
          <w:rFonts w:ascii="Times New Roman" w:hAnsi="Times New Roman" w:cs="Times New Roman"/>
          <w:b/>
          <w:bCs/>
          <w:sz w:val="24"/>
          <w:szCs w:val="24"/>
        </w:rPr>
      </w:pPr>
      <w:bookmarkStart w:id="3" w:name="_Toc129370122"/>
      <w:r w:rsidRPr="00902F1D">
        <w:rPr>
          <w:rFonts w:ascii="Times New Roman" w:hAnsi="Times New Roman" w:cs="Times New Roman"/>
          <w:b/>
          <w:bCs/>
          <w:sz w:val="24"/>
          <w:szCs w:val="24"/>
        </w:rPr>
        <w:lastRenderedPageBreak/>
        <w:t>3.0 Agreements made within the commercial or business context</w:t>
      </w:r>
      <w:bookmarkEnd w:id="3"/>
    </w:p>
    <w:p w14:paraId="372C20E5" w14:textId="77777777" w:rsidR="00485AFB" w:rsidRDefault="00485AFB">
      <w:pPr>
        <w:rPr>
          <w:rFonts w:ascii="Times New Roman" w:eastAsia="Times New Roman" w:hAnsi="Times New Roman" w:cs="Times New Roman"/>
          <w:sz w:val="24"/>
          <w:szCs w:val="24"/>
        </w:rPr>
      </w:pPr>
    </w:p>
    <w:p w14:paraId="32F6CCAE" w14:textId="77777777" w:rsidR="00485AFB"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 business or commercial agreement is a type of commercial agreement that outlines the terms and conditions of commercial dealings between two parties. It is important to know the different kinds of commercial agreements for future reference. For example, business owners need to strategize their agreements with third parties in writing for security or protection (Eliza </w:t>
      </w:r>
      <w:proofErr w:type="spellStart"/>
      <w:r>
        <w:rPr>
          <w:rFonts w:ascii="Times New Roman" w:eastAsia="Times New Roman" w:hAnsi="Times New Roman" w:cs="Times New Roman"/>
          <w:sz w:val="24"/>
          <w:szCs w:val="24"/>
        </w:rPr>
        <w:t>Mik</w:t>
      </w:r>
      <w:proofErr w:type="spellEnd"/>
      <w:r>
        <w:rPr>
          <w:rFonts w:ascii="Times New Roman" w:eastAsia="Times New Roman" w:hAnsi="Times New Roman" w:cs="Times New Roman"/>
          <w:sz w:val="24"/>
          <w:szCs w:val="24"/>
        </w:rPr>
        <w:t xml:space="preserve">, 2015). There is a presumption that a contract agreed into in the course of business is a contractually binding agreement. This presumption can be rebutted, but strong evidence is needed. Besides that, it can also be done in writing by including an express statement to that effect (Richards, 2009). An example of a case in commercial or business agreements is Esso v Commissioners of Customs and Excise (1975) when Esso ran a sales campaign in which "coins" featuring England's World Cup football team players were to be given away free with every four gallons of gasoline. Posters at gas stations and television advertisements also promoted the program. The issue emerged when it became necessary to determine whether or not there was a contract of sale for tax purposes. As refer to Lords Simon and Wilberforce agree that there was an intention based on the commercial context and significant financial benefit that Esso anticipated from the </w:t>
      </w:r>
      <w:proofErr w:type="gramStart"/>
      <w:r>
        <w:rPr>
          <w:rFonts w:ascii="Times New Roman" w:eastAsia="Times New Roman" w:hAnsi="Times New Roman" w:cs="Times New Roman"/>
          <w:sz w:val="24"/>
          <w:szCs w:val="24"/>
        </w:rPr>
        <w:t>plan  (</w:t>
      </w:r>
      <w:proofErr w:type="gramEnd"/>
      <w:r>
        <w:rPr>
          <w:rFonts w:ascii="Times New Roman" w:eastAsia="Times New Roman" w:hAnsi="Times New Roman" w:cs="Times New Roman"/>
          <w:sz w:val="24"/>
          <w:szCs w:val="24"/>
        </w:rPr>
        <w:t xml:space="preserve">Poole, 2014). </w:t>
      </w:r>
    </w:p>
    <w:p w14:paraId="411700BC" w14:textId="77777777" w:rsidR="00485AFB" w:rsidRDefault="00485AFB">
      <w:pPr>
        <w:spacing w:line="360" w:lineRule="auto"/>
        <w:jc w:val="both"/>
        <w:rPr>
          <w:rFonts w:ascii="Times New Roman" w:eastAsia="Times New Roman" w:hAnsi="Times New Roman" w:cs="Times New Roman"/>
          <w:sz w:val="24"/>
          <w:szCs w:val="24"/>
        </w:rPr>
      </w:pPr>
    </w:p>
    <w:p w14:paraId="2A83F7C0" w14:textId="140E3C03" w:rsidR="00485AFB" w:rsidRDefault="00000000">
      <w:pPr>
        <w:spacing w:line="360" w:lineRule="auto"/>
        <w:jc w:val="both"/>
        <w:rPr>
          <w:sz w:val="24"/>
          <w:szCs w:val="24"/>
        </w:rPr>
      </w:pPr>
      <w:r>
        <w:rPr>
          <w:rFonts w:ascii="Times New Roman" w:eastAsia="Times New Roman" w:hAnsi="Times New Roman" w:cs="Times New Roman"/>
          <w:sz w:val="24"/>
          <w:szCs w:val="24"/>
        </w:rPr>
        <w:t xml:space="preserve">In the case of Edward v Skyways (1964), there was a redundant notice whereby the plaintiff was employed as a pilot of an airline. It was then given two options where the plaintiff </w:t>
      </w:r>
      <w:r w:rsidR="003E358C">
        <w:rPr>
          <w:rFonts w:ascii="Times New Roman" w:eastAsia="Times New Roman" w:hAnsi="Times New Roman" w:cs="Times New Roman"/>
          <w:sz w:val="24"/>
          <w:szCs w:val="24"/>
        </w:rPr>
        <w:t>takes</w:t>
      </w:r>
      <w:r>
        <w:rPr>
          <w:rFonts w:ascii="Times New Roman" w:eastAsia="Times New Roman" w:hAnsi="Times New Roman" w:cs="Times New Roman"/>
          <w:sz w:val="24"/>
          <w:szCs w:val="24"/>
        </w:rPr>
        <w:t xml:space="preserve"> contributions or receive the pension. When the plaintiff's professional association contacted them on his behalf, the defendants agreed to pay him the payment equal to the contribution to the fund if he chose the first choice (Poole, 2014). There was then an agreement from the plaintiff based on the terms and decided to postpone making a donation. He was then given his whole contributions by the defendants, but they refused. The plaintiff succeeded in his case for breach of contract. Last but not least, there was an intention to create a legal relationship and it is liable to make payment in a way it failed to discharge (Richards, 2009). </w:t>
      </w:r>
    </w:p>
    <w:p w14:paraId="23C45738" w14:textId="372F192B" w:rsidR="00485AFB" w:rsidRDefault="00000000">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As for the Rose &amp; Frank v Crompton Bros (1925), it is based on an English organization that consented to specific carbon copy products. The agreement, which was later signed in writing, allow the plaintiffs to sell the products with the possibility of an extension in the USA and Canada. Moreover, there is also a document ‘Honourable Pledge Clause’ which is described as a formal or legal agreement. No such intention to create a contract which resulted in the Court of Appeal determining that there were already orders that formed a different and contractual </w:t>
      </w:r>
      <w:r>
        <w:rPr>
          <w:rFonts w:ascii="Times New Roman" w:eastAsia="Times New Roman" w:hAnsi="Times New Roman" w:cs="Times New Roman"/>
          <w:sz w:val="24"/>
          <w:szCs w:val="24"/>
        </w:rPr>
        <w:lastRenderedPageBreak/>
        <w:t xml:space="preserve">binding agreement that defendants required to uphold. Therefore, in this case, there is still a presumption in the commercial agreements as it is seen as an intention to create a legal </w:t>
      </w:r>
      <w:r w:rsidR="003E358C">
        <w:rPr>
          <w:rFonts w:ascii="Times New Roman" w:eastAsia="Times New Roman" w:hAnsi="Times New Roman" w:cs="Times New Roman"/>
          <w:sz w:val="24"/>
          <w:szCs w:val="24"/>
        </w:rPr>
        <w:t>relationship (</w:t>
      </w:r>
      <w:r>
        <w:rPr>
          <w:rFonts w:ascii="Times New Roman" w:eastAsia="Times New Roman" w:hAnsi="Times New Roman" w:cs="Times New Roman"/>
          <w:sz w:val="24"/>
          <w:szCs w:val="24"/>
        </w:rPr>
        <w:t xml:space="preserve">Richards, 2009). </w:t>
      </w:r>
    </w:p>
    <w:p w14:paraId="3E52CA59" w14:textId="0F369A98" w:rsidR="00485AFB" w:rsidRDefault="00000000">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Kleinwort Benson v. Malaysia Mining Corp. (1989) is the final </w:t>
      </w:r>
      <w:r w:rsidR="003E358C">
        <w:rPr>
          <w:rFonts w:ascii="Times New Roman" w:eastAsia="Times New Roman" w:hAnsi="Times New Roman" w:cs="Times New Roman"/>
          <w:sz w:val="24"/>
          <w:szCs w:val="24"/>
        </w:rPr>
        <w:t>case in</w:t>
      </w:r>
      <w:r>
        <w:rPr>
          <w:rFonts w:ascii="Times New Roman" w:eastAsia="Times New Roman" w:hAnsi="Times New Roman" w:cs="Times New Roman"/>
          <w:sz w:val="24"/>
          <w:szCs w:val="24"/>
        </w:rPr>
        <w:t xml:space="preserve"> which the plaintiff bank agreed to provide a loan facility to MMC, a trading company listed on the London Metal Exchange, through its wholly-owned subsidiary. The bank then refused to make the loan based only on the MMCs. Following several discussions, MMC agreed to write a letter of comfort.  It is known as a letter or memorandum that is typically written by a holding company to a lender on the funding of one of the holding company's subsidiaries in order to reassure the lender of the subsidiary's financial stability (Uwtsd.ac.uk, 2023). The case was about an intention to create a legal relationship whereby the judge found it to be a commercial agreement and a contractual obligation on the part of the defendants. Compared with Edward v Skyways (1964) in the MMC case, it was stated that the commercial setting implied an intention to establish a legal connection. </w:t>
      </w:r>
    </w:p>
    <w:p w14:paraId="09298B5B" w14:textId="77777777" w:rsidR="00485AFB" w:rsidRDefault="00000000">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ERDC Group Ltd v Brunel University (2006), in accordance with the letter of appointment, the design of the construction for additional sports facilities at the Uxbridge site was advanced while full planning approval was still pending. Following the issuance of the letters of appointment, the claimant began building under subsequent such letters. Once the work was completed, unfortunately, the claimant refused to sign and insisted that all work be valued in accordance with quantum meruit principles as opposed to the usual JCT Standard Form requirements if they were to continue working. Accordance to the Court, there was an intention to create legal relations and that work was done pursuant to the letters of the contract prior to the expiry of the last contract. </w:t>
      </w:r>
    </w:p>
    <w:p w14:paraId="19D3DF6D" w14:textId="77777777" w:rsidR="00485AFB" w:rsidRPr="00902F1D" w:rsidRDefault="00000000" w:rsidP="00902F1D">
      <w:pPr>
        <w:pStyle w:val="Heading1"/>
        <w:spacing w:line="360" w:lineRule="auto"/>
        <w:jc w:val="both"/>
        <w:rPr>
          <w:rFonts w:ascii="Times New Roman" w:hAnsi="Times New Roman" w:cs="Times New Roman"/>
          <w:b/>
          <w:bCs/>
          <w:sz w:val="24"/>
          <w:szCs w:val="24"/>
        </w:rPr>
      </w:pPr>
      <w:bookmarkStart w:id="4" w:name="_Toc129370123"/>
      <w:r w:rsidRPr="00902F1D">
        <w:rPr>
          <w:rFonts w:ascii="Times New Roman" w:hAnsi="Times New Roman" w:cs="Times New Roman"/>
          <w:b/>
          <w:bCs/>
          <w:sz w:val="24"/>
          <w:szCs w:val="24"/>
        </w:rPr>
        <w:t>4.0 Agreements made within public bodies or those which affect the public interest</w:t>
      </w:r>
      <w:bookmarkEnd w:id="4"/>
    </w:p>
    <w:p w14:paraId="702F295E" w14:textId="77777777" w:rsidR="00485AFB" w:rsidRDefault="00000000">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Regarding public bodies, a court will rule that even if a contract appears to be enforceable, there is no contractual relationship to be formed and no intention to form legal relations. Among them is </w:t>
      </w:r>
      <w:proofErr w:type="spellStart"/>
      <w:r>
        <w:rPr>
          <w:rFonts w:ascii="Times New Roman" w:eastAsia="Times New Roman" w:hAnsi="Times New Roman" w:cs="Times New Roman"/>
          <w:sz w:val="24"/>
          <w:szCs w:val="24"/>
        </w:rPr>
        <w:t>Triefus</w:t>
      </w:r>
      <w:proofErr w:type="spellEnd"/>
      <w:r>
        <w:rPr>
          <w:rFonts w:ascii="Times New Roman" w:eastAsia="Times New Roman" w:hAnsi="Times New Roman" w:cs="Times New Roman"/>
          <w:sz w:val="24"/>
          <w:szCs w:val="24"/>
        </w:rPr>
        <w:t xml:space="preserve"> v. Post Office (1957). After the defendant misplaced two postal packets, the plaintiff filed a claim for damages. The Court determined that the Post Office's acceptance of a postal package for transmission to the addressee did not give rise to any contractual obligations. The court examined the development of the law governing mail delivery. As for Robinson v HM Customs &amp; Excise (2000), the customs offered a prize, but the offer was not </w:t>
      </w:r>
      <w:r>
        <w:rPr>
          <w:rFonts w:ascii="Times New Roman" w:eastAsia="Times New Roman" w:hAnsi="Times New Roman" w:cs="Times New Roman"/>
          <w:sz w:val="24"/>
          <w:szCs w:val="24"/>
        </w:rPr>
        <w:lastRenderedPageBreak/>
        <w:t>guaranteed, and no attempt was made to form a contract or other binding legal agreement. No legally enforceable agreement to make payment had been made because it had been made aware that the decision about the prize would not be made by the officer but rather by his superior at that officer's discretion.</w:t>
      </w:r>
    </w:p>
    <w:p w14:paraId="5C52F402" w14:textId="77777777" w:rsidR="00485AFB" w:rsidRDefault="00485AFB">
      <w:pPr>
        <w:rPr>
          <w:rFonts w:ascii="Times New Roman" w:eastAsia="Times New Roman" w:hAnsi="Times New Roman" w:cs="Times New Roman"/>
          <w:sz w:val="24"/>
          <w:szCs w:val="24"/>
        </w:rPr>
      </w:pPr>
    </w:p>
    <w:p w14:paraId="7567CA1D" w14:textId="77777777" w:rsidR="00485AFB" w:rsidRDefault="00485AFB">
      <w:pPr>
        <w:rPr>
          <w:rFonts w:ascii="Times New Roman" w:eastAsia="Times New Roman" w:hAnsi="Times New Roman" w:cs="Times New Roman"/>
          <w:sz w:val="24"/>
          <w:szCs w:val="24"/>
        </w:rPr>
      </w:pPr>
    </w:p>
    <w:p w14:paraId="29C1AF20" w14:textId="77777777" w:rsidR="00485AFB" w:rsidRDefault="00485AFB">
      <w:pPr>
        <w:rPr>
          <w:rFonts w:ascii="Times New Roman" w:eastAsia="Times New Roman" w:hAnsi="Times New Roman" w:cs="Times New Roman"/>
          <w:sz w:val="24"/>
          <w:szCs w:val="24"/>
        </w:rPr>
      </w:pPr>
    </w:p>
    <w:p w14:paraId="06682A62" w14:textId="77777777" w:rsidR="00485AFB" w:rsidRDefault="00485AFB">
      <w:pPr>
        <w:rPr>
          <w:rFonts w:ascii="Times New Roman" w:eastAsia="Times New Roman" w:hAnsi="Times New Roman" w:cs="Times New Roman"/>
          <w:sz w:val="24"/>
          <w:szCs w:val="24"/>
        </w:rPr>
      </w:pPr>
    </w:p>
    <w:p w14:paraId="652E9737" w14:textId="77777777" w:rsidR="00485AFB" w:rsidRDefault="00485AFB">
      <w:pPr>
        <w:rPr>
          <w:rFonts w:ascii="Times New Roman" w:eastAsia="Times New Roman" w:hAnsi="Times New Roman" w:cs="Times New Roman"/>
          <w:sz w:val="24"/>
          <w:szCs w:val="24"/>
        </w:rPr>
      </w:pPr>
    </w:p>
    <w:p w14:paraId="476BF9DD" w14:textId="77777777" w:rsidR="00485AFB" w:rsidRDefault="00485AFB">
      <w:pPr>
        <w:rPr>
          <w:rFonts w:ascii="Times New Roman" w:eastAsia="Times New Roman" w:hAnsi="Times New Roman" w:cs="Times New Roman"/>
          <w:sz w:val="24"/>
          <w:szCs w:val="24"/>
        </w:rPr>
      </w:pPr>
    </w:p>
    <w:p w14:paraId="145D67CF" w14:textId="77777777" w:rsidR="00485AFB" w:rsidRDefault="00485AFB">
      <w:pPr>
        <w:rPr>
          <w:rFonts w:ascii="Times New Roman" w:eastAsia="Times New Roman" w:hAnsi="Times New Roman" w:cs="Times New Roman"/>
          <w:sz w:val="24"/>
          <w:szCs w:val="24"/>
        </w:rPr>
      </w:pPr>
    </w:p>
    <w:p w14:paraId="5E641F7A" w14:textId="77777777" w:rsidR="00485AFB" w:rsidRDefault="00485AFB">
      <w:pPr>
        <w:rPr>
          <w:rFonts w:ascii="Times New Roman" w:eastAsia="Times New Roman" w:hAnsi="Times New Roman" w:cs="Times New Roman"/>
          <w:sz w:val="24"/>
          <w:szCs w:val="24"/>
        </w:rPr>
      </w:pPr>
    </w:p>
    <w:p w14:paraId="42187CC3" w14:textId="77777777" w:rsidR="00485AFB" w:rsidRDefault="00485AFB">
      <w:pPr>
        <w:rPr>
          <w:rFonts w:ascii="Times New Roman" w:eastAsia="Times New Roman" w:hAnsi="Times New Roman" w:cs="Times New Roman"/>
          <w:sz w:val="24"/>
          <w:szCs w:val="24"/>
        </w:rPr>
      </w:pPr>
    </w:p>
    <w:p w14:paraId="40771ED4" w14:textId="77777777" w:rsidR="00485AFB" w:rsidRDefault="00485AFB">
      <w:pPr>
        <w:rPr>
          <w:rFonts w:ascii="Times New Roman" w:eastAsia="Times New Roman" w:hAnsi="Times New Roman" w:cs="Times New Roman"/>
          <w:sz w:val="24"/>
          <w:szCs w:val="24"/>
        </w:rPr>
      </w:pPr>
    </w:p>
    <w:p w14:paraId="34E68AA0" w14:textId="77777777" w:rsidR="00485AFB" w:rsidRDefault="00485AFB">
      <w:pPr>
        <w:rPr>
          <w:rFonts w:ascii="Times New Roman" w:eastAsia="Times New Roman" w:hAnsi="Times New Roman" w:cs="Times New Roman"/>
          <w:sz w:val="24"/>
          <w:szCs w:val="24"/>
        </w:rPr>
      </w:pPr>
    </w:p>
    <w:p w14:paraId="0B60ED47" w14:textId="77777777" w:rsidR="00485AFB" w:rsidRDefault="00485AFB">
      <w:pPr>
        <w:rPr>
          <w:rFonts w:ascii="Times New Roman" w:eastAsia="Times New Roman" w:hAnsi="Times New Roman" w:cs="Times New Roman"/>
          <w:sz w:val="24"/>
          <w:szCs w:val="24"/>
        </w:rPr>
      </w:pPr>
    </w:p>
    <w:p w14:paraId="207B6568" w14:textId="77777777" w:rsidR="00485AFB" w:rsidRDefault="00485AFB">
      <w:pPr>
        <w:rPr>
          <w:rFonts w:ascii="Times New Roman" w:eastAsia="Times New Roman" w:hAnsi="Times New Roman" w:cs="Times New Roman"/>
          <w:sz w:val="24"/>
          <w:szCs w:val="24"/>
        </w:rPr>
      </w:pPr>
    </w:p>
    <w:p w14:paraId="38EE0B7E" w14:textId="77777777" w:rsidR="00485AFB" w:rsidRDefault="00485AFB">
      <w:pPr>
        <w:rPr>
          <w:rFonts w:ascii="Times New Roman" w:eastAsia="Times New Roman" w:hAnsi="Times New Roman" w:cs="Times New Roman"/>
          <w:sz w:val="24"/>
          <w:szCs w:val="24"/>
        </w:rPr>
      </w:pPr>
    </w:p>
    <w:p w14:paraId="1F3BA9E8" w14:textId="77777777" w:rsidR="00485AFB" w:rsidRDefault="00485AFB">
      <w:pPr>
        <w:rPr>
          <w:rFonts w:ascii="Times New Roman" w:eastAsia="Times New Roman" w:hAnsi="Times New Roman" w:cs="Times New Roman"/>
          <w:sz w:val="24"/>
          <w:szCs w:val="24"/>
        </w:rPr>
      </w:pPr>
    </w:p>
    <w:p w14:paraId="4EF1E78C" w14:textId="77777777" w:rsidR="00485AFB" w:rsidRDefault="00485AFB">
      <w:pPr>
        <w:rPr>
          <w:rFonts w:ascii="Times New Roman" w:eastAsia="Times New Roman" w:hAnsi="Times New Roman" w:cs="Times New Roman"/>
          <w:sz w:val="24"/>
          <w:szCs w:val="24"/>
        </w:rPr>
      </w:pPr>
    </w:p>
    <w:p w14:paraId="314CBD87" w14:textId="77777777" w:rsidR="00485AFB" w:rsidRDefault="00485AFB">
      <w:pPr>
        <w:rPr>
          <w:rFonts w:ascii="Times New Roman" w:eastAsia="Times New Roman" w:hAnsi="Times New Roman" w:cs="Times New Roman"/>
          <w:sz w:val="24"/>
          <w:szCs w:val="24"/>
        </w:rPr>
      </w:pPr>
    </w:p>
    <w:p w14:paraId="680FAB73" w14:textId="77777777" w:rsidR="00485AFB" w:rsidRDefault="00485AFB">
      <w:pPr>
        <w:rPr>
          <w:rFonts w:ascii="Times New Roman" w:eastAsia="Times New Roman" w:hAnsi="Times New Roman" w:cs="Times New Roman"/>
          <w:sz w:val="24"/>
          <w:szCs w:val="24"/>
        </w:rPr>
      </w:pPr>
    </w:p>
    <w:p w14:paraId="3C313897" w14:textId="77777777" w:rsidR="00485AFB" w:rsidRDefault="00485AFB">
      <w:pPr>
        <w:rPr>
          <w:rFonts w:ascii="Times New Roman" w:eastAsia="Times New Roman" w:hAnsi="Times New Roman" w:cs="Times New Roman"/>
          <w:sz w:val="24"/>
          <w:szCs w:val="24"/>
        </w:rPr>
      </w:pPr>
    </w:p>
    <w:p w14:paraId="4754BC37" w14:textId="77777777" w:rsidR="00485AFB" w:rsidRDefault="00485AFB">
      <w:pPr>
        <w:rPr>
          <w:rFonts w:ascii="Times New Roman" w:eastAsia="Times New Roman" w:hAnsi="Times New Roman" w:cs="Times New Roman"/>
          <w:sz w:val="24"/>
          <w:szCs w:val="24"/>
        </w:rPr>
      </w:pPr>
    </w:p>
    <w:p w14:paraId="18C56F23" w14:textId="77777777" w:rsidR="00485AFB" w:rsidRDefault="00485AFB">
      <w:pPr>
        <w:rPr>
          <w:rFonts w:ascii="Times New Roman" w:eastAsia="Times New Roman" w:hAnsi="Times New Roman" w:cs="Times New Roman"/>
          <w:sz w:val="24"/>
          <w:szCs w:val="24"/>
        </w:rPr>
      </w:pPr>
    </w:p>
    <w:p w14:paraId="69454D6E" w14:textId="77777777" w:rsidR="00485AFB" w:rsidRDefault="00485AFB">
      <w:pPr>
        <w:rPr>
          <w:rFonts w:ascii="Times New Roman" w:eastAsia="Times New Roman" w:hAnsi="Times New Roman" w:cs="Times New Roman"/>
          <w:sz w:val="24"/>
          <w:szCs w:val="24"/>
        </w:rPr>
      </w:pPr>
    </w:p>
    <w:p w14:paraId="35B8B3AB" w14:textId="0120EFF2" w:rsidR="00485AFB" w:rsidRDefault="00485AFB">
      <w:pPr>
        <w:rPr>
          <w:rFonts w:ascii="Times New Roman" w:eastAsia="Times New Roman" w:hAnsi="Times New Roman" w:cs="Times New Roman"/>
          <w:sz w:val="24"/>
          <w:szCs w:val="24"/>
        </w:rPr>
      </w:pPr>
    </w:p>
    <w:p w14:paraId="67A1DADF" w14:textId="4756938D" w:rsidR="003E358C" w:rsidRDefault="003E358C">
      <w:pPr>
        <w:rPr>
          <w:rFonts w:ascii="Times New Roman" w:eastAsia="Times New Roman" w:hAnsi="Times New Roman" w:cs="Times New Roman"/>
          <w:sz w:val="24"/>
          <w:szCs w:val="24"/>
        </w:rPr>
      </w:pPr>
    </w:p>
    <w:p w14:paraId="5F6754CC" w14:textId="433B3206" w:rsidR="003E358C" w:rsidRDefault="003E358C">
      <w:pPr>
        <w:rPr>
          <w:rFonts w:ascii="Times New Roman" w:eastAsia="Times New Roman" w:hAnsi="Times New Roman" w:cs="Times New Roman"/>
          <w:sz w:val="24"/>
          <w:szCs w:val="24"/>
        </w:rPr>
      </w:pPr>
    </w:p>
    <w:p w14:paraId="50FAE573" w14:textId="46D79954" w:rsidR="003E358C" w:rsidRDefault="003E358C">
      <w:pPr>
        <w:rPr>
          <w:rFonts w:ascii="Times New Roman" w:eastAsia="Times New Roman" w:hAnsi="Times New Roman" w:cs="Times New Roman"/>
          <w:sz w:val="24"/>
          <w:szCs w:val="24"/>
        </w:rPr>
      </w:pPr>
    </w:p>
    <w:p w14:paraId="58220E45" w14:textId="5980B681" w:rsidR="003E358C" w:rsidRDefault="003E358C">
      <w:pPr>
        <w:rPr>
          <w:rFonts w:ascii="Times New Roman" w:eastAsia="Times New Roman" w:hAnsi="Times New Roman" w:cs="Times New Roman"/>
          <w:sz w:val="24"/>
          <w:szCs w:val="24"/>
        </w:rPr>
      </w:pPr>
    </w:p>
    <w:p w14:paraId="39E667E7" w14:textId="44C6BCAC" w:rsidR="003E358C" w:rsidRDefault="003E358C">
      <w:pPr>
        <w:rPr>
          <w:rFonts w:ascii="Times New Roman" w:eastAsia="Times New Roman" w:hAnsi="Times New Roman" w:cs="Times New Roman"/>
          <w:sz w:val="24"/>
          <w:szCs w:val="24"/>
        </w:rPr>
      </w:pPr>
      <w:r>
        <w:rPr>
          <w:rFonts w:ascii="Times New Roman" w:eastAsia="Times New Roman" w:hAnsi="Times New Roman" w:cs="Times New Roman"/>
          <w:sz w:val="24"/>
          <w:szCs w:val="24"/>
        </w:rPr>
        <w:br/>
      </w:r>
    </w:p>
    <w:p w14:paraId="1740E68F" w14:textId="3187919C" w:rsidR="003E358C" w:rsidRDefault="003E358C">
      <w:pPr>
        <w:rPr>
          <w:rFonts w:ascii="Times New Roman" w:eastAsia="Times New Roman" w:hAnsi="Times New Roman" w:cs="Times New Roman"/>
          <w:sz w:val="24"/>
          <w:szCs w:val="24"/>
        </w:rPr>
      </w:pPr>
    </w:p>
    <w:p w14:paraId="38E9DC0C" w14:textId="2BFA2A23" w:rsidR="003E358C" w:rsidRDefault="003E358C">
      <w:pPr>
        <w:rPr>
          <w:rFonts w:ascii="Times New Roman" w:eastAsia="Times New Roman" w:hAnsi="Times New Roman" w:cs="Times New Roman"/>
          <w:sz w:val="24"/>
          <w:szCs w:val="24"/>
        </w:rPr>
      </w:pPr>
    </w:p>
    <w:p w14:paraId="372F4E31" w14:textId="13B33EEC" w:rsidR="003E358C" w:rsidRDefault="003E358C">
      <w:pPr>
        <w:rPr>
          <w:rFonts w:ascii="Times New Roman" w:eastAsia="Times New Roman" w:hAnsi="Times New Roman" w:cs="Times New Roman"/>
          <w:sz w:val="24"/>
          <w:szCs w:val="24"/>
        </w:rPr>
      </w:pPr>
    </w:p>
    <w:p w14:paraId="5E818EBE" w14:textId="21A9F8BF" w:rsidR="003E358C" w:rsidRDefault="003E358C">
      <w:pPr>
        <w:rPr>
          <w:rFonts w:ascii="Times New Roman" w:eastAsia="Times New Roman" w:hAnsi="Times New Roman" w:cs="Times New Roman"/>
          <w:sz w:val="24"/>
          <w:szCs w:val="24"/>
        </w:rPr>
      </w:pPr>
    </w:p>
    <w:p w14:paraId="10B86B17" w14:textId="374FEA87" w:rsidR="003E358C" w:rsidRDefault="003E358C">
      <w:pPr>
        <w:rPr>
          <w:rFonts w:ascii="Times New Roman" w:eastAsia="Times New Roman" w:hAnsi="Times New Roman" w:cs="Times New Roman"/>
          <w:sz w:val="24"/>
          <w:szCs w:val="24"/>
        </w:rPr>
      </w:pPr>
    </w:p>
    <w:p w14:paraId="0FE4FE4F" w14:textId="5A067B81" w:rsidR="003E358C" w:rsidRDefault="003E358C">
      <w:pPr>
        <w:rPr>
          <w:rFonts w:ascii="Times New Roman" w:eastAsia="Times New Roman" w:hAnsi="Times New Roman" w:cs="Times New Roman"/>
          <w:sz w:val="24"/>
          <w:szCs w:val="24"/>
        </w:rPr>
      </w:pPr>
    </w:p>
    <w:p w14:paraId="45BCFA2D" w14:textId="50B53D3E" w:rsidR="003E358C" w:rsidRDefault="003E358C">
      <w:pPr>
        <w:rPr>
          <w:rFonts w:ascii="Times New Roman" w:eastAsia="Times New Roman" w:hAnsi="Times New Roman" w:cs="Times New Roman"/>
          <w:sz w:val="24"/>
          <w:szCs w:val="24"/>
        </w:rPr>
      </w:pPr>
    </w:p>
    <w:p w14:paraId="53FB4ABD" w14:textId="77777777" w:rsidR="003E358C" w:rsidRDefault="003E358C">
      <w:pPr>
        <w:rPr>
          <w:rFonts w:ascii="Times New Roman" w:eastAsia="Times New Roman" w:hAnsi="Times New Roman" w:cs="Times New Roman"/>
          <w:sz w:val="24"/>
          <w:szCs w:val="24"/>
        </w:rPr>
      </w:pPr>
    </w:p>
    <w:p w14:paraId="09D16E28" w14:textId="77777777" w:rsidR="00485AFB" w:rsidRPr="00902F1D" w:rsidRDefault="00000000" w:rsidP="00902F1D">
      <w:pPr>
        <w:pStyle w:val="Heading1"/>
        <w:spacing w:line="360" w:lineRule="auto"/>
        <w:jc w:val="both"/>
        <w:rPr>
          <w:rFonts w:ascii="Times New Roman" w:hAnsi="Times New Roman" w:cs="Times New Roman"/>
          <w:b/>
          <w:bCs/>
          <w:sz w:val="24"/>
          <w:szCs w:val="24"/>
        </w:rPr>
      </w:pPr>
      <w:bookmarkStart w:id="5" w:name="_Toc129370124"/>
      <w:r w:rsidRPr="00902F1D">
        <w:rPr>
          <w:rFonts w:ascii="Times New Roman" w:hAnsi="Times New Roman" w:cs="Times New Roman"/>
          <w:b/>
          <w:bCs/>
          <w:sz w:val="24"/>
          <w:szCs w:val="24"/>
        </w:rPr>
        <w:lastRenderedPageBreak/>
        <w:t>5.0 Reference List</w:t>
      </w:r>
      <w:bookmarkEnd w:id="5"/>
    </w:p>
    <w:p w14:paraId="427BAF80" w14:textId="77777777" w:rsidR="00485AFB" w:rsidRDefault="00485AFB">
      <w:pPr>
        <w:rPr>
          <w:rFonts w:ascii="Times New Roman" w:eastAsia="Times New Roman" w:hAnsi="Times New Roman" w:cs="Times New Roman"/>
          <w:b/>
          <w:sz w:val="24"/>
          <w:szCs w:val="24"/>
        </w:rPr>
      </w:pPr>
    </w:p>
    <w:p w14:paraId="1E089978" w14:textId="77777777" w:rsidR="00485AFB" w:rsidRDefault="00000000">
      <w:pPr>
        <w:rPr>
          <w:rFonts w:ascii="Times New Roman" w:eastAsia="Times New Roman" w:hAnsi="Times New Roman" w:cs="Times New Roman"/>
          <w:b/>
          <w:sz w:val="24"/>
          <w:szCs w:val="24"/>
        </w:rPr>
      </w:pPr>
      <w:r>
        <w:rPr>
          <w:rFonts w:ascii="Times New Roman" w:eastAsia="Times New Roman" w:hAnsi="Times New Roman" w:cs="Times New Roman"/>
          <w:b/>
          <w:sz w:val="24"/>
          <w:szCs w:val="24"/>
        </w:rPr>
        <w:t>Case Law</w:t>
      </w:r>
    </w:p>
    <w:p w14:paraId="4AF44D83" w14:textId="77777777" w:rsidR="00485AFB" w:rsidRDefault="00485AFB">
      <w:pPr>
        <w:rPr>
          <w:rFonts w:ascii="Times New Roman" w:eastAsia="Times New Roman" w:hAnsi="Times New Roman" w:cs="Times New Roman"/>
          <w:b/>
          <w:sz w:val="24"/>
          <w:szCs w:val="24"/>
        </w:rPr>
      </w:pPr>
    </w:p>
    <w:p w14:paraId="194E67EB" w14:textId="77777777" w:rsidR="00485AFB" w:rsidRPr="003E358C" w:rsidRDefault="00000000" w:rsidP="003E358C">
      <w:pPr>
        <w:numPr>
          <w:ilvl w:val="0"/>
          <w:numId w:val="1"/>
        </w:numPr>
        <w:spacing w:line="360" w:lineRule="auto"/>
        <w:jc w:val="both"/>
        <w:rPr>
          <w:rFonts w:ascii="Times New Roman" w:eastAsia="Times New Roman" w:hAnsi="Times New Roman" w:cs="Times New Roman"/>
          <w:sz w:val="24"/>
          <w:szCs w:val="24"/>
        </w:rPr>
      </w:pPr>
      <w:r w:rsidRPr="003E358C">
        <w:rPr>
          <w:rFonts w:ascii="Times New Roman" w:eastAsia="Times New Roman" w:hAnsi="Times New Roman" w:cs="Times New Roman"/>
          <w:sz w:val="24"/>
          <w:szCs w:val="24"/>
        </w:rPr>
        <w:t>Blue v Ashley (2017</w:t>
      </w:r>
      <w:proofErr w:type="gramStart"/>
      <w:r w:rsidRPr="003E358C">
        <w:rPr>
          <w:rFonts w:ascii="Times New Roman" w:eastAsia="Times New Roman" w:hAnsi="Times New Roman" w:cs="Times New Roman"/>
          <w:sz w:val="24"/>
          <w:szCs w:val="24"/>
        </w:rPr>
        <w:t xml:space="preserve">) </w:t>
      </w:r>
      <w:r w:rsidRPr="003E358C">
        <w:rPr>
          <w:rFonts w:ascii="Times New Roman" w:eastAsia="Times New Roman" w:hAnsi="Times New Roman" w:cs="Times New Roman"/>
          <w:i/>
          <w:sz w:val="24"/>
          <w:szCs w:val="24"/>
        </w:rPr>
        <w:t xml:space="preserve"> EWHC</w:t>
      </w:r>
      <w:proofErr w:type="gramEnd"/>
      <w:r w:rsidRPr="003E358C">
        <w:rPr>
          <w:rFonts w:ascii="Times New Roman" w:eastAsia="Times New Roman" w:hAnsi="Times New Roman" w:cs="Times New Roman"/>
          <w:i/>
          <w:sz w:val="24"/>
          <w:szCs w:val="24"/>
        </w:rPr>
        <w:t xml:space="preserve"> 1928</w:t>
      </w:r>
    </w:p>
    <w:p w14:paraId="6FF5673A" w14:textId="77777777" w:rsidR="00485AFB" w:rsidRPr="003E358C" w:rsidRDefault="00000000" w:rsidP="003E358C">
      <w:pPr>
        <w:numPr>
          <w:ilvl w:val="0"/>
          <w:numId w:val="1"/>
        </w:numPr>
        <w:spacing w:line="360" w:lineRule="auto"/>
        <w:jc w:val="both"/>
        <w:rPr>
          <w:rFonts w:ascii="Times New Roman" w:eastAsia="Times New Roman" w:hAnsi="Times New Roman" w:cs="Times New Roman"/>
          <w:sz w:val="24"/>
          <w:szCs w:val="24"/>
        </w:rPr>
      </w:pPr>
      <w:r w:rsidRPr="003E358C">
        <w:rPr>
          <w:rFonts w:ascii="Times New Roman" w:eastAsia="Times New Roman" w:hAnsi="Times New Roman" w:cs="Times New Roman"/>
          <w:sz w:val="24"/>
          <w:szCs w:val="24"/>
        </w:rPr>
        <w:t xml:space="preserve">Nicolene Ltd v Simmonds (1953) </w:t>
      </w:r>
      <w:r w:rsidRPr="003E358C">
        <w:rPr>
          <w:rFonts w:ascii="Times New Roman" w:eastAsia="Times New Roman" w:hAnsi="Times New Roman" w:cs="Times New Roman"/>
          <w:i/>
          <w:sz w:val="24"/>
          <w:szCs w:val="24"/>
        </w:rPr>
        <w:t>1QB 543</w:t>
      </w:r>
    </w:p>
    <w:p w14:paraId="34861980" w14:textId="77777777" w:rsidR="00485AFB" w:rsidRPr="003E358C" w:rsidRDefault="00000000" w:rsidP="003E358C">
      <w:pPr>
        <w:numPr>
          <w:ilvl w:val="0"/>
          <w:numId w:val="1"/>
        </w:numPr>
        <w:spacing w:line="360" w:lineRule="auto"/>
        <w:jc w:val="both"/>
        <w:rPr>
          <w:rFonts w:ascii="Times New Roman" w:eastAsia="Times New Roman" w:hAnsi="Times New Roman" w:cs="Times New Roman"/>
          <w:sz w:val="24"/>
          <w:szCs w:val="24"/>
        </w:rPr>
      </w:pPr>
      <w:r w:rsidRPr="003E358C">
        <w:rPr>
          <w:rFonts w:ascii="Times New Roman" w:eastAsia="Times New Roman" w:hAnsi="Times New Roman" w:cs="Times New Roman"/>
          <w:sz w:val="24"/>
          <w:szCs w:val="24"/>
        </w:rPr>
        <w:t>Balfour v Balfour (1919) 2KB 571</w:t>
      </w:r>
    </w:p>
    <w:p w14:paraId="178D200A" w14:textId="77777777" w:rsidR="00485AFB" w:rsidRPr="003E358C" w:rsidRDefault="00000000" w:rsidP="003E358C">
      <w:pPr>
        <w:numPr>
          <w:ilvl w:val="0"/>
          <w:numId w:val="1"/>
        </w:numPr>
        <w:spacing w:line="360" w:lineRule="auto"/>
        <w:jc w:val="both"/>
        <w:rPr>
          <w:rFonts w:ascii="Times New Roman" w:eastAsia="Times New Roman" w:hAnsi="Times New Roman" w:cs="Times New Roman"/>
          <w:sz w:val="24"/>
          <w:szCs w:val="24"/>
        </w:rPr>
      </w:pPr>
      <w:r w:rsidRPr="003E358C">
        <w:rPr>
          <w:rFonts w:ascii="Times New Roman" w:eastAsia="Times New Roman" w:hAnsi="Times New Roman" w:cs="Times New Roman"/>
          <w:sz w:val="24"/>
          <w:szCs w:val="24"/>
        </w:rPr>
        <w:t xml:space="preserve">Jones v </w:t>
      </w:r>
      <w:proofErr w:type="spellStart"/>
      <w:r w:rsidRPr="003E358C">
        <w:rPr>
          <w:rFonts w:ascii="Times New Roman" w:eastAsia="Times New Roman" w:hAnsi="Times New Roman" w:cs="Times New Roman"/>
          <w:sz w:val="24"/>
          <w:szCs w:val="24"/>
        </w:rPr>
        <w:t>Padavatton</w:t>
      </w:r>
      <w:proofErr w:type="spellEnd"/>
      <w:r w:rsidRPr="003E358C">
        <w:rPr>
          <w:rFonts w:ascii="Times New Roman" w:eastAsia="Times New Roman" w:hAnsi="Times New Roman" w:cs="Times New Roman"/>
          <w:sz w:val="24"/>
          <w:szCs w:val="24"/>
        </w:rPr>
        <w:t xml:space="preserve"> [1969] 1WLR 325</w:t>
      </w:r>
    </w:p>
    <w:p w14:paraId="1C12DFA0" w14:textId="77777777" w:rsidR="00485AFB" w:rsidRPr="003E358C" w:rsidRDefault="00000000" w:rsidP="003E358C">
      <w:pPr>
        <w:numPr>
          <w:ilvl w:val="0"/>
          <w:numId w:val="1"/>
        </w:numPr>
        <w:spacing w:line="360" w:lineRule="auto"/>
        <w:jc w:val="both"/>
        <w:rPr>
          <w:rFonts w:ascii="Times New Roman" w:eastAsia="Times New Roman" w:hAnsi="Times New Roman" w:cs="Times New Roman"/>
          <w:sz w:val="24"/>
          <w:szCs w:val="24"/>
        </w:rPr>
      </w:pPr>
      <w:r w:rsidRPr="003E358C">
        <w:rPr>
          <w:rFonts w:ascii="Times New Roman" w:eastAsia="Times New Roman" w:hAnsi="Times New Roman" w:cs="Times New Roman"/>
          <w:sz w:val="24"/>
          <w:szCs w:val="24"/>
        </w:rPr>
        <w:t xml:space="preserve">Merritt v Merritt [1970] </w:t>
      </w:r>
      <w:r w:rsidRPr="003E358C">
        <w:rPr>
          <w:rFonts w:ascii="Times New Roman" w:eastAsia="Times New Roman" w:hAnsi="Times New Roman" w:cs="Times New Roman"/>
          <w:sz w:val="24"/>
          <w:szCs w:val="24"/>
          <w:highlight w:val="white"/>
        </w:rPr>
        <w:t>1 WLR 1211</w:t>
      </w:r>
    </w:p>
    <w:p w14:paraId="1B19B540" w14:textId="77777777" w:rsidR="00485AFB" w:rsidRPr="003E358C" w:rsidRDefault="00000000" w:rsidP="003E358C">
      <w:pPr>
        <w:numPr>
          <w:ilvl w:val="0"/>
          <w:numId w:val="1"/>
        </w:numPr>
        <w:spacing w:line="360" w:lineRule="auto"/>
        <w:jc w:val="both"/>
        <w:rPr>
          <w:rFonts w:ascii="Times New Roman" w:eastAsia="Times New Roman" w:hAnsi="Times New Roman" w:cs="Times New Roman"/>
          <w:sz w:val="24"/>
          <w:szCs w:val="24"/>
        </w:rPr>
      </w:pPr>
      <w:r w:rsidRPr="003E358C">
        <w:rPr>
          <w:rFonts w:ascii="Times New Roman" w:eastAsia="Times New Roman" w:hAnsi="Times New Roman" w:cs="Times New Roman"/>
          <w:sz w:val="24"/>
          <w:szCs w:val="24"/>
        </w:rPr>
        <w:t xml:space="preserve">Simpkins v Pays [1955] </w:t>
      </w:r>
      <w:r w:rsidRPr="003E358C">
        <w:rPr>
          <w:rFonts w:ascii="Times New Roman" w:eastAsia="Times New Roman" w:hAnsi="Times New Roman" w:cs="Times New Roman"/>
          <w:color w:val="212529"/>
          <w:sz w:val="24"/>
          <w:szCs w:val="24"/>
          <w:highlight w:val="white"/>
        </w:rPr>
        <w:t>1 WLR 975</w:t>
      </w:r>
    </w:p>
    <w:p w14:paraId="444B0D99" w14:textId="77777777" w:rsidR="00485AFB" w:rsidRPr="003E358C" w:rsidRDefault="00000000" w:rsidP="003E358C">
      <w:pPr>
        <w:numPr>
          <w:ilvl w:val="0"/>
          <w:numId w:val="1"/>
        </w:numPr>
        <w:spacing w:line="360" w:lineRule="auto"/>
        <w:jc w:val="both"/>
        <w:rPr>
          <w:rFonts w:ascii="Times New Roman" w:eastAsia="Times New Roman" w:hAnsi="Times New Roman" w:cs="Times New Roman"/>
          <w:sz w:val="24"/>
          <w:szCs w:val="24"/>
        </w:rPr>
      </w:pPr>
      <w:r w:rsidRPr="003E358C">
        <w:rPr>
          <w:rFonts w:ascii="Times New Roman" w:eastAsia="Times New Roman" w:hAnsi="Times New Roman" w:cs="Times New Roman"/>
          <w:sz w:val="24"/>
          <w:szCs w:val="24"/>
        </w:rPr>
        <w:t>Esso v Commissioners of Customs and Excise [1975] 1WLR 1</w:t>
      </w:r>
    </w:p>
    <w:p w14:paraId="0E558D03" w14:textId="77777777" w:rsidR="00485AFB" w:rsidRPr="003E358C" w:rsidRDefault="00000000" w:rsidP="003E358C">
      <w:pPr>
        <w:numPr>
          <w:ilvl w:val="0"/>
          <w:numId w:val="1"/>
        </w:numPr>
        <w:spacing w:line="360" w:lineRule="auto"/>
        <w:jc w:val="both"/>
        <w:rPr>
          <w:rFonts w:ascii="Times New Roman" w:eastAsia="Times New Roman" w:hAnsi="Times New Roman" w:cs="Times New Roman"/>
          <w:sz w:val="24"/>
          <w:szCs w:val="24"/>
        </w:rPr>
      </w:pPr>
      <w:r w:rsidRPr="003E358C">
        <w:rPr>
          <w:rFonts w:ascii="Times New Roman" w:eastAsia="Times New Roman" w:hAnsi="Times New Roman" w:cs="Times New Roman"/>
          <w:sz w:val="24"/>
          <w:szCs w:val="24"/>
        </w:rPr>
        <w:t>Edwards v Skyways [1964] 1 WLR 349</w:t>
      </w:r>
    </w:p>
    <w:p w14:paraId="030F6B2F" w14:textId="77777777" w:rsidR="00485AFB" w:rsidRPr="003E358C" w:rsidRDefault="00000000" w:rsidP="003E358C">
      <w:pPr>
        <w:numPr>
          <w:ilvl w:val="0"/>
          <w:numId w:val="1"/>
        </w:numPr>
        <w:spacing w:line="360" w:lineRule="auto"/>
        <w:jc w:val="both"/>
        <w:rPr>
          <w:rFonts w:ascii="Times New Roman" w:eastAsia="Times New Roman" w:hAnsi="Times New Roman" w:cs="Times New Roman"/>
          <w:sz w:val="24"/>
          <w:szCs w:val="24"/>
        </w:rPr>
      </w:pPr>
      <w:r w:rsidRPr="003E358C">
        <w:rPr>
          <w:rFonts w:ascii="Times New Roman" w:eastAsia="Times New Roman" w:hAnsi="Times New Roman" w:cs="Times New Roman"/>
          <w:sz w:val="24"/>
          <w:szCs w:val="24"/>
        </w:rPr>
        <w:t>Rose &amp; Frank v Crompton Bros [1925] AC 445</w:t>
      </w:r>
    </w:p>
    <w:p w14:paraId="018F9B4E" w14:textId="77777777" w:rsidR="00485AFB" w:rsidRPr="003E358C" w:rsidRDefault="00000000" w:rsidP="003E358C">
      <w:pPr>
        <w:numPr>
          <w:ilvl w:val="0"/>
          <w:numId w:val="1"/>
        </w:numPr>
        <w:spacing w:line="360" w:lineRule="auto"/>
        <w:jc w:val="both"/>
        <w:rPr>
          <w:rFonts w:ascii="Times New Roman" w:eastAsia="Times New Roman" w:hAnsi="Times New Roman" w:cs="Times New Roman"/>
          <w:sz w:val="24"/>
          <w:szCs w:val="24"/>
        </w:rPr>
      </w:pPr>
      <w:r w:rsidRPr="003E358C">
        <w:rPr>
          <w:rFonts w:ascii="Times New Roman" w:eastAsia="Times New Roman" w:hAnsi="Times New Roman" w:cs="Times New Roman"/>
          <w:sz w:val="24"/>
          <w:szCs w:val="24"/>
        </w:rPr>
        <w:t>Kleinwort Benson v Malaysian Mining Corp [1989] 1 ALL ER 785</w:t>
      </w:r>
    </w:p>
    <w:p w14:paraId="7D45BFC6" w14:textId="77777777" w:rsidR="00485AFB" w:rsidRPr="003E358C" w:rsidRDefault="00000000" w:rsidP="003E358C">
      <w:pPr>
        <w:numPr>
          <w:ilvl w:val="0"/>
          <w:numId w:val="1"/>
        </w:numPr>
        <w:spacing w:line="360" w:lineRule="auto"/>
        <w:jc w:val="both"/>
        <w:rPr>
          <w:rFonts w:ascii="Times New Roman" w:eastAsia="Times New Roman" w:hAnsi="Times New Roman" w:cs="Times New Roman"/>
          <w:sz w:val="24"/>
          <w:szCs w:val="24"/>
        </w:rPr>
      </w:pPr>
      <w:r w:rsidRPr="003E358C">
        <w:rPr>
          <w:rFonts w:ascii="Times New Roman" w:eastAsia="Times New Roman" w:hAnsi="Times New Roman" w:cs="Times New Roman"/>
          <w:sz w:val="24"/>
          <w:szCs w:val="24"/>
        </w:rPr>
        <w:t xml:space="preserve">ERDC Group Ltd v Brunel University [2006] </w:t>
      </w:r>
      <w:r w:rsidRPr="003E358C">
        <w:rPr>
          <w:rFonts w:ascii="Times New Roman" w:eastAsia="Times New Roman" w:hAnsi="Times New Roman" w:cs="Times New Roman"/>
          <w:color w:val="36424A"/>
          <w:sz w:val="24"/>
          <w:szCs w:val="24"/>
        </w:rPr>
        <w:t xml:space="preserve">EWHC 687 </w:t>
      </w:r>
    </w:p>
    <w:p w14:paraId="77DB07DB" w14:textId="77777777" w:rsidR="00485AFB" w:rsidRPr="003E358C" w:rsidRDefault="00000000" w:rsidP="003E358C">
      <w:pPr>
        <w:numPr>
          <w:ilvl w:val="0"/>
          <w:numId w:val="1"/>
        </w:numPr>
        <w:spacing w:line="360" w:lineRule="auto"/>
        <w:jc w:val="both"/>
        <w:rPr>
          <w:rFonts w:ascii="Times New Roman" w:eastAsia="Times New Roman" w:hAnsi="Times New Roman" w:cs="Times New Roman"/>
          <w:sz w:val="24"/>
          <w:szCs w:val="24"/>
        </w:rPr>
      </w:pPr>
      <w:proofErr w:type="spellStart"/>
      <w:r w:rsidRPr="003E358C">
        <w:rPr>
          <w:rFonts w:ascii="Times New Roman" w:eastAsia="Times New Roman" w:hAnsi="Times New Roman" w:cs="Times New Roman"/>
          <w:sz w:val="24"/>
          <w:szCs w:val="24"/>
        </w:rPr>
        <w:t>Triefus</w:t>
      </w:r>
      <w:proofErr w:type="spellEnd"/>
      <w:r w:rsidRPr="003E358C">
        <w:rPr>
          <w:rFonts w:ascii="Times New Roman" w:eastAsia="Times New Roman" w:hAnsi="Times New Roman" w:cs="Times New Roman"/>
          <w:sz w:val="24"/>
          <w:szCs w:val="24"/>
        </w:rPr>
        <w:t xml:space="preserve"> v Post Office [1957] </w:t>
      </w:r>
      <w:r w:rsidRPr="003E358C">
        <w:rPr>
          <w:rFonts w:ascii="Times New Roman" w:eastAsia="Times New Roman" w:hAnsi="Times New Roman" w:cs="Times New Roman"/>
          <w:color w:val="222222"/>
          <w:sz w:val="24"/>
          <w:szCs w:val="24"/>
          <w:highlight w:val="white"/>
        </w:rPr>
        <w:t>2 QB 352</w:t>
      </w:r>
    </w:p>
    <w:p w14:paraId="28C9502D" w14:textId="77777777" w:rsidR="00485AFB" w:rsidRPr="003E358C" w:rsidRDefault="00000000" w:rsidP="003E358C">
      <w:pPr>
        <w:numPr>
          <w:ilvl w:val="0"/>
          <w:numId w:val="1"/>
        </w:numPr>
        <w:spacing w:after="240" w:line="360" w:lineRule="auto"/>
        <w:jc w:val="both"/>
        <w:rPr>
          <w:rFonts w:ascii="Times New Roman" w:eastAsia="Times New Roman" w:hAnsi="Times New Roman" w:cs="Times New Roman"/>
          <w:sz w:val="24"/>
          <w:szCs w:val="24"/>
        </w:rPr>
      </w:pPr>
      <w:r w:rsidRPr="003E358C">
        <w:rPr>
          <w:rFonts w:ascii="Times New Roman" w:eastAsia="Times New Roman" w:hAnsi="Times New Roman" w:cs="Times New Roman"/>
          <w:sz w:val="24"/>
          <w:szCs w:val="24"/>
        </w:rPr>
        <w:t xml:space="preserve">Robinson v HM Customs &amp; Excise [2000] </w:t>
      </w:r>
      <w:r w:rsidRPr="003E358C">
        <w:rPr>
          <w:rFonts w:ascii="Times New Roman" w:eastAsia="Times New Roman" w:hAnsi="Times New Roman" w:cs="Times New Roman"/>
          <w:color w:val="222222"/>
          <w:sz w:val="24"/>
          <w:szCs w:val="24"/>
          <w:highlight w:val="white"/>
        </w:rPr>
        <w:t>28 APR 2000</w:t>
      </w:r>
    </w:p>
    <w:p w14:paraId="4E158C50" w14:textId="77777777" w:rsidR="00485AFB" w:rsidRPr="003E358C" w:rsidRDefault="00000000" w:rsidP="003E358C">
      <w:pPr>
        <w:spacing w:line="360" w:lineRule="auto"/>
        <w:jc w:val="both"/>
        <w:rPr>
          <w:rFonts w:ascii="Times New Roman" w:eastAsia="Times New Roman" w:hAnsi="Times New Roman" w:cs="Times New Roman"/>
          <w:b/>
          <w:sz w:val="24"/>
          <w:szCs w:val="24"/>
        </w:rPr>
      </w:pPr>
      <w:r w:rsidRPr="003E358C">
        <w:rPr>
          <w:rFonts w:ascii="Times New Roman" w:eastAsia="Times New Roman" w:hAnsi="Times New Roman" w:cs="Times New Roman"/>
          <w:b/>
          <w:sz w:val="24"/>
          <w:szCs w:val="24"/>
        </w:rPr>
        <w:t>Academic Literature</w:t>
      </w:r>
    </w:p>
    <w:p w14:paraId="2BB4BB38" w14:textId="77777777" w:rsidR="00485AFB" w:rsidRPr="003E358C" w:rsidRDefault="00485AFB" w:rsidP="003E358C">
      <w:pPr>
        <w:spacing w:line="360" w:lineRule="auto"/>
        <w:jc w:val="both"/>
        <w:rPr>
          <w:rFonts w:ascii="Times New Roman" w:eastAsia="Times New Roman" w:hAnsi="Times New Roman" w:cs="Times New Roman"/>
          <w:b/>
          <w:sz w:val="24"/>
          <w:szCs w:val="24"/>
        </w:rPr>
      </w:pPr>
    </w:p>
    <w:p w14:paraId="4F7F2B3C" w14:textId="77777777" w:rsidR="00485AFB" w:rsidRPr="003E358C" w:rsidRDefault="00000000" w:rsidP="003E358C">
      <w:pPr>
        <w:numPr>
          <w:ilvl w:val="0"/>
          <w:numId w:val="2"/>
        </w:numPr>
        <w:spacing w:line="360" w:lineRule="auto"/>
        <w:jc w:val="both"/>
        <w:rPr>
          <w:rFonts w:ascii="Times New Roman" w:eastAsia="Times New Roman" w:hAnsi="Times New Roman" w:cs="Times New Roman"/>
          <w:sz w:val="24"/>
          <w:szCs w:val="24"/>
        </w:rPr>
      </w:pPr>
      <w:r w:rsidRPr="003E358C">
        <w:rPr>
          <w:rFonts w:ascii="Times New Roman" w:eastAsia="Times New Roman" w:hAnsi="Times New Roman" w:cs="Times New Roman"/>
          <w:sz w:val="24"/>
          <w:szCs w:val="24"/>
        </w:rPr>
        <w:t xml:space="preserve">Ellis, L. (2022, February 28). </w:t>
      </w:r>
      <w:r w:rsidRPr="003E358C">
        <w:rPr>
          <w:rFonts w:ascii="Times New Roman" w:eastAsia="Times New Roman" w:hAnsi="Times New Roman" w:cs="Times New Roman"/>
          <w:i/>
          <w:sz w:val="24"/>
          <w:szCs w:val="24"/>
        </w:rPr>
        <w:t>consideration: contract law (meaning, types &amp; purpose)</w:t>
      </w:r>
      <w:r w:rsidRPr="003E358C">
        <w:rPr>
          <w:rFonts w:ascii="Times New Roman" w:eastAsia="Times New Roman" w:hAnsi="Times New Roman" w:cs="Times New Roman"/>
          <w:sz w:val="24"/>
          <w:szCs w:val="24"/>
        </w:rPr>
        <w:t xml:space="preserve">. Hall Ellis Solicitors. </w:t>
      </w:r>
      <w:hyperlink r:id="rId9">
        <w:r w:rsidRPr="003E358C">
          <w:rPr>
            <w:rFonts w:ascii="Times New Roman" w:eastAsia="Times New Roman" w:hAnsi="Times New Roman" w:cs="Times New Roman"/>
            <w:sz w:val="24"/>
            <w:szCs w:val="24"/>
            <w:u w:val="single"/>
          </w:rPr>
          <w:t>https://hallellis.co.uk/contractual-consideration/</w:t>
        </w:r>
      </w:hyperlink>
    </w:p>
    <w:p w14:paraId="5CAA791B" w14:textId="77777777" w:rsidR="00485AFB" w:rsidRPr="003E358C" w:rsidRDefault="00000000" w:rsidP="003E358C">
      <w:pPr>
        <w:numPr>
          <w:ilvl w:val="0"/>
          <w:numId w:val="2"/>
        </w:numPr>
        <w:spacing w:line="360" w:lineRule="auto"/>
        <w:jc w:val="both"/>
        <w:rPr>
          <w:rFonts w:ascii="Times New Roman" w:eastAsia="Times New Roman" w:hAnsi="Times New Roman" w:cs="Times New Roman"/>
          <w:sz w:val="24"/>
          <w:szCs w:val="24"/>
        </w:rPr>
      </w:pPr>
      <w:r w:rsidRPr="003E358C">
        <w:rPr>
          <w:rFonts w:ascii="Times New Roman" w:eastAsia="Times New Roman" w:hAnsi="Times New Roman" w:cs="Times New Roman"/>
          <w:sz w:val="24"/>
          <w:szCs w:val="24"/>
        </w:rPr>
        <w:t xml:space="preserve">Richards, P. (2009). </w:t>
      </w:r>
      <w:r w:rsidRPr="003E358C">
        <w:rPr>
          <w:rFonts w:ascii="Times New Roman" w:eastAsia="Times New Roman" w:hAnsi="Times New Roman" w:cs="Times New Roman"/>
          <w:i/>
          <w:sz w:val="24"/>
          <w:szCs w:val="24"/>
        </w:rPr>
        <w:t>Law of contract</w:t>
      </w:r>
      <w:r w:rsidRPr="003E358C">
        <w:rPr>
          <w:rFonts w:ascii="Times New Roman" w:eastAsia="Times New Roman" w:hAnsi="Times New Roman" w:cs="Times New Roman"/>
          <w:sz w:val="24"/>
          <w:szCs w:val="24"/>
        </w:rPr>
        <w:t xml:space="preserve">. Harlow: Pearson Longman. </w:t>
      </w:r>
    </w:p>
    <w:p w14:paraId="12F4F89F" w14:textId="77777777" w:rsidR="00485AFB" w:rsidRPr="003E358C" w:rsidRDefault="00000000" w:rsidP="003E358C">
      <w:pPr>
        <w:numPr>
          <w:ilvl w:val="0"/>
          <w:numId w:val="2"/>
        </w:numPr>
        <w:spacing w:line="360" w:lineRule="auto"/>
        <w:jc w:val="both"/>
        <w:rPr>
          <w:rFonts w:ascii="Times New Roman" w:eastAsia="Times New Roman" w:hAnsi="Times New Roman" w:cs="Times New Roman"/>
          <w:sz w:val="24"/>
          <w:szCs w:val="24"/>
        </w:rPr>
      </w:pPr>
      <w:r w:rsidRPr="003E358C">
        <w:rPr>
          <w:rFonts w:ascii="Times New Roman" w:eastAsia="Times New Roman" w:hAnsi="Times New Roman" w:cs="Times New Roman"/>
          <w:sz w:val="24"/>
          <w:szCs w:val="24"/>
        </w:rPr>
        <w:t xml:space="preserve">Poole, J. (2014). </w:t>
      </w:r>
      <w:r w:rsidRPr="003E358C">
        <w:rPr>
          <w:rFonts w:ascii="Times New Roman" w:eastAsia="Times New Roman" w:hAnsi="Times New Roman" w:cs="Times New Roman"/>
          <w:i/>
          <w:sz w:val="24"/>
          <w:szCs w:val="24"/>
        </w:rPr>
        <w:t>Textbook on Contract Law</w:t>
      </w:r>
      <w:r w:rsidRPr="003E358C">
        <w:rPr>
          <w:rFonts w:ascii="Times New Roman" w:eastAsia="Times New Roman" w:hAnsi="Times New Roman" w:cs="Times New Roman"/>
          <w:sz w:val="24"/>
          <w:szCs w:val="24"/>
        </w:rPr>
        <w:t>. Oxford University Press, USA.</w:t>
      </w:r>
    </w:p>
    <w:p w14:paraId="5AF2B03F" w14:textId="77777777" w:rsidR="00485AFB" w:rsidRPr="003E358C" w:rsidRDefault="00000000" w:rsidP="003E358C">
      <w:pPr>
        <w:numPr>
          <w:ilvl w:val="0"/>
          <w:numId w:val="2"/>
        </w:numPr>
        <w:spacing w:line="360" w:lineRule="auto"/>
        <w:jc w:val="both"/>
        <w:rPr>
          <w:rFonts w:ascii="Times New Roman" w:eastAsia="Times New Roman" w:hAnsi="Times New Roman" w:cs="Times New Roman"/>
          <w:sz w:val="24"/>
          <w:szCs w:val="24"/>
        </w:rPr>
      </w:pPr>
      <w:r w:rsidRPr="003E358C">
        <w:rPr>
          <w:rFonts w:ascii="Times New Roman" w:eastAsia="Times New Roman" w:hAnsi="Times New Roman" w:cs="Times New Roman"/>
          <w:sz w:val="24"/>
          <w:szCs w:val="24"/>
        </w:rPr>
        <w:t xml:space="preserve">Uwtsd.ac.uk. (2023). </w:t>
      </w:r>
      <w:r w:rsidRPr="003E358C">
        <w:rPr>
          <w:rFonts w:ascii="Times New Roman" w:eastAsia="Times New Roman" w:hAnsi="Times New Roman" w:cs="Times New Roman"/>
          <w:i/>
          <w:sz w:val="24"/>
          <w:szCs w:val="24"/>
        </w:rPr>
        <w:t>Edwards v Skyways Ltd</w:t>
      </w:r>
      <w:r w:rsidRPr="003E358C">
        <w:rPr>
          <w:rFonts w:ascii="Times New Roman" w:eastAsia="Times New Roman" w:hAnsi="Times New Roman" w:cs="Times New Roman"/>
          <w:sz w:val="24"/>
          <w:szCs w:val="24"/>
        </w:rPr>
        <w:t>. [online] Available at: https://plus-lexis-com.ezproxy.uwtsd.ac.uk/api/permalink/dd410c98-b7be-412f-98bd-c69176c07242/?context=1001073 [Accessed 9 Mar. 2023].</w:t>
      </w:r>
    </w:p>
    <w:p w14:paraId="2B603B7A" w14:textId="77777777" w:rsidR="00485AFB" w:rsidRPr="003E358C" w:rsidRDefault="00000000" w:rsidP="003E358C">
      <w:pPr>
        <w:numPr>
          <w:ilvl w:val="0"/>
          <w:numId w:val="2"/>
        </w:numPr>
        <w:spacing w:line="360" w:lineRule="auto"/>
        <w:jc w:val="both"/>
        <w:rPr>
          <w:rFonts w:ascii="Times New Roman" w:eastAsia="Times New Roman" w:hAnsi="Times New Roman" w:cs="Times New Roman"/>
          <w:sz w:val="24"/>
          <w:szCs w:val="24"/>
        </w:rPr>
      </w:pPr>
      <w:proofErr w:type="spellStart"/>
      <w:r w:rsidRPr="003E358C">
        <w:rPr>
          <w:rFonts w:ascii="Times New Roman" w:eastAsia="Times New Roman" w:hAnsi="Times New Roman" w:cs="Times New Roman"/>
          <w:sz w:val="24"/>
          <w:szCs w:val="24"/>
        </w:rPr>
        <w:t>isurv</w:t>
      </w:r>
      <w:proofErr w:type="spellEnd"/>
      <w:r w:rsidRPr="003E358C">
        <w:rPr>
          <w:rFonts w:ascii="Times New Roman" w:eastAsia="Times New Roman" w:hAnsi="Times New Roman" w:cs="Times New Roman"/>
          <w:sz w:val="24"/>
          <w:szCs w:val="24"/>
        </w:rPr>
        <w:t xml:space="preserve"> (2015). Cases - ERDC Group Ltd v Brunel University | </w:t>
      </w:r>
      <w:proofErr w:type="spellStart"/>
      <w:r w:rsidRPr="003E358C">
        <w:rPr>
          <w:rFonts w:ascii="Times New Roman" w:eastAsia="Times New Roman" w:hAnsi="Times New Roman" w:cs="Times New Roman"/>
          <w:sz w:val="24"/>
          <w:szCs w:val="24"/>
        </w:rPr>
        <w:t>isurv</w:t>
      </w:r>
      <w:proofErr w:type="spellEnd"/>
      <w:r w:rsidRPr="003E358C">
        <w:rPr>
          <w:rFonts w:ascii="Times New Roman" w:eastAsia="Times New Roman" w:hAnsi="Times New Roman" w:cs="Times New Roman"/>
          <w:sz w:val="24"/>
          <w:szCs w:val="24"/>
        </w:rPr>
        <w:t xml:space="preserve">. </w:t>
      </w:r>
      <w:r w:rsidRPr="003E358C">
        <w:rPr>
          <w:rFonts w:ascii="Times New Roman" w:eastAsia="Times New Roman" w:hAnsi="Times New Roman" w:cs="Times New Roman"/>
          <w:i/>
          <w:sz w:val="24"/>
          <w:szCs w:val="24"/>
        </w:rPr>
        <w:t>Isurv.com</w:t>
      </w:r>
      <w:r w:rsidRPr="003E358C">
        <w:rPr>
          <w:rFonts w:ascii="Times New Roman" w:eastAsia="Times New Roman" w:hAnsi="Times New Roman" w:cs="Times New Roman"/>
          <w:sz w:val="24"/>
          <w:szCs w:val="24"/>
        </w:rPr>
        <w:t>. [online] doi:</w:t>
      </w:r>
      <w:hyperlink r:id="rId10">
        <w:r w:rsidRPr="003E358C">
          <w:rPr>
            <w:rFonts w:ascii="Times New Roman" w:eastAsia="Times New Roman" w:hAnsi="Times New Roman" w:cs="Times New Roman"/>
            <w:sz w:val="24"/>
            <w:szCs w:val="24"/>
            <w:u w:val="single"/>
          </w:rPr>
          <w:t>https://www.isurv.com/site/scripts/directory_record.php?recordID=4060</w:t>
        </w:r>
      </w:hyperlink>
      <w:r w:rsidRPr="003E358C">
        <w:rPr>
          <w:rFonts w:ascii="Times New Roman" w:eastAsia="Times New Roman" w:hAnsi="Times New Roman" w:cs="Times New Roman"/>
          <w:sz w:val="24"/>
          <w:szCs w:val="24"/>
        </w:rPr>
        <w:t>.</w:t>
      </w:r>
    </w:p>
    <w:p w14:paraId="25D681F3" w14:textId="77777777" w:rsidR="00485AFB" w:rsidRPr="003E358C" w:rsidRDefault="00000000" w:rsidP="003E358C">
      <w:pPr>
        <w:numPr>
          <w:ilvl w:val="0"/>
          <w:numId w:val="2"/>
        </w:numPr>
        <w:spacing w:line="360" w:lineRule="auto"/>
        <w:jc w:val="both"/>
        <w:rPr>
          <w:rFonts w:ascii="Times New Roman" w:eastAsia="Times New Roman" w:hAnsi="Times New Roman" w:cs="Times New Roman"/>
          <w:sz w:val="24"/>
          <w:szCs w:val="24"/>
        </w:rPr>
      </w:pPr>
      <w:proofErr w:type="spellStart"/>
      <w:r w:rsidRPr="003E358C">
        <w:rPr>
          <w:rFonts w:ascii="Times New Roman" w:eastAsia="Times New Roman" w:hAnsi="Times New Roman" w:cs="Times New Roman"/>
          <w:sz w:val="24"/>
          <w:szCs w:val="24"/>
        </w:rPr>
        <w:t>dls</w:t>
      </w:r>
      <w:proofErr w:type="spellEnd"/>
      <w:r w:rsidRPr="003E358C">
        <w:rPr>
          <w:rFonts w:ascii="Times New Roman" w:eastAsia="Times New Roman" w:hAnsi="Times New Roman" w:cs="Times New Roman"/>
          <w:sz w:val="24"/>
          <w:szCs w:val="24"/>
        </w:rPr>
        <w:t xml:space="preserve"> (2022). </w:t>
      </w:r>
      <w:proofErr w:type="spellStart"/>
      <w:r w:rsidRPr="003E358C">
        <w:rPr>
          <w:rFonts w:ascii="Times New Roman" w:eastAsia="Times New Roman" w:hAnsi="Times New Roman" w:cs="Times New Roman"/>
          <w:i/>
          <w:sz w:val="24"/>
          <w:szCs w:val="24"/>
        </w:rPr>
        <w:t>Triefus</w:t>
      </w:r>
      <w:proofErr w:type="spellEnd"/>
      <w:r w:rsidRPr="003E358C">
        <w:rPr>
          <w:rFonts w:ascii="Times New Roman" w:eastAsia="Times New Roman" w:hAnsi="Times New Roman" w:cs="Times New Roman"/>
          <w:i/>
          <w:sz w:val="24"/>
          <w:szCs w:val="24"/>
        </w:rPr>
        <w:t xml:space="preserve"> and Co Ltd v Post Office: CA 1957</w:t>
      </w:r>
      <w:r w:rsidRPr="003E358C">
        <w:rPr>
          <w:rFonts w:ascii="Times New Roman" w:eastAsia="Times New Roman" w:hAnsi="Times New Roman" w:cs="Times New Roman"/>
          <w:sz w:val="24"/>
          <w:szCs w:val="24"/>
        </w:rPr>
        <w:t xml:space="preserve">. [online] swarb.co.uk. Available at: </w:t>
      </w:r>
      <w:hyperlink r:id="rId11">
        <w:r w:rsidRPr="003E358C">
          <w:rPr>
            <w:rFonts w:ascii="Times New Roman" w:eastAsia="Times New Roman" w:hAnsi="Times New Roman" w:cs="Times New Roman"/>
            <w:sz w:val="24"/>
            <w:szCs w:val="24"/>
            <w:u w:val="single"/>
          </w:rPr>
          <w:t>https://swarb.co.uk/triefus-and-co-ltd-v-post-office-ca-1957/</w:t>
        </w:r>
      </w:hyperlink>
      <w:r w:rsidRPr="003E358C">
        <w:rPr>
          <w:rFonts w:ascii="Times New Roman" w:eastAsia="Times New Roman" w:hAnsi="Times New Roman" w:cs="Times New Roman"/>
          <w:sz w:val="24"/>
          <w:szCs w:val="24"/>
        </w:rPr>
        <w:t>.</w:t>
      </w:r>
    </w:p>
    <w:p w14:paraId="31441DD2" w14:textId="77777777" w:rsidR="00485AFB" w:rsidRPr="003E358C" w:rsidRDefault="00000000" w:rsidP="003E358C">
      <w:pPr>
        <w:numPr>
          <w:ilvl w:val="0"/>
          <w:numId w:val="2"/>
        </w:numPr>
        <w:spacing w:line="360" w:lineRule="auto"/>
        <w:jc w:val="both"/>
        <w:rPr>
          <w:rFonts w:ascii="Times New Roman" w:eastAsia="Times New Roman" w:hAnsi="Times New Roman" w:cs="Times New Roman"/>
          <w:sz w:val="24"/>
          <w:szCs w:val="24"/>
        </w:rPr>
      </w:pPr>
      <w:r w:rsidRPr="003E358C">
        <w:rPr>
          <w:rFonts w:ascii="Times New Roman" w:eastAsia="Times New Roman" w:hAnsi="Times New Roman" w:cs="Times New Roman"/>
          <w:i/>
          <w:sz w:val="24"/>
          <w:szCs w:val="24"/>
        </w:rPr>
        <w:t xml:space="preserve">Kleinwort Benson Ltd v Malaysia Mining </w:t>
      </w:r>
      <w:proofErr w:type="spellStart"/>
      <w:r w:rsidRPr="003E358C">
        <w:rPr>
          <w:rFonts w:ascii="Times New Roman" w:eastAsia="Times New Roman" w:hAnsi="Times New Roman" w:cs="Times New Roman"/>
          <w:i/>
          <w:sz w:val="24"/>
          <w:szCs w:val="24"/>
        </w:rPr>
        <w:t>Corpn</w:t>
      </w:r>
      <w:proofErr w:type="spellEnd"/>
      <w:r w:rsidRPr="003E358C">
        <w:rPr>
          <w:rFonts w:ascii="Times New Roman" w:eastAsia="Times New Roman" w:hAnsi="Times New Roman" w:cs="Times New Roman"/>
          <w:i/>
          <w:sz w:val="24"/>
          <w:szCs w:val="24"/>
        </w:rPr>
        <w:t xml:space="preserve"> </w:t>
      </w:r>
      <w:proofErr w:type="spellStart"/>
      <w:r w:rsidRPr="003E358C">
        <w:rPr>
          <w:rFonts w:ascii="Times New Roman" w:eastAsia="Times New Roman" w:hAnsi="Times New Roman" w:cs="Times New Roman"/>
          <w:i/>
          <w:sz w:val="24"/>
          <w:szCs w:val="24"/>
        </w:rPr>
        <w:t>Bhd</w:t>
      </w:r>
      <w:proofErr w:type="spellEnd"/>
      <w:r w:rsidRPr="003E358C">
        <w:rPr>
          <w:rFonts w:ascii="Times New Roman" w:eastAsia="Times New Roman" w:hAnsi="Times New Roman" w:cs="Times New Roman"/>
          <w:sz w:val="24"/>
          <w:szCs w:val="24"/>
        </w:rPr>
        <w:t xml:space="preserve"> [1989] 1 All ER 785, [1989] 1 WLR 379, [1989] LRC (Comm) 351, 11 LDAB 306, (1989) Times, 8 February </w:t>
      </w:r>
    </w:p>
    <w:p w14:paraId="1D38D343" w14:textId="77777777" w:rsidR="00485AFB" w:rsidRDefault="00000000">
      <w:pPr>
        <w:numPr>
          <w:ilvl w:val="0"/>
          <w:numId w:val="2"/>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Uwtsd.ac.uk. (2023c). Available at: https://plus-lexis-com.ezproxy.uwtsd.ac.uk/api/permalink/bb367442-106f-4ed3-b4ee-42e1a2206444/?context=1001073 [Accessed 10 Mar. 2023].</w:t>
      </w:r>
    </w:p>
    <w:p w14:paraId="280D803E" w14:textId="77777777" w:rsidR="00485AFB" w:rsidRDefault="00000000">
      <w:pPr>
        <w:numPr>
          <w:ilvl w:val="0"/>
          <w:numId w:val="2"/>
        </w:numPr>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FURMSTON, Michael; MIK, Eliza; and TOLHURST, GJ. Formation of Contracts. (2015). </w:t>
      </w:r>
      <w:r>
        <w:rPr>
          <w:rFonts w:ascii="Times New Roman" w:eastAsia="Times New Roman" w:hAnsi="Times New Roman" w:cs="Times New Roman"/>
          <w:i/>
          <w:sz w:val="24"/>
          <w:szCs w:val="24"/>
        </w:rPr>
        <w:t>The Law of Contract</w:t>
      </w:r>
      <w:r>
        <w:rPr>
          <w:rFonts w:ascii="Times New Roman" w:eastAsia="Times New Roman" w:hAnsi="Times New Roman" w:cs="Times New Roman"/>
          <w:sz w:val="24"/>
          <w:szCs w:val="24"/>
        </w:rPr>
        <w:t xml:space="preserve">. Research Collection Yong </w:t>
      </w:r>
      <w:proofErr w:type="spellStart"/>
      <w:r>
        <w:rPr>
          <w:rFonts w:ascii="Times New Roman" w:eastAsia="Times New Roman" w:hAnsi="Times New Roman" w:cs="Times New Roman"/>
          <w:sz w:val="24"/>
          <w:szCs w:val="24"/>
        </w:rPr>
        <w:t>Pung</w:t>
      </w:r>
      <w:proofErr w:type="spellEnd"/>
      <w:r>
        <w:rPr>
          <w:rFonts w:ascii="Times New Roman" w:eastAsia="Times New Roman" w:hAnsi="Times New Roman" w:cs="Times New Roman"/>
          <w:sz w:val="24"/>
          <w:szCs w:val="24"/>
        </w:rPr>
        <w:t xml:space="preserve"> How School </w:t>
      </w:r>
      <w:proofErr w:type="gramStart"/>
      <w:r>
        <w:rPr>
          <w:rFonts w:ascii="Times New Roman" w:eastAsia="Times New Roman" w:hAnsi="Times New Roman" w:cs="Times New Roman"/>
          <w:sz w:val="24"/>
          <w:szCs w:val="24"/>
        </w:rPr>
        <w:t>Of</w:t>
      </w:r>
      <w:proofErr w:type="gramEnd"/>
      <w:r>
        <w:rPr>
          <w:rFonts w:ascii="Times New Roman" w:eastAsia="Times New Roman" w:hAnsi="Times New Roman" w:cs="Times New Roman"/>
          <w:sz w:val="24"/>
          <w:szCs w:val="24"/>
        </w:rPr>
        <w:t xml:space="preserve"> Law. </w:t>
      </w:r>
    </w:p>
    <w:p w14:paraId="28FD8844" w14:textId="77777777" w:rsidR="00485AFB" w:rsidRDefault="00485AFB">
      <w:pPr>
        <w:spacing w:after="240" w:line="360" w:lineRule="auto"/>
        <w:jc w:val="both"/>
        <w:rPr>
          <w:rFonts w:ascii="Times New Roman" w:eastAsia="Times New Roman" w:hAnsi="Times New Roman" w:cs="Times New Roman"/>
          <w:sz w:val="24"/>
          <w:szCs w:val="24"/>
        </w:rPr>
      </w:pPr>
    </w:p>
    <w:p w14:paraId="216165F5" w14:textId="77777777" w:rsidR="00485AFB" w:rsidRDefault="00485AFB">
      <w:pPr>
        <w:spacing w:after="240" w:line="360" w:lineRule="auto"/>
        <w:ind w:left="720"/>
        <w:jc w:val="both"/>
        <w:rPr>
          <w:rFonts w:ascii="Times New Roman" w:eastAsia="Times New Roman" w:hAnsi="Times New Roman" w:cs="Times New Roman"/>
          <w:sz w:val="24"/>
          <w:szCs w:val="24"/>
        </w:rPr>
      </w:pPr>
    </w:p>
    <w:p w14:paraId="309125E5" w14:textId="77777777" w:rsidR="00485AFB" w:rsidRDefault="00485AFB">
      <w:pPr>
        <w:spacing w:after="240" w:line="360" w:lineRule="auto"/>
        <w:ind w:left="720"/>
        <w:jc w:val="both"/>
        <w:rPr>
          <w:rFonts w:ascii="Times New Roman" w:eastAsia="Times New Roman" w:hAnsi="Times New Roman" w:cs="Times New Roman"/>
          <w:sz w:val="24"/>
          <w:szCs w:val="24"/>
        </w:rPr>
      </w:pPr>
    </w:p>
    <w:p w14:paraId="4B679D61" w14:textId="77777777" w:rsidR="00485AFB" w:rsidRDefault="00485AFB">
      <w:pPr>
        <w:spacing w:after="240" w:line="360" w:lineRule="auto"/>
        <w:ind w:left="720"/>
        <w:jc w:val="both"/>
        <w:rPr>
          <w:rFonts w:ascii="Times New Roman" w:eastAsia="Times New Roman" w:hAnsi="Times New Roman" w:cs="Times New Roman"/>
          <w:sz w:val="21"/>
          <w:szCs w:val="21"/>
          <w:highlight w:val="white"/>
        </w:rPr>
      </w:pPr>
    </w:p>
    <w:p w14:paraId="610D6E40" w14:textId="77777777" w:rsidR="00485AFB" w:rsidRDefault="00485AFB">
      <w:pPr>
        <w:spacing w:after="240" w:line="360" w:lineRule="auto"/>
        <w:ind w:left="720"/>
        <w:jc w:val="both"/>
        <w:rPr>
          <w:rFonts w:ascii="Times New Roman" w:eastAsia="Times New Roman" w:hAnsi="Times New Roman" w:cs="Times New Roman"/>
          <w:sz w:val="24"/>
          <w:szCs w:val="24"/>
        </w:rPr>
      </w:pPr>
    </w:p>
    <w:p w14:paraId="5B4B6930" w14:textId="77777777" w:rsidR="00485AFB" w:rsidRDefault="00485AFB">
      <w:pPr>
        <w:rPr>
          <w:rFonts w:ascii="Times New Roman" w:eastAsia="Times New Roman" w:hAnsi="Times New Roman" w:cs="Times New Roman"/>
          <w:sz w:val="24"/>
          <w:szCs w:val="24"/>
        </w:rPr>
      </w:pPr>
    </w:p>
    <w:p w14:paraId="770F2B67" w14:textId="77777777" w:rsidR="00485AFB" w:rsidRDefault="00485AFB">
      <w:pPr>
        <w:rPr>
          <w:rFonts w:ascii="Times New Roman" w:eastAsia="Times New Roman" w:hAnsi="Times New Roman" w:cs="Times New Roman"/>
          <w:sz w:val="24"/>
          <w:szCs w:val="24"/>
        </w:rPr>
      </w:pPr>
    </w:p>
    <w:sectPr w:rsidR="00485AFB">
      <w:footerReference w:type="default" r:id="rId12"/>
      <w:pgSz w:w="11909" w:h="16834"/>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5707AEE" w14:textId="77777777" w:rsidR="00C06E1C" w:rsidRDefault="00C06E1C" w:rsidP="003E358C">
      <w:pPr>
        <w:spacing w:line="240" w:lineRule="auto"/>
      </w:pPr>
      <w:r>
        <w:separator/>
      </w:r>
    </w:p>
  </w:endnote>
  <w:endnote w:type="continuationSeparator" w:id="0">
    <w:p w14:paraId="7D93ABA2" w14:textId="77777777" w:rsidR="00C06E1C" w:rsidRDefault="00C06E1C" w:rsidP="003E358C">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576193536"/>
      <w:docPartObj>
        <w:docPartGallery w:val="Page Numbers (Bottom of Page)"/>
        <w:docPartUnique/>
      </w:docPartObj>
    </w:sdtPr>
    <w:sdtEndPr>
      <w:rPr>
        <w:noProof/>
      </w:rPr>
    </w:sdtEndPr>
    <w:sdtContent>
      <w:p w14:paraId="017B17EB" w14:textId="516955A3" w:rsidR="003E358C" w:rsidRDefault="003E358C">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38714140" w14:textId="77777777" w:rsidR="003E358C" w:rsidRDefault="003E358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5E99EAC" w14:textId="77777777" w:rsidR="00C06E1C" w:rsidRDefault="00C06E1C" w:rsidP="003E358C">
      <w:pPr>
        <w:spacing w:line="240" w:lineRule="auto"/>
      </w:pPr>
      <w:r>
        <w:separator/>
      </w:r>
    </w:p>
  </w:footnote>
  <w:footnote w:type="continuationSeparator" w:id="0">
    <w:p w14:paraId="2D4EBC63" w14:textId="77777777" w:rsidR="00C06E1C" w:rsidRDefault="00C06E1C" w:rsidP="003E358C">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3F32FC6"/>
    <w:multiLevelType w:val="multilevel"/>
    <w:tmpl w:val="F800A0C4"/>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1" w15:restartNumberingAfterBreak="0">
    <w:nsid w:val="5DD7403A"/>
    <w:multiLevelType w:val="multilevel"/>
    <w:tmpl w:val="4236740E"/>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num w:numId="1" w16cid:durableId="161050844">
    <w:abstractNumId w:val="1"/>
  </w:num>
  <w:num w:numId="2" w16cid:durableId="121045462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64"/>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85AFB"/>
    <w:rsid w:val="003E358C"/>
    <w:rsid w:val="00485AFB"/>
    <w:rsid w:val="00902F1D"/>
    <w:rsid w:val="00C06E1C"/>
  </w:rsids>
  <m:mathPr>
    <m:mathFont m:val="Cambria Math"/>
    <m:brkBin m:val="before"/>
    <m:brkBinSub m:val="--"/>
    <m:smallFrac m:val="0"/>
    <m:dispDef/>
    <m:lMargin m:val="0"/>
    <m:rMargin m:val="0"/>
    <m:defJc m:val="centerGroup"/>
    <m:wrapIndent m:val="1440"/>
    <m:intLim m:val="subSup"/>
    <m:naryLim m:val="undOvr"/>
  </m:mathPr>
  <w:themeFontLang w:val="en-MY"/>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3F70493"/>
  <w15:docId w15:val="{E86D7898-E9C1-4CD0-A9B3-5FBCE73432F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GB" w:eastAsia="en-MY"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400" w:after="120"/>
      <w:outlineLvl w:val="0"/>
    </w:pPr>
    <w:rPr>
      <w:sz w:val="40"/>
      <w:szCs w:val="40"/>
    </w:rPr>
  </w:style>
  <w:style w:type="paragraph" w:styleId="Heading2">
    <w:name w:val="heading 2"/>
    <w:basedOn w:val="Normal"/>
    <w:next w:val="Normal"/>
    <w:uiPriority w:val="9"/>
    <w:unhideWhenUsed/>
    <w:qFormat/>
    <w:pPr>
      <w:keepNext/>
      <w:keepLines/>
      <w:spacing w:before="360" w:after="120"/>
      <w:outlineLvl w:val="1"/>
    </w:pPr>
    <w:rPr>
      <w:sz w:val="32"/>
      <w:szCs w:val="32"/>
    </w:rPr>
  </w:style>
  <w:style w:type="paragraph" w:styleId="Heading3">
    <w:name w:val="heading 3"/>
    <w:basedOn w:val="Normal"/>
    <w:next w:val="Normal"/>
    <w:uiPriority w:val="9"/>
    <w:unhideWhenUsed/>
    <w:qFormat/>
    <w:pPr>
      <w:keepNext/>
      <w:keepLines/>
      <w:spacing w:before="320" w:after="80"/>
      <w:outlineLvl w:val="2"/>
    </w:pPr>
    <w:rPr>
      <w:color w:val="434343"/>
      <w:sz w:val="28"/>
      <w:szCs w:val="28"/>
    </w:rPr>
  </w:style>
  <w:style w:type="paragraph" w:styleId="Heading4">
    <w:name w:val="heading 4"/>
    <w:basedOn w:val="Normal"/>
    <w:next w:val="Normal"/>
    <w:uiPriority w:val="9"/>
    <w:unhideWhenUsed/>
    <w:qFormat/>
    <w:pPr>
      <w:keepNext/>
      <w:keepLines/>
      <w:spacing w:before="280" w:after="80"/>
      <w:outlineLvl w:val="3"/>
    </w:pPr>
    <w:rPr>
      <w:color w:val="666666"/>
      <w:sz w:val="24"/>
      <w:szCs w:val="24"/>
    </w:rPr>
  </w:style>
  <w:style w:type="paragraph" w:styleId="Heading5">
    <w:name w:val="heading 5"/>
    <w:basedOn w:val="Normal"/>
    <w:next w:val="Normal"/>
    <w:uiPriority w:val="9"/>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table" w:customStyle="1" w:styleId="a">
    <w:basedOn w:val="TableNormal"/>
    <w:tblPr>
      <w:tblStyleRowBandSize w:val="1"/>
      <w:tblStyleColBandSize w:val="1"/>
      <w:tblCellMar>
        <w:top w:w="100" w:type="dxa"/>
        <w:left w:w="100" w:type="dxa"/>
        <w:bottom w:w="100" w:type="dxa"/>
        <w:right w:w="100" w:type="dxa"/>
      </w:tblCellMar>
    </w:tblPr>
  </w:style>
  <w:style w:type="paragraph" w:styleId="TOCHeading">
    <w:name w:val="TOC Heading"/>
    <w:basedOn w:val="Heading1"/>
    <w:next w:val="Normal"/>
    <w:uiPriority w:val="39"/>
    <w:unhideWhenUsed/>
    <w:qFormat/>
    <w:rsid w:val="00902F1D"/>
    <w:pPr>
      <w:spacing w:before="240" w:after="0" w:line="259" w:lineRule="auto"/>
      <w:outlineLvl w:val="9"/>
    </w:pPr>
    <w:rPr>
      <w:rFonts w:asciiTheme="majorHAnsi" w:eastAsiaTheme="majorEastAsia" w:hAnsiTheme="majorHAnsi" w:cstheme="majorBidi"/>
      <w:color w:val="365F91" w:themeColor="accent1" w:themeShade="BF"/>
      <w:sz w:val="32"/>
      <w:szCs w:val="32"/>
      <w:lang w:val="en-US" w:eastAsia="en-US"/>
    </w:rPr>
  </w:style>
  <w:style w:type="paragraph" w:styleId="TOC2">
    <w:name w:val="toc 2"/>
    <w:basedOn w:val="Normal"/>
    <w:next w:val="Normal"/>
    <w:autoRedefine/>
    <w:uiPriority w:val="39"/>
    <w:unhideWhenUsed/>
    <w:rsid w:val="00902F1D"/>
    <w:pPr>
      <w:spacing w:after="100" w:line="259" w:lineRule="auto"/>
      <w:ind w:left="220"/>
    </w:pPr>
    <w:rPr>
      <w:rFonts w:asciiTheme="minorHAnsi" w:eastAsiaTheme="minorEastAsia" w:hAnsiTheme="minorHAnsi" w:cs="Times New Roman"/>
      <w:lang w:val="en-US" w:eastAsia="en-US"/>
    </w:rPr>
  </w:style>
  <w:style w:type="paragraph" w:styleId="TOC1">
    <w:name w:val="toc 1"/>
    <w:basedOn w:val="Normal"/>
    <w:next w:val="Normal"/>
    <w:autoRedefine/>
    <w:uiPriority w:val="39"/>
    <w:unhideWhenUsed/>
    <w:rsid w:val="003E358C"/>
    <w:pPr>
      <w:tabs>
        <w:tab w:val="right" w:leader="dot" w:pos="9019"/>
      </w:tabs>
      <w:spacing w:after="100" w:line="360" w:lineRule="auto"/>
      <w:jc w:val="both"/>
    </w:pPr>
    <w:rPr>
      <w:rFonts w:asciiTheme="minorHAnsi" w:eastAsiaTheme="minorEastAsia" w:hAnsiTheme="minorHAnsi" w:cs="Times New Roman"/>
      <w:lang w:val="en-US" w:eastAsia="en-US"/>
    </w:rPr>
  </w:style>
  <w:style w:type="paragraph" w:styleId="TOC3">
    <w:name w:val="toc 3"/>
    <w:basedOn w:val="Normal"/>
    <w:next w:val="Normal"/>
    <w:autoRedefine/>
    <w:uiPriority w:val="39"/>
    <w:unhideWhenUsed/>
    <w:rsid w:val="00902F1D"/>
    <w:pPr>
      <w:spacing w:after="100" w:line="259" w:lineRule="auto"/>
      <w:ind w:left="440"/>
    </w:pPr>
    <w:rPr>
      <w:rFonts w:asciiTheme="minorHAnsi" w:eastAsiaTheme="minorEastAsia" w:hAnsiTheme="minorHAnsi" w:cs="Times New Roman"/>
      <w:lang w:val="en-US" w:eastAsia="en-US"/>
    </w:rPr>
  </w:style>
  <w:style w:type="character" w:styleId="Hyperlink">
    <w:name w:val="Hyperlink"/>
    <w:basedOn w:val="DefaultParagraphFont"/>
    <w:uiPriority w:val="99"/>
    <w:unhideWhenUsed/>
    <w:rsid w:val="00902F1D"/>
    <w:rPr>
      <w:color w:val="0000FF" w:themeColor="hyperlink"/>
      <w:u w:val="single"/>
    </w:rPr>
  </w:style>
  <w:style w:type="paragraph" w:styleId="Header">
    <w:name w:val="header"/>
    <w:basedOn w:val="Normal"/>
    <w:link w:val="HeaderChar"/>
    <w:uiPriority w:val="99"/>
    <w:unhideWhenUsed/>
    <w:rsid w:val="003E358C"/>
    <w:pPr>
      <w:tabs>
        <w:tab w:val="center" w:pos="4513"/>
        <w:tab w:val="right" w:pos="9026"/>
      </w:tabs>
      <w:spacing w:line="240" w:lineRule="auto"/>
    </w:pPr>
  </w:style>
  <w:style w:type="character" w:customStyle="1" w:styleId="HeaderChar">
    <w:name w:val="Header Char"/>
    <w:basedOn w:val="DefaultParagraphFont"/>
    <w:link w:val="Header"/>
    <w:uiPriority w:val="99"/>
    <w:rsid w:val="003E358C"/>
  </w:style>
  <w:style w:type="paragraph" w:styleId="Footer">
    <w:name w:val="footer"/>
    <w:basedOn w:val="Normal"/>
    <w:link w:val="FooterChar"/>
    <w:uiPriority w:val="99"/>
    <w:unhideWhenUsed/>
    <w:rsid w:val="003E358C"/>
    <w:pPr>
      <w:tabs>
        <w:tab w:val="center" w:pos="4513"/>
        <w:tab w:val="right" w:pos="9026"/>
      </w:tabs>
      <w:spacing w:line="240" w:lineRule="auto"/>
    </w:pPr>
  </w:style>
  <w:style w:type="character" w:customStyle="1" w:styleId="FooterChar">
    <w:name w:val="Footer Char"/>
    <w:basedOn w:val="DefaultParagraphFont"/>
    <w:link w:val="Footer"/>
    <w:uiPriority w:val="99"/>
    <w:rsid w:val="003E358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swarb.co.uk/triefus-and-co-ltd-v-post-office-ca-1957/" TargetMode="External"/><Relationship Id="rId5" Type="http://schemas.openxmlformats.org/officeDocument/2006/relationships/webSettings" Target="webSettings.xml"/><Relationship Id="rId10" Type="http://schemas.openxmlformats.org/officeDocument/2006/relationships/hyperlink" Target="https://www.isurv.com/site/scripts/directory_record.php?recordID=4060" TargetMode="External"/><Relationship Id="rId4" Type="http://schemas.openxmlformats.org/officeDocument/2006/relationships/settings" Target="settings.xml"/><Relationship Id="rId9" Type="http://schemas.openxmlformats.org/officeDocument/2006/relationships/hyperlink" Target="https://hallellis.co.uk/contractual-consideration/"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E592534-F751-4DAE-95A7-8D021E1164A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15</TotalTime>
  <Pages>9</Pages>
  <Words>2106</Words>
  <Characters>12006</Characters>
  <Application>Microsoft Office Word</Application>
  <DocSecurity>0</DocSecurity>
  <Lines>100</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14084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NUR ADRIANA BINTI MOHD SAIFULLIZAN</cp:lastModifiedBy>
  <cp:revision>2</cp:revision>
  <dcterms:created xsi:type="dcterms:W3CDTF">2023-03-10T19:42:00Z</dcterms:created>
  <dcterms:modified xsi:type="dcterms:W3CDTF">2023-03-10T19:57:00Z</dcterms:modified>
</cp:coreProperties>
</file>