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58DDA553" w:rsidR="00DD5969" w:rsidRPr="00C86756" w:rsidRDefault="00DD5969" w:rsidP="00DD5969">
      <w:pPr>
        <w:spacing w:before="212"/>
        <w:rPr>
          <w:rFonts w:ascii="Arial"/>
          <w:b/>
          <w:sz w:val="48"/>
          <w:szCs w:val="48"/>
        </w:rPr>
      </w:pPr>
      <w:r w:rsidRPr="00C86756">
        <w:rPr>
          <w:rFonts w:ascii="Arial"/>
          <w:b/>
          <w:sz w:val="48"/>
          <w:szCs w:val="48"/>
        </w:rPr>
        <w:t>MODULE CODE:</w:t>
      </w:r>
      <w:r w:rsidR="006C4960">
        <w:rPr>
          <w:rFonts w:ascii="Arial"/>
          <w:b/>
          <w:sz w:val="48"/>
          <w:szCs w:val="48"/>
        </w:rPr>
        <w:t xml:space="preserve"> </w:t>
      </w:r>
      <w:r w:rsidR="0000375B" w:rsidRPr="00C86756">
        <w:rPr>
          <w:rFonts w:ascii="Arial"/>
          <w:b/>
          <w:sz w:val="48"/>
          <w:szCs w:val="48"/>
        </w:rPr>
        <w:t>ECAD401</w:t>
      </w:r>
      <w:r w:rsidR="00C86756">
        <w:rPr>
          <w:rFonts w:ascii="Arial"/>
          <w:b/>
          <w:sz w:val="48"/>
          <w:szCs w:val="48"/>
        </w:rPr>
        <w:t>5</w:t>
      </w:r>
    </w:p>
    <w:p w14:paraId="5051A2D5" w14:textId="77777777" w:rsidR="00347EA1" w:rsidRPr="00C86756" w:rsidRDefault="00347EA1" w:rsidP="00DD5969">
      <w:pPr>
        <w:spacing w:before="212"/>
        <w:rPr>
          <w:rFonts w:ascii="Arial"/>
          <w:b/>
          <w:sz w:val="48"/>
          <w:szCs w:val="48"/>
        </w:rPr>
      </w:pPr>
    </w:p>
    <w:p w14:paraId="7681432B" w14:textId="3D9A05CF" w:rsidR="00DD5969" w:rsidRPr="00DD5969" w:rsidRDefault="00DD5969" w:rsidP="00DD5969">
      <w:pPr>
        <w:spacing w:before="3"/>
        <w:rPr>
          <w:rFonts w:ascii="Arial"/>
          <w:b/>
          <w:sz w:val="48"/>
          <w:szCs w:val="48"/>
        </w:rPr>
      </w:pPr>
      <w:r w:rsidRPr="00DD5969">
        <w:rPr>
          <w:rFonts w:ascii="Arial"/>
          <w:b/>
          <w:sz w:val="48"/>
          <w:szCs w:val="48"/>
        </w:rPr>
        <w:t>STUDENT NAME:</w:t>
      </w:r>
      <w:r w:rsidR="006C4960">
        <w:rPr>
          <w:rFonts w:ascii="Arial"/>
          <w:b/>
          <w:sz w:val="48"/>
          <w:szCs w:val="48"/>
        </w:rPr>
        <w:t xml:space="preserve"> Callie Thornhill</w:t>
      </w:r>
    </w:p>
    <w:p w14:paraId="0D16D138" w14:textId="77777777" w:rsidR="00DD5969" w:rsidRPr="00DD5969" w:rsidRDefault="00DD5969" w:rsidP="00DD5969">
      <w:pPr>
        <w:spacing w:before="3"/>
        <w:rPr>
          <w:rFonts w:ascii="Arial"/>
          <w:b/>
          <w:sz w:val="48"/>
          <w:szCs w:val="48"/>
        </w:rPr>
      </w:pPr>
    </w:p>
    <w:p w14:paraId="18107AFF" w14:textId="50332D6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C4960" w:rsidRPr="006C4960">
        <w:rPr>
          <w:rFonts w:ascii="Arial"/>
          <w:b/>
          <w:sz w:val="48"/>
          <w:szCs w:val="48"/>
        </w:rPr>
        <w:t xml:space="preserve"> </w:t>
      </w:r>
      <w:r w:rsidR="006C4960">
        <w:rPr>
          <w:rFonts w:ascii="Arial"/>
          <w:b/>
          <w:sz w:val="48"/>
          <w:szCs w:val="48"/>
        </w:rPr>
        <w:t>2404351</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5A38292B" w14:textId="241AACBF" w:rsidR="00B103B9" w:rsidRPr="006B53E7" w:rsidRDefault="00B103B9" w:rsidP="00DD5969">
      <w:pPr>
        <w:rPr>
          <w:b/>
          <w:bCs/>
          <w:sz w:val="32"/>
          <w:szCs w:val="32"/>
          <w:u w:val="single"/>
        </w:rPr>
      </w:pPr>
      <w:r w:rsidRPr="00E243A8">
        <w:rPr>
          <w:b/>
          <w:bCs/>
          <w:sz w:val="32"/>
          <w:szCs w:val="32"/>
          <w:u w:val="single"/>
        </w:rPr>
        <w:lastRenderedPageBreak/>
        <w:t>AI Acknowledgement</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7A7A376" w14:textId="2E61DDB3" w:rsidR="0000375B" w:rsidRDefault="0000375B">
      <w:pPr>
        <w:rPr>
          <w:b/>
          <w:bCs/>
        </w:rPr>
      </w:pPr>
      <w:r w:rsidRPr="0000375B">
        <w:rPr>
          <w:b/>
          <w:bCs/>
        </w:rPr>
        <w:t>Targets from my previous assignment</w:t>
      </w: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0EDC9850" w14:textId="2140C432" w:rsidR="0000375B" w:rsidRPr="006B53E7" w:rsidRDefault="006B53E7" w:rsidP="00DD5969">
            <w:pPr>
              <w:rPr>
                <w:sz w:val="22"/>
                <w:szCs w:val="22"/>
              </w:rPr>
            </w:pPr>
            <w:r w:rsidRPr="006B53E7">
              <w:rPr>
                <w:sz w:val="22"/>
                <w:szCs w:val="22"/>
              </w:rPr>
              <w:t>Aim to Incorporate a wider range of academic sources beyond government and institutional reports to provide contrasting perspectives and deeper analysis. </w:t>
            </w:r>
          </w:p>
        </w:tc>
        <w:tc>
          <w:tcPr>
            <w:tcW w:w="4508" w:type="dxa"/>
          </w:tcPr>
          <w:p w14:paraId="3FCBF01B" w14:textId="766BB651" w:rsidR="0000375B" w:rsidRPr="006B53E7" w:rsidRDefault="006C4960" w:rsidP="00DD5969">
            <w:pPr>
              <w:rPr>
                <w:sz w:val="22"/>
                <w:szCs w:val="22"/>
              </w:rPr>
            </w:pPr>
            <w:r>
              <w:rPr>
                <w:sz w:val="22"/>
                <w:szCs w:val="22"/>
              </w:rPr>
              <w:t>I have ensured to use many views when assessing an idea. I have also made sure that I have looked at the ideas critically before using them to assess their reliability.</w:t>
            </w:r>
          </w:p>
        </w:tc>
      </w:tr>
      <w:tr w:rsidR="0000375B" w14:paraId="2411A5A2" w14:textId="77777777" w:rsidTr="0000375B">
        <w:tc>
          <w:tcPr>
            <w:tcW w:w="4508" w:type="dxa"/>
          </w:tcPr>
          <w:p w14:paraId="2A59CA2F" w14:textId="3A10E4B2" w:rsidR="0000375B" w:rsidRPr="006B53E7" w:rsidRDefault="006C4960" w:rsidP="00DD5969">
            <w:pPr>
              <w:rPr>
                <w:sz w:val="22"/>
                <w:szCs w:val="22"/>
              </w:rPr>
            </w:pPr>
            <w:r w:rsidRPr="00BD3121">
              <w:t>Engage with literature critically considering limitations of proposed strategies. Aim to offer the opposing view whenever possible.</w:t>
            </w:r>
            <w:r w:rsidRPr="00BD3121">
              <w:rPr>
                <w:lang w:val="en-US"/>
              </w:rPr>
              <w:t> </w:t>
            </w:r>
            <w:r w:rsidRPr="00BD3121">
              <w:t>  </w:t>
            </w:r>
          </w:p>
        </w:tc>
        <w:tc>
          <w:tcPr>
            <w:tcW w:w="4508" w:type="dxa"/>
          </w:tcPr>
          <w:p w14:paraId="51AE3AC6" w14:textId="4E11968C" w:rsidR="0000375B" w:rsidRPr="006B53E7" w:rsidRDefault="006C4960" w:rsidP="00DD5969">
            <w:pPr>
              <w:rPr>
                <w:sz w:val="22"/>
                <w:szCs w:val="22"/>
              </w:rPr>
            </w:pPr>
            <w:r>
              <w:rPr>
                <w:sz w:val="22"/>
                <w:szCs w:val="22"/>
              </w:rPr>
              <w:t>I have engaged in opposing views when establishing reasons for why something is may or may not be effective</w:t>
            </w:r>
          </w:p>
        </w:tc>
      </w:tr>
      <w:tr w:rsidR="0000375B" w14:paraId="7E9C0FF5" w14:textId="77777777" w:rsidTr="0000375B">
        <w:tc>
          <w:tcPr>
            <w:tcW w:w="4508" w:type="dxa"/>
          </w:tcPr>
          <w:p w14:paraId="540BFA50" w14:textId="3E9D9EC7" w:rsidR="0000375B" w:rsidRPr="006C4960" w:rsidRDefault="006C4960" w:rsidP="00DD5969">
            <w:r w:rsidRPr="00BD3121">
              <w:t>Ensure that recommendations are tailored specifically to the school context. </w:t>
            </w:r>
          </w:p>
        </w:tc>
        <w:tc>
          <w:tcPr>
            <w:tcW w:w="4508" w:type="dxa"/>
          </w:tcPr>
          <w:p w14:paraId="6A8EAD52" w14:textId="73BFE02D" w:rsidR="0000375B" w:rsidRPr="006B53E7" w:rsidRDefault="006C4960" w:rsidP="00DD5969">
            <w:pPr>
              <w:rPr>
                <w:sz w:val="22"/>
                <w:szCs w:val="22"/>
              </w:rPr>
            </w:pPr>
            <w:r>
              <w:rPr>
                <w:sz w:val="22"/>
                <w:szCs w:val="22"/>
              </w:rPr>
              <w:t>When discussing my lesson plan I have ensured I have made it specific to the plan I have created.</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2DF06C9C" w14:textId="0070D7D0" w:rsidR="006B53E7" w:rsidRPr="006B53E7" w:rsidRDefault="006B53E7" w:rsidP="006B53E7">
      <w:pPr>
        <w:spacing w:line="360" w:lineRule="auto"/>
        <w:rPr>
          <w:u w:val="single"/>
        </w:rPr>
      </w:pPr>
      <w:r w:rsidRPr="006B53E7">
        <w:rPr>
          <w:u w:val="single"/>
        </w:rPr>
        <w:lastRenderedPageBreak/>
        <w:t>Demonstrate how cross</w:t>
      </w:r>
      <w:r>
        <w:rPr>
          <w:u w:val="single"/>
        </w:rPr>
        <w:t>-</w:t>
      </w:r>
      <w:r w:rsidRPr="006B53E7">
        <w:rPr>
          <w:u w:val="single"/>
        </w:rPr>
        <w:t xml:space="preserve">curricular teaching and learning can influence </w:t>
      </w:r>
      <w:r w:rsidRPr="006B53E7">
        <w:rPr>
          <w:u w:val="single"/>
        </w:rPr>
        <w:t>in depth</w:t>
      </w:r>
      <w:r w:rsidRPr="006B53E7">
        <w:rPr>
          <w:u w:val="single"/>
        </w:rPr>
        <w:t xml:space="preserve"> skills and understanding. Underpin this with reference to relevant research, a detailed lesson plan and an enhanced provision material. </w:t>
      </w:r>
    </w:p>
    <w:p w14:paraId="507994DA" w14:textId="22ABA547" w:rsidR="006B53E7" w:rsidRPr="00532DD4" w:rsidRDefault="006B53E7" w:rsidP="006B53E7">
      <w:pPr>
        <w:spacing w:line="360" w:lineRule="auto"/>
        <w:rPr>
          <w:b/>
          <w:bCs/>
        </w:rPr>
      </w:pPr>
      <w:r w:rsidRPr="00532DD4">
        <w:rPr>
          <w:b/>
          <w:bCs/>
        </w:rPr>
        <w:t>Introduction</w:t>
      </w:r>
    </w:p>
    <w:p w14:paraId="63504CA1" w14:textId="77777777" w:rsidR="006B53E7" w:rsidRDefault="006B53E7" w:rsidP="006B53E7">
      <w:pPr>
        <w:spacing w:line="360" w:lineRule="auto"/>
      </w:pPr>
      <w:r>
        <w:t xml:space="preserve">The </w:t>
      </w:r>
      <w:r w:rsidRPr="00CE0BC3">
        <w:t>Welsh Government (2022</w:t>
      </w:r>
      <w:r>
        <w:t>a</w:t>
      </w:r>
      <w:r w:rsidRPr="00CE0BC3">
        <w:t>)</w:t>
      </w:r>
      <w:r>
        <w:t xml:space="preserve"> describes how the Four Purposes aims to develop children as ambitious, capable learners, ethical, informed citizens, enterprising, creative contributors, and healthy, confident individuals. This holistic approach allows teachers to create cross-curricular links that engage students in real-world contexts. When using the cross-curricular approach there are opportunities for collaboration between different subject areas and teachers, promoting a more cohesive learning experience. This can lead to shared resources and ideas, enriching the curriculum and making learning more relevant. </w:t>
      </w:r>
    </w:p>
    <w:p w14:paraId="1A98A9BD" w14:textId="77777777" w:rsidR="006B53E7" w:rsidRDefault="006B53E7" w:rsidP="006B53E7">
      <w:pPr>
        <w:spacing w:line="360" w:lineRule="auto"/>
      </w:pPr>
      <w:r>
        <w:t xml:space="preserve">There are many challenges that can influence teaching. According to </w:t>
      </w:r>
      <w:r w:rsidRPr="00532DD4">
        <w:t>Collinson and Cook (2001)</w:t>
      </w:r>
      <w:r>
        <w:t xml:space="preserve"> “</w:t>
      </w:r>
      <w:r w:rsidRPr="00CE0BC3">
        <w:t>Teachers seldom have time to prioritise their own learning, either through reflection or training</w:t>
      </w:r>
      <w:r>
        <w:t xml:space="preserve">”. Training is important for teachers as it gives them effective approaches to implement cross-curricular activities. Without adequate professional development for teachers they may struggle to create meaningful connections between subjects which means that children may not learn as successfully as they could. Another challenge for teachers in the lack of resources due to the lack of money. According to the </w:t>
      </w:r>
      <w:r w:rsidRPr="00532DD4">
        <w:t>Cymru NAHT (2024)</w:t>
      </w:r>
      <w:r>
        <w:t xml:space="preserve"> i</w:t>
      </w:r>
      <w:r w:rsidRPr="00532DD4">
        <w:t>n 2021,</w:t>
      </w:r>
      <w:r>
        <w:t xml:space="preserve"> </w:t>
      </w:r>
      <w:r w:rsidRPr="00532DD4">
        <w:t>20%</w:t>
      </w:r>
      <w:r>
        <w:t xml:space="preserve"> </w:t>
      </w:r>
      <w:r w:rsidRPr="00532DD4">
        <w:t xml:space="preserve">of </w:t>
      </w:r>
      <w:r>
        <w:t xml:space="preserve">members </w:t>
      </w:r>
      <w:r w:rsidRPr="00532DD4">
        <w:t xml:space="preserve">stated </w:t>
      </w:r>
      <w:r>
        <w:t>that they were not having to</w:t>
      </w:r>
      <w:r w:rsidRPr="00532DD4">
        <w:t xml:space="preserve"> take any actions to achieve budget savings</w:t>
      </w:r>
      <w:r>
        <w:t>, however, by 2024 this has decreased to</w:t>
      </w:r>
      <w:r w:rsidRPr="00532DD4">
        <w:t xml:space="preserve"> 3% of</w:t>
      </w:r>
      <w:r>
        <w:t xml:space="preserve"> members</w:t>
      </w:r>
      <w:r w:rsidRPr="00532DD4">
        <w:t xml:space="preserve"> not having to make significant cuts to staffing and resources in their schools.</w:t>
      </w:r>
      <w:r>
        <w:t xml:space="preserve"> This demonstrates how teachers are negatively affected by budget cuts that are being made in Wales and how this can then affect the pupils learning. </w:t>
      </w:r>
      <w:r w:rsidRPr="00532DD4">
        <w:t>The Institute for Fiscal Studies (IFS) says costs will outpace funding for schools in 2025-26. The IFS estimates that school funding will rise by 2.8% in the 2025-26 financial year. But</w:t>
      </w:r>
      <w:r>
        <w:t xml:space="preserve"> a</w:t>
      </w:r>
      <w:r w:rsidRPr="00532DD4">
        <w:t xml:space="preserve"> report</w:t>
      </w:r>
      <w:r>
        <w:t xml:space="preserve"> made on the 5</w:t>
      </w:r>
      <w:r w:rsidRPr="00532DD4">
        <w:rPr>
          <w:vertAlign w:val="superscript"/>
        </w:rPr>
        <w:t>th</w:t>
      </w:r>
      <w:r>
        <w:t xml:space="preserve"> January</w:t>
      </w:r>
      <w:r w:rsidRPr="00532DD4">
        <w:t xml:space="preserve"> warns that costs are likely to rise by 3.6%, leaving schools facing tough choices.</w:t>
      </w:r>
      <w:r>
        <w:t xml:space="preserve">  Limited funding leads to l</w:t>
      </w:r>
      <w:r w:rsidRPr="00532DD4">
        <w:t>imited resources</w:t>
      </w:r>
      <w:r>
        <w:t xml:space="preserve">, which means </w:t>
      </w:r>
      <w:r w:rsidRPr="00532DD4">
        <w:t>the quality of education may decline. Students might not have access to up-to-date materials or technology, which can hinder their learning experience.</w:t>
      </w:r>
    </w:p>
    <w:p w14:paraId="6DB464B1" w14:textId="77777777" w:rsidR="006B53E7" w:rsidRDefault="006B53E7" w:rsidP="006B53E7">
      <w:pPr>
        <w:spacing w:line="360" w:lineRule="auto"/>
      </w:pPr>
      <w:r w:rsidRPr="00D70428">
        <w:lastRenderedPageBreak/>
        <w:t xml:space="preserve">Cross-curricular learning is </w:t>
      </w:r>
      <w:r>
        <w:t xml:space="preserve">described by </w:t>
      </w:r>
      <w:r w:rsidRPr="00D70428">
        <w:t>Barnes (2015)</w:t>
      </w:r>
      <w:r>
        <w:t xml:space="preserve"> as </w:t>
      </w:r>
      <w:r w:rsidRPr="00D70428">
        <w:t>an educational approach that integrates multiple subjects or disciplines into a cohesive learning experience. This method encourages students to make connections between different areas of knowledge, enhancing their understanding and retention of information.</w:t>
      </w:r>
      <w:r>
        <w:t xml:space="preserve"> </w:t>
      </w:r>
      <w:r w:rsidRPr="00D70428">
        <w:t>Dewey (1902, p.5)</w:t>
      </w:r>
      <w:r>
        <w:t xml:space="preserve"> describes how cross-curricular learning should “</w:t>
      </w:r>
      <w:r w:rsidRPr="00D70428">
        <w:t>pass quickly and readily from one topic to another, as from one spot to another, but is not conscious of transition or break. There is no conscious isolation, hardly conscious distinction.</w:t>
      </w:r>
      <w:r>
        <w:t xml:space="preserve">” Whilst this was written in 1902 this is still relevant now, over a hundred years later </w:t>
      </w:r>
      <w:r w:rsidRPr="00D70428">
        <w:t>Rowley and Cooper (2009, p.2)</w:t>
      </w:r>
      <w:r>
        <w:t xml:space="preserve"> used Dewey’s words to support their discussions on cross-curricular learning. By engaging in the content across different subjects, children can develop critical thinking and problem-solving skills as they learn to apply knowledge in various contexts. </w:t>
      </w:r>
    </w:p>
    <w:p w14:paraId="3C87BA82" w14:textId="77777777" w:rsidR="006B53E7" w:rsidRDefault="006B53E7" w:rsidP="006B53E7">
      <w:pPr>
        <w:spacing w:line="360" w:lineRule="auto"/>
        <w:rPr>
          <w:b/>
          <w:bCs/>
        </w:rPr>
      </w:pPr>
      <w:r>
        <w:rPr>
          <w:b/>
          <w:bCs/>
        </w:rPr>
        <w:t xml:space="preserve">Cross-curricular Learning </w:t>
      </w:r>
    </w:p>
    <w:p w14:paraId="3E0AEFC2" w14:textId="77777777" w:rsidR="006B53E7" w:rsidRDefault="006B53E7" w:rsidP="006B53E7">
      <w:pPr>
        <w:spacing w:line="360" w:lineRule="auto"/>
      </w:pPr>
      <w:r>
        <w:t xml:space="preserve">The Literacy, Numeracy, and Digital Competence Framework within the Curriculum for Wales is designed to enhance the skills of learners across the primary age range. This framework is mandatory as all children need to develop these key competencies that are vital for their education and future lives </w:t>
      </w:r>
      <w:r w:rsidRPr="009B111A">
        <w:t>(Welsh Government, 2020)</w:t>
      </w:r>
      <w:r>
        <w:t xml:space="preserve">. </w:t>
      </w:r>
      <w:r w:rsidRPr="009B111A">
        <w:t>Welsh Government (2022</w:t>
      </w:r>
      <w:r>
        <w:t>c</w:t>
      </w:r>
      <w:r w:rsidRPr="009B111A">
        <w:t>)</w:t>
      </w:r>
      <w:r>
        <w:t xml:space="preserve"> describes the literacy framework as the importance of reading, writing and communication skills. For learners, this means engaging with various texts, developing comprehension skills and enhancing their ability to express ideas clearly. Activities might include storytelling, reading comprehension exercises, and collaborative writing tasks. By integrating literacy across different subjects, children can see its relevance in real-world contexts, which helps to foster a love for reading and writing. </w:t>
      </w:r>
      <w:r w:rsidRPr="009B111A">
        <w:t>Welsh Government (2022</w:t>
      </w:r>
      <w:r>
        <w:t>c</w:t>
      </w:r>
      <w:r w:rsidRPr="009B111A">
        <w:t>)</w:t>
      </w:r>
      <w:r>
        <w:t xml:space="preserve"> describes numeracy as the development of mathematical skills and problem-solving abilities. For learners this includes understanding numbers, shapes, measurements and data handling. The framework encourages practical applications of mathematics through hands-on activities, such as measuring ingredients in cooking or using money in play scenarios. This approach ensures that learners can apply their mathematical knowledge in everyday situations, making it more meaningful and engaging. Digital competence is increasingly crucial in today’s technology-driven world. The framework promotes the use of digital tools for learning, creativity, and communication</w:t>
      </w:r>
      <w:r w:rsidRPr="009B111A">
        <w:rPr>
          <w:rFonts w:ascii="Times New Roman" w:eastAsia="Times New Roman" w:hAnsi="Times New Roman" w:cs="Times New Roman"/>
          <w:kern w:val="0"/>
          <w:lang w:eastAsia="en-GB"/>
          <w14:ligatures w14:val="none"/>
        </w:rPr>
        <w:t xml:space="preserve"> </w:t>
      </w:r>
      <w:r w:rsidRPr="009B111A">
        <w:t>(Welsh Government, 2022b)</w:t>
      </w:r>
      <w:r>
        <w:t xml:space="preserve"> . For learners, this </w:t>
      </w:r>
      <w:r>
        <w:lastRenderedPageBreak/>
        <w:t>could involve using tablets for research, creating presentations, or collaborating on projects using online platforms. Teaching digital skills from a young age prepares students for future learning and employment opportunities, ensuring they are equipped to navigate the digital landscape confidently.</w:t>
      </w:r>
    </w:p>
    <w:p w14:paraId="449CB9D9" w14:textId="77777777" w:rsidR="006B53E7" w:rsidRDefault="006B53E7" w:rsidP="006B53E7">
      <w:pPr>
        <w:spacing w:line="360" w:lineRule="auto"/>
      </w:pPr>
      <w:r>
        <w:t>Cross-curricular learning offers both opportunities and challenges in teaching and delivery, particularly when considering authentic experiences, available resources, and the differences between Key Stage 1 (KS1) and Key Stage 2 (KS2), as well as PPA (Planning, Preparation, and Assessment) cover. One significant opportunity is the ability to create authentic learning experiences that connect various subjects. For instance, a project on their local park could integrate literacy through research and writing, numeracy through data collection and analysis, and digital competence through presentations. This approach not only makes learning more engaging but also helps students see the relevance of their education in real-world contexts</w:t>
      </w:r>
      <w:r w:rsidRPr="005233C5">
        <w:t xml:space="preserve"> (Pashia, 2024)</w:t>
      </w:r>
      <w:r>
        <w:t>. However, challenges arise in ensuring that all subjects are adequately covered and assessed. Teachers may find it difficult to balance the curriculum requirements while providing meaningful cross-curricular experiences. Additionally, the resources available can vary significantly between schools, impacting the quality and variety of cross-curricular activities. Some schools may have access to enhanced technology or community partnerships that support these initiatives, while others may face limitations.</w:t>
      </w:r>
    </w:p>
    <w:p w14:paraId="4B92818A" w14:textId="7FB37252" w:rsidR="006B53E7" w:rsidRDefault="006B53E7" w:rsidP="006B53E7">
      <w:pPr>
        <w:spacing w:line="360" w:lineRule="auto"/>
      </w:pPr>
      <w:r>
        <w:t>The transition from KS1 to KS2 also presents challenges. In KS1, learning tends to be more play-based and integrated, while KS2 often demands more structured and formal approaches. This shift can make it challenging to maintain the same level of cross-curricular integration, as teachers may feel pressured to focus on specific subject content to meet assessment criteria. Maria Montessori emphasises the importance of self-directed, hands-on learning, which is heavily focused on in KS1. Her approach recognises the importance of providing structure that supports independent learning</w:t>
      </w:r>
      <w:r w:rsidRPr="008044D8">
        <w:t xml:space="preserve"> (Epstein, 2022)</w:t>
      </w:r>
      <w:r>
        <w:t>. Therefore the transition into KS2 should be carefully managed to avoid creativity and critical thinking being stifled. Howard Gardner’s theory of multiple intelligences suggests that children have different ways of processing and demonstrating knowledge</w:t>
      </w:r>
      <w:r w:rsidRPr="008044D8">
        <w:rPr>
          <w:rFonts w:ascii="Times New Roman" w:eastAsia="Times New Roman" w:hAnsi="Times New Roman" w:cs="Times New Roman"/>
          <w:kern w:val="0"/>
          <w:lang w:eastAsia="en-GB"/>
          <w14:ligatures w14:val="none"/>
        </w:rPr>
        <w:t xml:space="preserve"> </w:t>
      </w:r>
      <w:r w:rsidRPr="008044D8">
        <w:t>(Marenus, 2024)</w:t>
      </w:r>
      <w:r>
        <w:t xml:space="preserve">. In KS1, learning tends to be more integrated </w:t>
      </w:r>
      <w:r>
        <w:lastRenderedPageBreak/>
        <w:t xml:space="preserve">and play-based which addresses children's diverse needs. Whereas in KS2 the focus becomes more subject specific which can cause challenges to children as </w:t>
      </w:r>
      <w:r w:rsidR="00A27500">
        <w:t>their</w:t>
      </w:r>
      <w:r>
        <w:t xml:space="preserve"> needs may not be met such as those who are creative.</w:t>
      </w:r>
    </w:p>
    <w:p w14:paraId="4E805E74" w14:textId="77777777" w:rsidR="006B53E7" w:rsidRDefault="006B53E7" w:rsidP="006B53E7">
      <w:pPr>
        <w:spacing w:line="360" w:lineRule="auto"/>
      </w:pPr>
      <w:r>
        <w:t>PPA cover can impact the consistency of cross-curricular learning. When teachers are absent or require cover, the continuity of cross-curricular projects may be disrupted, leading to fragmented learning experiences for students</w:t>
      </w:r>
      <w:r w:rsidRPr="008044D8">
        <w:rPr>
          <w:rFonts w:ascii="Times New Roman" w:eastAsia="Times New Roman" w:hAnsi="Times New Roman" w:cs="Times New Roman"/>
          <w:kern w:val="0"/>
          <w:lang w:eastAsia="en-GB"/>
          <w14:ligatures w14:val="none"/>
        </w:rPr>
        <w:t xml:space="preserve"> </w:t>
      </w:r>
      <w:r w:rsidRPr="008044D8">
        <w:t>(Roberts, 2024)</w:t>
      </w:r>
      <w:r>
        <w:t>. Ensuring that supply teachers are equipped to deliver cross-curricular lessons effectively is crucial for maintaining a cohesive learning environment. In a school I visited, whilst the teachers were having their PPA sessions the children were taught Welsh by the same teacher each week. This provided consistency with the teaching and learning ensuring that the lessons could continue without any disruptions.</w:t>
      </w:r>
    </w:p>
    <w:p w14:paraId="2DB46162" w14:textId="57EB75A4" w:rsidR="006B53E7" w:rsidRDefault="006B53E7" w:rsidP="006B53E7">
      <w:pPr>
        <w:spacing w:line="360" w:lineRule="auto"/>
      </w:pPr>
      <w:r w:rsidRPr="007E3DC8">
        <w:t>The enhanced provision aligns with the Curriculum for Wales’s cross-curriculum framework, integrating numeracy, language development, and digital competence</w:t>
      </w:r>
      <w:r>
        <w:t xml:space="preserve"> (Appendix A)(Appendix B)</w:t>
      </w:r>
      <w:r w:rsidRPr="007E3DC8">
        <w:t xml:space="preserve">. The colour-matching number line supports problem-solving and reasoning, while the physical blocks reinforce conceptual understanding. The inclusion of Welsh language development strengthens bilingual literacy, aligning with the national curriculum’s emphasis on communication. One improvement could be the introduction of more open-ended problem-solving tasks to challenge higher-ability learners. A potential challenge is ensuring </w:t>
      </w:r>
      <w:r>
        <w:t xml:space="preserve">that </w:t>
      </w:r>
      <w:r w:rsidRPr="007E3DC8">
        <w:t>all pupils confidently upload their work</w:t>
      </w:r>
      <w:r>
        <w:t xml:space="preserve"> and providing help for those who </w:t>
      </w:r>
      <w:r w:rsidRPr="007E3DC8">
        <w:t>may require additional support. The task can be adapted by incorporating digital tools, such as interactive number lines, to enhance engagement and accessibility.</w:t>
      </w:r>
    </w:p>
    <w:p w14:paraId="7C08ACE3" w14:textId="77777777" w:rsidR="006B53E7" w:rsidRPr="007E3DC8" w:rsidRDefault="006B53E7" w:rsidP="006B53E7">
      <w:pPr>
        <w:spacing w:line="360" w:lineRule="auto"/>
      </w:pPr>
      <w:r>
        <w:t>Another challenge that might occur is if there are too many children doing this task at once as it means that they might give the answers away to the other children. I would therefore adapt my task to specify that any given time there should only be three children, from the three different levels of learning, so that they are all doing a different task and cannot copy.</w:t>
      </w:r>
    </w:p>
    <w:p w14:paraId="73DD7AD2" w14:textId="77777777" w:rsidR="006B53E7" w:rsidRPr="00D84749" w:rsidRDefault="006B53E7" w:rsidP="006B53E7">
      <w:pPr>
        <w:spacing w:line="360" w:lineRule="auto"/>
        <w:rPr>
          <w:b/>
          <w:bCs/>
        </w:rPr>
      </w:pPr>
      <w:r w:rsidRPr="00D84749">
        <w:rPr>
          <w:b/>
          <w:bCs/>
        </w:rPr>
        <w:t>Conclusion</w:t>
      </w:r>
    </w:p>
    <w:p w14:paraId="12BDBBF5" w14:textId="77777777" w:rsidR="006B53E7" w:rsidRPr="00D84749" w:rsidRDefault="006B53E7" w:rsidP="006B53E7">
      <w:pPr>
        <w:spacing w:line="360" w:lineRule="auto"/>
      </w:pPr>
      <w:r w:rsidRPr="00D84749">
        <w:t xml:space="preserve">The Literacy, Numeracy, and Digital Competence Frameworks within the Curriculum for Wales play a crucial role in shaping teaching, learning, and school operations. These </w:t>
      </w:r>
      <w:r w:rsidRPr="00D84749">
        <w:lastRenderedPageBreak/>
        <w:t>frameworks aim to equip students with essential skills for their academic and future success, and they influence several aspects of education. Literacy focuses on reading, writing, and communication, encouraging students to engage with a variety of texts and express ideas clearly</w:t>
      </w:r>
      <w:r>
        <w:t xml:space="preserve"> </w:t>
      </w:r>
      <w:r w:rsidRPr="00D84749">
        <w:t>(Welsh Government, 2022c). By integrating literacy across subjects, teachers help students see its real-world relevance, fostering a love for reading and writing. This enhances their comprehension and ability to apply language skills in diverse contexts. Numeracy involves the development of mathematical skills and problem-solving abilities, emphasi</w:t>
      </w:r>
      <w:r>
        <w:t>s</w:t>
      </w:r>
      <w:r w:rsidRPr="00D84749">
        <w:t>ing practical applications such as measurement and data analysis (Welsh Government, 2022c). Teachers incorporate numeracy across subjects, enabling students to see how mathematics is used in everyday life. This approach makes learning more meaningful and helps students retain and apply mathematical knowledge. Digital Competence prepares students for the digital world by promoting the use of technology for learning, creativity, and communication (Welsh Government, 2022b). The framework encourages the use of tools like tablets and online platforms, ensuring students develop digital skills crucial for future careers and navigating the digital landscape. These frameworks influence teaching by encouraging a cross-curricular approach, where subjects are integrated, making learning more engaging and relevant. They also affect assessment practices by evaluating students' ability to apply literacy, numeracy, and digital skills across subjects. Furthermore, they impact professional development, as teachers need continuous training to effectively implement these frameworks in their teaching.</w:t>
      </w:r>
    </w:p>
    <w:p w14:paraId="13E06E9D" w14:textId="77777777" w:rsidR="006B53E7" w:rsidRDefault="006B53E7" w:rsidP="006B53E7">
      <w:pPr>
        <w:spacing w:line="360" w:lineRule="auto"/>
      </w:pPr>
      <w:r w:rsidRPr="00D84749">
        <w:t>As a teacher, embracing cross-curricular learning will shape how I plan lessons, design learning experiences, and assess student outcomes. When linked to the Professional Standards for Teaching and Leadership (PSL) in Wales, this approach aligns well with the essential elements of teaching practice, supporting both student development and my professional growth</w:t>
      </w:r>
      <w:r w:rsidRPr="00592361">
        <w:rPr>
          <w:rFonts w:ascii="Times New Roman" w:eastAsia="Times New Roman" w:hAnsi="Times New Roman" w:cs="Times New Roman"/>
          <w:kern w:val="0"/>
          <w:lang w:eastAsia="en-GB"/>
          <w14:ligatures w14:val="none"/>
        </w:rPr>
        <w:t xml:space="preserve"> </w:t>
      </w:r>
      <w:r w:rsidRPr="00592361">
        <w:t>(Welsh Government, 2017)</w:t>
      </w:r>
      <w:r w:rsidRPr="00D84749">
        <w:t>.</w:t>
      </w:r>
      <w:r>
        <w:t xml:space="preserve"> </w:t>
      </w:r>
      <w:r w:rsidRPr="00D84749">
        <w:t xml:space="preserve">By focusing on these targets, I will embrace the principles of cross-curricular learning to enhance student engagement and achievement. </w:t>
      </w:r>
    </w:p>
    <w:p w14:paraId="240030E3" w14:textId="77777777" w:rsidR="006B53E7" w:rsidRPr="00D84749" w:rsidRDefault="006B53E7" w:rsidP="006B53E7">
      <w:pPr>
        <w:spacing w:line="360" w:lineRule="auto"/>
      </w:pPr>
      <w:r>
        <w:t>My first target is to foster a supportive, inclusive learning environment. I will do this using the wellbeing standard which focuses on promoting a positive, inclusive and safe learning environment through collaboration and interdisciplinary projects</w:t>
      </w:r>
      <w:r w:rsidRPr="00592361">
        <w:rPr>
          <w:rFonts w:ascii="Times New Roman" w:eastAsia="Times New Roman" w:hAnsi="Times New Roman" w:cs="Times New Roman"/>
          <w:kern w:val="0"/>
          <w:lang w:eastAsia="en-GB"/>
          <w14:ligatures w14:val="none"/>
        </w:rPr>
        <w:t xml:space="preserve"> </w:t>
      </w:r>
      <w:r w:rsidRPr="00592361">
        <w:t xml:space="preserve">(Welsh </w:t>
      </w:r>
      <w:r w:rsidRPr="00592361">
        <w:lastRenderedPageBreak/>
        <w:t>Government, 2018)</w:t>
      </w:r>
      <w:r>
        <w:t>. Encouraging collaboration is vital for developing social and emotional skills. Therefore I will include learning where children are able to work with others, helping them to foster teamwork, communication and responsibility. To ensure that my teaching is inclusive I will differentiate activities ensuring that all learners regardless of ability and participate meaningfully. By promoting an inclusive environment, I will help students to feel valued, safe and supported which is essential for their well-being and motivation to learn.</w:t>
      </w:r>
    </w:p>
    <w:p w14:paraId="3660429E" w14:textId="2E6CF7B6" w:rsidR="006B53E7" w:rsidRDefault="006B53E7" w:rsidP="006B53E7">
      <w:pPr>
        <w:spacing w:line="360" w:lineRule="auto"/>
      </w:pPr>
      <w:r>
        <w:t>My second target is to continuously reflect on and refine teaching practice to meet the needs of all learners, using the professional learning standard. I will do this by regularly reflecting and evaluating my teaching methods, seeking professional development opportunities to improve my practice</w:t>
      </w:r>
      <w:r w:rsidRPr="00592361">
        <w:rPr>
          <w:rFonts w:ascii="Times New Roman" w:eastAsia="Times New Roman" w:hAnsi="Times New Roman" w:cs="Times New Roman"/>
          <w:kern w:val="0"/>
          <w:lang w:eastAsia="en-GB"/>
          <w14:ligatures w14:val="none"/>
        </w:rPr>
        <w:t xml:space="preserve"> </w:t>
      </w:r>
      <w:r w:rsidRPr="00592361">
        <w:t>(Welsh Government, 2018)</w:t>
      </w:r>
      <w:r>
        <w:t xml:space="preserve">. I will use feedback from students and colleagues to help adjust my approach where necessary, to support diverse learning needs. By using </w:t>
      </w:r>
      <w:r w:rsidR="00A27500">
        <w:t>students’</w:t>
      </w:r>
      <w:r>
        <w:t xml:space="preserve"> progress and feedback I can make sure that my cross-curricular lessons are accessible and challenging for all learners, ensuring to be inclusive. </w:t>
      </w:r>
      <w:r w:rsidRPr="00D84749">
        <w:t xml:space="preserve">This ongoing process of reflection and refinement will ensure I am continually </w:t>
      </w:r>
      <w:r>
        <w:t>developing</w:t>
      </w:r>
      <w:r w:rsidRPr="00D84749">
        <w:t xml:space="preserve"> my ability to create meaningful learning experiences that cater to a wide range of learners.</w:t>
      </w:r>
    </w:p>
    <w:p w14:paraId="25E86C2F" w14:textId="7D0A0192" w:rsidR="006B53E7" w:rsidRPr="00D84749" w:rsidRDefault="006B53E7" w:rsidP="006B53E7">
      <w:pPr>
        <w:spacing w:line="360" w:lineRule="auto"/>
      </w:pPr>
      <w:r>
        <w:t>My third target is to develop professional relationships that support cross</w:t>
      </w:r>
      <w:r w:rsidR="006C4960">
        <w:t>-</w:t>
      </w:r>
      <w:r>
        <w:t>curricular learning, using the standard for collaboration. I will collaborate with colleagues who specialise in different subject areas to ensure that I successfully implement cross-curricular learning. I will work actively to build strong professional relationships with other teachers, learning best practices, ideas and resources to support interdisciplinary learning. This might involve co-planning lessons, joint assessments or sharing insights on student progress across subjects. By fostering professional relationships I can create an environment where cross-curricular learning is an integral part of school’s teaching culture.</w:t>
      </w:r>
    </w:p>
    <w:p w14:paraId="608B172C" w14:textId="77777777" w:rsidR="006B53E7" w:rsidRDefault="006B53E7" w:rsidP="006B53E7">
      <w:pPr>
        <w:spacing w:line="240" w:lineRule="auto"/>
      </w:pPr>
    </w:p>
    <w:p w14:paraId="5304D37E" w14:textId="77777777" w:rsidR="006B53E7" w:rsidRDefault="006B53E7" w:rsidP="006B53E7">
      <w:pPr>
        <w:spacing w:line="240" w:lineRule="auto"/>
      </w:pPr>
    </w:p>
    <w:p w14:paraId="7B3260D0" w14:textId="77777777" w:rsidR="006B53E7" w:rsidRDefault="006B53E7" w:rsidP="006B53E7">
      <w:pPr>
        <w:spacing w:line="240" w:lineRule="auto"/>
      </w:pPr>
    </w:p>
    <w:p w14:paraId="56B8F5CF" w14:textId="77777777" w:rsidR="006B53E7" w:rsidRDefault="006B53E7" w:rsidP="006B53E7">
      <w:pPr>
        <w:spacing w:line="240" w:lineRule="auto"/>
      </w:pPr>
    </w:p>
    <w:p w14:paraId="10BAF5EC" w14:textId="77777777" w:rsidR="006B53E7" w:rsidRPr="00D84749" w:rsidRDefault="006B53E7" w:rsidP="006B53E7">
      <w:pPr>
        <w:spacing w:line="240" w:lineRule="auto"/>
      </w:pPr>
    </w:p>
    <w:p w14:paraId="6F790B8A" w14:textId="77777777" w:rsidR="006B53E7" w:rsidRPr="000564B5" w:rsidRDefault="006B53E7" w:rsidP="006B53E7">
      <w:pPr>
        <w:spacing w:line="240" w:lineRule="auto"/>
        <w:rPr>
          <w:u w:val="single"/>
        </w:rPr>
      </w:pPr>
      <w:r w:rsidRPr="000564B5">
        <w:rPr>
          <w:u w:val="single"/>
        </w:rPr>
        <w:t>Reference List</w:t>
      </w:r>
    </w:p>
    <w:p w14:paraId="11BC9ECD"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Barnes, J. (2015). </w:t>
      </w:r>
      <w:r w:rsidRPr="00024FFF">
        <w:rPr>
          <w:rFonts w:cs="Times New Roman"/>
          <w:i/>
          <w:iCs/>
          <w:kern w:val="0"/>
          <w:sz w:val="22"/>
          <w:szCs w:val="22"/>
          <w:lang w:val="en-US"/>
        </w:rPr>
        <w:t>An Introduction to Cross-Curricular Learning</w:t>
      </w:r>
      <w:r w:rsidRPr="00024FFF">
        <w:rPr>
          <w:rFonts w:cs="Times New Roman"/>
          <w:kern w:val="0"/>
          <w:sz w:val="22"/>
          <w:szCs w:val="22"/>
          <w:lang w:val="en-US"/>
        </w:rPr>
        <w:t xml:space="preserve">. [online] ResearchGate. Available at: </w:t>
      </w:r>
      <w:hyperlink r:id="rId5" w:history="1">
        <w:r w:rsidRPr="00024FFF">
          <w:rPr>
            <w:rFonts w:cs="Times New Roman"/>
            <w:kern w:val="0"/>
            <w:sz w:val="22"/>
            <w:szCs w:val="22"/>
            <w:lang w:val="en-US"/>
          </w:rPr>
          <w:t>https://www.researchgate.net/publication/274313611_An_Introduction_to_Cross-Curricular_Learning</w:t>
        </w:r>
      </w:hyperlink>
      <w:r w:rsidRPr="00024FFF">
        <w:rPr>
          <w:rFonts w:cs="Times New Roman"/>
          <w:kern w:val="0"/>
          <w:sz w:val="22"/>
          <w:szCs w:val="22"/>
          <w:lang w:val="en-US"/>
        </w:rPr>
        <w:t xml:space="preserve"> [Accessed 27 Feb. 2025].</w:t>
      </w:r>
    </w:p>
    <w:p w14:paraId="0C24E715"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Collinson, V. and Cook, T.F. (2001). ‘I don’t have enough time’ </w:t>
      </w:r>
      <w:r w:rsidRPr="00024FFF">
        <w:rPr>
          <w:rFonts w:ascii="Cambria Math" w:hAnsi="Cambria Math" w:cs="Cambria Math"/>
          <w:kern w:val="0"/>
          <w:sz w:val="22"/>
          <w:szCs w:val="22"/>
          <w:lang w:val="en-US"/>
        </w:rPr>
        <w:t>‐</w:t>
      </w:r>
      <w:r w:rsidRPr="00024FFF">
        <w:rPr>
          <w:rFonts w:cs="Times New Roman"/>
          <w:kern w:val="0"/>
          <w:sz w:val="22"/>
          <w:szCs w:val="22"/>
          <w:lang w:val="en-US"/>
        </w:rPr>
        <w:t xml:space="preserve"> Teachers</w:t>
      </w:r>
      <w:r w:rsidRPr="00024FFF">
        <w:rPr>
          <w:rFonts w:cs="Aptos"/>
          <w:kern w:val="0"/>
          <w:sz w:val="22"/>
          <w:szCs w:val="22"/>
          <w:lang w:val="en-US"/>
        </w:rPr>
        <w:t>’</w:t>
      </w:r>
      <w:r w:rsidRPr="00024FFF">
        <w:rPr>
          <w:rFonts w:cs="Times New Roman"/>
          <w:kern w:val="0"/>
          <w:sz w:val="22"/>
          <w:szCs w:val="22"/>
          <w:lang w:val="en-US"/>
        </w:rPr>
        <w:t xml:space="preserve"> interpretations of time as a key to learning and school change. </w:t>
      </w:r>
      <w:r w:rsidRPr="00024FFF">
        <w:rPr>
          <w:rFonts w:cs="Times New Roman"/>
          <w:i/>
          <w:iCs/>
          <w:kern w:val="0"/>
          <w:sz w:val="22"/>
          <w:szCs w:val="22"/>
          <w:lang w:val="en-US"/>
        </w:rPr>
        <w:t>Journal of Educational Administration</w:t>
      </w:r>
      <w:r w:rsidRPr="00024FFF">
        <w:rPr>
          <w:rFonts w:cs="Times New Roman"/>
          <w:kern w:val="0"/>
          <w:sz w:val="22"/>
          <w:szCs w:val="22"/>
          <w:lang w:val="en-US"/>
        </w:rPr>
        <w:t>, [online] 39(3), pp.266–281. doi:</w:t>
      </w:r>
      <w:hyperlink r:id="rId6" w:history="1">
        <w:r w:rsidRPr="00024FFF">
          <w:rPr>
            <w:rFonts w:cs="Times New Roman"/>
            <w:kern w:val="0"/>
            <w:sz w:val="22"/>
            <w:szCs w:val="22"/>
            <w:lang w:val="en-US"/>
          </w:rPr>
          <w:t>https://doi.org/10.1108/09578230110392884</w:t>
        </w:r>
      </w:hyperlink>
      <w:r w:rsidRPr="00024FFF">
        <w:rPr>
          <w:rFonts w:cs="Times New Roman"/>
          <w:kern w:val="0"/>
          <w:sz w:val="22"/>
          <w:szCs w:val="22"/>
          <w:lang w:val="en-US"/>
        </w:rPr>
        <w:t>.</w:t>
      </w:r>
    </w:p>
    <w:p w14:paraId="7EC1C47A"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Cymru NAHT (2024). </w:t>
      </w:r>
      <w:r w:rsidRPr="00024FFF">
        <w:rPr>
          <w:rFonts w:cs="Times New Roman"/>
          <w:i/>
          <w:iCs/>
          <w:kern w:val="0"/>
          <w:sz w:val="22"/>
          <w:szCs w:val="22"/>
          <w:lang w:val="en-US"/>
        </w:rPr>
        <w:t>Falling Short The deepening school funding crisis in Wales</w:t>
      </w:r>
      <w:r w:rsidRPr="00024FFF">
        <w:rPr>
          <w:rFonts w:cs="Times New Roman"/>
          <w:kern w:val="0"/>
          <w:sz w:val="22"/>
          <w:szCs w:val="22"/>
          <w:lang w:val="en-US"/>
        </w:rPr>
        <w:t xml:space="preserve">. [online] </w:t>
      </w:r>
      <w:r w:rsidRPr="00024FFF">
        <w:rPr>
          <w:rFonts w:cs="Times New Roman"/>
          <w:i/>
          <w:iCs/>
          <w:kern w:val="0"/>
          <w:sz w:val="22"/>
          <w:szCs w:val="22"/>
          <w:lang w:val="en-US"/>
        </w:rPr>
        <w:t>https://www.naht.org</w:t>
      </w:r>
      <w:r w:rsidRPr="00024FFF">
        <w:rPr>
          <w:rFonts w:cs="Times New Roman"/>
          <w:kern w:val="0"/>
          <w:sz w:val="22"/>
          <w:szCs w:val="22"/>
          <w:lang w:val="en-US"/>
        </w:rPr>
        <w:t xml:space="preserve">, p.9. Available at: </w:t>
      </w:r>
      <w:hyperlink r:id="rId7" w:history="1">
        <w:r w:rsidRPr="00024FFF">
          <w:rPr>
            <w:rFonts w:cs="Times New Roman"/>
            <w:kern w:val="0"/>
            <w:sz w:val="22"/>
            <w:szCs w:val="22"/>
            <w:lang w:val="en-US"/>
          </w:rPr>
          <w:t>https://www.naht.org.uk/Portals/0/PDF's/Wales/NAHT%20Wales%20funding%20report_single-page-view.pdf?ver=2024-09-20-082120-060</w:t>
        </w:r>
      </w:hyperlink>
      <w:r w:rsidRPr="00024FFF">
        <w:rPr>
          <w:rFonts w:cs="Times New Roman"/>
          <w:kern w:val="0"/>
          <w:sz w:val="22"/>
          <w:szCs w:val="22"/>
          <w:lang w:val="en-US"/>
        </w:rPr>
        <w:t xml:space="preserve"> [Accessed 27 Feb. 2025].</w:t>
      </w:r>
    </w:p>
    <w:p w14:paraId="6A9B70D5"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Dewey, J. (1902). </w:t>
      </w:r>
      <w:r w:rsidRPr="00024FFF">
        <w:rPr>
          <w:rFonts w:cs="Times New Roman"/>
          <w:i/>
          <w:iCs/>
          <w:kern w:val="0"/>
          <w:sz w:val="22"/>
          <w:szCs w:val="22"/>
          <w:lang w:val="en-US"/>
        </w:rPr>
        <w:t>The child and the curriculum</w:t>
      </w:r>
      <w:r w:rsidRPr="00024FFF">
        <w:rPr>
          <w:rFonts w:cs="Times New Roman"/>
          <w:kern w:val="0"/>
          <w:sz w:val="22"/>
          <w:szCs w:val="22"/>
          <w:lang w:val="en-US"/>
        </w:rPr>
        <w:t xml:space="preserve">. [online] Chicago: University of Chicago Press, p.5. Available at: </w:t>
      </w:r>
      <w:hyperlink r:id="rId8" w:history="1">
        <w:r w:rsidRPr="00024FFF">
          <w:rPr>
            <w:rFonts w:cs="Times New Roman"/>
            <w:kern w:val="0"/>
            <w:sz w:val="22"/>
            <w:szCs w:val="22"/>
            <w:lang w:val="en-US"/>
          </w:rPr>
          <w:t>https://archive.org/details/childandcurricul00deweuoft/page/5/mode/1up</w:t>
        </w:r>
      </w:hyperlink>
      <w:r w:rsidRPr="00024FFF">
        <w:rPr>
          <w:rFonts w:cs="Times New Roman"/>
          <w:kern w:val="0"/>
          <w:sz w:val="22"/>
          <w:szCs w:val="22"/>
          <w:lang w:val="en-US"/>
        </w:rPr>
        <w:t xml:space="preserve"> [Accessed 27 Feb. 2025].</w:t>
      </w:r>
    </w:p>
    <w:p w14:paraId="68448699"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Epstein, T.S.P. (2022). </w:t>
      </w:r>
      <w:r w:rsidRPr="00024FFF">
        <w:rPr>
          <w:rFonts w:cs="Times New Roman"/>
          <w:i/>
          <w:iCs/>
          <w:kern w:val="0"/>
          <w:sz w:val="22"/>
          <w:szCs w:val="22"/>
          <w:lang w:val="en-US"/>
        </w:rPr>
        <w:t>The Montessori Philosophy | Montessori Foundation | MFA | IMC</w:t>
      </w:r>
      <w:r w:rsidRPr="00024FFF">
        <w:rPr>
          <w:rFonts w:cs="Times New Roman"/>
          <w:kern w:val="0"/>
          <w:sz w:val="22"/>
          <w:szCs w:val="22"/>
          <w:lang w:val="en-US"/>
        </w:rPr>
        <w:t xml:space="preserve">. [online] Montessori Foundation. Available at: </w:t>
      </w:r>
      <w:hyperlink r:id="rId9" w:history="1">
        <w:r w:rsidRPr="00024FFF">
          <w:rPr>
            <w:rFonts w:cs="Times New Roman"/>
            <w:kern w:val="0"/>
            <w:sz w:val="22"/>
            <w:szCs w:val="22"/>
            <w:lang w:val="en-US"/>
          </w:rPr>
          <w:t>https://www.montessori.org/the-montessori-philosophy/</w:t>
        </w:r>
      </w:hyperlink>
      <w:r w:rsidRPr="00024FFF">
        <w:rPr>
          <w:rFonts w:cs="Times New Roman"/>
          <w:kern w:val="0"/>
          <w:sz w:val="22"/>
          <w:szCs w:val="22"/>
          <w:lang w:val="en-US"/>
        </w:rPr>
        <w:t xml:space="preserve"> [Accessed 1 Mar. 2025].</w:t>
      </w:r>
    </w:p>
    <w:p w14:paraId="27EC9904"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Marenus, M. (2024). </w:t>
      </w:r>
      <w:r w:rsidRPr="00024FFF">
        <w:rPr>
          <w:rFonts w:cs="Times New Roman"/>
          <w:i/>
          <w:iCs/>
          <w:kern w:val="0"/>
          <w:sz w:val="22"/>
          <w:szCs w:val="22"/>
          <w:lang w:val="en-US"/>
        </w:rPr>
        <w:t>Gardner’s Theory of Multiple Intelligences</w:t>
      </w:r>
      <w:r w:rsidRPr="00024FFF">
        <w:rPr>
          <w:rFonts w:cs="Times New Roman"/>
          <w:kern w:val="0"/>
          <w:sz w:val="22"/>
          <w:szCs w:val="22"/>
          <w:lang w:val="en-US"/>
        </w:rPr>
        <w:t xml:space="preserve">. [online] Simply Psychology. Available at: </w:t>
      </w:r>
      <w:hyperlink r:id="rId10" w:history="1">
        <w:r w:rsidRPr="00024FFF">
          <w:rPr>
            <w:rFonts w:cs="Times New Roman"/>
            <w:kern w:val="0"/>
            <w:sz w:val="22"/>
            <w:szCs w:val="22"/>
            <w:lang w:val="en-US"/>
          </w:rPr>
          <w:t>https://www.simplypsychology.org/multiple-intelligences.html</w:t>
        </w:r>
      </w:hyperlink>
      <w:r w:rsidRPr="00024FFF">
        <w:rPr>
          <w:rFonts w:cs="Times New Roman"/>
          <w:kern w:val="0"/>
          <w:sz w:val="22"/>
          <w:szCs w:val="22"/>
          <w:lang w:val="en-US"/>
        </w:rPr>
        <w:t xml:space="preserve"> [Accessed 1 Mar. 2025].</w:t>
      </w:r>
    </w:p>
    <w:p w14:paraId="3AB6E47A"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Pashia, M. (2024). </w:t>
      </w:r>
      <w:r w:rsidRPr="00024FFF">
        <w:rPr>
          <w:rFonts w:cs="Times New Roman"/>
          <w:i/>
          <w:iCs/>
          <w:kern w:val="0"/>
          <w:sz w:val="22"/>
          <w:szCs w:val="22"/>
          <w:lang w:val="en-US"/>
        </w:rPr>
        <w:t>Authentic Learning Experiences</w:t>
      </w:r>
      <w:r w:rsidRPr="00024FFF">
        <w:rPr>
          <w:rFonts w:cs="Times New Roman"/>
          <w:kern w:val="0"/>
          <w:sz w:val="22"/>
          <w:szCs w:val="22"/>
          <w:lang w:val="en-US"/>
        </w:rPr>
        <w:t xml:space="preserve">. [online] Getting Smart. Available at: </w:t>
      </w:r>
      <w:hyperlink r:id="rId11" w:history="1">
        <w:r w:rsidRPr="00024FFF">
          <w:rPr>
            <w:rFonts w:cs="Times New Roman"/>
            <w:kern w:val="0"/>
            <w:sz w:val="22"/>
            <w:szCs w:val="22"/>
            <w:lang w:val="en-US"/>
          </w:rPr>
          <w:t>https://www.gettingsmart.com/2024/11/15/authentic-learning-experiences/</w:t>
        </w:r>
      </w:hyperlink>
      <w:r w:rsidRPr="00024FFF">
        <w:rPr>
          <w:rFonts w:cs="Times New Roman"/>
          <w:kern w:val="0"/>
          <w:sz w:val="22"/>
          <w:szCs w:val="22"/>
          <w:lang w:val="en-US"/>
        </w:rPr>
        <w:t xml:space="preserve"> [Accessed 28 Feb. 2025].</w:t>
      </w:r>
    </w:p>
    <w:p w14:paraId="1567F4BD"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Roberts, M. (2024). </w:t>
      </w:r>
      <w:r w:rsidRPr="00024FFF">
        <w:rPr>
          <w:rFonts w:cs="Times New Roman"/>
          <w:i/>
          <w:iCs/>
          <w:kern w:val="0"/>
          <w:sz w:val="22"/>
          <w:szCs w:val="22"/>
          <w:lang w:val="en-US"/>
        </w:rPr>
        <w:t>Why PPA hasn’t solved teacher workload - and how to fix it</w:t>
      </w:r>
      <w:r w:rsidRPr="00024FFF">
        <w:rPr>
          <w:rFonts w:cs="Times New Roman"/>
          <w:kern w:val="0"/>
          <w:sz w:val="22"/>
          <w:szCs w:val="22"/>
          <w:lang w:val="en-US"/>
        </w:rPr>
        <w:t xml:space="preserve">. [online] Tes Magazine. Available at: </w:t>
      </w:r>
      <w:hyperlink r:id="rId12" w:history="1">
        <w:r w:rsidRPr="00024FFF">
          <w:rPr>
            <w:rFonts w:cs="Times New Roman"/>
            <w:kern w:val="0"/>
            <w:sz w:val="22"/>
            <w:szCs w:val="22"/>
            <w:lang w:val="en-US"/>
          </w:rPr>
          <w:t>https://www.tes.com/magazine/teaching-learning/general/why-ppa-time-has-not-cut-teacher-workload</w:t>
        </w:r>
      </w:hyperlink>
      <w:r w:rsidRPr="00024FFF">
        <w:rPr>
          <w:rFonts w:cs="Times New Roman"/>
          <w:kern w:val="0"/>
          <w:sz w:val="22"/>
          <w:szCs w:val="22"/>
          <w:lang w:val="en-US"/>
        </w:rPr>
        <w:t xml:space="preserve"> [Accessed 1 Mar. 2025].</w:t>
      </w:r>
    </w:p>
    <w:p w14:paraId="5024B706"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Rowley, C. and Cooper, H. (2009). </w:t>
      </w:r>
      <w:r w:rsidRPr="00024FFF">
        <w:rPr>
          <w:rFonts w:cs="Times New Roman"/>
          <w:i/>
          <w:iCs/>
          <w:kern w:val="0"/>
          <w:sz w:val="22"/>
          <w:szCs w:val="22"/>
          <w:lang w:val="en-US"/>
        </w:rPr>
        <w:t>Cross-curricular approaches to teaching and learning</w:t>
      </w:r>
      <w:r w:rsidRPr="00024FFF">
        <w:rPr>
          <w:rFonts w:cs="Times New Roman"/>
          <w:kern w:val="0"/>
          <w:sz w:val="22"/>
          <w:szCs w:val="22"/>
          <w:lang w:val="en-US"/>
        </w:rPr>
        <w:t>. Los Angeles: Sage, p.2.</w:t>
      </w:r>
    </w:p>
    <w:p w14:paraId="2B8E3C25"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lastRenderedPageBreak/>
        <w:t xml:space="preserve">Welsh Government (2017). </w:t>
      </w:r>
      <w:r w:rsidRPr="00024FFF">
        <w:rPr>
          <w:rFonts w:cs="Times New Roman"/>
          <w:i/>
          <w:iCs/>
          <w:kern w:val="0"/>
          <w:sz w:val="22"/>
          <w:szCs w:val="22"/>
          <w:lang w:val="en-US"/>
        </w:rPr>
        <w:t>Professional standards - Hwb</w:t>
      </w:r>
      <w:r w:rsidRPr="00024FFF">
        <w:rPr>
          <w:rFonts w:cs="Times New Roman"/>
          <w:kern w:val="0"/>
          <w:sz w:val="22"/>
          <w:szCs w:val="22"/>
          <w:lang w:val="en-US"/>
        </w:rPr>
        <w:t xml:space="preserve">. [online] Gov.wales. Available at: </w:t>
      </w:r>
      <w:hyperlink r:id="rId13" w:history="1">
        <w:r w:rsidRPr="00024FFF">
          <w:rPr>
            <w:rFonts w:cs="Times New Roman"/>
            <w:kern w:val="0"/>
            <w:sz w:val="22"/>
            <w:szCs w:val="22"/>
            <w:lang w:val="en-US"/>
          </w:rPr>
          <w:t>https://hwb.gov.wales/professional-learning/identifying-professional-learning-needs/professional-standards#evaluation-of-the-professional-standards-for-teaching</w:t>
        </w:r>
      </w:hyperlink>
      <w:r w:rsidRPr="00024FFF">
        <w:rPr>
          <w:rFonts w:cs="Times New Roman"/>
          <w:kern w:val="0"/>
          <w:sz w:val="22"/>
          <w:szCs w:val="22"/>
          <w:lang w:val="en-US"/>
        </w:rPr>
        <w:t xml:space="preserve"> [Accessed 1 Mar. 2025].</w:t>
      </w:r>
    </w:p>
    <w:p w14:paraId="0AA61E8D"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Welsh Government (2018). </w:t>
      </w:r>
      <w:r w:rsidRPr="00024FFF">
        <w:rPr>
          <w:rFonts w:cs="Times New Roman"/>
          <w:i/>
          <w:iCs/>
          <w:kern w:val="0"/>
          <w:sz w:val="22"/>
          <w:szCs w:val="22"/>
          <w:lang w:val="en-US"/>
        </w:rPr>
        <w:t>An introduction to the professional standards for teaching and leadership</w:t>
      </w:r>
      <w:r w:rsidRPr="00024FFF">
        <w:rPr>
          <w:rFonts w:cs="Times New Roman"/>
          <w:kern w:val="0"/>
          <w:sz w:val="22"/>
          <w:szCs w:val="22"/>
          <w:lang w:val="en-US"/>
        </w:rPr>
        <w:t xml:space="preserve">. [online] An introduction to the professional standards for teaching and leadership. Available at: </w:t>
      </w:r>
      <w:hyperlink r:id="rId14" w:history="1">
        <w:r w:rsidRPr="00024FFF">
          <w:rPr>
            <w:rFonts w:cs="Times New Roman"/>
            <w:kern w:val="0"/>
            <w:sz w:val="22"/>
            <w:szCs w:val="22"/>
            <w:lang w:val="en-US"/>
          </w:rPr>
          <w:t>https://hwb.gov.wales/api/storage/932d8940-56f5-4660-aa85-afb4e87560a9/an-introduction-to-the-professional-standards-for-teaching-and-leadership.pdf</w:t>
        </w:r>
      </w:hyperlink>
      <w:r w:rsidRPr="00024FFF">
        <w:rPr>
          <w:rFonts w:cs="Times New Roman"/>
          <w:kern w:val="0"/>
          <w:sz w:val="22"/>
          <w:szCs w:val="22"/>
          <w:lang w:val="en-US"/>
        </w:rPr>
        <w:t xml:space="preserve"> [Accessed 1 Mar. 2025].</w:t>
      </w:r>
    </w:p>
    <w:p w14:paraId="21EEC929"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Welsh Government (2020). </w:t>
      </w:r>
      <w:r w:rsidRPr="00024FFF">
        <w:rPr>
          <w:rFonts w:cs="Times New Roman"/>
          <w:i/>
          <w:iCs/>
          <w:kern w:val="0"/>
          <w:sz w:val="22"/>
          <w:szCs w:val="22"/>
          <w:lang w:val="en-US"/>
        </w:rPr>
        <w:t>Cross-curricular skills frameworks - Hwb</w:t>
      </w:r>
      <w:r w:rsidRPr="00024FFF">
        <w:rPr>
          <w:rFonts w:cs="Times New Roman"/>
          <w:kern w:val="0"/>
          <w:sz w:val="22"/>
          <w:szCs w:val="22"/>
          <w:lang w:val="en-US"/>
        </w:rPr>
        <w:t xml:space="preserve">. [online] Gov.wales. Available at: </w:t>
      </w:r>
      <w:hyperlink r:id="rId15" w:history="1">
        <w:r w:rsidRPr="00024FFF">
          <w:rPr>
            <w:rFonts w:cs="Times New Roman"/>
            <w:kern w:val="0"/>
            <w:sz w:val="22"/>
            <w:szCs w:val="22"/>
            <w:lang w:val="en-US"/>
          </w:rPr>
          <w:t>https://hwb.gov.wales/curriculum-for-wales/cross-curricular-skills-frameworks/</w:t>
        </w:r>
      </w:hyperlink>
      <w:r w:rsidRPr="00024FFF">
        <w:rPr>
          <w:rFonts w:cs="Times New Roman"/>
          <w:kern w:val="0"/>
          <w:sz w:val="22"/>
          <w:szCs w:val="22"/>
          <w:lang w:val="en-US"/>
        </w:rPr>
        <w:t xml:space="preserve"> [Accessed 28 Feb. 2025].</w:t>
      </w:r>
    </w:p>
    <w:p w14:paraId="60A7FDBD"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Welsh Government (2022a). </w:t>
      </w:r>
      <w:r w:rsidRPr="00024FFF">
        <w:rPr>
          <w:rFonts w:cs="Times New Roman"/>
          <w:i/>
          <w:iCs/>
          <w:kern w:val="0"/>
          <w:sz w:val="22"/>
          <w:szCs w:val="22"/>
          <w:lang w:val="en-US"/>
        </w:rPr>
        <w:t>Developing a vision for curriculum design - Hwb</w:t>
      </w:r>
      <w:r w:rsidRPr="00024FFF">
        <w:rPr>
          <w:rFonts w:cs="Times New Roman"/>
          <w:kern w:val="0"/>
          <w:sz w:val="22"/>
          <w:szCs w:val="22"/>
          <w:lang w:val="en-US"/>
        </w:rPr>
        <w:t xml:space="preserve">. [online] hwb.gov.wales. Available at: </w:t>
      </w:r>
      <w:hyperlink r:id="rId16" w:history="1">
        <w:r w:rsidRPr="00024FFF">
          <w:rPr>
            <w:rFonts w:cs="Times New Roman"/>
            <w:kern w:val="0"/>
            <w:sz w:val="22"/>
            <w:szCs w:val="22"/>
            <w:lang w:val="en-US"/>
          </w:rPr>
          <w:t>https://hwb.gov.wales/curriculum-for-wales/designing-your-curriculum/developing-a-vision-for-curriculum-design/#curriculum-design-and-the-four-purposes</w:t>
        </w:r>
      </w:hyperlink>
      <w:r w:rsidRPr="00024FFF">
        <w:rPr>
          <w:rFonts w:cs="Times New Roman"/>
          <w:kern w:val="0"/>
          <w:sz w:val="22"/>
          <w:szCs w:val="22"/>
          <w:lang w:val="en-US"/>
        </w:rPr>
        <w:t xml:space="preserve"> [Accessed 27 Feb. 2025].</w:t>
      </w:r>
    </w:p>
    <w:p w14:paraId="27BE1F51"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Welsh Government (2022b). </w:t>
      </w:r>
      <w:r w:rsidRPr="00024FFF">
        <w:rPr>
          <w:rFonts w:cs="Times New Roman"/>
          <w:i/>
          <w:iCs/>
          <w:kern w:val="0"/>
          <w:sz w:val="22"/>
          <w:szCs w:val="22"/>
          <w:lang w:val="en-US"/>
        </w:rPr>
        <w:t>Digital Competence Framework - Hwb</w:t>
      </w:r>
      <w:r w:rsidRPr="00024FFF">
        <w:rPr>
          <w:rFonts w:cs="Times New Roman"/>
          <w:kern w:val="0"/>
          <w:sz w:val="22"/>
          <w:szCs w:val="22"/>
          <w:lang w:val="en-US"/>
        </w:rPr>
        <w:t xml:space="preserve">. [online] hwb.gov.wales. Available at: </w:t>
      </w:r>
      <w:hyperlink r:id="rId17" w:history="1">
        <w:r w:rsidRPr="00024FFF">
          <w:rPr>
            <w:rFonts w:cs="Times New Roman"/>
            <w:kern w:val="0"/>
            <w:sz w:val="22"/>
            <w:szCs w:val="22"/>
            <w:lang w:val="en-US"/>
          </w:rPr>
          <w:t>https://hwb.gov.wales/curriculum-for-wales/cross-curricular-skills-frameworks/digital-competence-framework/</w:t>
        </w:r>
      </w:hyperlink>
      <w:r w:rsidRPr="00024FFF">
        <w:rPr>
          <w:rFonts w:cs="Times New Roman"/>
          <w:kern w:val="0"/>
          <w:sz w:val="22"/>
          <w:szCs w:val="22"/>
          <w:lang w:val="en-US"/>
        </w:rPr>
        <w:t xml:space="preserve"> [Accessed 28 Feb. 2025].</w:t>
      </w:r>
    </w:p>
    <w:p w14:paraId="43C4303B" w14:textId="77777777" w:rsidR="006B53E7" w:rsidRPr="00024FFF" w:rsidRDefault="006B53E7" w:rsidP="006B53E7">
      <w:pPr>
        <w:widowControl w:val="0"/>
        <w:autoSpaceDE w:val="0"/>
        <w:autoSpaceDN w:val="0"/>
        <w:adjustRightInd w:val="0"/>
        <w:spacing w:after="240" w:line="360" w:lineRule="auto"/>
        <w:rPr>
          <w:rFonts w:cs="Times New Roman"/>
          <w:kern w:val="0"/>
          <w:sz w:val="22"/>
          <w:szCs w:val="22"/>
          <w:lang w:val="en-US"/>
        </w:rPr>
      </w:pPr>
      <w:r w:rsidRPr="00024FFF">
        <w:rPr>
          <w:rFonts w:cs="Times New Roman"/>
          <w:kern w:val="0"/>
          <w:sz w:val="22"/>
          <w:szCs w:val="22"/>
          <w:lang w:val="en-US"/>
        </w:rPr>
        <w:t xml:space="preserve">Welsh Government (2022c). </w:t>
      </w:r>
      <w:r w:rsidRPr="00024FFF">
        <w:rPr>
          <w:rFonts w:cs="Times New Roman"/>
          <w:i/>
          <w:iCs/>
          <w:kern w:val="0"/>
          <w:sz w:val="22"/>
          <w:szCs w:val="22"/>
          <w:lang w:val="en-US"/>
        </w:rPr>
        <w:t>Literacy and Numeracy Framework - Hwb</w:t>
      </w:r>
      <w:r w:rsidRPr="00024FFF">
        <w:rPr>
          <w:rFonts w:cs="Times New Roman"/>
          <w:kern w:val="0"/>
          <w:sz w:val="22"/>
          <w:szCs w:val="22"/>
          <w:lang w:val="en-US"/>
        </w:rPr>
        <w:t xml:space="preserve">. [online] hwb.gov.wales. Available at: </w:t>
      </w:r>
      <w:hyperlink r:id="rId18" w:history="1">
        <w:r w:rsidRPr="00024FFF">
          <w:rPr>
            <w:rFonts w:cs="Times New Roman"/>
            <w:kern w:val="0"/>
            <w:sz w:val="22"/>
            <w:szCs w:val="22"/>
            <w:lang w:val="en-US"/>
          </w:rPr>
          <w:t>https://hwb.gov.wales/curriculum-for-wales/cross-curricular-skills-frameworks/literacy-and-numeracy-framework</w:t>
        </w:r>
      </w:hyperlink>
      <w:r w:rsidRPr="00024FFF">
        <w:rPr>
          <w:rFonts w:cs="Times New Roman"/>
          <w:kern w:val="0"/>
          <w:sz w:val="22"/>
          <w:szCs w:val="22"/>
          <w:lang w:val="en-US"/>
        </w:rPr>
        <w:t xml:space="preserve"> [Accessed 28 Feb. 2025].</w:t>
      </w:r>
    </w:p>
    <w:p w14:paraId="3729DB03" w14:textId="13A5EA54" w:rsidR="0000375B" w:rsidRPr="006B53E7" w:rsidRDefault="006B53E7" w:rsidP="0000375B">
      <w:r w:rsidRPr="006B53E7">
        <w:t>Appendi</w:t>
      </w:r>
      <w:r w:rsidR="006C4960">
        <w:t>x</w:t>
      </w:r>
      <w:r w:rsidRPr="006B53E7">
        <w:t xml:space="preserve"> A</w:t>
      </w:r>
      <w:r>
        <w:t>- Lesson Plan</w:t>
      </w:r>
    </w:p>
    <w:p w14:paraId="00FCD18B" w14:textId="64F56D01" w:rsidR="000C541C" w:rsidRDefault="006B53E7" w:rsidP="00DD5969">
      <w:pPr>
        <w:rPr>
          <w:sz w:val="16"/>
          <w:szCs w:val="16"/>
        </w:rPr>
      </w:pPr>
      <w:r w:rsidRPr="006B53E7">
        <w:rPr>
          <w:sz w:val="16"/>
          <w:szCs w:val="16"/>
        </w:rPr>
        <w:lastRenderedPageBreak/>
        <w:drawing>
          <wp:inline distT="0" distB="0" distL="0" distR="0" wp14:anchorId="40E7A067" wp14:editId="5080A011">
            <wp:extent cx="5619750" cy="4060091"/>
            <wp:effectExtent l="0" t="0" r="0" b="0"/>
            <wp:docPr id="852831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31382" name="Picture 1" descr="A screenshot of a computer&#10;&#10;AI-generated content may be incorrect."/>
                    <pic:cNvPicPr/>
                  </pic:nvPicPr>
                  <pic:blipFill>
                    <a:blip r:embed="rId19"/>
                    <a:stretch>
                      <a:fillRect/>
                    </a:stretch>
                  </pic:blipFill>
                  <pic:spPr>
                    <a:xfrm>
                      <a:off x="0" y="0"/>
                      <a:ext cx="5657251" cy="4087185"/>
                    </a:xfrm>
                    <a:prstGeom prst="rect">
                      <a:avLst/>
                    </a:prstGeom>
                  </pic:spPr>
                </pic:pic>
              </a:graphicData>
            </a:graphic>
          </wp:inline>
        </w:drawing>
      </w:r>
      <w:r w:rsidRPr="006B53E7">
        <w:rPr>
          <w:noProof/>
        </w:rPr>
        <w:t xml:space="preserve"> </w:t>
      </w:r>
      <w:r w:rsidRPr="006B53E7">
        <w:rPr>
          <w:sz w:val="16"/>
          <w:szCs w:val="16"/>
        </w:rPr>
        <w:drawing>
          <wp:inline distT="0" distB="0" distL="0" distR="0" wp14:anchorId="2E6C2885" wp14:editId="175282C5">
            <wp:extent cx="5435600" cy="3317005"/>
            <wp:effectExtent l="0" t="0" r="0" b="0"/>
            <wp:docPr id="741846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46850" name="Picture 1" descr="A screenshot of a computer&#10;&#10;AI-generated content may be incorrect."/>
                    <pic:cNvPicPr/>
                  </pic:nvPicPr>
                  <pic:blipFill>
                    <a:blip r:embed="rId20"/>
                    <a:stretch>
                      <a:fillRect/>
                    </a:stretch>
                  </pic:blipFill>
                  <pic:spPr>
                    <a:xfrm>
                      <a:off x="0" y="0"/>
                      <a:ext cx="5456445" cy="3329726"/>
                    </a:xfrm>
                    <a:prstGeom prst="rect">
                      <a:avLst/>
                    </a:prstGeom>
                  </pic:spPr>
                </pic:pic>
              </a:graphicData>
            </a:graphic>
          </wp:inline>
        </w:drawing>
      </w:r>
      <w:r w:rsidRPr="006B53E7">
        <w:rPr>
          <w:noProof/>
        </w:rPr>
        <w:t xml:space="preserve"> </w:t>
      </w:r>
      <w:r w:rsidRPr="006B53E7">
        <w:rPr>
          <w:noProof/>
        </w:rPr>
        <w:lastRenderedPageBreak/>
        <w:drawing>
          <wp:inline distT="0" distB="0" distL="0" distR="0" wp14:anchorId="5565229A" wp14:editId="000252B6">
            <wp:extent cx="5731510" cy="3620770"/>
            <wp:effectExtent l="0" t="0" r="2540" b="0"/>
            <wp:docPr id="1120145082" name="Picture 1" descr="A white and blu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45082" name="Picture 1" descr="A white and blue document with black text&#10;&#10;AI-generated content may be incorrect."/>
                    <pic:cNvPicPr/>
                  </pic:nvPicPr>
                  <pic:blipFill>
                    <a:blip r:embed="rId21"/>
                    <a:stretch>
                      <a:fillRect/>
                    </a:stretch>
                  </pic:blipFill>
                  <pic:spPr>
                    <a:xfrm>
                      <a:off x="0" y="0"/>
                      <a:ext cx="5731510" cy="3620770"/>
                    </a:xfrm>
                    <a:prstGeom prst="rect">
                      <a:avLst/>
                    </a:prstGeom>
                  </pic:spPr>
                </pic:pic>
              </a:graphicData>
            </a:graphic>
          </wp:inline>
        </w:drawing>
      </w:r>
    </w:p>
    <w:p w14:paraId="6EA9A853" w14:textId="02A1D3FA" w:rsidR="0000375B" w:rsidRPr="006C4960" w:rsidRDefault="006C4960" w:rsidP="00DD5969">
      <w:pPr>
        <w:rPr>
          <w:sz w:val="22"/>
          <w:szCs w:val="22"/>
        </w:rPr>
      </w:pPr>
      <w:r w:rsidRPr="006C4960">
        <w:rPr>
          <w:sz w:val="22"/>
          <w:szCs w:val="22"/>
        </w:rPr>
        <w:t>Appendix B</w:t>
      </w:r>
      <w:r>
        <w:rPr>
          <w:sz w:val="22"/>
          <w:szCs w:val="22"/>
        </w:rPr>
        <w:t>- Resource</w:t>
      </w:r>
    </w:p>
    <w:p w14:paraId="480C2399" w14:textId="2D55EC55" w:rsidR="006C4960" w:rsidRPr="006C4960" w:rsidRDefault="006C4960" w:rsidP="006C4960">
      <w:pPr>
        <w:rPr>
          <w:sz w:val="16"/>
          <w:szCs w:val="16"/>
        </w:rPr>
      </w:pPr>
      <w:r w:rsidRPr="006C4960">
        <w:rPr>
          <w:sz w:val="16"/>
          <w:szCs w:val="16"/>
        </w:rPr>
        <w:lastRenderedPageBreak/>
        <w:drawing>
          <wp:inline distT="0" distB="0" distL="0" distR="0" wp14:anchorId="22483B00" wp14:editId="6FCB9558">
            <wp:extent cx="3795963" cy="2355850"/>
            <wp:effectExtent l="0" t="0" r="0" b="6350"/>
            <wp:docPr id="283513857" name="Picture 2" descr="A pape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13857" name="Picture 2" descr="A paper on a table&#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7257"/>
                    <a:stretch/>
                  </pic:blipFill>
                  <pic:spPr bwMode="auto">
                    <a:xfrm>
                      <a:off x="0" y="0"/>
                      <a:ext cx="3801735" cy="2359432"/>
                    </a:xfrm>
                    <a:prstGeom prst="rect">
                      <a:avLst/>
                    </a:prstGeom>
                    <a:noFill/>
                    <a:ln>
                      <a:noFill/>
                    </a:ln>
                    <a:extLst>
                      <a:ext uri="{53640926-AAD7-44D8-BBD7-CCE9431645EC}">
                        <a14:shadowObscured xmlns:a14="http://schemas.microsoft.com/office/drawing/2010/main"/>
                      </a:ext>
                    </a:extLst>
                  </pic:spPr>
                </pic:pic>
              </a:graphicData>
            </a:graphic>
          </wp:inline>
        </w:drawing>
      </w:r>
      <w:r w:rsidRPr="006C4960">
        <w:rPr>
          <w:rFonts w:ascii="Times New Roman" w:eastAsia="Times New Roman" w:hAnsi="Times New Roman" w:cs="Times New Roman"/>
          <w:kern w:val="0"/>
          <w:lang w:eastAsia="en-GB"/>
          <w14:ligatures w14:val="none"/>
        </w:rPr>
        <w:t xml:space="preserve"> </w:t>
      </w:r>
      <w:r w:rsidRPr="006C4960">
        <w:rPr>
          <w:sz w:val="16"/>
          <w:szCs w:val="16"/>
        </w:rPr>
        <w:drawing>
          <wp:inline distT="0" distB="0" distL="0" distR="0" wp14:anchorId="172F7A9F" wp14:editId="73C53693">
            <wp:extent cx="3435350" cy="2576703"/>
            <wp:effectExtent l="0" t="0" r="0" b="0"/>
            <wp:docPr id="1868542151" name="Picture 3" descr="A paper with a piece of paper next to a group of object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542151" name="Picture 3" descr="A paper with a piece of paper next to a group of objects on a tabl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36183" cy="2577328"/>
                    </a:xfrm>
                    <a:prstGeom prst="rect">
                      <a:avLst/>
                    </a:prstGeom>
                    <a:noFill/>
                    <a:ln>
                      <a:noFill/>
                    </a:ln>
                  </pic:spPr>
                </pic:pic>
              </a:graphicData>
            </a:graphic>
          </wp:inline>
        </w:drawing>
      </w:r>
    </w:p>
    <w:p w14:paraId="53662562" w14:textId="202A7645" w:rsidR="006C4960" w:rsidRPr="006C4960" w:rsidRDefault="006C4960" w:rsidP="006C4960">
      <w:pPr>
        <w:rPr>
          <w:sz w:val="16"/>
          <w:szCs w:val="16"/>
        </w:rPr>
      </w:pPr>
      <w:r w:rsidRPr="006C4960">
        <w:rPr>
          <w:sz w:val="16"/>
          <w:szCs w:val="16"/>
        </w:rPr>
        <w:drawing>
          <wp:inline distT="0" distB="0" distL="0" distR="0" wp14:anchorId="72557493" wp14:editId="03EB4510">
            <wp:extent cx="3335620" cy="2501900"/>
            <wp:effectExtent l="0" t="0" r="0" b="0"/>
            <wp:docPr id="1287246844" name="Picture 4" descr="A paper with a piece of paper next to toy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46844" name="Picture 4" descr="A paper with a piece of paper next to toys on a table&#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37145" cy="2503044"/>
                    </a:xfrm>
                    <a:prstGeom prst="rect">
                      <a:avLst/>
                    </a:prstGeom>
                    <a:noFill/>
                    <a:ln>
                      <a:noFill/>
                    </a:ln>
                  </pic:spPr>
                </pic:pic>
              </a:graphicData>
            </a:graphic>
          </wp:inline>
        </w:drawing>
      </w: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A5027"/>
    <w:rsid w:val="000C144A"/>
    <w:rsid w:val="000C541C"/>
    <w:rsid w:val="000C68CB"/>
    <w:rsid w:val="000D5B34"/>
    <w:rsid w:val="0010406A"/>
    <w:rsid w:val="001118FB"/>
    <w:rsid w:val="00115538"/>
    <w:rsid w:val="00135DD1"/>
    <w:rsid w:val="001819DF"/>
    <w:rsid w:val="00185E67"/>
    <w:rsid w:val="001B086C"/>
    <w:rsid w:val="001C6E70"/>
    <w:rsid w:val="00262DC1"/>
    <w:rsid w:val="002C05B1"/>
    <w:rsid w:val="002F243A"/>
    <w:rsid w:val="00301906"/>
    <w:rsid w:val="00302BB1"/>
    <w:rsid w:val="003341DF"/>
    <w:rsid w:val="00347EA1"/>
    <w:rsid w:val="00382546"/>
    <w:rsid w:val="003A709B"/>
    <w:rsid w:val="003D223A"/>
    <w:rsid w:val="00417AB6"/>
    <w:rsid w:val="004D474C"/>
    <w:rsid w:val="00533EF6"/>
    <w:rsid w:val="00536CFB"/>
    <w:rsid w:val="00543F5E"/>
    <w:rsid w:val="00584970"/>
    <w:rsid w:val="005B783A"/>
    <w:rsid w:val="005F42D0"/>
    <w:rsid w:val="005F7C42"/>
    <w:rsid w:val="0062310A"/>
    <w:rsid w:val="00664B16"/>
    <w:rsid w:val="006A2407"/>
    <w:rsid w:val="006B52C3"/>
    <w:rsid w:val="006B53E7"/>
    <w:rsid w:val="006C4960"/>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27500"/>
    <w:rsid w:val="00AD7313"/>
    <w:rsid w:val="00AE2AA9"/>
    <w:rsid w:val="00AE3307"/>
    <w:rsid w:val="00B028A8"/>
    <w:rsid w:val="00B103B9"/>
    <w:rsid w:val="00B51B61"/>
    <w:rsid w:val="00B724BB"/>
    <w:rsid w:val="00BE2A35"/>
    <w:rsid w:val="00BE3554"/>
    <w:rsid w:val="00C129B8"/>
    <w:rsid w:val="00C24461"/>
    <w:rsid w:val="00C2550A"/>
    <w:rsid w:val="00C4699D"/>
    <w:rsid w:val="00C86756"/>
    <w:rsid w:val="00CF32AC"/>
    <w:rsid w:val="00D24ADF"/>
    <w:rsid w:val="00D26517"/>
    <w:rsid w:val="00DC55F3"/>
    <w:rsid w:val="00DD5969"/>
    <w:rsid w:val="00E10797"/>
    <w:rsid w:val="00E243A8"/>
    <w:rsid w:val="00E6747C"/>
    <w:rsid w:val="00E8649A"/>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C496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942423">
      <w:bodyDiv w:val="1"/>
      <w:marLeft w:val="0"/>
      <w:marRight w:val="0"/>
      <w:marTop w:val="0"/>
      <w:marBottom w:val="0"/>
      <w:divBdr>
        <w:top w:val="none" w:sz="0" w:space="0" w:color="auto"/>
        <w:left w:val="none" w:sz="0" w:space="0" w:color="auto"/>
        <w:bottom w:val="none" w:sz="0" w:space="0" w:color="auto"/>
        <w:right w:val="none" w:sz="0" w:space="0" w:color="auto"/>
      </w:divBdr>
    </w:div>
    <w:div w:id="1151408400">
      <w:bodyDiv w:val="1"/>
      <w:marLeft w:val="0"/>
      <w:marRight w:val="0"/>
      <w:marTop w:val="0"/>
      <w:marBottom w:val="0"/>
      <w:divBdr>
        <w:top w:val="none" w:sz="0" w:space="0" w:color="auto"/>
        <w:left w:val="none" w:sz="0" w:space="0" w:color="auto"/>
        <w:bottom w:val="none" w:sz="0" w:space="0" w:color="auto"/>
        <w:right w:val="none" w:sz="0" w:space="0" w:color="auto"/>
      </w:divBdr>
    </w:div>
    <w:div w:id="1201816584">
      <w:bodyDiv w:val="1"/>
      <w:marLeft w:val="0"/>
      <w:marRight w:val="0"/>
      <w:marTop w:val="0"/>
      <w:marBottom w:val="0"/>
      <w:divBdr>
        <w:top w:val="none" w:sz="0" w:space="0" w:color="auto"/>
        <w:left w:val="none" w:sz="0" w:space="0" w:color="auto"/>
        <w:bottom w:val="none" w:sz="0" w:space="0" w:color="auto"/>
        <w:right w:val="none" w:sz="0" w:space="0" w:color="auto"/>
      </w:divBdr>
    </w:div>
    <w:div w:id="1656299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childandcurricul00deweuoft/page/5/mode/1up" TargetMode="External"/><Relationship Id="rId13" Type="http://schemas.openxmlformats.org/officeDocument/2006/relationships/hyperlink" Target="https://hwb.gov.wales/professional-learning/identifying-professional-learning-needs/professional-standards#evaluation-of-the-professional-standards-for-teaching" TargetMode="External"/><Relationship Id="rId18" Type="http://schemas.openxmlformats.org/officeDocument/2006/relationships/hyperlink" Target="https://hwb.gov.wales/curriculum-for-wales/cross-curricular-skills-frameworks/literacy-and-numeracy-framework"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https://www.naht.org.uk/Portals/0/PDF%27s/Wales/NAHT%20Wales%20funding%20report_single-page-view.pdf?ver=2024-09-20-082120-060" TargetMode="External"/><Relationship Id="rId12" Type="http://schemas.openxmlformats.org/officeDocument/2006/relationships/hyperlink" Target="https://www.tes.com/magazine/teaching-learning/general/why-ppa-time-has-not-cut-teacher-workload" TargetMode="External"/><Relationship Id="rId17" Type="http://schemas.openxmlformats.org/officeDocument/2006/relationships/hyperlink" Target="https://hwb.gov.wales/curriculum-for-wales/cross-curricular-skills-frameworks/digital-competence-framewor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wb.gov.wales/curriculum-for-wales/designing-your-curriculum/developing-a-vision-for-curriculum-design/#curriculum-design-and-the-four-purposes" TargetMode="External"/><Relationship Id="rId20"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doi.org/10.1108/09578230110392884" TargetMode="External"/><Relationship Id="rId11" Type="http://schemas.openxmlformats.org/officeDocument/2006/relationships/hyperlink" Target="https://www.gettingsmart.com/2024/11/15/authentic-learning-experiences/" TargetMode="External"/><Relationship Id="rId24" Type="http://schemas.openxmlformats.org/officeDocument/2006/relationships/image" Target="media/image7.jpeg"/><Relationship Id="rId5" Type="http://schemas.openxmlformats.org/officeDocument/2006/relationships/hyperlink" Target="https://www.researchgate.net/publication/274313611_An_Introduction_to_Cross-Curricular_Learning" TargetMode="External"/><Relationship Id="rId15" Type="http://schemas.openxmlformats.org/officeDocument/2006/relationships/hyperlink" Target="https://hwb.gov.wales/curriculum-for-wales/cross-curricular-skills-frameworks/" TargetMode="External"/><Relationship Id="rId23" Type="http://schemas.openxmlformats.org/officeDocument/2006/relationships/image" Target="media/image6.jpeg"/><Relationship Id="rId10" Type="http://schemas.openxmlformats.org/officeDocument/2006/relationships/hyperlink" Target="https://www.simplypsychology.org/multiple-intelligences.html" TargetMode="External"/><Relationship Id="rId19"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hyperlink" Target="https://www.montessori.org/the-montessori-philosophy/" TargetMode="External"/><Relationship Id="rId14" Type="http://schemas.openxmlformats.org/officeDocument/2006/relationships/hyperlink" Target="https://hwb.gov.wales/api/storage/932d8940-56f5-4660-aa85-afb4e87560a9/an-introduction-to-the-professional-standards-for-teaching-and-leadership.pdf"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13</Pages>
  <Words>3087</Words>
  <Characters>17600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Callie Thornhill</cp:lastModifiedBy>
  <cp:revision>4</cp:revision>
  <dcterms:created xsi:type="dcterms:W3CDTF">2025-03-03T17:19:00Z</dcterms:created>
  <dcterms:modified xsi:type="dcterms:W3CDTF">2025-03-03T17:49:00Z</dcterms:modified>
</cp:coreProperties>
</file>