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C3F15" w14:textId="77777777" w:rsidR="004B5281" w:rsidRDefault="00384335" w:rsidP="00384335">
      <w:pPr>
        <w:spacing w:before="100" w:beforeAutospacing="1" w:after="100" w:afterAutospacing="1" w:line="240" w:lineRule="auto"/>
        <w:ind w:left="2160"/>
        <w:outlineLvl w:val="1"/>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drawing>
          <wp:inline distT="0" distB="0" distL="0" distR="0" wp14:anchorId="62B13AEA" wp14:editId="442E1520">
            <wp:extent cx="2795081" cy="1157605"/>
            <wp:effectExtent l="0" t="0" r="571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6148" cy="1158047"/>
                    </a:xfrm>
                    <a:prstGeom prst="rect">
                      <a:avLst/>
                    </a:prstGeom>
                    <a:noFill/>
                  </pic:spPr>
                </pic:pic>
              </a:graphicData>
            </a:graphic>
          </wp:inline>
        </w:drawing>
      </w:r>
    </w:p>
    <w:p w14:paraId="69FCCB17" w14:textId="77777777" w:rsidR="004B5281" w:rsidRPr="00384335" w:rsidRDefault="00384335" w:rsidP="00063724">
      <w:pPr>
        <w:spacing w:before="100" w:beforeAutospacing="1" w:after="100" w:afterAutospacing="1" w:line="240" w:lineRule="auto"/>
        <w:outlineLvl w:val="1"/>
        <w:rPr>
          <w:rFonts w:ascii="Arial" w:eastAsia="Times New Roman" w:hAnsi="Arial" w:cs="Arial"/>
          <w:b/>
          <w:bCs/>
          <w:sz w:val="36"/>
          <w:szCs w:val="36"/>
        </w:rPr>
      </w:pPr>
      <w:r>
        <w:rPr>
          <w:rFonts w:ascii="Arial" w:hAnsi="Arial" w:cs="Arial"/>
          <w:b/>
        </w:rPr>
        <w:t xml:space="preserve">           </w:t>
      </w:r>
      <w:r w:rsidRPr="00384335">
        <w:rPr>
          <w:rFonts w:ascii="Arial" w:hAnsi="Arial" w:cs="Arial"/>
          <w:b/>
        </w:rPr>
        <w:t xml:space="preserve">Integrated Care and Professional Practice: </w:t>
      </w:r>
      <w:proofErr w:type="spellStart"/>
      <w:r w:rsidRPr="00384335">
        <w:rPr>
          <w:rFonts w:ascii="Arial" w:hAnsi="Arial" w:cs="Arial"/>
          <w:b/>
        </w:rPr>
        <w:t>Mrs</w:t>
      </w:r>
      <w:proofErr w:type="spellEnd"/>
      <w:r w:rsidRPr="00384335">
        <w:rPr>
          <w:rFonts w:ascii="Arial" w:hAnsi="Arial" w:cs="Arial"/>
          <w:b/>
        </w:rPr>
        <w:t xml:space="preserve"> Mann Case Study</w:t>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384335" w:rsidRPr="006A5DAA" w14:paraId="3CF1A8AE" w14:textId="77777777" w:rsidTr="005E7219">
        <w:trPr>
          <w:trHeight w:val="179"/>
          <w:jc w:val="center"/>
        </w:trPr>
        <w:tc>
          <w:tcPr>
            <w:tcW w:w="0" w:type="auto"/>
            <w:hideMark/>
          </w:tcPr>
          <w:p w14:paraId="22080F9E" w14:textId="77777777" w:rsidR="00384335" w:rsidRPr="006A5DAA" w:rsidRDefault="00384335" w:rsidP="005E7219">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2A4BE735" w14:textId="298E3AB1" w:rsidR="00384335" w:rsidRPr="006A5DAA" w:rsidRDefault="00CD5689" w:rsidP="005E7219">
            <w:pPr>
              <w:spacing w:line="360" w:lineRule="auto"/>
              <w:jc w:val="both"/>
              <w:rPr>
                <w:rFonts w:ascii="Arial" w:eastAsia="Times New Roman" w:hAnsi="Arial" w:cs="Arial"/>
                <w:bCs/>
              </w:rPr>
            </w:pPr>
            <w:r>
              <w:rPr>
                <w:rFonts w:ascii="Arial" w:eastAsia="Times New Roman" w:hAnsi="Arial" w:cs="Arial"/>
                <w:bCs/>
              </w:rPr>
              <w:t>Happy Chowdhury</w:t>
            </w:r>
          </w:p>
        </w:tc>
      </w:tr>
      <w:tr w:rsidR="00384335" w:rsidRPr="006A5DAA" w14:paraId="449475C6" w14:textId="77777777" w:rsidTr="005E7219">
        <w:trPr>
          <w:jc w:val="center"/>
        </w:trPr>
        <w:tc>
          <w:tcPr>
            <w:tcW w:w="0" w:type="auto"/>
            <w:hideMark/>
          </w:tcPr>
          <w:p w14:paraId="1DE0FF8B" w14:textId="77777777"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5BB8334A" w14:textId="16D2302C" w:rsidR="00384335" w:rsidRPr="006A5DAA" w:rsidRDefault="00CD5689" w:rsidP="005E7219">
            <w:pPr>
              <w:spacing w:line="360" w:lineRule="auto"/>
              <w:jc w:val="both"/>
              <w:rPr>
                <w:rFonts w:ascii="Arial" w:eastAsia="Times New Roman" w:hAnsi="Arial" w:cs="Arial"/>
              </w:rPr>
            </w:pPr>
            <w:r>
              <w:rPr>
                <w:rFonts w:ascii="Arial" w:eastAsia="Times New Roman" w:hAnsi="Arial" w:cs="Arial"/>
              </w:rPr>
              <w:t>24</w:t>
            </w:r>
            <w:r w:rsidR="009E6371">
              <w:rPr>
                <w:rFonts w:ascii="Arial" w:eastAsia="Times New Roman" w:hAnsi="Arial" w:cs="Arial"/>
              </w:rPr>
              <w:t>32687</w:t>
            </w:r>
          </w:p>
        </w:tc>
      </w:tr>
      <w:tr w:rsidR="00384335" w:rsidRPr="006A5DAA" w14:paraId="2E56F4F1" w14:textId="77777777" w:rsidTr="005E7219">
        <w:trPr>
          <w:jc w:val="center"/>
        </w:trPr>
        <w:tc>
          <w:tcPr>
            <w:tcW w:w="0" w:type="auto"/>
            <w:hideMark/>
          </w:tcPr>
          <w:p w14:paraId="0E77093F" w14:textId="73896435"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Program:</w:t>
            </w:r>
          </w:p>
        </w:tc>
        <w:tc>
          <w:tcPr>
            <w:tcW w:w="5825" w:type="dxa"/>
            <w:hideMark/>
          </w:tcPr>
          <w:p w14:paraId="07AA60F9" w14:textId="77777777" w:rsidR="00384335" w:rsidRPr="006A5DAA" w:rsidRDefault="00384335" w:rsidP="005E7219">
            <w:pPr>
              <w:spacing w:line="360" w:lineRule="auto"/>
              <w:jc w:val="both"/>
              <w:rPr>
                <w:rFonts w:ascii="Arial" w:eastAsia="Times New Roman" w:hAnsi="Arial" w:cs="Arial"/>
              </w:rPr>
            </w:pPr>
            <w:r w:rsidRPr="006A5DAA">
              <w:rPr>
                <w:rFonts w:ascii="Arial" w:eastAsia="Times New Roman" w:hAnsi="Arial" w:cs="Arial"/>
              </w:rPr>
              <w:t>Certificate of Higher Education in Skills for the Workplace (Health &amp; Social Care)</w:t>
            </w:r>
          </w:p>
        </w:tc>
      </w:tr>
      <w:tr w:rsidR="00384335" w:rsidRPr="006A5DAA" w14:paraId="1E9A854C" w14:textId="77777777" w:rsidTr="005E7219">
        <w:trPr>
          <w:jc w:val="center"/>
        </w:trPr>
        <w:tc>
          <w:tcPr>
            <w:tcW w:w="0" w:type="auto"/>
            <w:hideMark/>
          </w:tcPr>
          <w:p w14:paraId="58FF9C23" w14:textId="77777777"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6115DBB4" w14:textId="77777777" w:rsidR="00384335" w:rsidRPr="006A5DAA" w:rsidRDefault="00384335" w:rsidP="005E7219">
            <w:pPr>
              <w:spacing w:line="360" w:lineRule="auto"/>
              <w:jc w:val="both"/>
              <w:rPr>
                <w:rFonts w:ascii="Arial" w:eastAsia="Times New Roman" w:hAnsi="Arial" w:cs="Arial"/>
              </w:rPr>
            </w:pPr>
            <w:r w:rsidRPr="006A5DAA">
              <w:rPr>
                <w:rFonts w:ascii="Arial" w:eastAsia="Times New Roman" w:hAnsi="Arial" w:cs="Arial"/>
              </w:rPr>
              <w:t>Introduction to Health and Social Care</w:t>
            </w:r>
          </w:p>
        </w:tc>
      </w:tr>
      <w:tr w:rsidR="00384335" w:rsidRPr="006A5DAA" w14:paraId="4E12DDA6" w14:textId="77777777" w:rsidTr="005E7219">
        <w:trPr>
          <w:jc w:val="center"/>
        </w:trPr>
        <w:tc>
          <w:tcPr>
            <w:tcW w:w="0" w:type="auto"/>
            <w:hideMark/>
          </w:tcPr>
          <w:p w14:paraId="28F88695" w14:textId="77777777"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614FD107" w14:textId="77777777" w:rsidR="00384335" w:rsidRPr="006A5DAA" w:rsidRDefault="00384335" w:rsidP="005E7219">
            <w:pPr>
              <w:spacing w:line="360" w:lineRule="auto"/>
              <w:jc w:val="both"/>
              <w:rPr>
                <w:rFonts w:ascii="Arial" w:eastAsia="Times New Roman" w:hAnsi="Arial" w:cs="Arial"/>
              </w:rPr>
            </w:pPr>
            <w:r w:rsidRPr="006A5DAA">
              <w:rPr>
                <w:rFonts w:ascii="Arial" w:eastAsia="Times New Roman" w:hAnsi="Arial" w:cs="Arial"/>
              </w:rPr>
              <w:t>LCHS4003</w:t>
            </w:r>
          </w:p>
        </w:tc>
      </w:tr>
      <w:tr w:rsidR="00384335" w:rsidRPr="006A5DAA" w14:paraId="274CD84C" w14:textId="77777777" w:rsidTr="005E7219">
        <w:trPr>
          <w:jc w:val="center"/>
        </w:trPr>
        <w:tc>
          <w:tcPr>
            <w:tcW w:w="0" w:type="auto"/>
            <w:hideMark/>
          </w:tcPr>
          <w:p w14:paraId="44CDF68E" w14:textId="77777777"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2C7889D7" w14:textId="57C8F77F" w:rsidR="00384335" w:rsidRPr="006A5DAA" w:rsidRDefault="00384335" w:rsidP="005E7219">
            <w:pPr>
              <w:spacing w:line="360" w:lineRule="auto"/>
              <w:jc w:val="both"/>
              <w:rPr>
                <w:rFonts w:ascii="Arial" w:eastAsia="Times New Roman" w:hAnsi="Arial" w:cs="Arial"/>
              </w:rPr>
            </w:pPr>
            <w:r w:rsidRPr="006A5DAA">
              <w:rPr>
                <w:rFonts w:ascii="Arial" w:eastAsia="Times New Roman" w:hAnsi="Arial" w:cs="Arial"/>
              </w:rPr>
              <w:t xml:space="preserve">Dr. </w:t>
            </w:r>
            <w:r w:rsidR="009E6371">
              <w:rPr>
                <w:rFonts w:ascii="Arial" w:eastAsia="Times New Roman" w:hAnsi="Arial" w:cs="Arial"/>
              </w:rPr>
              <w:t>Aisha Bakre</w:t>
            </w:r>
          </w:p>
        </w:tc>
      </w:tr>
      <w:tr w:rsidR="00384335" w:rsidRPr="006A5DAA" w14:paraId="5F6E21FA" w14:textId="77777777" w:rsidTr="005E7219">
        <w:trPr>
          <w:jc w:val="center"/>
        </w:trPr>
        <w:tc>
          <w:tcPr>
            <w:tcW w:w="0" w:type="auto"/>
            <w:hideMark/>
          </w:tcPr>
          <w:p w14:paraId="4A129142" w14:textId="77777777"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Internal Verifier:</w:t>
            </w:r>
          </w:p>
        </w:tc>
        <w:tc>
          <w:tcPr>
            <w:tcW w:w="5825" w:type="dxa"/>
            <w:hideMark/>
          </w:tcPr>
          <w:p w14:paraId="455B6CEA" w14:textId="77777777" w:rsidR="00384335" w:rsidRPr="006A5DAA" w:rsidRDefault="00384335" w:rsidP="005E7219">
            <w:pPr>
              <w:spacing w:line="360" w:lineRule="auto"/>
              <w:jc w:val="both"/>
              <w:rPr>
                <w:rFonts w:ascii="Arial" w:eastAsia="Times New Roman" w:hAnsi="Arial" w:cs="Arial"/>
              </w:rPr>
            </w:pPr>
            <w:r w:rsidRPr="006A5DAA">
              <w:rPr>
                <w:rFonts w:ascii="Arial" w:eastAsia="Times New Roman" w:hAnsi="Arial" w:cs="Arial"/>
              </w:rPr>
              <w:t>Dr. Besty Jose</w:t>
            </w:r>
          </w:p>
        </w:tc>
      </w:tr>
      <w:tr w:rsidR="00384335" w:rsidRPr="006A5DAA" w14:paraId="1C2828A9" w14:textId="77777777" w:rsidTr="005E7219">
        <w:trPr>
          <w:jc w:val="center"/>
        </w:trPr>
        <w:tc>
          <w:tcPr>
            <w:tcW w:w="0" w:type="auto"/>
            <w:hideMark/>
          </w:tcPr>
          <w:p w14:paraId="1F1A4CEA" w14:textId="77777777"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4F055F5C" w14:textId="77777777" w:rsidR="00384335" w:rsidRPr="00384335" w:rsidRDefault="00384335" w:rsidP="005E7219">
            <w:pPr>
              <w:spacing w:line="360" w:lineRule="auto"/>
              <w:jc w:val="both"/>
              <w:rPr>
                <w:rFonts w:ascii="Arial" w:eastAsia="Times New Roman" w:hAnsi="Arial" w:cs="Arial"/>
              </w:rPr>
            </w:pPr>
            <w:r w:rsidRPr="00384335">
              <w:rPr>
                <w:rFonts w:ascii="Arial" w:hAnsi="Arial" w:cs="Arial"/>
              </w:rPr>
              <w:t xml:space="preserve">Integrated Care and Professional Practice: </w:t>
            </w:r>
            <w:proofErr w:type="spellStart"/>
            <w:r w:rsidRPr="00384335">
              <w:rPr>
                <w:rFonts w:ascii="Arial" w:hAnsi="Arial" w:cs="Arial"/>
              </w:rPr>
              <w:t>Mrs</w:t>
            </w:r>
            <w:proofErr w:type="spellEnd"/>
            <w:r w:rsidRPr="00384335">
              <w:rPr>
                <w:rFonts w:ascii="Arial" w:hAnsi="Arial" w:cs="Arial"/>
              </w:rPr>
              <w:t xml:space="preserve"> Mann Case Study</w:t>
            </w:r>
          </w:p>
        </w:tc>
      </w:tr>
      <w:tr w:rsidR="00384335" w:rsidRPr="006A5DAA" w14:paraId="579D5965" w14:textId="77777777" w:rsidTr="005E7219">
        <w:trPr>
          <w:jc w:val="center"/>
        </w:trPr>
        <w:tc>
          <w:tcPr>
            <w:tcW w:w="0" w:type="auto"/>
            <w:hideMark/>
          </w:tcPr>
          <w:p w14:paraId="4BACA5DF" w14:textId="77777777" w:rsidR="00384335" w:rsidRPr="006A5DAA" w:rsidRDefault="00384335" w:rsidP="005E7219">
            <w:pPr>
              <w:spacing w:line="360" w:lineRule="auto"/>
              <w:jc w:val="both"/>
              <w:rPr>
                <w:rFonts w:ascii="Arial" w:eastAsia="Times New Roman" w:hAnsi="Arial" w:cs="Arial"/>
              </w:rPr>
            </w:pPr>
            <w:r w:rsidRPr="00565A92">
              <w:rPr>
                <w:rFonts w:ascii="Arial" w:eastAsia="Times New Roman" w:hAnsi="Arial" w:cs="Arial"/>
                <w:b/>
                <w:bCs/>
              </w:rPr>
              <w:t>Submission Deadline:</w:t>
            </w:r>
          </w:p>
        </w:tc>
        <w:tc>
          <w:tcPr>
            <w:tcW w:w="5825" w:type="dxa"/>
            <w:hideMark/>
          </w:tcPr>
          <w:p w14:paraId="39644AFB" w14:textId="77777777" w:rsidR="00384335" w:rsidRPr="006A5DAA" w:rsidRDefault="00384335" w:rsidP="005E7219">
            <w:pPr>
              <w:spacing w:line="360" w:lineRule="auto"/>
              <w:jc w:val="both"/>
              <w:rPr>
                <w:rFonts w:ascii="Arial" w:eastAsia="Times New Roman" w:hAnsi="Arial" w:cs="Arial"/>
              </w:rPr>
            </w:pPr>
            <w:r>
              <w:rPr>
                <w:rFonts w:ascii="Arial" w:eastAsia="Times New Roman" w:hAnsi="Arial" w:cs="Arial"/>
              </w:rPr>
              <w:t xml:space="preserve">Monday, 21 November </w:t>
            </w:r>
            <w:r w:rsidRPr="006A5DAA">
              <w:rPr>
                <w:rFonts w:ascii="Arial" w:eastAsia="Times New Roman" w:hAnsi="Arial" w:cs="Arial"/>
              </w:rPr>
              <w:t>2025, 10 AM</w:t>
            </w:r>
          </w:p>
        </w:tc>
      </w:tr>
    </w:tbl>
    <w:p w14:paraId="4A7B6C34"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7BF2F209"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323C39BB"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4B7F9B84"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797DF5F6"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7051C47E"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0BEC05CB"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78A70580" w14:textId="77777777" w:rsidR="004B5281" w:rsidRDefault="004B5281" w:rsidP="00063724">
      <w:pPr>
        <w:spacing w:before="100" w:beforeAutospacing="1" w:after="100" w:afterAutospacing="1" w:line="240" w:lineRule="auto"/>
        <w:outlineLvl w:val="1"/>
        <w:rPr>
          <w:rFonts w:ascii="Times New Roman" w:eastAsia="Times New Roman" w:hAnsi="Times New Roman" w:cs="Times New Roman"/>
          <w:b/>
          <w:bCs/>
          <w:sz w:val="36"/>
          <w:szCs w:val="36"/>
        </w:rPr>
      </w:pPr>
    </w:p>
    <w:p w14:paraId="3A8AE7A7" w14:textId="77777777" w:rsidR="004B5281" w:rsidRPr="003B1004" w:rsidRDefault="004B5281" w:rsidP="003B1004">
      <w:pPr>
        <w:spacing w:before="100" w:beforeAutospacing="1" w:after="100" w:afterAutospacing="1" w:line="240" w:lineRule="auto"/>
        <w:ind w:firstLine="720"/>
        <w:outlineLvl w:val="1"/>
        <w:rPr>
          <w:rFonts w:ascii="Times New Roman" w:eastAsia="Times New Roman" w:hAnsi="Times New Roman" w:cs="Times New Roman"/>
          <w:b/>
          <w:bCs/>
          <w:sz w:val="28"/>
          <w:szCs w:val="28"/>
        </w:rPr>
      </w:pPr>
    </w:p>
    <w:p w14:paraId="7DE5B793" w14:textId="77777777" w:rsidR="003B1004" w:rsidRPr="003B1004" w:rsidRDefault="003B1004" w:rsidP="003B1004">
      <w:pPr>
        <w:tabs>
          <w:tab w:val="left" w:pos="2134"/>
        </w:tabs>
        <w:spacing w:before="100" w:beforeAutospacing="1" w:after="100" w:afterAutospacing="1" w:line="360" w:lineRule="auto"/>
        <w:jc w:val="both"/>
        <w:outlineLvl w:val="1"/>
        <w:rPr>
          <w:rFonts w:ascii="Arial" w:eastAsia="Times New Roman" w:hAnsi="Arial" w:cs="Arial"/>
          <w:b/>
          <w:bCs/>
        </w:rPr>
      </w:pPr>
      <w:r w:rsidRPr="003B1004">
        <w:rPr>
          <w:rFonts w:ascii="Arial" w:eastAsia="Times New Roman" w:hAnsi="Arial" w:cs="Arial"/>
          <w:b/>
          <w:bCs/>
          <w:sz w:val="28"/>
          <w:szCs w:val="28"/>
        </w:rPr>
        <w:t>Table of Contents</w:t>
      </w:r>
      <w:r w:rsidRPr="003B1004">
        <w:rPr>
          <w:rFonts w:ascii="Arial" w:eastAsia="Times New Roman" w:hAnsi="Arial" w:cs="Arial"/>
          <w:b/>
          <w:bCs/>
        </w:rPr>
        <w:tab/>
      </w:r>
    </w:p>
    <w:p w14:paraId="70C06E4C" w14:textId="77777777" w:rsidR="003B1004" w:rsidRPr="003B1004" w:rsidRDefault="003B1004" w:rsidP="003B1004">
      <w:pPr>
        <w:numPr>
          <w:ilvl w:val="0"/>
          <w:numId w:val="3"/>
        </w:numPr>
        <w:spacing w:before="100" w:beforeAutospacing="1" w:after="100" w:afterAutospacing="1" w:line="360" w:lineRule="auto"/>
        <w:jc w:val="both"/>
        <w:rPr>
          <w:rFonts w:ascii="Arial" w:eastAsia="Times New Roman" w:hAnsi="Arial" w:cs="Arial"/>
        </w:rPr>
      </w:pPr>
      <w:r w:rsidRPr="003B1004">
        <w:rPr>
          <w:rFonts w:ascii="Arial" w:eastAsia="Times New Roman" w:hAnsi="Arial" w:cs="Arial"/>
          <w:bCs/>
        </w:rPr>
        <w:t>Introduction</w:t>
      </w:r>
      <w:r w:rsidRPr="003B1004">
        <w:rPr>
          <w:rFonts w:ascii="Arial" w:eastAsia="Times New Roman" w:hAnsi="Arial" w:cs="Arial"/>
        </w:rPr>
        <w:t xml:space="preserve"> ...............................................................................................................</w:t>
      </w:r>
      <w:r>
        <w:rPr>
          <w:rFonts w:ascii="Arial" w:eastAsia="Times New Roman" w:hAnsi="Arial" w:cs="Arial"/>
        </w:rPr>
        <w:t>........ 3</w:t>
      </w:r>
    </w:p>
    <w:p w14:paraId="21544908" w14:textId="77777777" w:rsidR="003B1004" w:rsidRPr="003B1004" w:rsidRDefault="003B1004" w:rsidP="003B1004">
      <w:pPr>
        <w:numPr>
          <w:ilvl w:val="0"/>
          <w:numId w:val="3"/>
        </w:numPr>
        <w:spacing w:before="100" w:beforeAutospacing="1" w:after="100" w:afterAutospacing="1" w:line="360" w:lineRule="auto"/>
        <w:jc w:val="both"/>
        <w:rPr>
          <w:rFonts w:ascii="Arial" w:eastAsia="Times New Roman" w:hAnsi="Arial" w:cs="Arial"/>
        </w:rPr>
      </w:pPr>
      <w:r w:rsidRPr="003B1004">
        <w:rPr>
          <w:rFonts w:ascii="Arial" w:eastAsia="Times New Roman" w:hAnsi="Arial" w:cs="Arial"/>
          <w:bCs/>
        </w:rPr>
        <w:t xml:space="preserve">Effective Communication in </w:t>
      </w:r>
      <w:proofErr w:type="spellStart"/>
      <w:r w:rsidRPr="003B1004">
        <w:rPr>
          <w:rFonts w:ascii="Arial" w:eastAsia="Times New Roman" w:hAnsi="Arial" w:cs="Arial"/>
          <w:bCs/>
        </w:rPr>
        <w:t>Mrs</w:t>
      </w:r>
      <w:proofErr w:type="spellEnd"/>
      <w:r w:rsidRPr="003B1004">
        <w:rPr>
          <w:rFonts w:ascii="Arial" w:eastAsia="Times New Roman" w:hAnsi="Arial" w:cs="Arial"/>
          <w:bCs/>
        </w:rPr>
        <w:t xml:space="preserve"> Mann’s Care</w:t>
      </w:r>
      <w:r w:rsidRPr="003B1004">
        <w:rPr>
          <w:rFonts w:ascii="Arial" w:eastAsia="Times New Roman" w:hAnsi="Arial" w:cs="Arial"/>
        </w:rPr>
        <w:t xml:space="preserve"> ......................</w:t>
      </w:r>
      <w:r>
        <w:rPr>
          <w:rFonts w:ascii="Arial" w:eastAsia="Times New Roman" w:hAnsi="Arial" w:cs="Arial"/>
        </w:rPr>
        <w:t>.............................. 3</w:t>
      </w:r>
      <w:r w:rsidRPr="003B1004">
        <w:rPr>
          <w:rFonts w:ascii="Arial" w:eastAsia="Times New Roman" w:hAnsi="Arial" w:cs="Arial"/>
        </w:rPr>
        <w:br/>
      </w:r>
      <w:r w:rsidRPr="003B1004">
        <w:rPr>
          <w:rFonts w:ascii="Arial" w:eastAsia="Times New Roman" w:hAnsi="Arial" w:cs="Arial"/>
        </w:rPr>
        <w:t> </w:t>
      </w:r>
      <w:r w:rsidRPr="003B1004">
        <w:rPr>
          <w:rFonts w:ascii="Arial" w:eastAsia="Times New Roman" w:hAnsi="Arial" w:cs="Arial"/>
        </w:rPr>
        <w:t xml:space="preserve">2.1 </w:t>
      </w:r>
      <w:r w:rsidRPr="003B1004">
        <w:rPr>
          <w:rFonts w:ascii="Arial" w:eastAsia="Times New Roman" w:hAnsi="Arial" w:cs="Arial"/>
          <w:bCs/>
        </w:rPr>
        <w:t>Communication with the Service User and Family</w:t>
      </w:r>
      <w:r w:rsidRPr="003B1004">
        <w:rPr>
          <w:rFonts w:ascii="Arial" w:eastAsia="Times New Roman" w:hAnsi="Arial" w:cs="Arial"/>
        </w:rPr>
        <w:t xml:space="preserve"> .........</w:t>
      </w:r>
      <w:r>
        <w:rPr>
          <w:rFonts w:ascii="Arial" w:eastAsia="Times New Roman" w:hAnsi="Arial" w:cs="Arial"/>
        </w:rPr>
        <w:t>.............................. 3</w:t>
      </w:r>
      <w:r w:rsidRPr="003B1004">
        <w:rPr>
          <w:rFonts w:ascii="Arial" w:eastAsia="Times New Roman" w:hAnsi="Arial" w:cs="Arial"/>
        </w:rPr>
        <w:br/>
      </w:r>
      <w:r w:rsidRPr="003B1004">
        <w:rPr>
          <w:rFonts w:ascii="Arial" w:eastAsia="Times New Roman" w:hAnsi="Arial" w:cs="Arial"/>
        </w:rPr>
        <w:t> </w:t>
      </w:r>
      <w:r w:rsidRPr="003B1004">
        <w:rPr>
          <w:rFonts w:ascii="Arial" w:eastAsia="Times New Roman" w:hAnsi="Arial" w:cs="Arial"/>
        </w:rPr>
        <w:t xml:space="preserve">2.2 </w:t>
      </w:r>
      <w:r w:rsidRPr="003B1004">
        <w:rPr>
          <w:rFonts w:ascii="Arial" w:eastAsia="Times New Roman" w:hAnsi="Arial" w:cs="Arial"/>
          <w:bCs/>
        </w:rPr>
        <w:t>Applying a Communicatio</w:t>
      </w:r>
      <w:r w:rsidR="00237F7F">
        <w:rPr>
          <w:rFonts w:ascii="Arial" w:eastAsia="Times New Roman" w:hAnsi="Arial" w:cs="Arial"/>
          <w:bCs/>
        </w:rPr>
        <w:t>n Model: Berlo’s SMCR Model……</w:t>
      </w:r>
      <w:r w:rsidRPr="003B1004">
        <w:rPr>
          <w:rFonts w:ascii="Arial" w:eastAsia="Times New Roman" w:hAnsi="Arial" w:cs="Arial"/>
        </w:rPr>
        <w:t>......</w:t>
      </w:r>
      <w:r>
        <w:rPr>
          <w:rFonts w:ascii="Arial" w:eastAsia="Times New Roman" w:hAnsi="Arial" w:cs="Arial"/>
        </w:rPr>
        <w:t>........................... 4</w:t>
      </w:r>
    </w:p>
    <w:p w14:paraId="39826F47" w14:textId="77777777" w:rsidR="003B1004" w:rsidRPr="003B1004" w:rsidRDefault="003B1004" w:rsidP="003B1004">
      <w:pPr>
        <w:numPr>
          <w:ilvl w:val="0"/>
          <w:numId w:val="3"/>
        </w:numPr>
        <w:spacing w:before="100" w:beforeAutospacing="1" w:after="100" w:afterAutospacing="1" w:line="360" w:lineRule="auto"/>
        <w:jc w:val="both"/>
        <w:rPr>
          <w:rFonts w:ascii="Arial" w:eastAsia="Times New Roman" w:hAnsi="Arial" w:cs="Arial"/>
        </w:rPr>
      </w:pPr>
      <w:r w:rsidRPr="003B1004">
        <w:rPr>
          <w:rFonts w:ascii="Arial" w:eastAsia="Times New Roman" w:hAnsi="Arial" w:cs="Arial"/>
          <w:bCs/>
        </w:rPr>
        <w:t>Administrative Skills, Record-Keeping and Data Protection</w:t>
      </w:r>
      <w:r w:rsidRPr="003B1004">
        <w:rPr>
          <w:rFonts w:ascii="Arial" w:eastAsia="Times New Roman" w:hAnsi="Arial" w:cs="Arial"/>
        </w:rPr>
        <w:t xml:space="preserve"> .....................</w:t>
      </w:r>
      <w:r w:rsidR="00237F7F">
        <w:rPr>
          <w:rFonts w:ascii="Arial" w:eastAsia="Times New Roman" w:hAnsi="Arial" w:cs="Arial"/>
        </w:rPr>
        <w:t>........................ 6</w:t>
      </w:r>
    </w:p>
    <w:p w14:paraId="5BF3D98C" w14:textId="77777777" w:rsidR="003B1004" w:rsidRPr="003B1004" w:rsidRDefault="003B1004" w:rsidP="003B1004">
      <w:pPr>
        <w:numPr>
          <w:ilvl w:val="0"/>
          <w:numId w:val="3"/>
        </w:numPr>
        <w:spacing w:before="100" w:beforeAutospacing="1" w:after="100" w:afterAutospacing="1" w:line="360" w:lineRule="auto"/>
        <w:jc w:val="both"/>
        <w:rPr>
          <w:rFonts w:ascii="Arial" w:eastAsia="Times New Roman" w:hAnsi="Arial" w:cs="Arial"/>
        </w:rPr>
      </w:pPr>
      <w:r w:rsidRPr="003B1004">
        <w:rPr>
          <w:rFonts w:ascii="Arial" w:eastAsia="Times New Roman" w:hAnsi="Arial" w:cs="Arial"/>
          <w:bCs/>
        </w:rPr>
        <w:t>Collaborative Working with Other Professionals</w:t>
      </w:r>
      <w:r w:rsidRPr="003B1004">
        <w:rPr>
          <w:rFonts w:ascii="Arial" w:eastAsia="Times New Roman" w:hAnsi="Arial" w:cs="Arial"/>
        </w:rPr>
        <w:t xml:space="preserve"> ....................</w:t>
      </w:r>
      <w:r>
        <w:rPr>
          <w:rFonts w:ascii="Arial" w:eastAsia="Times New Roman" w:hAnsi="Arial" w:cs="Arial"/>
        </w:rPr>
        <w:t>.............................. 7</w:t>
      </w:r>
      <w:r w:rsidRPr="003B1004">
        <w:rPr>
          <w:rFonts w:ascii="Arial" w:eastAsia="Times New Roman" w:hAnsi="Arial" w:cs="Arial"/>
        </w:rPr>
        <w:br/>
      </w:r>
      <w:r w:rsidRPr="003B1004">
        <w:rPr>
          <w:rFonts w:ascii="Arial" w:eastAsia="Times New Roman" w:hAnsi="Arial" w:cs="Arial"/>
        </w:rPr>
        <w:t> </w:t>
      </w:r>
      <w:r w:rsidRPr="003B1004">
        <w:rPr>
          <w:rFonts w:ascii="Arial" w:eastAsia="Times New Roman" w:hAnsi="Arial" w:cs="Arial"/>
        </w:rPr>
        <w:t xml:space="preserve">4.1 </w:t>
      </w:r>
      <w:r w:rsidRPr="003B1004">
        <w:rPr>
          <w:rFonts w:ascii="Arial" w:eastAsia="Times New Roman" w:hAnsi="Arial" w:cs="Arial"/>
          <w:bCs/>
        </w:rPr>
        <w:t>Approaches to Effective Collaboration</w:t>
      </w:r>
      <w:r w:rsidRPr="003B1004">
        <w:rPr>
          <w:rFonts w:ascii="Arial" w:eastAsia="Times New Roman" w:hAnsi="Arial" w:cs="Arial"/>
        </w:rPr>
        <w:t xml:space="preserve"> .............................................</w:t>
      </w:r>
      <w:r>
        <w:rPr>
          <w:rFonts w:ascii="Arial" w:eastAsia="Times New Roman" w:hAnsi="Arial" w:cs="Arial"/>
        </w:rPr>
        <w:t>.........</w:t>
      </w:r>
      <w:proofErr w:type="gramStart"/>
      <w:r>
        <w:rPr>
          <w:rFonts w:ascii="Arial" w:eastAsia="Times New Roman" w:hAnsi="Arial" w:cs="Arial"/>
        </w:rPr>
        <w:t>.....</w:t>
      </w:r>
      <w:proofErr w:type="gramEnd"/>
      <w:r>
        <w:rPr>
          <w:rFonts w:ascii="Arial" w:eastAsia="Times New Roman" w:hAnsi="Arial" w:cs="Arial"/>
        </w:rPr>
        <w:t xml:space="preserve"> 7</w:t>
      </w:r>
      <w:r w:rsidRPr="003B1004">
        <w:rPr>
          <w:rFonts w:ascii="Arial" w:eastAsia="Times New Roman" w:hAnsi="Arial" w:cs="Arial"/>
        </w:rPr>
        <w:br/>
      </w:r>
      <w:r w:rsidRPr="003B1004">
        <w:rPr>
          <w:rFonts w:ascii="Arial" w:eastAsia="Times New Roman" w:hAnsi="Arial" w:cs="Arial"/>
        </w:rPr>
        <w:t> </w:t>
      </w:r>
      <w:r w:rsidRPr="003B1004">
        <w:rPr>
          <w:rFonts w:ascii="Arial" w:eastAsia="Times New Roman" w:hAnsi="Arial" w:cs="Arial"/>
        </w:rPr>
        <w:t xml:space="preserve">4.2 </w:t>
      </w:r>
      <w:r w:rsidRPr="003B1004">
        <w:rPr>
          <w:rFonts w:ascii="Arial" w:eastAsia="Times New Roman" w:hAnsi="Arial" w:cs="Arial"/>
          <w:bCs/>
        </w:rPr>
        <w:t>Addressing Common Challenges</w:t>
      </w:r>
      <w:r w:rsidRPr="003B1004">
        <w:rPr>
          <w:rFonts w:ascii="Arial" w:eastAsia="Times New Roman" w:hAnsi="Arial" w:cs="Arial"/>
        </w:rPr>
        <w:t xml:space="preserve"> .......................................................</w:t>
      </w:r>
      <w:r w:rsidR="00237F7F">
        <w:rPr>
          <w:rFonts w:ascii="Arial" w:eastAsia="Times New Roman" w:hAnsi="Arial" w:cs="Arial"/>
        </w:rPr>
        <w:t>..................... 8</w:t>
      </w:r>
    </w:p>
    <w:p w14:paraId="34EDB922" w14:textId="77777777" w:rsidR="003B1004" w:rsidRPr="003B1004" w:rsidRDefault="003B1004" w:rsidP="003B1004">
      <w:pPr>
        <w:numPr>
          <w:ilvl w:val="0"/>
          <w:numId w:val="3"/>
        </w:numPr>
        <w:spacing w:before="100" w:beforeAutospacing="1" w:after="100" w:afterAutospacing="1" w:line="360" w:lineRule="auto"/>
        <w:jc w:val="both"/>
        <w:rPr>
          <w:rFonts w:ascii="Arial" w:eastAsia="Times New Roman" w:hAnsi="Arial" w:cs="Arial"/>
        </w:rPr>
      </w:pPr>
      <w:r w:rsidRPr="003B1004">
        <w:rPr>
          <w:rFonts w:ascii="Arial" w:eastAsia="Times New Roman" w:hAnsi="Arial" w:cs="Arial"/>
          <w:bCs/>
        </w:rPr>
        <w:t>Conclusion</w:t>
      </w:r>
      <w:r w:rsidRPr="003B1004">
        <w:rPr>
          <w:rFonts w:ascii="Arial" w:eastAsia="Times New Roman" w:hAnsi="Arial" w:cs="Arial"/>
        </w:rPr>
        <w:t xml:space="preserve"> ..........................................................................................................</w:t>
      </w:r>
      <w:r w:rsidR="00237F7F">
        <w:rPr>
          <w:rFonts w:ascii="Arial" w:eastAsia="Times New Roman" w:hAnsi="Arial" w:cs="Arial"/>
        </w:rPr>
        <w:t>.</w:t>
      </w:r>
      <w:r w:rsidRPr="003B1004">
        <w:rPr>
          <w:rFonts w:ascii="Arial" w:eastAsia="Times New Roman" w:hAnsi="Arial" w:cs="Arial"/>
        </w:rPr>
        <w:t xml:space="preserve">............. </w:t>
      </w:r>
      <w:r>
        <w:rPr>
          <w:rFonts w:ascii="Arial" w:eastAsia="Times New Roman" w:hAnsi="Arial" w:cs="Arial"/>
        </w:rPr>
        <w:t>8</w:t>
      </w:r>
    </w:p>
    <w:p w14:paraId="1EE42F0F" w14:textId="77777777" w:rsidR="003B1004" w:rsidRPr="003B1004" w:rsidRDefault="003B1004" w:rsidP="003B1004">
      <w:pPr>
        <w:numPr>
          <w:ilvl w:val="0"/>
          <w:numId w:val="3"/>
        </w:numPr>
        <w:spacing w:before="100" w:beforeAutospacing="1" w:after="100" w:afterAutospacing="1" w:line="360" w:lineRule="auto"/>
        <w:jc w:val="both"/>
        <w:rPr>
          <w:rFonts w:ascii="Arial" w:eastAsia="Times New Roman" w:hAnsi="Arial" w:cs="Arial"/>
        </w:rPr>
      </w:pPr>
      <w:r w:rsidRPr="003B1004">
        <w:rPr>
          <w:rFonts w:ascii="Arial" w:eastAsia="Times New Roman" w:hAnsi="Arial" w:cs="Arial"/>
          <w:bCs/>
        </w:rPr>
        <w:t>References</w:t>
      </w:r>
      <w:r w:rsidRPr="003B1004">
        <w:rPr>
          <w:rFonts w:ascii="Arial" w:eastAsia="Times New Roman" w:hAnsi="Arial" w:cs="Arial"/>
        </w:rPr>
        <w:t xml:space="preserve"> .........................................................................................</w:t>
      </w:r>
      <w:r>
        <w:rPr>
          <w:rFonts w:ascii="Arial" w:eastAsia="Times New Roman" w:hAnsi="Arial" w:cs="Arial"/>
        </w:rPr>
        <w:t>...................</w:t>
      </w:r>
      <w:r w:rsidR="00237F7F">
        <w:rPr>
          <w:rFonts w:ascii="Arial" w:eastAsia="Times New Roman" w:hAnsi="Arial" w:cs="Arial"/>
        </w:rPr>
        <w:t>..........10</w:t>
      </w:r>
    </w:p>
    <w:p w14:paraId="32EE26E5" w14:textId="77777777" w:rsidR="00063724" w:rsidRPr="00063724" w:rsidRDefault="003B1004" w:rsidP="003B1004">
      <w:pPr>
        <w:tabs>
          <w:tab w:val="left" w:pos="5239"/>
        </w:tabs>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ab/>
      </w:r>
    </w:p>
    <w:p w14:paraId="7556EDDD"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22F02CDA"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72F55A85"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499E8A6A"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6230E623"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08F9C08F"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705CDA61"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3532B06D"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74A722BB" w14:textId="77777777" w:rsidR="00063724" w:rsidRDefault="00063724" w:rsidP="003013B9">
      <w:pPr>
        <w:spacing w:before="100" w:beforeAutospacing="1" w:after="100" w:afterAutospacing="1" w:line="360" w:lineRule="auto"/>
        <w:jc w:val="both"/>
        <w:outlineLvl w:val="1"/>
        <w:rPr>
          <w:rFonts w:ascii="Arial" w:eastAsia="Times New Roman" w:hAnsi="Arial" w:cs="Arial"/>
          <w:b/>
          <w:bCs/>
        </w:rPr>
      </w:pPr>
    </w:p>
    <w:p w14:paraId="4AEC57AB" w14:textId="77777777" w:rsidR="003B1004" w:rsidRDefault="003B1004" w:rsidP="003013B9">
      <w:pPr>
        <w:spacing w:before="100" w:beforeAutospacing="1" w:after="100" w:afterAutospacing="1" w:line="360" w:lineRule="auto"/>
        <w:jc w:val="both"/>
        <w:outlineLvl w:val="1"/>
        <w:rPr>
          <w:rFonts w:ascii="Arial" w:eastAsia="Times New Roman" w:hAnsi="Arial" w:cs="Arial"/>
          <w:b/>
          <w:bCs/>
        </w:rPr>
      </w:pPr>
    </w:p>
    <w:p w14:paraId="67EC1F00" w14:textId="77777777" w:rsidR="003B1004" w:rsidRDefault="003B1004" w:rsidP="003013B9">
      <w:pPr>
        <w:spacing w:before="100" w:beforeAutospacing="1" w:after="100" w:afterAutospacing="1" w:line="360" w:lineRule="auto"/>
        <w:jc w:val="both"/>
        <w:outlineLvl w:val="1"/>
        <w:rPr>
          <w:rFonts w:ascii="Arial" w:eastAsia="Times New Roman" w:hAnsi="Arial" w:cs="Arial"/>
          <w:b/>
          <w:bCs/>
        </w:rPr>
      </w:pPr>
    </w:p>
    <w:p w14:paraId="686E21B5" w14:textId="77777777" w:rsidR="003E4871" w:rsidRPr="00063724" w:rsidRDefault="00063724" w:rsidP="00063724">
      <w:pPr>
        <w:pStyle w:val="ListParagraph"/>
        <w:numPr>
          <w:ilvl w:val="0"/>
          <w:numId w:val="2"/>
        </w:numPr>
        <w:spacing w:before="100" w:beforeAutospacing="1" w:after="100" w:afterAutospacing="1" w:line="360" w:lineRule="auto"/>
        <w:jc w:val="both"/>
        <w:outlineLvl w:val="1"/>
        <w:rPr>
          <w:rFonts w:ascii="Arial" w:eastAsia="Times New Roman" w:hAnsi="Arial" w:cs="Arial"/>
          <w:b/>
          <w:bCs/>
        </w:rPr>
      </w:pPr>
      <w:proofErr w:type="gramStart"/>
      <w:r w:rsidRPr="00063724">
        <w:rPr>
          <w:rFonts w:ascii="Arial" w:eastAsia="Times New Roman" w:hAnsi="Arial" w:cs="Arial"/>
          <w:b/>
          <w:bCs/>
        </w:rPr>
        <w:lastRenderedPageBreak/>
        <w:t>I</w:t>
      </w:r>
      <w:r w:rsidR="003013B9" w:rsidRPr="00063724">
        <w:rPr>
          <w:rFonts w:ascii="Arial" w:eastAsia="Times New Roman" w:hAnsi="Arial" w:cs="Arial"/>
          <w:b/>
          <w:bCs/>
        </w:rPr>
        <w:t>ntroduction :</w:t>
      </w:r>
      <w:proofErr w:type="gramEnd"/>
      <w:r w:rsidR="003013B9" w:rsidRPr="00063724">
        <w:rPr>
          <w:rFonts w:ascii="Arial" w:eastAsia="Times New Roman" w:hAnsi="Arial" w:cs="Arial"/>
          <w:b/>
          <w:bCs/>
        </w:rPr>
        <w:t xml:space="preserve"> </w:t>
      </w:r>
    </w:p>
    <w:p w14:paraId="64100D5F"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Delivering safe, effective, and person-</w:t>
      </w:r>
      <w:r w:rsidR="003013B9" w:rsidRPr="00063724">
        <w:rPr>
          <w:rFonts w:ascii="Arial" w:eastAsia="Times New Roman" w:hAnsi="Arial" w:cs="Arial"/>
        </w:rPr>
        <w:t>centered</w:t>
      </w:r>
      <w:r w:rsidRPr="003E4871">
        <w:rPr>
          <w:rFonts w:ascii="Arial" w:eastAsia="Times New Roman" w:hAnsi="Arial" w:cs="Arial"/>
        </w:rPr>
        <w:t xml:space="preserve"> care for individuals such as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Mann—a 72-year-old recovering from hip replacement surgery—requires clear communication, accurate record keeping, and cohesive teamwork across health and social care services. Within the UK context, these principles are embedded in frameworks such as the </w:t>
      </w:r>
      <w:r w:rsidRPr="00063724">
        <w:rPr>
          <w:rFonts w:ascii="Arial" w:eastAsia="Times New Roman" w:hAnsi="Arial" w:cs="Arial"/>
          <w:bCs/>
        </w:rPr>
        <w:t>NHS Long Term Plan (2019)</w:t>
      </w:r>
      <w:r w:rsidRPr="003E4871">
        <w:rPr>
          <w:rFonts w:ascii="Arial" w:eastAsia="Times New Roman" w:hAnsi="Arial" w:cs="Arial"/>
        </w:rPr>
        <w:t xml:space="preserve"> and the </w:t>
      </w:r>
      <w:r w:rsidRPr="00063724">
        <w:rPr>
          <w:rFonts w:ascii="Arial" w:eastAsia="Times New Roman" w:hAnsi="Arial" w:cs="Arial"/>
          <w:bCs/>
        </w:rPr>
        <w:t>Health and Social Care Act 2012</w:t>
      </w:r>
      <w:r w:rsidRPr="003E4871">
        <w:rPr>
          <w:rFonts w:ascii="Arial" w:eastAsia="Times New Roman" w:hAnsi="Arial" w:cs="Arial"/>
        </w:rPr>
        <w:t xml:space="preserve">, which </w:t>
      </w:r>
      <w:r w:rsidR="003013B9" w:rsidRPr="00063724">
        <w:rPr>
          <w:rFonts w:ascii="Arial" w:eastAsia="Times New Roman" w:hAnsi="Arial" w:cs="Arial"/>
        </w:rPr>
        <w:t>emphasize</w:t>
      </w:r>
      <w:r w:rsidRPr="003E4871">
        <w:rPr>
          <w:rFonts w:ascii="Arial" w:eastAsia="Times New Roman" w:hAnsi="Arial" w:cs="Arial"/>
        </w:rPr>
        <w:t xml:space="preserve"> integrated, inclusive, and evidence-based care delivery (NHS England, 2023; CQC, 2023). Effective communication is essential in overcoming language barriers, ensuring informed decision-making, and promoting equality as outlined in the </w:t>
      </w:r>
      <w:r w:rsidRPr="00063724">
        <w:rPr>
          <w:rFonts w:ascii="Arial" w:eastAsia="Times New Roman" w:hAnsi="Arial" w:cs="Arial"/>
          <w:bCs/>
        </w:rPr>
        <w:t>Equality Act 2010</w:t>
      </w:r>
      <w:r w:rsidRPr="003E4871">
        <w:rPr>
          <w:rFonts w:ascii="Arial" w:eastAsia="Times New Roman" w:hAnsi="Arial" w:cs="Arial"/>
        </w:rPr>
        <w:t xml:space="preserve"> (West and Coia, 2021). Similarly, robust administrative and record-keeping practices uphold the </w:t>
      </w:r>
      <w:r w:rsidRPr="00063724">
        <w:rPr>
          <w:rFonts w:ascii="Arial" w:eastAsia="Times New Roman" w:hAnsi="Arial" w:cs="Arial"/>
          <w:bCs/>
        </w:rPr>
        <w:t>Data Protection Act 2018</w:t>
      </w:r>
      <w:r w:rsidRPr="003E4871">
        <w:rPr>
          <w:rFonts w:ascii="Arial" w:eastAsia="Times New Roman" w:hAnsi="Arial" w:cs="Arial"/>
        </w:rPr>
        <w:t xml:space="preserve">, protecting confidentiality and continuity of care (Blythe et al., 2020). Collaborative, multi-agency working between GPs, physiotherapists, and domiciliary carers further enhances rehabilitation outcomes (Reeves et al., 2021). Collectively, these interlinked elements underpin quality, safety, and dignity in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Mann’s recovery journey.</w:t>
      </w:r>
    </w:p>
    <w:p w14:paraId="56DDCF93" w14:textId="77777777" w:rsidR="003E4871" w:rsidRPr="00063724" w:rsidRDefault="003E4871" w:rsidP="00063724">
      <w:pPr>
        <w:pStyle w:val="ListParagraph"/>
        <w:numPr>
          <w:ilvl w:val="0"/>
          <w:numId w:val="2"/>
        </w:numPr>
        <w:spacing w:before="100" w:beforeAutospacing="1" w:after="100" w:afterAutospacing="1" w:line="360" w:lineRule="auto"/>
        <w:jc w:val="both"/>
        <w:outlineLvl w:val="1"/>
        <w:rPr>
          <w:rFonts w:ascii="Arial" w:eastAsia="Times New Roman" w:hAnsi="Arial" w:cs="Arial"/>
          <w:b/>
          <w:bCs/>
        </w:rPr>
      </w:pPr>
      <w:r w:rsidRPr="00063724">
        <w:rPr>
          <w:rFonts w:ascii="Arial" w:eastAsia="Times New Roman" w:hAnsi="Arial" w:cs="Arial"/>
          <w:b/>
          <w:bCs/>
        </w:rPr>
        <w:t xml:space="preserve">Effective communication </w:t>
      </w:r>
      <w:r w:rsidR="00063724" w:rsidRPr="00063724">
        <w:rPr>
          <w:rFonts w:ascii="Arial" w:eastAsia="Times New Roman" w:hAnsi="Arial" w:cs="Arial"/>
          <w:b/>
          <w:bCs/>
        </w:rPr>
        <w:t xml:space="preserve">in </w:t>
      </w:r>
      <w:proofErr w:type="spellStart"/>
      <w:r w:rsidR="00063724" w:rsidRPr="00063724">
        <w:rPr>
          <w:rFonts w:ascii="Arial" w:eastAsia="Times New Roman" w:hAnsi="Arial" w:cs="Arial"/>
          <w:b/>
          <w:bCs/>
        </w:rPr>
        <w:t>Mrs</w:t>
      </w:r>
      <w:proofErr w:type="spellEnd"/>
      <w:r w:rsidR="00063724" w:rsidRPr="00063724">
        <w:rPr>
          <w:rFonts w:ascii="Arial" w:eastAsia="Times New Roman" w:hAnsi="Arial" w:cs="Arial"/>
          <w:b/>
          <w:bCs/>
        </w:rPr>
        <w:t xml:space="preserve"> Mann’s care </w:t>
      </w:r>
    </w:p>
    <w:p w14:paraId="167120FB"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Effective communication is a cornerstone of safe, person-</w:t>
      </w:r>
      <w:r w:rsidR="003013B9" w:rsidRPr="003E4871">
        <w:rPr>
          <w:rFonts w:ascii="Arial" w:eastAsia="Times New Roman" w:hAnsi="Arial" w:cs="Arial"/>
        </w:rPr>
        <w:t>centered</w:t>
      </w:r>
      <w:r w:rsidRPr="003E4871">
        <w:rPr>
          <w:rFonts w:ascii="Arial" w:eastAsia="Times New Roman" w:hAnsi="Arial" w:cs="Arial"/>
        </w:rPr>
        <w:t xml:space="preserve"> care, especially for an older adult such as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 recovering from hip surgery. In her case, language barriers (Urdu as first language, limited English) compound risks of misunderstanding medication changes, rehabilitation instructions, or care plans. Studies show that language discordance in healthcare significantly raises risks of adverse outcomes and reduces satisfaction (Whitaker et al., 2021).</w:t>
      </w:r>
    </w:p>
    <w:p w14:paraId="0D0B0A37" w14:textId="77777777" w:rsidR="003E4871" w:rsidRPr="003E4871" w:rsidRDefault="00063724" w:rsidP="003013B9">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2.1 </w:t>
      </w:r>
      <w:r w:rsidR="003E4871" w:rsidRPr="003E4871">
        <w:rPr>
          <w:rFonts w:ascii="Arial" w:eastAsia="Times New Roman" w:hAnsi="Arial" w:cs="Arial"/>
          <w:b/>
          <w:bCs/>
        </w:rPr>
        <w:t>Communication with the service user and family</w:t>
      </w:r>
    </w:p>
    <w:p w14:paraId="7B9388F7"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A first principle is to ensure that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Mann’s communication needs are proactively identified and met. The NHS’s </w:t>
      </w:r>
      <w:r w:rsidRPr="00063724">
        <w:rPr>
          <w:rFonts w:ascii="Arial" w:eastAsia="Times New Roman" w:hAnsi="Arial" w:cs="Arial"/>
          <w:bCs/>
        </w:rPr>
        <w:t>Accessible Information Standard</w:t>
      </w:r>
      <w:r w:rsidRPr="003E4871">
        <w:rPr>
          <w:rFonts w:ascii="Arial" w:eastAsia="Times New Roman" w:hAnsi="Arial" w:cs="Arial"/>
        </w:rPr>
        <w:t xml:space="preserve"> mandates health and social care </w:t>
      </w:r>
      <w:r w:rsidR="003013B9" w:rsidRPr="00063724">
        <w:rPr>
          <w:rFonts w:ascii="Arial" w:eastAsia="Times New Roman" w:hAnsi="Arial" w:cs="Arial"/>
        </w:rPr>
        <w:t>organizations</w:t>
      </w:r>
      <w:r w:rsidRPr="003E4871">
        <w:rPr>
          <w:rFonts w:ascii="Arial" w:eastAsia="Times New Roman" w:hAnsi="Arial" w:cs="Arial"/>
        </w:rPr>
        <w:t xml:space="preserve"> to record, flag and meet communication needs (NHS England). Failure to do so may constitute indirect discrimination under the </w:t>
      </w:r>
      <w:r w:rsidRPr="00063724">
        <w:rPr>
          <w:rFonts w:ascii="Arial" w:eastAsia="Times New Roman" w:hAnsi="Arial" w:cs="Arial"/>
          <w:bCs/>
        </w:rPr>
        <w:t>Equality Act 2010</w:t>
      </w:r>
      <w:r w:rsidRPr="003E4871">
        <w:rPr>
          <w:rFonts w:ascii="Arial" w:eastAsia="Times New Roman" w:hAnsi="Arial" w:cs="Arial"/>
        </w:rPr>
        <w:t>, as patients whose first language is not English may be disadvantaged (Redley et al., 2019).</w:t>
      </w:r>
    </w:p>
    <w:p w14:paraId="65FA5348"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Therefore, use of professional interpreters, or translated written materials (Urdu / bilingual), constitutes a </w:t>
      </w:r>
      <w:r w:rsidRPr="00063724">
        <w:rPr>
          <w:rFonts w:ascii="Arial" w:eastAsia="Times New Roman" w:hAnsi="Arial" w:cs="Arial"/>
          <w:bCs/>
        </w:rPr>
        <w:t>reasonable adjustment</w:t>
      </w:r>
      <w:r w:rsidRPr="003E4871">
        <w:rPr>
          <w:rFonts w:ascii="Arial" w:eastAsia="Times New Roman" w:hAnsi="Arial" w:cs="Arial"/>
        </w:rPr>
        <w:t xml:space="preserve"> under the Equality Act to make services accessible. Research in UK primary care confirms that patients granted access to professional interpreting services report higher satisfaction, clearer comprehension, greater trust in diagnosis, and improved disclosure (Hieke et al., 2024). Relying on informal (family) interpreting may lead to omissions or bias (Pollock, 2021; Whitaker et al., 2021).</w:t>
      </w:r>
    </w:p>
    <w:p w14:paraId="4F59CC0B"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However, even when interpreters are involved, staff must address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 directly, use non-technical plain language, short sentences, avoid jargon, and allow adequate time. The “teach-back” technique—asking the patient to restate in their own words what was communicated—provides a feedback loop to check and correct misunderstandings (Talevski et al., 2020). Systematic reviews </w:t>
      </w:r>
      <w:proofErr w:type="gramStart"/>
      <w:r w:rsidRPr="003E4871">
        <w:rPr>
          <w:rFonts w:ascii="Arial" w:eastAsia="Times New Roman" w:hAnsi="Arial" w:cs="Arial"/>
        </w:rPr>
        <w:t>show</w:t>
      </w:r>
      <w:proofErr w:type="gramEnd"/>
      <w:r w:rsidRPr="003E4871">
        <w:rPr>
          <w:rFonts w:ascii="Arial" w:eastAsia="Times New Roman" w:hAnsi="Arial" w:cs="Arial"/>
        </w:rPr>
        <w:t xml:space="preserve"> </w:t>
      </w:r>
      <w:proofErr w:type="gramStart"/>
      <w:r w:rsidRPr="003E4871">
        <w:rPr>
          <w:rFonts w:ascii="Arial" w:eastAsia="Times New Roman" w:hAnsi="Arial" w:cs="Arial"/>
        </w:rPr>
        <w:t>teach</w:t>
      </w:r>
      <w:proofErr w:type="gramEnd"/>
      <w:r w:rsidRPr="003E4871">
        <w:rPr>
          <w:rFonts w:ascii="Arial" w:eastAsia="Times New Roman" w:hAnsi="Arial" w:cs="Arial"/>
        </w:rPr>
        <w:t xml:space="preserve">-back is effective across settings in improving recall, adherence and self-management (Talevski et al., 2020; Yen et al., 2019). In the UK, </w:t>
      </w:r>
      <w:proofErr w:type="gramStart"/>
      <w:r w:rsidRPr="003E4871">
        <w:rPr>
          <w:rFonts w:ascii="Arial" w:eastAsia="Times New Roman" w:hAnsi="Arial" w:cs="Arial"/>
        </w:rPr>
        <w:t>teach-back</w:t>
      </w:r>
      <w:proofErr w:type="gramEnd"/>
      <w:r w:rsidRPr="003E4871">
        <w:rPr>
          <w:rFonts w:ascii="Arial" w:eastAsia="Times New Roman" w:hAnsi="Arial" w:cs="Arial"/>
        </w:rPr>
        <w:t xml:space="preserve"> has been shown to reduce post-discharge miscommunication and readmissions (Hesselink et al., 2022).</w:t>
      </w:r>
    </w:p>
    <w:p w14:paraId="42F5A880" w14:textId="77777777" w:rsid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Nonverbal communication—body orientation, eye contact, pacing, pauses, gesture—becomes crucial, especially with older adults who may rely more on nonverbal cues or have hearing or sensory impairment (Cam et al., 2023; Cambridge Handbook of Communication, 2024). Care staff should be trained to notice facial expressions of confusion, hesitation or fatigue, and recheck understanding accordingly.</w:t>
      </w:r>
    </w:p>
    <w:p w14:paraId="654DFC8E" w14:textId="77777777" w:rsidR="00D61E2C" w:rsidRPr="00D61E2C" w:rsidRDefault="00D61E2C" w:rsidP="00D61E2C">
      <w:pPr>
        <w:pStyle w:val="ListParagraph"/>
        <w:numPr>
          <w:ilvl w:val="1"/>
          <w:numId w:val="2"/>
        </w:numPr>
        <w:spacing w:before="100" w:beforeAutospacing="1" w:after="100" w:afterAutospacing="1" w:line="360" w:lineRule="auto"/>
        <w:jc w:val="both"/>
        <w:rPr>
          <w:rFonts w:ascii="Arial" w:hAnsi="Arial" w:cs="Arial"/>
          <w:b/>
        </w:rPr>
      </w:pPr>
      <w:r w:rsidRPr="00D61E2C">
        <w:rPr>
          <w:rFonts w:ascii="Arial" w:hAnsi="Arial" w:cs="Arial"/>
          <w:b/>
        </w:rPr>
        <w:t>Applying a communication model: Berlo’s SMCR Model</w:t>
      </w:r>
    </w:p>
    <w:p w14:paraId="7BDECD6A" w14:textId="79341EF5" w:rsidR="00237F7F" w:rsidRDefault="00D61E2C" w:rsidP="00237F7F">
      <w:pPr>
        <w:spacing w:before="100" w:beforeAutospacing="1" w:after="100" w:afterAutospacing="1" w:line="360" w:lineRule="auto"/>
        <w:jc w:val="both"/>
        <w:rPr>
          <w:rFonts w:ascii="Arial" w:hAnsi="Arial" w:cs="Arial"/>
        </w:rPr>
      </w:pPr>
      <w:r w:rsidRPr="00D61E2C">
        <w:rPr>
          <w:rFonts w:ascii="Arial" w:hAnsi="Arial" w:cs="Arial"/>
        </w:rPr>
        <w:t xml:space="preserve">Berlo’s (1960) SMCR Model explains communication as a continuous process involving four key elements: </w:t>
      </w:r>
      <w:r w:rsidRPr="00D61E2C">
        <w:rPr>
          <w:rStyle w:val="Strong"/>
          <w:rFonts w:ascii="Arial" w:hAnsi="Arial" w:cs="Arial"/>
        </w:rPr>
        <w:t>Source, Message, Channel,</w:t>
      </w:r>
      <w:r w:rsidRPr="00D61E2C">
        <w:rPr>
          <w:rFonts w:ascii="Arial" w:hAnsi="Arial" w:cs="Arial"/>
        </w:rPr>
        <w:t xml:space="preserve"> and </w:t>
      </w:r>
      <w:r w:rsidRPr="00D61E2C">
        <w:rPr>
          <w:rStyle w:val="Strong"/>
          <w:rFonts w:ascii="Arial" w:hAnsi="Arial" w:cs="Arial"/>
        </w:rPr>
        <w:t>Receiver</w:t>
      </w:r>
      <w:r w:rsidRPr="00D61E2C">
        <w:rPr>
          <w:rFonts w:ascii="Arial" w:hAnsi="Arial" w:cs="Arial"/>
        </w:rPr>
        <w:t>. Effective interaction depends on how well these elements align in context, influenced by the sender’s skills, attitudes, knowledge, and cultural background, as well as the receiver’s ability to interpret information (McLean, 2018). In health and social care, this model supports person-</w:t>
      </w:r>
      <w:r w:rsidR="00725396" w:rsidRPr="00D61E2C">
        <w:rPr>
          <w:rFonts w:ascii="Arial" w:hAnsi="Arial" w:cs="Arial"/>
        </w:rPr>
        <w:t>centered</w:t>
      </w:r>
      <w:r w:rsidRPr="00D61E2C">
        <w:rPr>
          <w:rFonts w:ascii="Arial" w:hAnsi="Arial" w:cs="Arial"/>
        </w:rPr>
        <w:t xml:space="preserve">, adaptable communication—crucial for service users like </w:t>
      </w:r>
      <w:proofErr w:type="spellStart"/>
      <w:r w:rsidRPr="00D61E2C">
        <w:rPr>
          <w:rFonts w:ascii="Arial" w:hAnsi="Arial" w:cs="Arial"/>
        </w:rPr>
        <w:t>Mrs</w:t>
      </w:r>
      <w:proofErr w:type="spellEnd"/>
      <w:r w:rsidRPr="00D61E2C">
        <w:rPr>
          <w:rFonts w:ascii="Arial" w:hAnsi="Arial" w:cs="Arial"/>
        </w:rPr>
        <w:t xml:space="preserve"> Mann, who faces both linguistic and physical barriers during post-operative recovery.</w:t>
      </w:r>
    </w:p>
    <w:p w14:paraId="2D7B690C" w14:textId="77777777" w:rsidR="00237F7F" w:rsidRDefault="00237F7F" w:rsidP="00237F7F">
      <w:pPr>
        <w:spacing w:before="100" w:beforeAutospacing="1" w:after="100" w:afterAutospacing="1" w:line="360" w:lineRule="auto"/>
        <w:jc w:val="both"/>
        <w:rPr>
          <w:rFonts w:ascii="Arial" w:hAnsi="Arial" w:cs="Arial"/>
        </w:rPr>
      </w:pPr>
      <w:r>
        <w:rPr>
          <w:noProof/>
        </w:rPr>
        <w:drawing>
          <wp:inline distT="0" distB="0" distL="0" distR="0" wp14:anchorId="36ED389A" wp14:editId="45A14CD4">
            <wp:extent cx="5295900" cy="1439437"/>
            <wp:effectExtent l="0" t="0" r="0" b="8890"/>
            <wp:docPr id="2" name="Picture 2" descr="Berlo's Model of Communication | The Marketing Eggsper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s Model of Communication | The Marketing Eggspert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99302" cy="1440362"/>
                    </a:xfrm>
                    <a:prstGeom prst="rect">
                      <a:avLst/>
                    </a:prstGeom>
                    <a:noFill/>
                    <a:ln>
                      <a:noFill/>
                    </a:ln>
                  </pic:spPr>
                </pic:pic>
              </a:graphicData>
            </a:graphic>
          </wp:inline>
        </w:drawing>
      </w:r>
    </w:p>
    <w:p w14:paraId="7279CFD7" w14:textId="77777777" w:rsidR="00237F7F" w:rsidRDefault="00237F7F" w:rsidP="00237F7F">
      <w:pPr>
        <w:spacing w:before="100" w:beforeAutospacing="1" w:after="100" w:afterAutospacing="1" w:line="360" w:lineRule="auto"/>
        <w:jc w:val="both"/>
        <w:rPr>
          <w:rFonts w:ascii="Arial" w:hAnsi="Arial" w:cs="Arial"/>
        </w:rPr>
      </w:pPr>
      <w:r>
        <w:rPr>
          <w:rFonts w:ascii="Arial" w:hAnsi="Arial" w:cs="Arial"/>
        </w:rPr>
        <w:t xml:space="preserve">                                                                  (Bhasin, 2021)</w:t>
      </w:r>
    </w:p>
    <w:p w14:paraId="46276D2E" w14:textId="77777777" w:rsidR="00D61E2C" w:rsidRPr="00D61E2C" w:rsidRDefault="00D61E2C" w:rsidP="00237F7F">
      <w:pPr>
        <w:spacing w:before="100" w:beforeAutospacing="1" w:after="100" w:afterAutospacing="1" w:line="360" w:lineRule="auto"/>
        <w:jc w:val="both"/>
        <w:rPr>
          <w:rFonts w:ascii="Arial" w:hAnsi="Arial" w:cs="Arial"/>
        </w:rPr>
      </w:pPr>
      <w:r w:rsidRPr="00D61E2C">
        <w:rPr>
          <w:rFonts w:ascii="Arial" w:hAnsi="Arial" w:cs="Arial"/>
        </w:rPr>
        <w:tab/>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05"/>
        <w:gridCol w:w="3802"/>
        <w:gridCol w:w="4553"/>
      </w:tblGrid>
      <w:tr w:rsidR="00237F7F" w:rsidRPr="00237F7F" w14:paraId="61C4BB6B" w14:textId="77777777" w:rsidTr="00237F7F">
        <w:trPr>
          <w:tblHeader/>
          <w:tblCellSpacing w:w="15" w:type="dxa"/>
        </w:trPr>
        <w:tc>
          <w:tcPr>
            <w:tcW w:w="0" w:type="auto"/>
            <w:vAlign w:val="center"/>
            <w:hideMark/>
          </w:tcPr>
          <w:p w14:paraId="71946423" w14:textId="77777777" w:rsidR="00237F7F" w:rsidRPr="00237F7F" w:rsidRDefault="00237F7F" w:rsidP="00237F7F">
            <w:pPr>
              <w:spacing w:after="0" w:line="276" w:lineRule="auto"/>
              <w:jc w:val="both"/>
              <w:rPr>
                <w:rFonts w:ascii="Arial" w:eastAsia="Times New Roman" w:hAnsi="Arial" w:cs="Arial"/>
                <w:b/>
                <w:bCs/>
              </w:rPr>
            </w:pPr>
            <w:r w:rsidRPr="00237F7F">
              <w:rPr>
                <w:rFonts w:ascii="Arial" w:eastAsia="Times New Roman" w:hAnsi="Arial" w:cs="Arial"/>
                <w:b/>
                <w:bCs/>
              </w:rPr>
              <w:t>Element</w:t>
            </w:r>
          </w:p>
        </w:tc>
        <w:tc>
          <w:tcPr>
            <w:tcW w:w="0" w:type="auto"/>
            <w:vAlign w:val="center"/>
            <w:hideMark/>
          </w:tcPr>
          <w:p w14:paraId="64D2782A" w14:textId="77777777" w:rsidR="00237F7F" w:rsidRPr="00237F7F" w:rsidRDefault="00237F7F" w:rsidP="00237F7F">
            <w:pPr>
              <w:spacing w:after="0" w:line="276" w:lineRule="auto"/>
              <w:jc w:val="both"/>
              <w:rPr>
                <w:rFonts w:ascii="Arial" w:eastAsia="Times New Roman" w:hAnsi="Arial" w:cs="Arial"/>
                <w:b/>
                <w:bCs/>
              </w:rPr>
            </w:pPr>
            <w:r>
              <w:rPr>
                <w:rFonts w:ascii="Arial" w:eastAsia="Times New Roman" w:hAnsi="Arial" w:cs="Arial"/>
                <w:b/>
                <w:bCs/>
              </w:rPr>
              <w:t xml:space="preserve">    Definition </w:t>
            </w:r>
          </w:p>
        </w:tc>
        <w:tc>
          <w:tcPr>
            <w:tcW w:w="0" w:type="auto"/>
            <w:vAlign w:val="center"/>
            <w:hideMark/>
          </w:tcPr>
          <w:p w14:paraId="7958E136" w14:textId="77777777" w:rsidR="00237F7F" w:rsidRPr="00237F7F" w:rsidRDefault="00237F7F" w:rsidP="00237F7F">
            <w:pPr>
              <w:spacing w:after="0" w:line="276" w:lineRule="auto"/>
              <w:jc w:val="both"/>
              <w:rPr>
                <w:rFonts w:ascii="Arial" w:eastAsia="Times New Roman" w:hAnsi="Arial" w:cs="Arial"/>
                <w:b/>
                <w:bCs/>
              </w:rPr>
            </w:pPr>
            <w:r w:rsidRPr="00237F7F">
              <w:rPr>
                <w:rFonts w:ascii="Arial" w:eastAsia="Times New Roman" w:hAnsi="Arial" w:cs="Arial"/>
                <w:b/>
                <w:bCs/>
              </w:rPr>
              <w:t xml:space="preserve">Application </w:t>
            </w:r>
            <w:proofErr w:type="gramStart"/>
            <w:r w:rsidRPr="00237F7F">
              <w:rPr>
                <w:rFonts w:ascii="Arial" w:eastAsia="Times New Roman" w:hAnsi="Arial" w:cs="Arial"/>
                <w:b/>
                <w:bCs/>
              </w:rPr>
              <w:t>to</w:t>
            </w:r>
            <w:proofErr w:type="gramEnd"/>
            <w:r>
              <w:rPr>
                <w:rFonts w:ascii="Arial" w:eastAsia="Times New Roman" w:hAnsi="Arial" w:cs="Arial"/>
                <w:b/>
                <w:bCs/>
              </w:rPr>
              <w:t xml:space="preserve"> </w:t>
            </w:r>
            <w:proofErr w:type="spellStart"/>
            <w:r>
              <w:rPr>
                <w:rFonts w:ascii="Arial" w:eastAsia="Times New Roman" w:hAnsi="Arial" w:cs="Arial"/>
                <w:b/>
                <w:bCs/>
              </w:rPr>
              <w:t>Mrs</w:t>
            </w:r>
            <w:proofErr w:type="spellEnd"/>
            <w:r>
              <w:rPr>
                <w:rFonts w:ascii="Arial" w:eastAsia="Times New Roman" w:hAnsi="Arial" w:cs="Arial"/>
                <w:b/>
                <w:bCs/>
              </w:rPr>
              <w:t xml:space="preserve"> Mann’s Case</w:t>
            </w:r>
          </w:p>
        </w:tc>
      </w:tr>
      <w:tr w:rsidR="00237F7F" w:rsidRPr="00237F7F" w14:paraId="0FE95A0F" w14:textId="77777777" w:rsidTr="00237F7F">
        <w:trPr>
          <w:tblCellSpacing w:w="15" w:type="dxa"/>
        </w:trPr>
        <w:tc>
          <w:tcPr>
            <w:tcW w:w="0" w:type="auto"/>
            <w:vAlign w:val="center"/>
            <w:hideMark/>
          </w:tcPr>
          <w:p w14:paraId="5356D9CD"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b/>
                <w:bCs/>
              </w:rPr>
              <w:t>Source</w:t>
            </w:r>
          </w:p>
        </w:tc>
        <w:tc>
          <w:tcPr>
            <w:tcW w:w="0" w:type="auto"/>
            <w:vAlign w:val="center"/>
            <w:hideMark/>
          </w:tcPr>
          <w:p w14:paraId="45EE76D2"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rPr>
              <w:t>The communicator who initiates the message; their attitudes, knowledge, and communication skills affect clarity (Berlo, 1960; McLean, 2018).</w:t>
            </w:r>
          </w:p>
        </w:tc>
        <w:tc>
          <w:tcPr>
            <w:tcW w:w="0" w:type="auto"/>
            <w:vAlign w:val="center"/>
            <w:hideMark/>
          </w:tcPr>
          <w:p w14:paraId="68513EF6" w14:textId="011BAED1"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rPr>
              <w:t>The domiciliary care worker must demonstrate empathy, cultural competence, and person-</w:t>
            </w:r>
            <w:r w:rsidR="00725396" w:rsidRPr="00237F7F">
              <w:rPr>
                <w:rFonts w:ascii="Arial" w:eastAsia="Times New Roman" w:hAnsi="Arial" w:cs="Arial"/>
              </w:rPr>
              <w:t>centered</w:t>
            </w:r>
            <w:r w:rsidR="00725396">
              <w:rPr>
                <w:rFonts w:ascii="Arial" w:eastAsia="Times New Roman" w:hAnsi="Arial" w:cs="Arial"/>
              </w:rPr>
              <w:t xml:space="preserve"> </w:t>
            </w:r>
            <w:r w:rsidRPr="00237F7F">
              <w:rPr>
                <w:rFonts w:ascii="Arial" w:eastAsia="Times New Roman" w:hAnsi="Arial" w:cs="Arial"/>
              </w:rPr>
              <w:t>communication to convey post-surgery instructions clearly (Hieke et al., 2024).</w:t>
            </w:r>
          </w:p>
        </w:tc>
      </w:tr>
      <w:tr w:rsidR="00237F7F" w:rsidRPr="00237F7F" w14:paraId="26637F08" w14:textId="77777777" w:rsidTr="00237F7F">
        <w:trPr>
          <w:tblCellSpacing w:w="15" w:type="dxa"/>
        </w:trPr>
        <w:tc>
          <w:tcPr>
            <w:tcW w:w="0" w:type="auto"/>
            <w:vAlign w:val="center"/>
            <w:hideMark/>
          </w:tcPr>
          <w:p w14:paraId="06309A24"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b/>
                <w:bCs/>
              </w:rPr>
              <w:t>Message</w:t>
            </w:r>
          </w:p>
        </w:tc>
        <w:tc>
          <w:tcPr>
            <w:tcW w:w="0" w:type="auto"/>
            <w:vAlign w:val="center"/>
            <w:hideMark/>
          </w:tcPr>
          <w:p w14:paraId="1195FC65"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rPr>
              <w:t>The content or information being transmitted; its structure and language influence understanding (Berlo, 1960).</w:t>
            </w:r>
          </w:p>
        </w:tc>
        <w:tc>
          <w:tcPr>
            <w:tcW w:w="0" w:type="auto"/>
            <w:vAlign w:val="center"/>
            <w:hideMark/>
          </w:tcPr>
          <w:p w14:paraId="420073B3"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rPr>
              <w:t>The carer provides information about pain relief, mobility aids, and safety using plain English and culturally sensitive explanations (Redley et al., 2019; Talevski et al., 2020).</w:t>
            </w:r>
          </w:p>
        </w:tc>
      </w:tr>
      <w:tr w:rsidR="00237F7F" w:rsidRPr="00237F7F" w14:paraId="118192EC" w14:textId="77777777" w:rsidTr="00237F7F">
        <w:trPr>
          <w:tblCellSpacing w:w="15" w:type="dxa"/>
        </w:trPr>
        <w:tc>
          <w:tcPr>
            <w:tcW w:w="0" w:type="auto"/>
            <w:vAlign w:val="center"/>
            <w:hideMark/>
          </w:tcPr>
          <w:p w14:paraId="520D2A0D"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b/>
                <w:bCs/>
              </w:rPr>
              <w:t>Channel</w:t>
            </w:r>
          </w:p>
        </w:tc>
        <w:tc>
          <w:tcPr>
            <w:tcW w:w="0" w:type="auto"/>
            <w:vAlign w:val="center"/>
            <w:hideMark/>
          </w:tcPr>
          <w:p w14:paraId="5E130DE3"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rPr>
              <w:t>The medium or method used to send the message, such as verbal, written, or visual forms (Berlo, 1960).</w:t>
            </w:r>
          </w:p>
        </w:tc>
        <w:tc>
          <w:tcPr>
            <w:tcW w:w="0" w:type="auto"/>
            <w:vAlign w:val="center"/>
            <w:hideMark/>
          </w:tcPr>
          <w:p w14:paraId="1C089D27"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rPr>
              <w:t>Communication occurs via face-to-face discussion, supportive gestures, and Urdu-translated leaflets to promote comprehension (NHS England, 2023; Pollock, 2021).</w:t>
            </w:r>
          </w:p>
        </w:tc>
      </w:tr>
      <w:tr w:rsidR="00237F7F" w:rsidRPr="00237F7F" w14:paraId="5499B2FE" w14:textId="77777777" w:rsidTr="00237F7F">
        <w:trPr>
          <w:tblCellSpacing w:w="15" w:type="dxa"/>
        </w:trPr>
        <w:tc>
          <w:tcPr>
            <w:tcW w:w="0" w:type="auto"/>
            <w:vAlign w:val="center"/>
            <w:hideMark/>
          </w:tcPr>
          <w:p w14:paraId="32EE3297"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b/>
                <w:bCs/>
              </w:rPr>
              <w:t>Receiver</w:t>
            </w:r>
          </w:p>
        </w:tc>
        <w:tc>
          <w:tcPr>
            <w:tcW w:w="0" w:type="auto"/>
            <w:vAlign w:val="center"/>
            <w:hideMark/>
          </w:tcPr>
          <w:p w14:paraId="77178FF0" w14:textId="77777777" w:rsidR="00237F7F" w:rsidRPr="00237F7F" w:rsidRDefault="00237F7F" w:rsidP="00237F7F">
            <w:pPr>
              <w:spacing w:after="0" w:line="276" w:lineRule="auto"/>
              <w:jc w:val="both"/>
              <w:rPr>
                <w:rFonts w:ascii="Arial" w:eastAsia="Times New Roman" w:hAnsi="Arial" w:cs="Arial"/>
              </w:rPr>
            </w:pPr>
            <w:r w:rsidRPr="00237F7F">
              <w:rPr>
                <w:rFonts w:ascii="Arial" w:eastAsia="Times New Roman" w:hAnsi="Arial" w:cs="Arial"/>
              </w:rPr>
              <w:t>The person interpreting and responding to the message; understanding depends on cultural, linguistic, and emotional factors (Berlo, 1960; McLean, 2018).</w:t>
            </w:r>
          </w:p>
        </w:tc>
        <w:tc>
          <w:tcPr>
            <w:tcW w:w="0" w:type="auto"/>
            <w:vAlign w:val="center"/>
            <w:hideMark/>
          </w:tcPr>
          <w:p w14:paraId="5DF9D628" w14:textId="77777777" w:rsidR="00237F7F" w:rsidRPr="00237F7F" w:rsidRDefault="00237F7F" w:rsidP="00237F7F">
            <w:pPr>
              <w:spacing w:after="0" w:line="276" w:lineRule="auto"/>
              <w:jc w:val="both"/>
              <w:rPr>
                <w:rFonts w:ascii="Arial" w:eastAsia="Times New Roman" w:hAnsi="Arial" w:cs="Arial"/>
              </w:rPr>
            </w:pPr>
            <w:proofErr w:type="spellStart"/>
            <w:r w:rsidRPr="00237F7F">
              <w:rPr>
                <w:rFonts w:ascii="Arial" w:eastAsia="Times New Roman" w:hAnsi="Arial" w:cs="Arial"/>
              </w:rPr>
              <w:t>Mrs</w:t>
            </w:r>
            <w:proofErr w:type="spellEnd"/>
            <w:r w:rsidRPr="00237F7F">
              <w:rPr>
                <w:rFonts w:ascii="Arial" w:eastAsia="Times New Roman" w:hAnsi="Arial" w:cs="Arial"/>
              </w:rPr>
              <w:t xml:space="preserve"> Mann decodes instructions with assistance from a professional interpreter or family member, confirming comprehension through the teach-back method (Whitaker et al., 2021; Cam et al., 2023).</w:t>
            </w:r>
          </w:p>
        </w:tc>
      </w:tr>
    </w:tbl>
    <w:p w14:paraId="27749AC8" w14:textId="77777777" w:rsidR="004B5281" w:rsidRPr="00D61E2C" w:rsidRDefault="004B5281" w:rsidP="00D61E2C">
      <w:pPr>
        <w:spacing w:before="100" w:beforeAutospacing="1" w:after="100" w:afterAutospacing="1" w:line="360" w:lineRule="auto"/>
        <w:jc w:val="both"/>
        <w:rPr>
          <w:rFonts w:ascii="Arial" w:eastAsia="Times New Roman" w:hAnsi="Arial" w:cs="Arial"/>
        </w:rPr>
      </w:pPr>
    </w:p>
    <w:p w14:paraId="3F62C2B3" w14:textId="77777777" w:rsidR="00D61E2C" w:rsidRPr="00D61E2C" w:rsidRDefault="00D61E2C" w:rsidP="00D61E2C">
      <w:pPr>
        <w:pStyle w:val="NormalWeb"/>
        <w:spacing w:line="360" w:lineRule="auto"/>
        <w:jc w:val="both"/>
        <w:rPr>
          <w:rFonts w:ascii="Arial" w:hAnsi="Arial" w:cs="Arial"/>
          <w:sz w:val="22"/>
          <w:szCs w:val="22"/>
        </w:rPr>
      </w:pPr>
      <w:r w:rsidRPr="00D61E2C">
        <w:rPr>
          <w:rFonts w:ascii="Arial" w:hAnsi="Arial" w:cs="Arial"/>
          <w:sz w:val="22"/>
          <w:szCs w:val="22"/>
        </w:rPr>
        <w:t xml:space="preserve">This model highlights that clarity depends on shared understanding between the sender and receiver. For </w:t>
      </w:r>
      <w:proofErr w:type="spellStart"/>
      <w:r w:rsidRPr="00D61E2C">
        <w:rPr>
          <w:rFonts w:ascii="Arial" w:hAnsi="Arial" w:cs="Arial"/>
          <w:sz w:val="22"/>
          <w:szCs w:val="22"/>
        </w:rPr>
        <w:t>Mrs</w:t>
      </w:r>
      <w:proofErr w:type="spellEnd"/>
      <w:r w:rsidRPr="00D61E2C">
        <w:rPr>
          <w:rFonts w:ascii="Arial" w:hAnsi="Arial" w:cs="Arial"/>
          <w:sz w:val="22"/>
          <w:szCs w:val="22"/>
        </w:rPr>
        <w:t xml:space="preserve"> Mann, factors such as limited English proficiency, emotional stress, and pain can distort the message if communication is not adapted appropriately (Hieke et al., 2024; Talevski et al., 2020). To reduce “noise,” the care worker should maintain eye contact, use calm tone and pacing, and check comprehension by asking </w:t>
      </w:r>
      <w:proofErr w:type="spellStart"/>
      <w:r w:rsidRPr="00D61E2C">
        <w:rPr>
          <w:rFonts w:ascii="Arial" w:hAnsi="Arial" w:cs="Arial"/>
          <w:sz w:val="22"/>
          <w:szCs w:val="22"/>
        </w:rPr>
        <w:t>Mrs</w:t>
      </w:r>
      <w:proofErr w:type="spellEnd"/>
      <w:r w:rsidRPr="00D61E2C">
        <w:rPr>
          <w:rFonts w:ascii="Arial" w:hAnsi="Arial" w:cs="Arial"/>
          <w:sz w:val="22"/>
          <w:szCs w:val="22"/>
        </w:rPr>
        <w:t xml:space="preserve"> Mann to restate what she has understood.</w:t>
      </w:r>
    </w:p>
    <w:p w14:paraId="4AD410E9" w14:textId="77777777" w:rsidR="00D61E2C" w:rsidRPr="00D61E2C" w:rsidRDefault="00D61E2C" w:rsidP="00D61E2C">
      <w:pPr>
        <w:pStyle w:val="NormalWeb"/>
        <w:spacing w:line="360" w:lineRule="auto"/>
        <w:jc w:val="both"/>
        <w:rPr>
          <w:rFonts w:ascii="Arial" w:hAnsi="Arial" w:cs="Arial"/>
          <w:sz w:val="22"/>
          <w:szCs w:val="22"/>
        </w:rPr>
      </w:pPr>
      <w:r w:rsidRPr="00D61E2C">
        <w:rPr>
          <w:rFonts w:ascii="Arial" w:hAnsi="Arial" w:cs="Arial"/>
          <w:sz w:val="22"/>
          <w:szCs w:val="22"/>
        </w:rPr>
        <w:t xml:space="preserve">For instance, when explaining changes to analgesic dosage or mobility instructions, the carer—acting as the </w:t>
      </w:r>
      <w:r w:rsidRPr="00D61E2C">
        <w:rPr>
          <w:rStyle w:val="Strong"/>
          <w:rFonts w:ascii="Arial" w:hAnsi="Arial" w:cs="Arial"/>
          <w:sz w:val="22"/>
          <w:szCs w:val="22"/>
        </w:rPr>
        <w:t>Source</w:t>
      </w:r>
      <w:r w:rsidRPr="00D61E2C">
        <w:rPr>
          <w:rFonts w:ascii="Arial" w:hAnsi="Arial" w:cs="Arial"/>
          <w:sz w:val="22"/>
          <w:szCs w:val="22"/>
        </w:rPr>
        <w:t xml:space="preserve">—should deliver the </w:t>
      </w:r>
      <w:r w:rsidRPr="00D61E2C">
        <w:rPr>
          <w:rStyle w:val="Strong"/>
          <w:rFonts w:ascii="Arial" w:hAnsi="Arial" w:cs="Arial"/>
          <w:sz w:val="22"/>
          <w:szCs w:val="22"/>
        </w:rPr>
        <w:t>Message</w:t>
      </w:r>
      <w:r w:rsidRPr="00D61E2C">
        <w:rPr>
          <w:rFonts w:ascii="Arial" w:hAnsi="Arial" w:cs="Arial"/>
          <w:sz w:val="22"/>
          <w:szCs w:val="22"/>
        </w:rPr>
        <w:t xml:space="preserve"> in simple English, supported by translated documents and nonverbal cues as </w:t>
      </w:r>
      <w:r w:rsidRPr="00D61E2C">
        <w:rPr>
          <w:rStyle w:val="Strong"/>
          <w:rFonts w:ascii="Arial" w:hAnsi="Arial" w:cs="Arial"/>
          <w:sz w:val="22"/>
          <w:szCs w:val="22"/>
        </w:rPr>
        <w:t>Channels</w:t>
      </w:r>
      <w:r w:rsidRPr="00D61E2C">
        <w:rPr>
          <w:rFonts w:ascii="Arial" w:hAnsi="Arial" w:cs="Arial"/>
          <w:sz w:val="22"/>
          <w:szCs w:val="22"/>
        </w:rPr>
        <w:t xml:space="preserve">, while ensuring the </w:t>
      </w:r>
      <w:r w:rsidRPr="00D61E2C">
        <w:rPr>
          <w:rStyle w:val="Strong"/>
          <w:rFonts w:ascii="Arial" w:hAnsi="Arial" w:cs="Arial"/>
          <w:sz w:val="22"/>
          <w:szCs w:val="22"/>
        </w:rPr>
        <w:t>Receiver</w:t>
      </w:r>
      <w:r w:rsidRPr="00D61E2C">
        <w:rPr>
          <w:rFonts w:ascii="Arial" w:hAnsi="Arial" w:cs="Arial"/>
          <w:sz w:val="22"/>
          <w:szCs w:val="22"/>
        </w:rPr>
        <w:t xml:space="preserve">, </w:t>
      </w:r>
      <w:proofErr w:type="spellStart"/>
      <w:r w:rsidRPr="00D61E2C">
        <w:rPr>
          <w:rFonts w:ascii="Arial" w:hAnsi="Arial" w:cs="Arial"/>
          <w:sz w:val="22"/>
          <w:szCs w:val="22"/>
        </w:rPr>
        <w:t>Mrs</w:t>
      </w:r>
      <w:proofErr w:type="spellEnd"/>
      <w:r w:rsidRPr="00D61E2C">
        <w:rPr>
          <w:rFonts w:ascii="Arial" w:hAnsi="Arial" w:cs="Arial"/>
          <w:sz w:val="22"/>
          <w:szCs w:val="22"/>
        </w:rPr>
        <w:t xml:space="preserve"> Mann, confirms understanding before implementing care tasks. This approach, guided by the Equality Act 2010’s duty to make reasonable adjustments, enhances accuracy, trust, and inclusion (Redley et al., 2019; NHS England, 2023).</w:t>
      </w:r>
    </w:p>
    <w:p w14:paraId="4499AA36" w14:textId="77777777" w:rsidR="003B1004" w:rsidRPr="00D61E2C" w:rsidRDefault="00D61E2C" w:rsidP="00D61E2C">
      <w:pPr>
        <w:pStyle w:val="NormalWeb"/>
        <w:spacing w:line="360" w:lineRule="auto"/>
        <w:jc w:val="both"/>
        <w:rPr>
          <w:rFonts w:ascii="Arial" w:hAnsi="Arial" w:cs="Arial"/>
          <w:sz w:val="22"/>
          <w:szCs w:val="22"/>
        </w:rPr>
      </w:pPr>
      <w:r w:rsidRPr="00D61E2C">
        <w:rPr>
          <w:rFonts w:ascii="Arial" w:hAnsi="Arial" w:cs="Arial"/>
          <w:sz w:val="22"/>
          <w:szCs w:val="22"/>
        </w:rPr>
        <w:t xml:space="preserve">By applying Berlo’s SMCR Model, communication becomes structured, patient-focused, and sensitive to linguistic and cultural diversity, enabling </w:t>
      </w:r>
      <w:proofErr w:type="spellStart"/>
      <w:r w:rsidRPr="00D61E2C">
        <w:rPr>
          <w:rFonts w:ascii="Arial" w:hAnsi="Arial" w:cs="Arial"/>
          <w:sz w:val="22"/>
          <w:szCs w:val="22"/>
        </w:rPr>
        <w:t>Mrs</w:t>
      </w:r>
      <w:proofErr w:type="spellEnd"/>
      <w:r w:rsidRPr="00D61E2C">
        <w:rPr>
          <w:rFonts w:ascii="Arial" w:hAnsi="Arial" w:cs="Arial"/>
          <w:sz w:val="22"/>
          <w:szCs w:val="22"/>
        </w:rPr>
        <w:t xml:space="preserve"> Mann to participate meaningfully in her rehabilitation.</w:t>
      </w:r>
    </w:p>
    <w:p w14:paraId="5623C537" w14:textId="77777777" w:rsidR="003E4871" w:rsidRPr="00063724" w:rsidRDefault="003E4871" w:rsidP="00063724">
      <w:pPr>
        <w:pStyle w:val="ListParagraph"/>
        <w:numPr>
          <w:ilvl w:val="0"/>
          <w:numId w:val="2"/>
        </w:numPr>
        <w:spacing w:before="100" w:beforeAutospacing="1" w:after="100" w:afterAutospacing="1" w:line="360" w:lineRule="auto"/>
        <w:jc w:val="both"/>
        <w:outlineLvl w:val="1"/>
        <w:rPr>
          <w:rFonts w:ascii="Arial" w:eastAsia="Times New Roman" w:hAnsi="Arial" w:cs="Arial"/>
          <w:b/>
          <w:bCs/>
        </w:rPr>
      </w:pPr>
      <w:r w:rsidRPr="00063724">
        <w:rPr>
          <w:rFonts w:ascii="Arial" w:eastAsia="Times New Roman" w:hAnsi="Arial" w:cs="Arial"/>
          <w:b/>
          <w:bCs/>
        </w:rPr>
        <w:t xml:space="preserve">Administrative skills, record-keeping </w:t>
      </w:r>
      <w:r w:rsidR="003013B9" w:rsidRPr="00063724">
        <w:rPr>
          <w:rFonts w:ascii="Arial" w:eastAsia="Times New Roman" w:hAnsi="Arial" w:cs="Arial"/>
          <w:b/>
          <w:bCs/>
        </w:rPr>
        <w:t xml:space="preserve">and Data Protection </w:t>
      </w:r>
    </w:p>
    <w:p w14:paraId="3551A287"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Accurate administrative practice and high-quality record-keeping are fundamental to </w:t>
      </w:r>
      <w:proofErr w:type="gramStart"/>
      <w:r w:rsidRPr="003E4871">
        <w:rPr>
          <w:rFonts w:ascii="Arial" w:eastAsia="Times New Roman" w:hAnsi="Arial" w:cs="Arial"/>
        </w:rPr>
        <w:t>safe</w:t>
      </w:r>
      <w:proofErr w:type="gramEnd"/>
      <w:r w:rsidRPr="003E4871">
        <w:rPr>
          <w:rFonts w:ascii="Arial" w:eastAsia="Times New Roman" w:hAnsi="Arial" w:cs="Arial"/>
        </w:rPr>
        <w:t xml:space="preserve">, joined-up care for patients like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 poor documentation is consistently linked to medication errors, missed interventions and compromised continuity of care (</w:t>
      </w:r>
      <w:proofErr w:type="spellStart"/>
      <w:r w:rsidRPr="003E4871">
        <w:rPr>
          <w:rFonts w:ascii="Arial" w:eastAsia="Times New Roman" w:hAnsi="Arial" w:cs="Arial"/>
        </w:rPr>
        <w:t>Demsash</w:t>
      </w:r>
      <w:proofErr w:type="spellEnd"/>
      <w:r w:rsidRPr="003E4871">
        <w:rPr>
          <w:rFonts w:ascii="Arial" w:eastAsia="Times New Roman" w:hAnsi="Arial" w:cs="Arial"/>
        </w:rPr>
        <w:t>, 2023; Kim et al., 2024). In domiciliary settings, where multiple staff visit and handovers are brief, clear records (date/time, sender, action, rationale) create the audit trail that prevents tasks from being assumed and missed (Pharmaceutical Journal review, 2022).</w:t>
      </w:r>
    </w:p>
    <w:p w14:paraId="17D4DCD4"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Good record-keeping requires entries to be contemporaneous, factual, legible (or electronic), signed and dated, and to separate objective observations from subjective judgements (Records Management Code of Practice, 2021; HCPC, 2024). Studies show that real-time documentation of medication changes reduces post-discharge errors and improves safety by ensuring the clinical message is recorded before transfer between teams (Kim et al., 2024; </w:t>
      </w:r>
      <w:proofErr w:type="spellStart"/>
      <w:r w:rsidRPr="003E4871">
        <w:rPr>
          <w:rFonts w:ascii="Arial" w:eastAsia="Times New Roman" w:hAnsi="Arial" w:cs="Arial"/>
        </w:rPr>
        <w:t>Stolic</w:t>
      </w:r>
      <w:proofErr w:type="spellEnd"/>
      <w:r w:rsidRPr="003E4871">
        <w:rPr>
          <w:rFonts w:ascii="Arial" w:eastAsia="Times New Roman" w:hAnsi="Arial" w:cs="Arial"/>
        </w:rPr>
        <w:t xml:space="preserve"> et al., 2023). Conversely, retrospective, inconsistent or fragmented notes increase the risk that a medication adjustment (as in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Mann’s case) will not be actioned by all providers </w:t>
      </w:r>
      <w:r w:rsidR="005A38B5">
        <w:rPr>
          <w:rFonts w:ascii="Arial" w:eastAsia="Times New Roman" w:hAnsi="Arial" w:cs="Arial"/>
        </w:rPr>
        <w:t>(</w:t>
      </w:r>
      <w:r w:rsidRPr="003E4871">
        <w:rPr>
          <w:rFonts w:ascii="Arial" w:eastAsia="Times New Roman" w:hAnsi="Arial" w:cs="Arial"/>
        </w:rPr>
        <w:t>Cheraghi-Sohi et al., 2021).</w:t>
      </w:r>
    </w:p>
    <w:p w14:paraId="5C2864F1" w14:textId="77777777" w:rsidR="003E4871" w:rsidRPr="003013B9" w:rsidRDefault="003E4871" w:rsidP="003013B9">
      <w:pPr>
        <w:pStyle w:val="NormalWeb"/>
        <w:spacing w:line="360" w:lineRule="auto"/>
        <w:jc w:val="both"/>
        <w:rPr>
          <w:rFonts w:ascii="Arial" w:hAnsi="Arial" w:cs="Arial"/>
          <w:sz w:val="22"/>
          <w:szCs w:val="22"/>
        </w:rPr>
      </w:pPr>
      <w:r w:rsidRPr="003013B9">
        <w:rPr>
          <w:rFonts w:ascii="Arial" w:hAnsi="Arial" w:cs="Arial"/>
          <w:sz w:val="22"/>
          <w:szCs w:val="22"/>
        </w:rPr>
        <w:t xml:space="preserve">Administrative competence also means using </w:t>
      </w:r>
      <w:r w:rsidR="003013B9" w:rsidRPr="003013B9">
        <w:rPr>
          <w:rFonts w:ascii="Arial" w:hAnsi="Arial" w:cs="Arial"/>
          <w:sz w:val="22"/>
          <w:szCs w:val="22"/>
        </w:rPr>
        <w:t>standardized</w:t>
      </w:r>
      <w:r w:rsidRPr="003013B9">
        <w:rPr>
          <w:rFonts w:ascii="Arial" w:hAnsi="Arial" w:cs="Arial"/>
          <w:sz w:val="22"/>
          <w:szCs w:val="22"/>
        </w:rPr>
        <w:t xml:space="preserve"> </w:t>
      </w:r>
      <w:proofErr w:type="gramStart"/>
      <w:r w:rsidRPr="003013B9">
        <w:rPr>
          <w:rFonts w:ascii="Arial" w:hAnsi="Arial" w:cs="Arial"/>
          <w:sz w:val="22"/>
          <w:szCs w:val="22"/>
        </w:rPr>
        <w:t>tools—</w:t>
      </w:r>
      <w:proofErr w:type="gramEnd"/>
      <w:r w:rsidRPr="003013B9">
        <w:rPr>
          <w:rFonts w:ascii="Arial" w:hAnsi="Arial" w:cs="Arial"/>
          <w:sz w:val="22"/>
          <w:szCs w:val="22"/>
        </w:rPr>
        <w:t>structured handover templates, medication administration records (MAR/</w:t>
      </w:r>
      <w:proofErr w:type="spellStart"/>
      <w:r w:rsidRPr="003013B9">
        <w:rPr>
          <w:rFonts w:ascii="Arial" w:hAnsi="Arial" w:cs="Arial"/>
          <w:sz w:val="22"/>
          <w:szCs w:val="22"/>
        </w:rPr>
        <w:t>eMAR</w:t>
      </w:r>
      <w:proofErr w:type="spellEnd"/>
      <w:r w:rsidRPr="003013B9">
        <w:rPr>
          <w:rFonts w:ascii="Arial" w:hAnsi="Arial" w:cs="Arial"/>
          <w:sz w:val="22"/>
          <w:szCs w:val="22"/>
        </w:rPr>
        <w:t>) and shared care plans—so that vital information is presented consistently across carers, physiotherapists and GPs (</w:t>
      </w:r>
      <w:proofErr w:type="spellStart"/>
      <w:r w:rsidRPr="003013B9">
        <w:rPr>
          <w:rFonts w:ascii="Arial" w:hAnsi="Arial" w:cs="Arial"/>
          <w:sz w:val="22"/>
          <w:szCs w:val="22"/>
        </w:rPr>
        <w:t>Stolic</w:t>
      </w:r>
      <w:proofErr w:type="spellEnd"/>
      <w:r w:rsidRPr="003013B9">
        <w:rPr>
          <w:rFonts w:ascii="Arial" w:hAnsi="Arial" w:cs="Arial"/>
          <w:sz w:val="22"/>
          <w:szCs w:val="22"/>
        </w:rPr>
        <w:t xml:space="preserve"> et al., 2023). Electronic MARs and interoperable records can reduce transcription errors and improve visibility of recent changes for domiciliary teams, though implementation requires adequate training and secure IT infrastructure (</w:t>
      </w:r>
      <w:proofErr w:type="spellStart"/>
      <w:r w:rsidRPr="003013B9">
        <w:rPr>
          <w:rFonts w:ascii="Arial" w:hAnsi="Arial" w:cs="Arial"/>
          <w:sz w:val="22"/>
          <w:szCs w:val="22"/>
        </w:rPr>
        <w:t>Stolic</w:t>
      </w:r>
      <w:proofErr w:type="spellEnd"/>
      <w:r w:rsidRPr="003013B9">
        <w:rPr>
          <w:rFonts w:ascii="Arial" w:hAnsi="Arial" w:cs="Arial"/>
          <w:sz w:val="22"/>
          <w:szCs w:val="22"/>
        </w:rPr>
        <w:t xml:space="preserve"> et al., 2023; NHS England,</w:t>
      </w:r>
      <w:r w:rsidR="005A38B5">
        <w:rPr>
          <w:rFonts w:ascii="Arial" w:hAnsi="Arial" w:cs="Arial"/>
          <w:sz w:val="22"/>
          <w:szCs w:val="22"/>
        </w:rPr>
        <w:t xml:space="preserve"> 2020</w:t>
      </w:r>
      <w:r w:rsidRPr="003013B9">
        <w:rPr>
          <w:rFonts w:ascii="Arial" w:hAnsi="Arial" w:cs="Arial"/>
          <w:sz w:val="22"/>
          <w:szCs w:val="22"/>
        </w:rPr>
        <w:t>).</w:t>
      </w:r>
    </w:p>
    <w:p w14:paraId="14B546AC" w14:textId="77777777" w:rsidR="003E4871" w:rsidRDefault="003E4871" w:rsidP="003013B9">
      <w:pPr>
        <w:pStyle w:val="NormalWeb"/>
        <w:spacing w:line="360" w:lineRule="auto"/>
        <w:jc w:val="both"/>
        <w:rPr>
          <w:rFonts w:ascii="Arial" w:hAnsi="Arial" w:cs="Arial"/>
          <w:sz w:val="22"/>
          <w:szCs w:val="22"/>
        </w:rPr>
      </w:pPr>
      <w:r w:rsidRPr="003013B9">
        <w:rPr>
          <w:rFonts w:ascii="Arial" w:hAnsi="Arial" w:cs="Arial"/>
          <w:sz w:val="22"/>
          <w:szCs w:val="22"/>
        </w:rPr>
        <w:t xml:space="preserve">Data protection and confidentiality are statutory obligations under the </w:t>
      </w:r>
      <w:r w:rsidRPr="00063724">
        <w:rPr>
          <w:rStyle w:val="Strong"/>
          <w:rFonts w:ascii="Arial" w:hAnsi="Arial" w:cs="Arial"/>
          <w:b w:val="0"/>
          <w:sz w:val="22"/>
          <w:szCs w:val="22"/>
        </w:rPr>
        <w:t>Data Protection Act 2018</w:t>
      </w:r>
      <w:r w:rsidRPr="003013B9">
        <w:rPr>
          <w:rFonts w:ascii="Arial" w:hAnsi="Arial" w:cs="Arial"/>
          <w:sz w:val="22"/>
          <w:szCs w:val="22"/>
        </w:rPr>
        <w:t xml:space="preserve"> (incorporating the UK GDPR): personal data must be processed lawfully, fairly and transparently, kept accurate, </w:t>
      </w:r>
      <w:r w:rsidR="003013B9" w:rsidRPr="003013B9">
        <w:rPr>
          <w:rFonts w:ascii="Arial" w:hAnsi="Arial" w:cs="Arial"/>
          <w:sz w:val="22"/>
          <w:szCs w:val="22"/>
        </w:rPr>
        <w:t>minimized</w:t>
      </w:r>
      <w:r w:rsidRPr="003013B9">
        <w:rPr>
          <w:rFonts w:ascii="Arial" w:hAnsi="Arial" w:cs="Arial"/>
          <w:sz w:val="22"/>
          <w:szCs w:val="22"/>
        </w:rPr>
        <w:t xml:space="preserve"> to what is necessary, and secured (NHS Digital guidance). In practice this requires that staff only record information relevant to care, correct inaccuracies promptly, and follow retention schedules set out in the Records Management Code (Records Management Code, 2021). Information-sharing for direct care should be on a lawful basis (usually consent or legitimate interest for direct care) and recorded—while wider sharing requires governance agree</w:t>
      </w:r>
      <w:r w:rsidR="005A38B5">
        <w:rPr>
          <w:rFonts w:ascii="Arial" w:hAnsi="Arial" w:cs="Arial"/>
          <w:sz w:val="22"/>
          <w:szCs w:val="22"/>
        </w:rPr>
        <w:t>ments (NHS Digital, 2021</w:t>
      </w:r>
      <w:r w:rsidRPr="003013B9">
        <w:rPr>
          <w:rFonts w:ascii="Arial" w:hAnsi="Arial" w:cs="Arial"/>
          <w:sz w:val="22"/>
          <w:szCs w:val="22"/>
        </w:rPr>
        <w:t>).</w:t>
      </w:r>
    </w:p>
    <w:p w14:paraId="0964F527" w14:textId="77777777" w:rsidR="005A38B5" w:rsidRPr="003013B9" w:rsidRDefault="005A38B5" w:rsidP="003013B9">
      <w:pPr>
        <w:pStyle w:val="NormalWeb"/>
        <w:spacing w:line="360" w:lineRule="auto"/>
        <w:jc w:val="both"/>
        <w:rPr>
          <w:rFonts w:ascii="Arial" w:hAnsi="Arial" w:cs="Arial"/>
          <w:sz w:val="22"/>
          <w:szCs w:val="22"/>
        </w:rPr>
      </w:pPr>
      <w:r w:rsidRPr="005A38B5">
        <w:rPr>
          <w:rFonts w:ascii="Arial" w:hAnsi="Arial" w:cs="Arial"/>
          <w:sz w:val="22"/>
          <w:szCs w:val="22"/>
        </w:rPr>
        <w:t xml:space="preserve">Information governance failures in UK health and social care have shown how poor record keeping can endanger patient safety. Recent ICO and NHS reports highlight data breaches and cyber incidents that disrupted services, emphasizing the need for </w:t>
      </w:r>
      <w:proofErr w:type="gramStart"/>
      <w:r w:rsidRPr="005A38B5">
        <w:rPr>
          <w:rFonts w:ascii="Arial" w:hAnsi="Arial" w:cs="Arial"/>
          <w:sz w:val="22"/>
          <w:szCs w:val="22"/>
        </w:rPr>
        <w:t>secure</w:t>
      </w:r>
      <w:proofErr w:type="gramEnd"/>
      <w:r w:rsidRPr="005A38B5">
        <w:rPr>
          <w:rFonts w:ascii="Arial" w:hAnsi="Arial" w:cs="Arial"/>
          <w:sz w:val="22"/>
          <w:szCs w:val="22"/>
        </w:rPr>
        <w:t xml:space="preserve"> systems and compliance with the Data Protection Act 2018 (ICO, 2024; NHS England, 2023). In </w:t>
      </w:r>
      <w:proofErr w:type="spellStart"/>
      <w:r w:rsidRPr="005A38B5">
        <w:rPr>
          <w:rFonts w:ascii="Arial" w:hAnsi="Arial" w:cs="Arial"/>
          <w:sz w:val="22"/>
          <w:szCs w:val="22"/>
        </w:rPr>
        <w:t>Mrs</w:t>
      </w:r>
      <w:proofErr w:type="spellEnd"/>
      <w:r w:rsidRPr="005A38B5">
        <w:rPr>
          <w:rFonts w:ascii="Arial" w:hAnsi="Arial" w:cs="Arial"/>
          <w:sz w:val="22"/>
          <w:szCs w:val="22"/>
        </w:rPr>
        <w:t xml:space="preserve"> Mann’s case, the delayed medication adjustment illustrates how unclear documentation and informal communication can compromise care continuity. Research confirms that when staff responsibilities for updating medication records are unclear, errors and omissions frequently occur (</w:t>
      </w:r>
      <w:proofErr w:type="spellStart"/>
      <w:r w:rsidRPr="005A38B5">
        <w:rPr>
          <w:rFonts w:ascii="Arial" w:hAnsi="Arial" w:cs="Arial"/>
          <w:sz w:val="22"/>
          <w:szCs w:val="22"/>
        </w:rPr>
        <w:t>Demsash</w:t>
      </w:r>
      <w:proofErr w:type="spellEnd"/>
      <w:r w:rsidRPr="005A38B5">
        <w:rPr>
          <w:rFonts w:ascii="Arial" w:hAnsi="Arial" w:cs="Arial"/>
          <w:sz w:val="22"/>
          <w:szCs w:val="22"/>
        </w:rPr>
        <w:t>, 2023; Cheraghi-Sohi et al., 2021). Assigning clear accountability, using secure digital tools, and maintaining accurate records are therefore essential for ensuring safe, coordinated care</w:t>
      </w:r>
      <w:r>
        <w:t>.</w:t>
      </w:r>
    </w:p>
    <w:p w14:paraId="011D8348" w14:textId="77777777" w:rsidR="00384335" w:rsidRPr="003013B9" w:rsidRDefault="005A38B5" w:rsidP="003013B9">
      <w:pPr>
        <w:pStyle w:val="NormalWeb"/>
        <w:spacing w:line="360" w:lineRule="auto"/>
        <w:jc w:val="both"/>
        <w:rPr>
          <w:rFonts w:ascii="Arial" w:hAnsi="Arial" w:cs="Arial"/>
          <w:sz w:val="22"/>
          <w:szCs w:val="22"/>
        </w:rPr>
      </w:pPr>
      <w:r>
        <w:rPr>
          <w:rFonts w:ascii="Arial" w:hAnsi="Arial" w:cs="Arial"/>
          <w:sz w:val="22"/>
          <w:szCs w:val="22"/>
        </w:rPr>
        <w:t>R</w:t>
      </w:r>
      <w:r w:rsidR="003E4871" w:rsidRPr="003013B9">
        <w:rPr>
          <w:rFonts w:ascii="Arial" w:hAnsi="Arial" w:cs="Arial"/>
          <w:sz w:val="22"/>
          <w:szCs w:val="22"/>
        </w:rPr>
        <w:t xml:space="preserve">obust administrative skills combine accurate, timely, </w:t>
      </w:r>
      <w:r w:rsidR="003013B9" w:rsidRPr="003013B9">
        <w:rPr>
          <w:rFonts w:ascii="Arial" w:hAnsi="Arial" w:cs="Arial"/>
          <w:sz w:val="22"/>
          <w:szCs w:val="22"/>
        </w:rPr>
        <w:t>standardized</w:t>
      </w:r>
      <w:r w:rsidR="003E4871" w:rsidRPr="003013B9">
        <w:rPr>
          <w:rFonts w:ascii="Arial" w:hAnsi="Arial" w:cs="Arial"/>
          <w:sz w:val="22"/>
          <w:szCs w:val="22"/>
        </w:rPr>
        <w:t xml:space="preserve"> record-keeping with adherence to Data Protection Act 2018 principles and local records-management policy. For </w:t>
      </w:r>
      <w:proofErr w:type="spellStart"/>
      <w:r w:rsidR="003E4871" w:rsidRPr="003013B9">
        <w:rPr>
          <w:rFonts w:ascii="Arial" w:hAnsi="Arial" w:cs="Arial"/>
          <w:sz w:val="22"/>
          <w:szCs w:val="22"/>
        </w:rPr>
        <w:t>Mrs</w:t>
      </w:r>
      <w:proofErr w:type="spellEnd"/>
      <w:r w:rsidR="003E4871" w:rsidRPr="003013B9">
        <w:rPr>
          <w:rFonts w:ascii="Arial" w:hAnsi="Arial" w:cs="Arial"/>
          <w:sz w:val="22"/>
          <w:szCs w:val="22"/>
        </w:rPr>
        <w:t xml:space="preserve"> Mann this </w:t>
      </w:r>
      <w:proofErr w:type="gramStart"/>
      <w:r w:rsidR="003E4871" w:rsidRPr="003013B9">
        <w:rPr>
          <w:rFonts w:ascii="Arial" w:hAnsi="Arial" w:cs="Arial"/>
          <w:sz w:val="22"/>
          <w:szCs w:val="22"/>
        </w:rPr>
        <w:t>means:</w:t>
      </w:r>
      <w:proofErr w:type="gramEnd"/>
      <w:r w:rsidR="003E4871" w:rsidRPr="003013B9">
        <w:rPr>
          <w:rFonts w:ascii="Arial" w:hAnsi="Arial" w:cs="Arial"/>
          <w:sz w:val="22"/>
          <w:szCs w:val="22"/>
        </w:rPr>
        <w:t xml:space="preserve"> contemporaneous documentation of medication and mobility changes; use of </w:t>
      </w:r>
      <w:proofErr w:type="spellStart"/>
      <w:r w:rsidR="003E4871" w:rsidRPr="003013B9">
        <w:rPr>
          <w:rFonts w:ascii="Arial" w:hAnsi="Arial" w:cs="Arial"/>
          <w:sz w:val="22"/>
          <w:szCs w:val="22"/>
        </w:rPr>
        <w:t>eMAR</w:t>
      </w:r>
      <w:proofErr w:type="spellEnd"/>
      <w:r w:rsidR="003E4871" w:rsidRPr="003013B9">
        <w:rPr>
          <w:rFonts w:ascii="Arial" w:hAnsi="Arial" w:cs="Arial"/>
          <w:sz w:val="22"/>
          <w:szCs w:val="22"/>
        </w:rPr>
        <w:t>/shared care plans accessible to domiciliary staff, GP and physiotherapist; recorded consent and lawful bases for data sharing; and secure IT and audit processes so that communication failures do not lead to delayed or unsafe care.</w:t>
      </w:r>
    </w:p>
    <w:p w14:paraId="644217C7" w14:textId="77777777" w:rsidR="003E4871" w:rsidRPr="00063724" w:rsidRDefault="003E4871" w:rsidP="00063724">
      <w:pPr>
        <w:pStyle w:val="ListParagraph"/>
        <w:numPr>
          <w:ilvl w:val="0"/>
          <w:numId w:val="2"/>
        </w:numPr>
        <w:spacing w:before="100" w:beforeAutospacing="1" w:after="100" w:afterAutospacing="1" w:line="360" w:lineRule="auto"/>
        <w:jc w:val="both"/>
        <w:outlineLvl w:val="1"/>
        <w:rPr>
          <w:rFonts w:ascii="Arial" w:eastAsia="Times New Roman" w:hAnsi="Arial" w:cs="Arial"/>
          <w:b/>
          <w:bCs/>
        </w:rPr>
      </w:pPr>
      <w:r w:rsidRPr="00063724">
        <w:rPr>
          <w:rFonts w:ascii="Arial" w:eastAsia="Times New Roman" w:hAnsi="Arial" w:cs="Arial"/>
          <w:b/>
          <w:bCs/>
        </w:rPr>
        <w:t>Collaborative working with o</w:t>
      </w:r>
      <w:r w:rsidR="003013B9" w:rsidRPr="00063724">
        <w:rPr>
          <w:rFonts w:ascii="Arial" w:eastAsia="Times New Roman" w:hAnsi="Arial" w:cs="Arial"/>
          <w:b/>
          <w:bCs/>
        </w:rPr>
        <w:t xml:space="preserve">ther professionals </w:t>
      </w:r>
    </w:p>
    <w:p w14:paraId="56971718"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Collaborative practice is fundamental to achieving safe, coordinated, person-</w:t>
      </w:r>
      <w:r w:rsidR="003013B9" w:rsidRPr="003E4871">
        <w:rPr>
          <w:rFonts w:ascii="Arial" w:eastAsia="Times New Roman" w:hAnsi="Arial" w:cs="Arial"/>
        </w:rPr>
        <w:t>centered</w:t>
      </w:r>
      <w:r w:rsidRPr="003E4871">
        <w:rPr>
          <w:rFonts w:ascii="Arial" w:eastAsia="Times New Roman" w:hAnsi="Arial" w:cs="Arial"/>
        </w:rPr>
        <w:t xml:space="preserve"> care for older adults with complex needs such as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 Following hip-replacement surgery, her recovery depends on effective communication and coordination between the GP, physiotherapist, domiciliary care team, and her family. UK evidence consistently links strong interprofessional collaboration to fewer readmissions, improved rehabilitation, and higher patient satisfaction (NHS England, 2023; Greenhalgh et al., 2022).</w:t>
      </w:r>
    </w:p>
    <w:p w14:paraId="7D5DC4F0" w14:textId="77777777" w:rsidR="003E4871" w:rsidRPr="003E4871" w:rsidRDefault="00063724" w:rsidP="003013B9">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4.1 </w:t>
      </w:r>
      <w:r w:rsidR="003E4871" w:rsidRPr="003E4871">
        <w:rPr>
          <w:rFonts w:ascii="Arial" w:eastAsia="Times New Roman" w:hAnsi="Arial" w:cs="Arial"/>
          <w:b/>
          <w:bCs/>
        </w:rPr>
        <w:t>Approaches to effective collaboration</w:t>
      </w:r>
    </w:p>
    <w:p w14:paraId="1159277F"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The </w:t>
      </w:r>
      <w:r w:rsidRPr="004B5281">
        <w:rPr>
          <w:rFonts w:ascii="Arial" w:eastAsia="Times New Roman" w:hAnsi="Arial" w:cs="Arial"/>
          <w:bCs/>
        </w:rPr>
        <w:t>Integrated Care System (ICS</w:t>
      </w:r>
      <w:r w:rsidRPr="003013B9">
        <w:rPr>
          <w:rFonts w:ascii="Arial" w:eastAsia="Times New Roman" w:hAnsi="Arial" w:cs="Arial"/>
          <w:b/>
          <w:bCs/>
        </w:rPr>
        <w:t>)</w:t>
      </w:r>
      <w:r w:rsidRPr="003E4871">
        <w:rPr>
          <w:rFonts w:ascii="Arial" w:eastAsia="Times New Roman" w:hAnsi="Arial" w:cs="Arial"/>
        </w:rPr>
        <w:t xml:space="preserve"> framework in England promotes joint working across health and social care, </w:t>
      </w:r>
      <w:r w:rsidR="003013B9" w:rsidRPr="003E4871">
        <w:rPr>
          <w:rFonts w:ascii="Arial" w:eastAsia="Times New Roman" w:hAnsi="Arial" w:cs="Arial"/>
        </w:rPr>
        <w:t>emphasizing</w:t>
      </w:r>
      <w:r w:rsidRPr="003E4871">
        <w:rPr>
          <w:rFonts w:ascii="Arial" w:eastAsia="Times New Roman" w:hAnsi="Arial" w:cs="Arial"/>
        </w:rPr>
        <w:t xml:space="preserve"> shared care plans, multidisciplinary team (MDT) meetings, and information-sharing agreements (NHS Long Term Plan, 2019; NHS England, 2023). For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 joint reviews between the physiotherapist, GP, and domiciliary agency can align rehabilitation goals and medication management. The use of </w:t>
      </w:r>
      <w:r w:rsidRPr="004B5281">
        <w:rPr>
          <w:rFonts w:ascii="Arial" w:eastAsia="Times New Roman" w:hAnsi="Arial" w:cs="Arial"/>
          <w:bCs/>
        </w:rPr>
        <w:t>SBAR</w:t>
      </w:r>
      <w:r w:rsidRPr="003E4871">
        <w:rPr>
          <w:rFonts w:ascii="Arial" w:eastAsia="Times New Roman" w:hAnsi="Arial" w:cs="Arial"/>
        </w:rPr>
        <w:t xml:space="preserve"> (Situation–Background–Assessment–Recommendation) or </w:t>
      </w:r>
      <w:r w:rsidRPr="004B5281">
        <w:rPr>
          <w:rFonts w:ascii="Arial" w:eastAsia="Times New Roman" w:hAnsi="Arial" w:cs="Arial"/>
          <w:bCs/>
        </w:rPr>
        <w:t>ISBAR</w:t>
      </w:r>
      <w:r w:rsidRPr="003E4871">
        <w:rPr>
          <w:rFonts w:ascii="Arial" w:eastAsia="Times New Roman" w:hAnsi="Arial" w:cs="Arial"/>
        </w:rPr>
        <w:t xml:space="preserve"> handover tools provides a structured communication format proven to reduce omissions during cross-agency exchanges (</w:t>
      </w:r>
      <w:proofErr w:type="spellStart"/>
      <w:r w:rsidRPr="003E4871">
        <w:rPr>
          <w:rFonts w:ascii="Arial" w:eastAsia="Times New Roman" w:hAnsi="Arial" w:cs="Arial"/>
        </w:rPr>
        <w:t>Ramasubbu</w:t>
      </w:r>
      <w:proofErr w:type="spellEnd"/>
      <w:r w:rsidRPr="003E4871">
        <w:rPr>
          <w:rFonts w:ascii="Arial" w:eastAsia="Times New Roman" w:hAnsi="Arial" w:cs="Arial"/>
        </w:rPr>
        <w:t xml:space="preserve"> et al., 2020; Kohn et al., 2023).</w:t>
      </w:r>
    </w:p>
    <w:p w14:paraId="244CF3CD"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Digital care records that are interoperable between NHS and social-care systems also enhance coordination by allowing professionals real-time access to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Mann’s progress and medication updates (CQC, 2023; </w:t>
      </w:r>
      <w:proofErr w:type="spellStart"/>
      <w:r w:rsidRPr="003E4871">
        <w:rPr>
          <w:rFonts w:ascii="Arial" w:eastAsia="Times New Roman" w:hAnsi="Arial" w:cs="Arial"/>
        </w:rPr>
        <w:t>Stolic</w:t>
      </w:r>
      <w:proofErr w:type="spellEnd"/>
      <w:r w:rsidRPr="003E4871">
        <w:rPr>
          <w:rFonts w:ascii="Arial" w:eastAsia="Times New Roman" w:hAnsi="Arial" w:cs="Arial"/>
        </w:rPr>
        <w:t xml:space="preserve"> et al., 2023). Studies within UK community services show that regular MDT meetings and shared digital notes increase confidence, accountability, and timely referrals (Stevenson et al., 2021).</w:t>
      </w:r>
    </w:p>
    <w:p w14:paraId="3731CFF2" w14:textId="77777777" w:rsidR="003E4871" w:rsidRPr="003E4871" w:rsidRDefault="00063724" w:rsidP="003013B9">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4.2 </w:t>
      </w:r>
      <w:r w:rsidR="003E4871" w:rsidRPr="003E4871">
        <w:rPr>
          <w:rFonts w:ascii="Arial" w:eastAsia="Times New Roman" w:hAnsi="Arial" w:cs="Arial"/>
          <w:b/>
          <w:bCs/>
        </w:rPr>
        <w:t>Addressing common challenges</w:t>
      </w:r>
    </w:p>
    <w:p w14:paraId="0D0353E7" w14:textId="77777777" w:rsidR="003E4871" w:rsidRPr="003E4871"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Barriers often include differing professional cultures, unclear roles, and fragmented communication channels (Weller et al., 2020; Nancarrow et al., 2021). Effective leadership, role clarification, and joint training foster mutual understanding and respect (Reeves et al., 2021). Policies such as the </w:t>
      </w:r>
      <w:r w:rsidRPr="00063724">
        <w:rPr>
          <w:rFonts w:ascii="Arial" w:eastAsia="Times New Roman" w:hAnsi="Arial" w:cs="Arial"/>
          <w:bCs/>
        </w:rPr>
        <w:t>Health and Social Care Act 2012</w:t>
      </w:r>
      <w:r w:rsidRPr="003E4871">
        <w:rPr>
          <w:rFonts w:ascii="Arial" w:eastAsia="Times New Roman" w:hAnsi="Arial" w:cs="Arial"/>
        </w:rPr>
        <w:t xml:space="preserve"> and the </w:t>
      </w:r>
      <w:r w:rsidRPr="00063724">
        <w:rPr>
          <w:rFonts w:ascii="Arial" w:eastAsia="Times New Roman" w:hAnsi="Arial" w:cs="Arial"/>
          <w:bCs/>
        </w:rPr>
        <w:t>NHS People Plan (2020)</w:t>
      </w:r>
      <w:r w:rsidRPr="003E4871">
        <w:rPr>
          <w:rFonts w:ascii="Arial" w:eastAsia="Times New Roman" w:hAnsi="Arial" w:cs="Arial"/>
        </w:rPr>
        <w:t xml:space="preserve"> encourage integrated working by embedding shared outcomes and team-based accountability. When disagreements arise—such as differing priorities between physiotherapy goals and care-agency routines—open reflective practice sessions and escalation protocols ensure issues are addressed constructively rather than defensively (Greenhalgh et al., 2022).</w:t>
      </w:r>
    </w:p>
    <w:p w14:paraId="53B6885A" w14:textId="77777777" w:rsidR="003E4871" w:rsidRPr="003013B9" w:rsidRDefault="003E4871" w:rsidP="003013B9">
      <w:pPr>
        <w:spacing w:before="100" w:beforeAutospacing="1" w:after="100" w:afterAutospacing="1" w:line="360" w:lineRule="auto"/>
        <w:jc w:val="both"/>
        <w:rPr>
          <w:rFonts w:ascii="Arial" w:eastAsia="Times New Roman" w:hAnsi="Arial" w:cs="Arial"/>
        </w:rPr>
      </w:pPr>
      <w:proofErr w:type="spellStart"/>
      <w:r w:rsidRPr="003E4871">
        <w:rPr>
          <w:rFonts w:ascii="Arial" w:eastAsia="Times New Roman" w:hAnsi="Arial" w:cs="Arial"/>
        </w:rPr>
        <w:t>Mrs</w:t>
      </w:r>
      <w:proofErr w:type="spellEnd"/>
      <w:r w:rsidRPr="003E4871">
        <w:rPr>
          <w:rFonts w:ascii="Arial" w:eastAsia="Times New Roman" w:hAnsi="Arial" w:cs="Arial"/>
        </w:rPr>
        <w:t xml:space="preserve"> Mann’s case illustrates that collaborative, multi-agency working—grounded in clear communication tools, shared digital systems, and joint professional accountability—improves care safety and recovery outcomes while aligning with current UK integrated-care policy.</w:t>
      </w:r>
    </w:p>
    <w:p w14:paraId="1C99D0D2" w14:textId="77777777" w:rsidR="003E4871" w:rsidRPr="003E4871" w:rsidRDefault="003013B9" w:rsidP="003013B9">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Conclusion </w:t>
      </w:r>
    </w:p>
    <w:p w14:paraId="53ECBFE3" w14:textId="77777777" w:rsidR="003E4871" w:rsidRPr="003013B9" w:rsidRDefault="003E4871" w:rsidP="003013B9">
      <w:pPr>
        <w:spacing w:before="100" w:beforeAutospacing="1" w:after="100" w:afterAutospacing="1" w:line="360" w:lineRule="auto"/>
        <w:jc w:val="both"/>
        <w:rPr>
          <w:rFonts w:ascii="Arial" w:eastAsia="Times New Roman" w:hAnsi="Arial" w:cs="Arial"/>
        </w:rPr>
      </w:pPr>
      <w:r w:rsidRPr="003E4871">
        <w:rPr>
          <w:rFonts w:ascii="Arial" w:eastAsia="Times New Roman" w:hAnsi="Arial" w:cs="Arial"/>
        </w:rPr>
        <w:t xml:space="preserve">In conclusion,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Mann’s case highlights how communication, documentation, and collaboration are interdependent foundations of safe and effective post-operative care. Adhering to the </w:t>
      </w:r>
      <w:r w:rsidRPr="00063724">
        <w:rPr>
          <w:rFonts w:ascii="Arial" w:eastAsia="Times New Roman" w:hAnsi="Arial" w:cs="Arial"/>
          <w:bCs/>
        </w:rPr>
        <w:t>Equality Act 2010</w:t>
      </w:r>
      <w:r w:rsidRPr="003E4871">
        <w:rPr>
          <w:rFonts w:ascii="Arial" w:eastAsia="Times New Roman" w:hAnsi="Arial" w:cs="Arial"/>
        </w:rPr>
        <w:t xml:space="preserve"> ensures equitable communication and culturally sensitive engagement with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 and her family, while compliance with the </w:t>
      </w:r>
      <w:r w:rsidRPr="00063724">
        <w:rPr>
          <w:rFonts w:ascii="Arial" w:eastAsia="Times New Roman" w:hAnsi="Arial" w:cs="Arial"/>
          <w:bCs/>
        </w:rPr>
        <w:t>Data Protection Act 2018</w:t>
      </w:r>
      <w:r w:rsidRPr="003E4871">
        <w:rPr>
          <w:rFonts w:ascii="Arial" w:eastAsia="Times New Roman" w:hAnsi="Arial" w:cs="Arial"/>
        </w:rPr>
        <w:t xml:space="preserve"> guarantees lawful and confidential handling of her health information (Blythe et al., 2020; Weller et al., 2020). Collaborative practice guided by the </w:t>
      </w:r>
      <w:r w:rsidRPr="00063724">
        <w:rPr>
          <w:rFonts w:ascii="Arial" w:eastAsia="Times New Roman" w:hAnsi="Arial" w:cs="Arial"/>
          <w:bCs/>
        </w:rPr>
        <w:t>NHS Long Term Plan (2019)</w:t>
      </w:r>
      <w:r w:rsidRPr="003E4871">
        <w:rPr>
          <w:rFonts w:ascii="Arial" w:eastAsia="Times New Roman" w:hAnsi="Arial" w:cs="Arial"/>
        </w:rPr>
        <w:t xml:space="preserve"> and </w:t>
      </w:r>
      <w:r w:rsidRPr="00063724">
        <w:rPr>
          <w:rFonts w:ascii="Arial" w:eastAsia="Times New Roman" w:hAnsi="Arial" w:cs="Arial"/>
          <w:bCs/>
        </w:rPr>
        <w:t>Integrated Care Systems (NHS England, 2023)</w:t>
      </w:r>
      <w:r w:rsidRPr="003E4871">
        <w:rPr>
          <w:rFonts w:ascii="Arial" w:eastAsia="Times New Roman" w:hAnsi="Arial" w:cs="Arial"/>
        </w:rPr>
        <w:t xml:space="preserve"> </w:t>
      </w:r>
      <w:proofErr w:type="gramStart"/>
      <w:r w:rsidRPr="003E4871">
        <w:rPr>
          <w:rFonts w:ascii="Arial" w:eastAsia="Times New Roman" w:hAnsi="Arial" w:cs="Arial"/>
        </w:rPr>
        <w:t>fosters</w:t>
      </w:r>
      <w:proofErr w:type="gramEnd"/>
      <w:r w:rsidRPr="003E4871">
        <w:rPr>
          <w:rFonts w:ascii="Arial" w:eastAsia="Times New Roman" w:hAnsi="Arial" w:cs="Arial"/>
        </w:rPr>
        <w:t xml:space="preserve"> continuity between primary, community, and social care providers, preventing medication delays and enhancing rehabilitation outcomes. Ultimately, maintaining high standards of communication, record keeping, and teamwork enables professionals to deliver holistic, person-</w:t>
      </w:r>
      <w:r w:rsidR="003013B9" w:rsidRPr="003E4871">
        <w:rPr>
          <w:rFonts w:ascii="Arial" w:eastAsia="Times New Roman" w:hAnsi="Arial" w:cs="Arial"/>
        </w:rPr>
        <w:t>centered</w:t>
      </w:r>
      <w:r w:rsidRPr="003E4871">
        <w:rPr>
          <w:rFonts w:ascii="Arial" w:eastAsia="Times New Roman" w:hAnsi="Arial" w:cs="Arial"/>
        </w:rPr>
        <w:t xml:space="preserve"> care that respects </w:t>
      </w:r>
      <w:proofErr w:type="spellStart"/>
      <w:r w:rsidRPr="003E4871">
        <w:rPr>
          <w:rFonts w:ascii="Arial" w:eastAsia="Times New Roman" w:hAnsi="Arial" w:cs="Arial"/>
        </w:rPr>
        <w:t>Mrs</w:t>
      </w:r>
      <w:proofErr w:type="spellEnd"/>
      <w:r w:rsidRPr="003E4871">
        <w:rPr>
          <w:rFonts w:ascii="Arial" w:eastAsia="Times New Roman" w:hAnsi="Arial" w:cs="Arial"/>
        </w:rPr>
        <w:t xml:space="preserve"> Mann’s autonomy, promotes safety, and aligns with the UK’s commitment to high-quality, inclusive healthcare provision (Reeves et al., 2021; Greenhalgh et al., 2022).</w:t>
      </w:r>
    </w:p>
    <w:p w14:paraId="3C8A38C3" w14:textId="77777777" w:rsidR="00D61E2C" w:rsidRDefault="00D61E2C" w:rsidP="003013B9">
      <w:pPr>
        <w:spacing w:before="100" w:beforeAutospacing="1" w:after="100" w:afterAutospacing="1" w:line="360" w:lineRule="auto"/>
        <w:jc w:val="both"/>
        <w:outlineLvl w:val="1"/>
        <w:rPr>
          <w:rFonts w:ascii="Arial" w:eastAsia="Times New Roman" w:hAnsi="Arial" w:cs="Arial"/>
          <w:b/>
          <w:bCs/>
        </w:rPr>
      </w:pPr>
    </w:p>
    <w:p w14:paraId="1DB06DC1"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146F4195"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0B33BB03"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5A9A1950"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64C9E6E1"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30AB3742"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33739992"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74D75186"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035F7992"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00C77B22"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7FCB7774"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3BB28E82"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4C11EFB6"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6725F4D4"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362E4F72" w14:textId="77777777" w:rsidR="00237F7F" w:rsidRDefault="00237F7F" w:rsidP="003013B9">
      <w:pPr>
        <w:spacing w:before="100" w:beforeAutospacing="1" w:after="100" w:afterAutospacing="1" w:line="360" w:lineRule="auto"/>
        <w:jc w:val="both"/>
        <w:outlineLvl w:val="1"/>
        <w:rPr>
          <w:rFonts w:ascii="Arial" w:eastAsia="Times New Roman" w:hAnsi="Arial" w:cs="Arial"/>
          <w:b/>
          <w:bCs/>
        </w:rPr>
      </w:pPr>
    </w:p>
    <w:p w14:paraId="29AA8781" w14:textId="77777777" w:rsidR="00063724" w:rsidRDefault="003013B9" w:rsidP="00063724">
      <w:pPr>
        <w:spacing w:before="100" w:beforeAutospacing="1" w:after="100" w:afterAutospacing="1" w:line="360" w:lineRule="auto"/>
        <w:jc w:val="both"/>
        <w:outlineLvl w:val="1"/>
        <w:rPr>
          <w:rFonts w:ascii="Arial" w:hAnsi="Arial" w:cs="Arial"/>
        </w:rPr>
      </w:pPr>
      <w:r w:rsidRPr="003013B9">
        <w:rPr>
          <w:rFonts w:ascii="Arial" w:eastAsia="Times New Roman" w:hAnsi="Arial" w:cs="Arial"/>
          <w:b/>
          <w:bCs/>
        </w:rPr>
        <w:t>Referen</w:t>
      </w:r>
      <w:r w:rsidR="00063724">
        <w:rPr>
          <w:rFonts w:ascii="Arial" w:eastAsia="Times New Roman" w:hAnsi="Arial" w:cs="Arial"/>
          <w:b/>
          <w:bCs/>
        </w:rPr>
        <w:t xml:space="preserve">ces: </w:t>
      </w:r>
      <w:r w:rsidR="00063724" w:rsidRPr="003013B9">
        <w:rPr>
          <w:rFonts w:ascii="Arial" w:hAnsi="Arial" w:cs="Arial"/>
        </w:rPr>
        <w:tab/>
      </w:r>
    </w:p>
    <w:p w14:paraId="0E1D3775"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Ali, S. and Johnson, R. (2020) ‘Language barriers and cultural competence in UK health and social care: Improving communication with older adults’, </w:t>
      </w:r>
      <w:r w:rsidRPr="00237F7F">
        <w:rPr>
          <w:rFonts w:ascii="Arial" w:eastAsia="Times New Roman" w:hAnsi="Arial" w:cs="Arial"/>
          <w:i/>
          <w:iCs/>
        </w:rPr>
        <w:t>British Journal of Nursing</w:t>
      </w:r>
      <w:r w:rsidRPr="00237F7F">
        <w:rPr>
          <w:rFonts w:ascii="Arial" w:eastAsia="Times New Roman" w:hAnsi="Arial" w:cs="Arial"/>
        </w:rPr>
        <w:t>, 29(18), pp. 1064–1070.</w:t>
      </w:r>
    </w:p>
    <w:p w14:paraId="11E543F2" w14:textId="77777777" w:rsidR="00237F7F" w:rsidRPr="00237F7F" w:rsidRDefault="00237F7F" w:rsidP="00237F7F">
      <w:pPr>
        <w:pStyle w:val="NormalWeb"/>
        <w:spacing w:line="360" w:lineRule="auto"/>
        <w:jc w:val="both"/>
        <w:rPr>
          <w:rFonts w:ascii="Arial" w:hAnsi="Arial" w:cs="Arial"/>
          <w:sz w:val="22"/>
          <w:szCs w:val="22"/>
        </w:rPr>
      </w:pPr>
      <w:r w:rsidRPr="00237F7F">
        <w:rPr>
          <w:rFonts w:ascii="Arial" w:hAnsi="Arial" w:cs="Arial"/>
          <w:sz w:val="22"/>
          <w:szCs w:val="22"/>
        </w:rPr>
        <w:t xml:space="preserve">Berlo, D.K. (1960) </w:t>
      </w:r>
      <w:r w:rsidRPr="00237F7F">
        <w:rPr>
          <w:rStyle w:val="Emphasis"/>
          <w:rFonts w:ascii="Arial" w:hAnsi="Arial" w:cs="Arial"/>
          <w:sz w:val="22"/>
          <w:szCs w:val="22"/>
        </w:rPr>
        <w:t>The Process of Communication: An Introduction to Theory and Practice.</w:t>
      </w:r>
      <w:r w:rsidRPr="00237F7F">
        <w:rPr>
          <w:rFonts w:ascii="Arial" w:hAnsi="Arial" w:cs="Arial"/>
          <w:sz w:val="22"/>
          <w:szCs w:val="22"/>
        </w:rPr>
        <w:t xml:space="preserve"> New York: Holt, Rinehart and Winston.</w:t>
      </w:r>
    </w:p>
    <w:p w14:paraId="236C567C"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Cheraghi-Sohi, S., </w:t>
      </w:r>
      <w:proofErr w:type="spellStart"/>
      <w:r w:rsidRPr="00237F7F">
        <w:rPr>
          <w:rFonts w:ascii="Arial" w:eastAsia="Times New Roman" w:hAnsi="Arial" w:cs="Arial"/>
        </w:rPr>
        <w:t>Panagioti</w:t>
      </w:r>
      <w:proofErr w:type="spellEnd"/>
      <w:r w:rsidRPr="00237F7F">
        <w:rPr>
          <w:rFonts w:ascii="Arial" w:eastAsia="Times New Roman" w:hAnsi="Arial" w:cs="Arial"/>
        </w:rPr>
        <w:t xml:space="preserve">, M., Reeves, D., Ashcroft, D.M. and Campbell, S. (2021) ‘Identifying and preventing medication safety incidents in primary care: A systematic review of the literature’, </w:t>
      </w:r>
      <w:r w:rsidRPr="00237F7F">
        <w:rPr>
          <w:rFonts w:ascii="Arial" w:eastAsia="Times New Roman" w:hAnsi="Arial" w:cs="Arial"/>
          <w:i/>
          <w:iCs/>
        </w:rPr>
        <w:t>BMC Family Practice</w:t>
      </w:r>
      <w:r w:rsidRPr="00237F7F">
        <w:rPr>
          <w:rFonts w:ascii="Arial" w:eastAsia="Times New Roman" w:hAnsi="Arial" w:cs="Arial"/>
        </w:rPr>
        <w:t>, 22(1), pp. 1–13.</w:t>
      </w:r>
    </w:p>
    <w:p w14:paraId="0E3E9609"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proofErr w:type="spellStart"/>
      <w:r w:rsidRPr="00237F7F">
        <w:rPr>
          <w:rFonts w:ascii="Arial" w:eastAsia="Times New Roman" w:hAnsi="Arial" w:cs="Arial"/>
        </w:rPr>
        <w:t>Demsash</w:t>
      </w:r>
      <w:proofErr w:type="spellEnd"/>
      <w:r w:rsidRPr="00237F7F">
        <w:rPr>
          <w:rFonts w:ascii="Arial" w:eastAsia="Times New Roman" w:hAnsi="Arial" w:cs="Arial"/>
        </w:rPr>
        <w:t xml:space="preserve">, H.D. (2023) ‘Improving medication documentation and communication among multidisciplinary teams in community healthcare: Lessons from frontline practice’, </w:t>
      </w:r>
      <w:r w:rsidRPr="00237F7F">
        <w:rPr>
          <w:rFonts w:ascii="Arial" w:eastAsia="Times New Roman" w:hAnsi="Arial" w:cs="Arial"/>
          <w:i/>
          <w:iCs/>
        </w:rPr>
        <w:t>British Journal of Community Nursing</w:t>
      </w:r>
      <w:r w:rsidRPr="00237F7F">
        <w:rPr>
          <w:rFonts w:ascii="Arial" w:eastAsia="Times New Roman" w:hAnsi="Arial" w:cs="Arial"/>
        </w:rPr>
        <w:t>, 28(5), pp. 230–236.</w:t>
      </w:r>
    </w:p>
    <w:p w14:paraId="120E9996"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Department of Health and Social Care (DHSC) (2022) </w:t>
      </w:r>
      <w:r w:rsidRPr="00237F7F">
        <w:rPr>
          <w:rFonts w:ascii="Arial" w:eastAsia="Times New Roman" w:hAnsi="Arial" w:cs="Arial"/>
          <w:i/>
          <w:iCs/>
        </w:rPr>
        <w:t>Integration and Innovation: Working together to improve health and social care for all</w:t>
      </w:r>
      <w:r w:rsidRPr="00237F7F">
        <w:rPr>
          <w:rFonts w:ascii="Arial" w:eastAsia="Times New Roman" w:hAnsi="Arial" w:cs="Arial"/>
        </w:rPr>
        <w:t>. Available at: https://www.gov.uk/government/publications/integration-and-innovation (Accessed: 10 October 2025).</w:t>
      </w:r>
    </w:p>
    <w:p w14:paraId="5526B973"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Health and Care Professions Council (HCPC) (2021) </w:t>
      </w:r>
      <w:r w:rsidRPr="00237F7F">
        <w:rPr>
          <w:rFonts w:ascii="Arial" w:eastAsia="Times New Roman" w:hAnsi="Arial" w:cs="Arial"/>
          <w:i/>
          <w:iCs/>
        </w:rPr>
        <w:t>Standards of proficiency for social workers in England</w:t>
      </w:r>
      <w:r w:rsidRPr="00237F7F">
        <w:rPr>
          <w:rFonts w:ascii="Arial" w:eastAsia="Times New Roman" w:hAnsi="Arial" w:cs="Arial"/>
        </w:rPr>
        <w:t>. Available at: https://www.hcpc-uk.org (Accessed: 10 October 2025).</w:t>
      </w:r>
    </w:p>
    <w:p w14:paraId="49A56631"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Health and Social Care Act 2012, c.7. London: The Stationery Office.</w:t>
      </w:r>
    </w:p>
    <w:p w14:paraId="694E317A" w14:textId="77777777" w:rsidR="00237F7F" w:rsidRPr="00237F7F" w:rsidRDefault="00237F7F" w:rsidP="00237F7F">
      <w:pPr>
        <w:pStyle w:val="NormalWeb"/>
        <w:spacing w:line="360" w:lineRule="auto"/>
        <w:jc w:val="both"/>
        <w:rPr>
          <w:rFonts w:ascii="Arial" w:hAnsi="Arial" w:cs="Arial"/>
          <w:sz w:val="22"/>
          <w:szCs w:val="22"/>
        </w:rPr>
      </w:pPr>
      <w:r w:rsidRPr="00237F7F">
        <w:rPr>
          <w:rFonts w:ascii="Arial" w:hAnsi="Arial" w:cs="Arial"/>
          <w:sz w:val="22"/>
          <w:szCs w:val="22"/>
        </w:rPr>
        <w:t xml:space="preserve">Hieke, S., Kennedy, J., </w:t>
      </w:r>
      <w:proofErr w:type="spellStart"/>
      <w:r w:rsidRPr="00237F7F">
        <w:rPr>
          <w:rFonts w:ascii="Arial" w:hAnsi="Arial" w:cs="Arial"/>
          <w:sz w:val="22"/>
          <w:szCs w:val="22"/>
        </w:rPr>
        <w:t>Raats</w:t>
      </w:r>
      <w:proofErr w:type="spellEnd"/>
      <w:r w:rsidRPr="00237F7F">
        <w:rPr>
          <w:rFonts w:ascii="Arial" w:hAnsi="Arial" w:cs="Arial"/>
          <w:sz w:val="22"/>
          <w:szCs w:val="22"/>
        </w:rPr>
        <w:t xml:space="preserve">, M. and Wills, J. (2024) ‘Exploring the role of interpreters in promoting understanding and trust in multicultural healthcare interactions’, </w:t>
      </w:r>
      <w:r w:rsidRPr="00237F7F">
        <w:rPr>
          <w:rStyle w:val="Emphasis"/>
          <w:rFonts w:ascii="Arial" w:hAnsi="Arial" w:cs="Arial"/>
          <w:sz w:val="22"/>
          <w:szCs w:val="22"/>
        </w:rPr>
        <w:t>Journal of Health Communication</w:t>
      </w:r>
      <w:r w:rsidRPr="00237F7F">
        <w:rPr>
          <w:rFonts w:ascii="Arial" w:hAnsi="Arial" w:cs="Arial"/>
          <w:sz w:val="22"/>
          <w:szCs w:val="22"/>
        </w:rPr>
        <w:t>, 29(2), pp. 155–169.</w:t>
      </w:r>
    </w:p>
    <w:p w14:paraId="77CD00B1"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Information Commissioner’s Office (ICO) (2024) </w:t>
      </w:r>
      <w:r w:rsidRPr="00237F7F">
        <w:rPr>
          <w:rFonts w:ascii="Arial" w:eastAsia="Times New Roman" w:hAnsi="Arial" w:cs="Arial"/>
          <w:i/>
          <w:iCs/>
        </w:rPr>
        <w:t>Data security incidents trends 2023–24: Annual update</w:t>
      </w:r>
      <w:r w:rsidRPr="00237F7F">
        <w:rPr>
          <w:rFonts w:ascii="Arial" w:eastAsia="Times New Roman" w:hAnsi="Arial" w:cs="Arial"/>
        </w:rPr>
        <w:t>. Available at: https://ico.org.uk.</w:t>
      </w:r>
    </w:p>
    <w:p w14:paraId="0EA06B4F"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Martin, G., Kettle, J. and Wallace, H. (2021) ‘Effective interprofessional communication in health and social care: Lessons from integrated care pilots’, </w:t>
      </w:r>
      <w:r w:rsidRPr="00237F7F">
        <w:rPr>
          <w:rFonts w:ascii="Arial" w:eastAsia="Times New Roman" w:hAnsi="Arial" w:cs="Arial"/>
          <w:i/>
          <w:iCs/>
        </w:rPr>
        <w:t>Health Services Management Research</w:t>
      </w:r>
      <w:r w:rsidRPr="00237F7F">
        <w:rPr>
          <w:rFonts w:ascii="Arial" w:eastAsia="Times New Roman" w:hAnsi="Arial" w:cs="Arial"/>
        </w:rPr>
        <w:t>, 34(4), pp. 215–224.</w:t>
      </w:r>
    </w:p>
    <w:p w14:paraId="3B41637B" w14:textId="77777777" w:rsidR="00237F7F" w:rsidRPr="00237F7F" w:rsidRDefault="00237F7F" w:rsidP="00237F7F">
      <w:pPr>
        <w:pStyle w:val="NormalWeb"/>
        <w:spacing w:line="360" w:lineRule="auto"/>
        <w:jc w:val="both"/>
        <w:rPr>
          <w:rFonts w:ascii="Arial" w:hAnsi="Arial" w:cs="Arial"/>
          <w:sz w:val="22"/>
          <w:szCs w:val="22"/>
        </w:rPr>
      </w:pPr>
      <w:r w:rsidRPr="00237F7F">
        <w:rPr>
          <w:rFonts w:ascii="Arial" w:hAnsi="Arial" w:cs="Arial"/>
          <w:sz w:val="22"/>
          <w:szCs w:val="22"/>
        </w:rPr>
        <w:t xml:space="preserve">McLean, S. (2018) </w:t>
      </w:r>
      <w:r w:rsidRPr="00237F7F">
        <w:rPr>
          <w:rStyle w:val="Emphasis"/>
          <w:rFonts w:ascii="Arial" w:hAnsi="Arial" w:cs="Arial"/>
          <w:sz w:val="22"/>
          <w:szCs w:val="22"/>
        </w:rPr>
        <w:t>Business Communication for Success.</w:t>
      </w:r>
      <w:r w:rsidRPr="00237F7F">
        <w:rPr>
          <w:rFonts w:ascii="Arial" w:hAnsi="Arial" w:cs="Arial"/>
          <w:sz w:val="22"/>
          <w:szCs w:val="22"/>
        </w:rPr>
        <w:t xml:space="preserve"> Minnesota: University of Minnesota Libraries Publishing.</w:t>
      </w:r>
    </w:p>
    <w:p w14:paraId="56923ED9"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NHS England (2022) </w:t>
      </w:r>
      <w:r w:rsidRPr="00237F7F">
        <w:rPr>
          <w:rFonts w:ascii="Arial" w:eastAsia="Times New Roman" w:hAnsi="Arial" w:cs="Arial"/>
          <w:i/>
          <w:iCs/>
        </w:rPr>
        <w:t>Working together at the interface between health and social care: Principles for collaboration</w:t>
      </w:r>
      <w:r w:rsidRPr="00237F7F">
        <w:rPr>
          <w:rFonts w:ascii="Arial" w:eastAsia="Times New Roman" w:hAnsi="Arial" w:cs="Arial"/>
        </w:rPr>
        <w:t xml:space="preserve">. Available at: </w:t>
      </w:r>
      <w:hyperlink r:id="rId10" w:history="1">
        <w:r w:rsidRPr="00237F7F">
          <w:rPr>
            <w:rStyle w:val="Hyperlink"/>
            <w:rFonts w:ascii="Arial" w:eastAsia="Times New Roman" w:hAnsi="Arial" w:cs="Arial"/>
          </w:rPr>
          <w:t>https://www.england.nhs.uk/publication/working-together-at-the-interface</w:t>
        </w:r>
      </w:hyperlink>
      <w:r w:rsidRPr="00237F7F">
        <w:rPr>
          <w:rFonts w:ascii="Arial" w:eastAsia="Times New Roman" w:hAnsi="Arial" w:cs="Arial"/>
        </w:rPr>
        <w:t>.</w:t>
      </w:r>
    </w:p>
    <w:p w14:paraId="4381EA84"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NHS England (2023) </w:t>
      </w:r>
      <w:r w:rsidRPr="00237F7F">
        <w:rPr>
          <w:rFonts w:ascii="Arial" w:eastAsia="Times New Roman" w:hAnsi="Arial" w:cs="Arial"/>
          <w:i/>
          <w:iCs/>
        </w:rPr>
        <w:t>Cyber security and data protection in health and social care: Annual report 2023</w:t>
      </w:r>
      <w:r w:rsidRPr="00237F7F">
        <w:rPr>
          <w:rFonts w:ascii="Arial" w:eastAsia="Times New Roman" w:hAnsi="Arial" w:cs="Arial"/>
        </w:rPr>
        <w:t xml:space="preserve">. Available at: </w:t>
      </w:r>
      <w:hyperlink r:id="rId11" w:history="1">
        <w:r w:rsidRPr="00237F7F">
          <w:rPr>
            <w:rStyle w:val="Hyperlink"/>
            <w:rFonts w:ascii="Arial" w:eastAsia="Times New Roman" w:hAnsi="Arial" w:cs="Arial"/>
          </w:rPr>
          <w:t>https://www.england.nhs.uk</w:t>
        </w:r>
      </w:hyperlink>
      <w:r w:rsidRPr="00237F7F">
        <w:rPr>
          <w:rFonts w:ascii="Arial" w:eastAsia="Times New Roman" w:hAnsi="Arial" w:cs="Arial"/>
        </w:rPr>
        <w:t>.</w:t>
      </w:r>
    </w:p>
    <w:p w14:paraId="6A0EA211"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Nursing and Midwifery Council (NMC) (2018) </w:t>
      </w:r>
      <w:r w:rsidRPr="00237F7F">
        <w:rPr>
          <w:rFonts w:ascii="Arial" w:eastAsia="Times New Roman" w:hAnsi="Arial" w:cs="Arial"/>
          <w:i/>
          <w:iCs/>
        </w:rPr>
        <w:t>The Code: Professional standards of practice and behavior for nurses, midwives and nursing associates</w:t>
      </w:r>
      <w:r w:rsidRPr="00237F7F">
        <w:rPr>
          <w:rFonts w:ascii="Arial" w:eastAsia="Times New Roman" w:hAnsi="Arial" w:cs="Arial"/>
        </w:rPr>
        <w:t>. London: NMC.</w:t>
      </w:r>
    </w:p>
    <w:p w14:paraId="4E6C5764"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Office for National Statistics (ONS) (2021) </w:t>
      </w:r>
      <w:r w:rsidRPr="00237F7F">
        <w:rPr>
          <w:rFonts w:ascii="Arial" w:eastAsia="Times New Roman" w:hAnsi="Arial" w:cs="Arial"/>
          <w:i/>
          <w:iCs/>
        </w:rPr>
        <w:t>Ethnicity and language in older populations of England and Wales</w:t>
      </w:r>
      <w:r w:rsidRPr="00237F7F">
        <w:rPr>
          <w:rFonts w:ascii="Arial" w:eastAsia="Times New Roman" w:hAnsi="Arial" w:cs="Arial"/>
        </w:rPr>
        <w:t xml:space="preserve">. Available at: </w:t>
      </w:r>
      <w:hyperlink r:id="rId12" w:history="1">
        <w:r w:rsidRPr="00237F7F">
          <w:rPr>
            <w:rStyle w:val="Hyperlink"/>
            <w:rFonts w:ascii="Arial" w:eastAsia="Times New Roman" w:hAnsi="Arial" w:cs="Arial"/>
          </w:rPr>
          <w:t>https://www.ons.gov.uk</w:t>
        </w:r>
      </w:hyperlink>
      <w:r w:rsidRPr="00237F7F">
        <w:rPr>
          <w:rFonts w:ascii="Arial" w:eastAsia="Times New Roman" w:hAnsi="Arial" w:cs="Arial"/>
        </w:rPr>
        <w:t>.</w:t>
      </w:r>
    </w:p>
    <w:p w14:paraId="2D6182C7"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Rothwell, J. (2022) ‘Communication models in nursing: Applying the transactional model to enhance patient-</w:t>
      </w:r>
      <w:proofErr w:type="spellStart"/>
      <w:r w:rsidRPr="00237F7F">
        <w:rPr>
          <w:rFonts w:ascii="Arial" w:eastAsia="Times New Roman" w:hAnsi="Arial" w:cs="Arial"/>
        </w:rPr>
        <w:t>centred</w:t>
      </w:r>
      <w:proofErr w:type="spellEnd"/>
      <w:r w:rsidRPr="00237F7F">
        <w:rPr>
          <w:rFonts w:ascii="Arial" w:eastAsia="Times New Roman" w:hAnsi="Arial" w:cs="Arial"/>
        </w:rPr>
        <w:t xml:space="preserve"> care’, </w:t>
      </w:r>
      <w:r w:rsidRPr="00237F7F">
        <w:rPr>
          <w:rFonts w:ascii="Arial" w:eastAsia="Times New Roman" w:hAnsi="Arial" w:cs="Arial"/>
          <w:i/>
          <w:iCs/>
        </w:rPr>
        <w:t>Nursing Standard</w:t>
      </w:r>
      <w:r w:rsidRPr="00237F7F">
        <w:rPr>
          <w:rFonts w:ascii="Arial" w:eastAsia="Times New Roman" w:hAnsi="Arial" w:cs="Arial"/>
        </w:rPr>
        <w:t>, 37(1), pp. 45–52.</w:t>
      </w:r>
    </w:p>
    <w:p w14:paraId="10E2D1E8"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Skills for Care (2023) </w:t>
      </w:r>
      <w:r w:rsidRPr="00237F7F">
        <w:rPr>
          <w:rFonts w:ascii="Arial" w:eastAsia="Times New Roman" w:hAnsi="Arial" w:cs="Arial"/>
          <w:i/>
          <w:iCs/>
        </w:rPr>
        <w:t>Data protection and record keeping in adult social care</w:t>
      </w:r>
      <w:r w:rsidRPr="00237F7F">
        <w:rPr>
          <w:rFonts w:ascii="Arial" w:eastAsia="Times New Roman" w:hAnsi="Arial" w:cs="Arial"/>
        </w:rPr>
        <w:t xml:space="preserve">. Available at: </w:t>
      </w:r>
      <w:hyperlink r:id="rId13" w:history="1">
        <w:r w:rsidRPr="00237F7F">
          <w:rPr>
            <w:rStyle w:val="Hyperlink"/>
            <w:rFonts w:ascii="Arial" w:eastAsia="Times New Roman" w:hAnsi="Arial" w:cs="Arial"/>
          </w:rPr>
          <w:t>https://www.skillsforcare.org.uk</w:t>
        </w:r>
      </w:hyperlink>
      <w:r w:rsidRPr="00237F7F">
        <w:rPr>
          <w:rFonts w:ascii="Arial" w:eastAsia="Times New Roman" w:hAnsi="Arial" w:cs="Arial"/>
        </w:rPr>
        <w:t>.</w:t>
      </w:r>
    </w:p>
    <w:p w14:paraId="689B5AF0"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Social Care Institute for Excellence (SCIE) (2022) </w:t>
      </w:r>
      <w:r w:rsidRPr="00237F7F">
        <w:rPr>
          <w:rFonts w:ascii="Arial" w:eastAsia="Times New Roman" w:hAnsi="Arial" w:cs="Arial"/>
          <w:i/>
          <w:iCs/>
        </w:rPr>
        <w:t>Improving communication and collaboration in social care teams</w:t>
      </w:r>
      <w:r w:rsidRPr="00237F7F">
        <w:rPr>
          <w:rFonts w:ascii="Arial" w:eastAsia="Times New Roman" w:hAnsi="Arial" w:cs="Arial"/>
        </w:rPr>
        <w:t xml:space="preserve">. Available at: </w:t>
      </w:r>
      <w:hyperlink r:id="rId14" w:history="1">
        <w:r w:rsidRPr="00237F7F">
          <w:rPr>
            <w:rStyle w:val="Hyperlink"/>
            <w:rFonts w:ascii="Arial" w:eastAsia="Times New Roman" w:hAnsi="Arial" w:cs="Arial"/>
          </w:rPr>
          <w:t>https://www.scie.org.uk</w:t>
        </w:r>
      </w:hyperlink>
      <w:r w:rsidRPr="00237F7F">
        <w:rPr>
          <w:rFonts w:ascii="Arial" w:eastAsia="Times New Roman" w:hAnsi="Arial" w:cs="Arial"/>
        </w:rPr>
        <w:t>.</w:t>
      </w:r>
    </w:p>
    <w:p w14:paraId="2AFCA917" w14:textId="77777777" w:rsid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Stewart, M. and Freeman, G. (2020) ‘Multidisciplinary teamwork in community rehabilitation: Challenges and enablers in post-surgical care’, </w:t>
      </w:r>
      <w:r w:rsidRPr="00237F7F">
        <w:rPr>
          <w:rFonts w:ascii="Arial" w:eastAsia="Times New Roman" w:hAnsi="Arial" w:cs="Arial"/>
          <w:i/>
          <w:iCs/>
        </w:rPr>
        <w:t>Journal of Interprofessional Care</w:t>
      </w:r>
      <w:r w:rsidRPr="00237F7F">
        <w:rPr>
          <w:rFonts w:ascii="Arial" w:eastAsia="Times New Roman" w:hAnsi="Arial" w:cs="Arial"/>
        </w:rPr>
        <w:t>, 34(6), pp. 769–776.</w:t>
      </w:r>
    </w:p>
    <w:p w14:paraId="39EFB385"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hAnsi="Arial" w:cs="Arial"/>
        </w:rPr>
        <w:t xml:space="preserve">Talevski, J., Wong </w:t>
      </w:r>
      <w:proofErr w:type="spellStart"/>
      <w:r w:rsidRPr="00237F7F">
        <w:rPr>
          <w:rFonts w:ascii="Arial" w:hAnsi="Arial" w:cs="Arial"/>
        </w:rPr>
        <w:t>Shee</w:t>
      </w:r>
      <w:proofErr w:type="spellEnd"/>
      <w:r w:rsidRPr="00237F7F">
        <w:rPr>
          <w:rFonts w:ascii="Arial" w:hAnsi="Arial" w:cs="Arial"/>
        </w:rPr>
        <w:t>, A., Rasmussen, B., Kemp, G. and Beauchamp, A. (</w:t>
      </w:r>
      <w:proofErr w:type="gramStart"/>
      <w:r w:rsidRPr="00237F7F">
        <w:rPr>
          <w:rFonts w:ascii="Arial" w:hAnsi="Arial" w:cs="Arial"/>
        </w:rPr>
        <w:t>2020) ‘</w:t>
      </w:r>
      <w:proofErr w:type="gramEnd"/>
      <w:r w:rsidRPr="00237F7F">
        <w:rPr>
          <w:rFonts w:ascii="Arial" w:hAnsi="Arial" w:cs="Arial"/>
        </w:rPr>
        <w:t xml:space="preserve">Teach-back: A systematic review of implementation and impacts’, </w:t>
      </w:r>
      <w:r w:rsidRPr="00237F7F">
        <w:rPr>
          <w:rStyle w:val="Emphasis"/>
          <w:rFonts w:ascii="Arial" w:hAnsi="Arial" w:cs="Arial"/>
        </w:rPr>
        <w:t>PLOS ONE</w:t>
      </w:r>
      <w:r w:rsidRPr="00237F7F">
        <w:rPr>
          <w:rFonts w:ascii="Arial" w:hAnsi="Arial" w:cs="Arial"/>
        </w:rPr>
        <w:t>, 15(4), e0231350.</w:t>
      </w:r>
    </w:p>
    <w:p w14:paraId="3BC6B8D4"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Taylor, C. and Green, J. (2021) ‘Administrative competence and governance in social care: Linking documentation, safety and accountability’, </w:t>
      </w:r>
      <w:r w:rsidRPr="00237F7F">
        <w:rPr>
          <w:rFonts w:ascii="Arial" w:eastAsia="Times New Roman" w:hAnsi="Arial" w:cs="Arial"/>
          <w:i/>
          <w:iCs/>
        </w:rPr>
        <w:t>British Journal of Social Work</w:t>
      </w:r>
      <w:r w:rsidRPr="00237F7F">
        <w:rPr>
          <w:rFonts w:ascii="Arial" w:eastAsia="Times New Roman" w:hAnsi="Arial" w:cs="Arial"/>
        </w:rPr>
        <w:t>, 51(8), pp. 3067–3082.</w:t>
      </w:r>
    </w:p>
    <w:p w14:paraId="51AD69BE"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The Data Protection Act 2018, c.12. London: The Stationery Office.</w:t>
      </w:r>
    </w:p>
    <w:p w14:paraId="04BE77DE" w14:textId="77777777" w:rsidR="00237F7F" w:rsidRPr="00237F7F" w:rsidRDefault="00237F7F" w:rsidP="00237F7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The Equality Act 2010, c.15. London: The Stationery Office.</w:t>
      </w:r>
    </w:p>
    <w:p w14:paraId="6CC1D264" w14:textId="157FC1C1" w:rsidR="004B5281" w:rsidRPr="003013B9" w:rsidRDefault="00237F7F" w:rsidP="00F279FF">
      <w:pPr>
        <w:spacing w:before="100" w:beforeAutospacing="1" w:after="100" w:afterAutospacing="1" w:line="360" w:lineRule="auto"/>
        <w:jc w:val="both"/>
        <w:rPr>
          <w:rFonts w:ascii="Arial" w:eastAsia="Times New Roman" w:hAnsi="Arial" w:cs="Arial"/>
        </w:rPr>
      </w:pPr>
      <w:r w:rsidRPr="00237F7F">
        <w:rPr>
          <w:rFonts w:ascii="Arial" w:eastAsia="Times New Roman" w:hAnsi="Arial" w:cs="Arial"/>
        </w:rPr>
        <w:t xml:space="preserve">World Health Organization (WHO) (2022) </w:t>
      </w:r>
      <w:r w:rsidRPr="00237F7F">
        <w:rPr>
          <w:rFonts w:ascii="Arial" w:eastAsia="Times New Roman" w:hAnsi="Arial" w:cs="Arial"/>
          <w:i/>
          <w:iCs/>
        </w:rPr>
        <w:t>Strengthening communication and collaboration in integrated health and social care systems</w:t>
      </w:r>
      <w:r w:rsidRPr="00237F7F">
        <w:rPr>
          <w:rFonts w:ascii="Arial" w:eastAsia="Times New Roman" w:hAnsi="Arial" w:cs="Arial"/>
        </w:rPr>
        <w:t>. Geneva: WHO.</w:t>
      </w:r>
      <w:r w:rsidR="004B5281">
        <w:rPr>
          <w:rFonts w:ascii="Arial" w:eastAsia="Times New Roman" w:hAnsi="Arial" w:cs="Arial"/>
        </w:rPr>
        <w:tab/>
      </w:r>
    </w:p>
    <w:sectPr w:rsidR="004B5281" w:rsidRPr="003013B9" w:rsidSect="00865632">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56CAA" w14:textId="77777777" w:rsidR="001D3748" w:rsidRDefault="001D3748" w:rsidP="00063724">
      <w:pPr>
        <w:spacing w:after="0" w:line="240" w:lineRule="auto"/>
      </w:pPr>
      <w:r>
        <w:separator/>
      </w:r>
    </w:p>
  </w:endnote>
  <w:endnote w:type="continuationSeparator" w:id="0">
    <w:p w14:paraId="3164D496" w14:textId="77777777" w:rsidR="001D3748" w:rsidRDefault="001D3748" w:rsidP="00063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859543"/>
      <w:docPartObj>
        <w:docPartGallery w:val="Page Numbers (Bottom of Page)"/>
        <w:docPartUnique/>
      </w:docPartObj>
    </w:sdtPr>
    <w:sdtEndPr>
      <w:rPr>
        <w:noProof/>
      </w:rPr>
    </w:sdtEndPr>
    <w:sdtContent>
      <w:p w14:paraId="16FF0A1E" w14:textId="77777777" w:rsidR="00063724" w:rsidRDefault="00063724">
        <w:pPr>
          <w:pStyle w:val="Footer"/>
          <w:jc w:val="right"/>
        </w:pPr>
        <w:r>
          <w:fldChar w:fldCharType="begin"/>
        </w:r>
        <w:r>
          <w:instrText xml:space="preserve"> PAGE   \* MERGEFORMAT </w:instrText>
        </w:r>
        <w:r>
          <w:fldChar w:fldCharType="separate"/>
        </w:r>
        <w:r w:rsidR="00865632">
          <w:rPr>
            <w:noProof/>
          </w:rPr>
          <w:t>1</w:t>
        </w:r>
        <w:r>
          <w:rPr>
            <w:noProof/>
          </w:rPr>
          <w:fldChar w:fldCharType="end"/>
        </w:r>
      </w:p>
    </w:sdtContent>
  </w:sdt>
  <w:p w14:paraId="5133E8AE" w14:textId="77777777" w:rsidR="00063724" w:rsidRDefault="000637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91396" w14:textId="77777777" w:rsidR="001D3748" w:rsidRDefault="001D3748" w:rsidP="00063724">
      <w:pPr>
        <w:spacing w:after="0" w:line="240" w:lineRule="auto"/>
      </w:pPr>
      <w:r>
        <w:separator/>
      </w:r>
    </w:p>
  </w:footnote>
  <w:footnote w:type="continuationSeparator" w:id="0">
    <w:p w14:paraId="5013BD4B" w14:textId="77777777" w:rsidR="001D3748" w:rsidRDefault="001D3748" w:rsidP="000637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03459"/>
    <w:multiLevelType w:val="multilevel"/>
    <w:tmpl w:val="664E53E6"/>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0F312A3"/>
    <w:multiLevelType w:val="multilevel"/>
    <w:tmpl w:val="6B12E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B5166F"/>
    <w:multiLevelType w:val="multilevel"/>
    <w:tmpl w:val="9B687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3504851">
    <w:abstractNumId w:val="1"/>
  </w:num>
  <w:num w:numId="2" w16cid:durableId="1682657287">
    <w:abstractNumId w:val="0"/>
  </w:num>
  <w:num w:numId="3" w16cid:durableId="8225467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871"/>
    <w:rsid w:val="00063724"/>
    <w:rsid w:val="0015464B"/>
    <w:rsid w:val="001D3748"/>
    <w:rsid w:val="00237F7F"/>
    <w:rsid w:val="002C7303"/>
    <w:rsid w:val="003013B9"/>
    <w:rsid w:val="003267DA"/>
    <w:rsid w:val="00384335"/>
    <w:rsid w:val="003B1004"/>
    <w:rsid w:val="003E4871"/>
    <w:rsid w:val="004B5281"/>
    <w:rsid w:val="005A38B5"/>
    <w:rsid w:val="006D4F12"/>
    <w:rsid w:val="00725396"/>
    <w:rsid w:val="00814E4D"/>
    <w:rsid w:val="00865632"/>
    <w:rsid w:val="009E6371"/>
    <w:rsid w:val="00BF7D17"/>
    <w:rsid w:val="00C12E60"/>
    <w:rsid w:val="00CD5689"/>
    <w:rsid w:val="00D60BF3"/>
    <w:rsid w:val="00D61E2C"/>
    <w:rsid w:val="00F27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1793D"/>
  <w15:chartTrackingRefBased/>
  <w15:docId w15:val="{7478CF16-F3AD-4CEF-96DB-0F4658693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487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E4871"/>
    <w:rPr>
      <w:b/>
      <w:bCs/>
    </w:rPr>
  </w:style>
  <w:style w:type="paragraph" w:styleId="Header">
    <w:name w:val="header"/>
    <w:basedOn w:val="Normal"/>
    <w:link w:val="HeaderChar"/>
    <w:uiPriority w:val="99"/>
    <w:unhideWhenUsed/>
    <w:rsid w:val="000637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3724"/>
  </w:style>
  <w:style w:type="paragraph" w:styleId="Footer">
    <w:name w:val="footer"/>
    <w:basedOn w:val="Normal"/>
    <w:link w:val="FooterChar"/>
    <w:uiPriority w:val="99"/>
    <w:unhideWhenUsed/>
    <w:rsid w:val="000637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3724"/>
  </w:style>
  <w:style w:type="paragraph" w:styleId="ListParagraph">
    <w:name w:val="List Paragraph"/>
    <w:basedOn w:val="Normal"/>
    <w:uiPriority w:val="34"/>
    <w:qFormat/>
    <w:rsid w:val="00063724"/>
    <w:pPr>
      <w:ind w:left="720"/>
      <w:contextualSpacing/>
    </w:pPr>
  </w:style>
  <w:style w:type="table" w:styleId="TableGrid">
    <w:name w:val="Table Grid"/>
    <w:basedOn w:val="TableNormal"/>
    <w:uiPriority w:val="39"/>
    <w:rsid w:val="003843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7F7F"/>
    <w:rPr>
      <w:color w:val="0563C1" w:themeColor="hyperlink"/>
      <w:u w:val="single"/>
    </w:rPr>
  </w:style>
  <w:style w:type="character" w:styleId="Emphasis">
    <w:name w:val="Emphasis"/>
    <w:basedOn w:val="DefaultParagraphFont"/>
    <w:uiPriority w:val="20"/>
    <w:qFormat/>
    <w:rsid w:val="00237F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232408">
      <w:bodyDiv w:val="1"/>
      <w:marLeft w:val="0"/>
      <w:marRight w:val="0"/>
      <w:marTop w:val="0"/>
      <w:marBottom w:val="0"/>
      <w:divBdr>
        <w:top w:val="none" w:sz="0" w:space="0" w:color="auto"/>
        <w:left w:val="none" w:sz="0" w:space="0" w:color="auto"/>
        <w:bottom w:val="none" w:sz="0" w:space="0" w:color="auto"/>
        <w:right w:val="none" w:sz="0" w:space="0" w:color="auto"/>
      </w:divBdr>
    </w:div>
    <w:div w:id="336932306">
      <w:bodyDiv w:val="1"/>
      <w:marLeft w:val="0"/>
      <w:marRight w:val="0"/>
      <w:marTop w:val="0"/>
      <w:marBottom w:val="0"/>
      <w:divBdr>
        <w:top w:val="none" w:sz="0" w:space="0" w:color="auto"/>
        <w:left w:val="none" w:sz="0" w:space="0" w:color="auto"/>
        <w:bottom w:val="none" w:sz="0" w:space="0" w:color="auto"/>
        <w:right w:val="none" w:sz="0" w:space="0" w:color="auto"/>
      </w:divBdr>
    </w:div>
    <w:div w:id="503866058">
      <w:bodyDiv w:val="1"/>
      <w:marLeft w:val="0"/>
      <w:marRight w:val="0"/>
      <w:marTop w:val="0"/>
      <w:marBottom w:val="0"/>
      <w:divBdr>
        <w:top w:val="none" w:sz="0" w:space="0" w:color="auto"/>
        <w:left w:val="none" w:sz="0" w:space="0" w:color="auto"/>
        <w:bottom w:val="none" w:sz="0" w:space="0" w:color="auto"/>
        <w:right w:val="none" w:sz="0" w:space="0" w:color="auto"/>
      </w:divBdr>
    </w:div>
    <w:div w:id="725689974">
      <w:bodyDiv w:val="1"/>
      <w:marLeft w:val="0"/>
      <w:marRight w:val="0"/>
      <w:marTop w:val="0"/>
      <w:marBottom w:val="0"/>
      <w:divBdr>
        <w:top w:val="none" w:sz="0" w:space="0" w:color="auto"/>
        <w:left w:val="none" w:sz="0" w:space="0" w:color="auto"/>
        <w:bottom w:val="none" w:sz="0" w:space="0" w:color="auto"/>
        <w:right w:val="none" w:sz="0" w:space="0" w:color="auto"/>
      </w:divBdr>
    </w:div>
    <w:div w:id="781068625">
      <w:bodyDiv w:val="1"/>
      <w:marLeft w:val="0"/>
      <w:marRight w:val="0"/>
      <w:marTop w:val="0"/>
      <w:marBottom w:val="0"/>
      <w:divBdr>
        <w:top w:val="none" w:sz="0" w:space="0" w:color="auto"/>
        <w:left w:val="none" w:sz="0" w:space="0" w:color="auto"/>
        <w:bottom w:val="none" w:sz="0" w:space="0" w:color="auto"/>
        <w:right w:val="none" w:sz="0" w:space="0" w:color="auto"/>
      </w:divBdr>
    </w:div>
    <w:div w:id="952636632">
      <w:bodyDiv w:val="1"/>
      <w:marLeft w:val="0"/>
      <w:marRight w:val="0"/>
      <w:marTop w:val="0"/>
      <w:marBottom w:val="0"/>
      <w:divBdr>
        <w:top w:val="none" w:sz="0" w:space="0" w:color="auto"/>
        <w:left w:val="none" w:sz="0" w:space="0" w:color="auto"/>
        <w:bottom w:val="none" w:sz="0" w:space="0" w:color="auto"/>
        <w:right w:val="none" w:sz="0" w:space="0" w:color="auto"/>
      </w:divBdr>
    </w:div>
    <w:div w:id="1070470045">
      <w:bodyDiv w:val="1"/>
      <w:marLeft w:val="0"/>
      <w:marRight w:val="0"/>
      <w:marTop w:val="0"/>
      <w:marBottom w:val="0"/>
      <w:divBdr>
        <w:top w:val="none" w:sz="0" w:space="0" w:color="auto"/>
        <w:left w:val="none" w:sz="0" w:space="0" w:color="auto"/>
        <w:bottom w:val="none" w:sz="0" w:space="0" w:color="auto"/>
        <w:right w:val="none" w:sz="0" w:space="0" w:color="auto"/>
      </w:divBdr>
    </w:div>
    <w:div w:id="1419643887">
      <w:bodyDiv w:val="1"/>
      <w:marLeft w:val="0"/>
      <w:marRight w:val="0"/>
      <w:marTop w:val="0"/>
      <w:marBottom w:val="0"/>
      <w:divBdr>
        <w:top w:val="none" w:sz="0" w:space="0" w:color="auto"/>
        <w:left w:val="none" w:sz="0" w:space="0" w:color="auto"/>
        <w:bottom w:val="none" w:sz="0" w:space="0" w:color="auto"/>
        <w:right w:val="none" w:sz="0" w:space="0" w:color="auto"/>
      </w:divBdr>
    </w:div>
    <w:div w:id="1492410293">
      <w:bodyDiv w:val="1"/>
      <w:marLeft w:val="0"/>
      <w:marRight w:val="0"/>
      <w:marTop w:val="0"/>
      <w:marBottom w:val="0"/>
      <w:divBdr>
        <w:top w:val="none" w:sz="0" w:space="0" w:color="auto"/>
        <w:left w:val="none" w:sz="0" w:space="0" w:color="auto"/>
        <w:bottom w:val="none" w:sz="0" w:space="0" w:color="auto"/>
        <w:right w:val="none" w:sz="0" w:space="0" w:color="auto"/>
      </w:divBdr>
    </w:div>
    <w:div w:id="1516574325">
      <w:bodyDiv w:val="1"/>
      <w:marLeft w:val="0"/>
      <w:marRight w:val="0"/>
      <w:marTop w:val="0"/>
      <w:marBottom w:val="0"/>
      <w:divBdr>
        <w:top w:val="none" w:sz="0" w:space="0" w:color="auto"/>
        <w:left w:val="none" w:sz="0" w:space="0" w:color="auto"/>
        <w:bottom w:val="none" w:sz="0" w:space="0" w:color="auto"/>
        <w:right w:val="none" w:sz="0" w:space="0" w:color="auto"/>
      </w:divBdr>
    </w:div>
    <w:div w:id="1572081293">
      <w:bodyDiv w:val="1"/>
      <w:marLeft w:val="0"/>
      <w:marRight w:val="0"/>
      <w:marTop w:val="0"/>
      <w:marBottom w:val="0"/>
      <w:divBdr>
        <w:top w:val="none" w:sz="0" w:space="0" w:color="auto"/>
        <w:left w:val="none" w:sz="0" w:space="0" w:color="auto"/>
        <w:bottom w:val="none" w:sz="0" w:space="0" w:color="auto"/>
        <w:right w:val="none" w:sz="0" w:space="0" w:color="auto"/>
      </w:divBdr>
    </w:div>
    <w:div w:id="1699506022">
      <w:bodyDiv w:val="1"/>
      <w:marLeft w:val="0"/>
      <w:marRight w:val="0"/>
      <w:marTop w:val="0"/>
      <w:marBottom w:val="0"/>
      <w:divBdr>
        <w:top w:val="none" w:sz="0" w:space="0" w:color="auto"/>
        <w:left w:val="none" w:sz="0" w:space="0" w:color="auto"/>
        <w:bottom w:val="none" w:sz="0" w:space="0" w:color="auto"/>
        <w:right w:val="none" w:sz="0" w:space="0" w:color="auto"/>
      </w:divBdr>
    </w:div>
    <w:div w:id="1924218437">
      <w:bodyDiv w:val="1"/>
      <w:marLeft w:val="0"/>
      <w:marRight w:val="0"/>
      <w:marTop w:val="0"/>
      <w:marBottom w:val="0"/>
      <w:divBdr>
        <w:top w:val="none" w:sz="0" w:space="0" w:color="auto"/>
        <w:left w:val="none" w:sz="0" w:space="0" w:color="auto"/>
        <w:bottom w:val="none" w:sz="0" w:space="0" w:color="auto"/>
        <w:right w:val="none" w:sz="0" w:space="0" w:color="auto"/>
      </w:divBdr>
    </w:div>
    <w:div w:id="1947543650">
      <w:bodyDiv w:val="1"/>
      <w:marLeft w:val="0"/>
      <w:marRight w:val="0"/>
      <w:marTop w:val="0"/>
      <w:marBottom w:val="0"/>
      <w:divBdr>
        <w:top w:val="none" w:sz="0" w:space="0" w:color="auto"/>
        <w:left w:val="none" w:sz="0" w:space="0" w:color="auto"/>
        <w:bottom w:val="none" w:sz="0" w:space="0" w:color="auto"/>
        <w:right w:val="none" w:sz="0" w:space="0" w:color="auto"/>
      </w:divBdr>
    </w:div>
    <w:div w:id="1971091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ngland.nhs.uk/publication/working-together-at-the-interfac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0E80E4-4BCA-486A-B16F-9B6197E685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3023</Words>
  <Characters>17237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Happy Chowdhury</cp:lastModifiedBy>
  <cp:revision>2</cp:revision>
  <dcterms:created xsi:type="dcterms:W3CDTF">2025-10-30T15:45:00Z</dcterms:created>
  <dcterms:modified xsi:type="dcterms:W3CDTF">2025-10-30T15:45:00Z</dcterms:modified>
</cp:coreProperties>
</file>