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03BF" w:rsidRDefault="00944B9A">
      <w:r>
        <w:t xml:space="preserve">In the following I am going to be outlining and assessing the suggestion that it is memory that is crucial to being the same person over time. I hope to achieve this by first outlining what memory is and </w:t>
      </w:r>
      <w:r w:rsidR="005B5BF7">
        <w:t xml:space="preserve">including </w:t>
      </w:r>
      <w:r>
        <w:t>supporters of the memory theory</w:t>
      </w:r>
      <w:r w:rsidR="00C32B6E">
        <w:t xml:space="preserve"> such as Locke (1</w:t>
      </w:r>
      <w:r w:rsidR="00903421">
        <w:t>69</w:t>
      </w:r>
      <w:r w:rsidR="00C32B6E">
        <w:t>0) and Swinburne (1984)</w:t>
      </w:r>
      <w:r>
        <w:t xml:space="preserve">, I will then state </w:t>
      </w:r>
      <w:r w:rsidR="00272DB9">
        <w:t>a motivation</w:t>
      </w:r>
      <w:r>
        <w:t xml:space="preserve"> for the memory theory</w:t>
      </w:r>
      <w:r w:rsidR="00272DB9">
        <w:t>. Following this I will look at a</w:t>
      </w:r>
      <w:r>
        <w:t xml:space="preserve"> potential problem with the theory</w:t>
      </w:r>
      <w:r w:rsidR="00272DB9">
        <w:t xml:space="preserve"> from Reid (1975)</w:t>
      </w:r>
      <w:r>
        <w:t xml:space="preserve">. In response to </w:t>
      </w:r>
      <w:r w:rsidR="00272DB9">
        <w:t>this</w:t>
      </w:r>
      <w:r>
        <w:t xml:space="preserve"> problem, I will </w:t>
      </w:r>
      <w:r w:rsidR="00272DB9">
        <w:t>explain</w:t>
      </w:r>
      <w:r>
        <w:t xml:space="preserve"> </w:t>
      </w:r>
      <w:r w:rsidR="00272DB9">
        <w:t xml:space="preserve">Swinburne’s (1984) </w:t>
      </w:r>
      <w:r>
        <w:t xml:space="preserve">solution. I will conclude by </w:t>
      </w:r>
      <w:r w:rsidR="00272DB9">
        <w:t xml:space="preserve">surmising that it is the continuity of memory that is crucial to </w:t>
      </w:r>
      <w:r w:rsidR="00155A09">
        <w:t>being</w:t>
      </w:r>
      <w:bookmarkStart w:id="0" w:name="_GoBack"/>
      <w:bookmarkEnd w:id="0"/>
      <w:r w:rsidR="00272DB9">
        <w:t xml:space="preserve"> the same person over time.</w:t>
      </w:r>
    </w:p>
    <w:p w:rsidR="00F7611A" w:rsidRDefault="007C79A3">
      <w:r>
        <w:t>One of the theories put forward for personal identity is the theory of memory, most simply presented by John Locke in his</w:t>
      </w:r>
      <w:r w:rsidR="00932508">
        <w:t xml:space="preserve"> work</w:t>
      </w:r>
      <w:r>
        <w:t xml:space="preserve"> </w:t>
      </w:r>
      <w:r>
        <w:rPr>
          <w:i/>
        </w:rPr>
        <w:t xml:space="preserve">An Essay Concerning Human Understanding </w:t>
      </w:r>
      <w:r w:rsidR="000809CF">
        <w:rPr>
          <w:i/>
        </w:rPr>
        <w:t>(169</w:t>
      </w:r>
      <w:r>
        <w:rPr>
          <w:i/>
        </w:rPr>
        <w:t>0)</w:t>
      </w:r>
      <w:r w:rsidR="00F2155C">
        <w:rPr>
          <w:i/>
        </w:rPr>
        <w:t>.</w:t>
      </w:r>
      <w:r w:rsidR="00932508">
        <w:rPr>
          <w:rStyle w:val="EndnoteReference"/>
          <w:i/>
        </w:rPr>
        <w:endnoteReference w:id="1"/>
      </w:r>
      <w:r w:rsidR="00932508">
        <w:t xml:space="preserve"> Before expanding on Locke’s theory of memory, it is important to understand what kind of memory is involved.</w:t>
      </w:r>
      <w:r w:rsidR="00932508">
        <w:rPr>
          <w:rStyle w:val="EndnoteReference"/>
        </w:rPr>
        <w:endnoteReference w:id="2"/>
      </w:r>
      <w:r w:rsidR="00AD68BC">
        <w:t xml:space="preserve"> </w:t>
      </w:r>
      <w:r w:rsidR="005C2AF3">
        <w:t xml:space="preserve">Firstly, </w:t>
      </w:r>
      <w:r w:rsidR="00AD68BC">
        <w:t xml:space="preserve">Locke is not interested in anything other than what can be referred to as personal memory, e.g. the recollection of one’s own personal memories. Which of course differs factual memory, wherein a person can </w:t>
      </w:r>
      <w:r w:rsidR="005E4ABE">
        <w:t xml:space="preserve">recall </w:t>
      </w:r>
      <w:r w:rsidR="00AD68BC">
        <w:t>a historical event without having experienced it simply because there is factual evidence that has allowed a memory of an event be implanted in the mind</w:t>
      </w:r>
      <w:r w:rsidR="005E4ABE">
        <w:t>, e.g</w:t>
      </w:r>
      <w:r w:rsidR="005C2AF3">
        <w:t>.</w:t>
      </w:r>
      <w:r w:rsidR="005E4ABE">
        <w:t xml:space="preserve"> the end of the First World War in 1918</w:t>
      </w:r>
      <w:r w:rsidR="00AD68BC">
        <w:t xml:space="preserve">. Personal memory is also to be differentiated from </w:t>
      </w:r>
      <w:r w:rsidR="00F2155C">
        <w:t>remembering how to perform certain tasks,</w:t>
      </w:r>
      <w:r w:rsidR="00AD68BC">
        <w:t xml:space="preserve"> e.g. learning to wa</w:t>
      </w:r>
      <w:r w:rsidR="005C2AF3">
        <w:t>lk.</w:t>
      </w:r>
      <w:r w:rsidR="00F2155C">
        <w:rPr>
          <w:rStyle w:val="EndnoteReference"/>
        </w:rPr>
        <w:endnoteReference w:id="3"/>
      </w:r>
      <w:r w:rsidR="00F2155C">
        <w:t xml:space="preserve"> </w:t>
      </w:r>
      <w:r w:rsidR="005C2AF3">
        <w:t xml:space="preserve">Secondly, it is important to distinguish between a strong sense of memory and a weak sense of memory. The strong sense of memory requires </w:t>
      </w:r>
      <w:r w:rsidR="00F7611A">
        <w:t>our memories to be of only objectively true events, it is not possible to remember doing something that did not occur. The weak sense of memory does not have this requirement of objective truth and as such can be distorted in our memory as recalling events that did not happen that we believe to have occurred. For this theory of personal identity being defined by memory, we need to use the weak sense instead of the strong. The reason for this is that the strong sense presupposes personal identity because if it is objectively true that someone did something then it must be them (who remembers it) that did it. Another reason that the weak sense is preferential to the strong sense is that objective truths are not always known to us and so the question of whether our memories are strong or weak can not be answered by us, so the personal identity that is entailed by the strong sense of memory can not be relied on by us when questioning identity over time</w:t>
      </w:r>
      <w:r w:rsidR="00F7611A">
        <w:rPr>
          <w:rStyle w:val="EndnoteReference"/>
        </w:rPr>
        <w:endnoteReference w:id="4"/>
      </w:r>
      <w:r w:rsidR="00F7611A">
        <w:t>.</w:t>
      </w:r>
    </w:p>
    <w:p w:rsidR="007C79A3" w:rsidRDefault="00F2155C">
      <w:r>
        <w:t xml:space="preserve">Now that it has been established the relevance of memory in Locke’s theory, we can </w:t>
      </w:r>
      <w:r w:rsidR="000809CF">
        <w:t>begin to outline</w:t>
      </w:r>
      <w:r w:rsidR="00C33775">
        <w:t xml:space="preserve"> his argument</w:t>
      </w:r>
      <w:r>
        <w:t>. Locke believes that it is memory alone that is the constitution of personal identity, ‘loosely P</w:t>
      </w:r>
      <w:r w:rsidRPr="00D6260F">
        <w:rPr>
          <w:vertAlign w:val="subscript"/>
        </w:rPr>
        <w:t>2</w:t>
      </w:r>
      <w:r>
        <w:t xml:space="preserve"> at t</w:t>
      </w:r>
      <w:r w:rsidRPr="00D6260F">
        <w:rPr>
          <w:vertAlign w:val="subscript"/>
        </w:rPr>
        <w:t>2</w:t>
      </w:r>
      <w:r>
        <w:t xml:space="preserve"> is the same person as P</w:t>
      </w:r>
      <w:r w:rsidRPr="00D6260F">
        <w:rPr>
          <w:vertAlign w:val="subscript"/>
        </w:rPr>
        <w:t>1</w:t>
      </w:r>
      <w:r>
        <w:t xml:space="preserve"> at an earlier time t</w:t>
      </w:r>
      <w:r w:rsidRPr="00D6260F">
        <w:rPr>
          <w:vertAlign w:val="subscript"/>
        </w:rPr>
        <w:t>1</w:t>
      </w:r>
      <w:r>
        <w:t xml:space="preserve">, </w:t>
      </w:r>
      <w:r w:rsidR="00C731C0">
        <w:t>if and only if</w:t>
      </w:r>
      <w:r>
        <w:t xml:space="preserve"> </w:t>
      </w:r>
      <w:r w:rsidR="00D6260F">
        <w:t>P</w:t>
      </w:r>
      <w:r w:rsidRPr="00D6260F">
        <w:rPr>
          <w:vertAlign w:val="subscript"/>
        </w:rPr>
        <w:t>2</w:t>
      </w:r>
      <w:r>
        <w:t xml:space="preserve"> remembers having done and experienced various things, where in fact these things were in fact done and experienced by P</w:t>
      </w:r>
      <w:r w:rsidRPr="00D6260F">
        <w:rPr>
          <w:vertAlign w:val="subscript"/>
        </w:rPr>
        <w:t>1</w:t>
      </w:r>
      <w:r>
        <w:t>’</w:t>
      </w:r>
      <w:r>
        <w:rPr>
          <w:rStyle w:val="EndnoteReference"/>
        </w:rPr>
        <w:endnoteReference w:id="5"/>
      </w:r>
      <w:r w:rsidR="005E4ABE">
        <w:t>. To give an analogy, if I remember the first time I flew on a plane any time after this event I am the same person as the person who flew on a plane. However, if I were to remember the first time my partner flew on a plane any time after this event, I would not be the same person as it was not my experience that I remember. So</w:t>
      </w:r>
      <w:r w:rsidR="005F4FD0">
        <w:t>,</w:t>
      </w:r>
      <w:r w:rsidR="005E4ABE">
        <w:t xml:space="preserve"> an important distinction is that P</w:t>
      </w:r>
      <w:r w:rsidR="005E4ABE" w:rsidRPr="00D6260F">
        <w:rPr>
          <w:vertAlign w:val="subscript"/>
        </w:rPr>
        <w:t>2</w:t>
      </w:r>
      <w:r w:rsidR="005E4ABE">
        <w:t>’s memory at t</w:t>
      </w:r>
      <w:r w:rsidR="005E4ABE" w:rsidRPr="00D6260F">
        <w:rPr>
          <w:vertAlign w:val="subscript"/>
        </w:rPr>
        <w:t>2</w:t>
      </w:r>
      <w:r w:rsidR="005E4ABE">
        <w:t xml:space="preserve"> of P</w:t>
      </w:r>
      <w:r w:rsidR="005E4ABE" w:rsidRPr="00D6260F">
        <w:rPr>
          <w:vertAlign w:val="subscript"/>
        </w:rPr>
        <w:t>1</w:t>
      </w:r>
      <w:r w:rsidR="005E4ABE">
        <w:t xml:space="preserve"> at t</w:t>
      </w:r>
      <w:r w:rsidR="005E4ABE" w:rsidRPr="00D6260F">
        <w:rPr>
          <w:vertAlign w:val="subscript"/>
        </w:rPr>
        <w:t>1</w:t>
      </w:r>
      <w:r w:rsidR="005E4ABE">
        <w:t xml:space="preserve"> </w:t>
      </w:r>
      <w:r w:rsidR="00F7611A">
        <w:t>must</w:t>
      </w:r>
      <w:r w:rsidR="005E4ABE">
        <w:t xml:space="preserve"> </w:t>
      </w:r>
      <w:r w:rsidR="005E4ABE">
        <w:lastRenderedPageBreak/>
        <w:t xml:space="preserve">be a memory of the event happening being experienced by </w:t>
      </w:r>
      <w:r w:rsidR="005F4324">
        <w:t>P</w:t>
      </w:r>
      <w:r w:rsidR="005F4324" w:rsidRPr="00D6260F">
        <w:rPr>
          <w:vertAlign w:val="subscript"/>
        </w:rPr>
        <w:t>1</w:t>
      </w:r>
      <w:r w:rsidR="005F4324">
        <w:t xml:space="preserve"> and not by</w:t>
      </w:r>
      <w:r w:rsidR="005E4ABE">
        <w:t xml:space="preserve"> another person</w:t>
      </w:r>
      <w:r w:rsidR="005F4324">
        <w:t>,</w:t>
      </w:r>
      <w:r w:rsidR="005E4ABE">
        <w:t xml:space="preserve"> Q. </w:t>
      </w:r>
    </w:p>
    <w:p w:rsidR="00DF47D3" w:rsidRDefault="007D5806">
      <w:r>
        <w:t>One</w:t>
      </w:r>
      <w:r w:rsidR="00105383">
        <w:t xml:space="preserve"> motivation of this position is that it does not encounter the same problems and improves on </w:t>
      </w:r>
      <w:r>
        <w:t>the most natural</w:t>
      </w:r>
      <w:r w:rsidR="00105383">
        <w:t xml:space="preserve"> theory of personal identity</w:t>
      </w:r>
      <w:r>
        <w:t>, bodily continuity</w:t>
      </w:r>
      <w:r w:rsidR="00105383">
        <w:t xml:space="preserve">. </w:t>
      </w:r>
      <w:r w:rsidR="00FF6D5B">
        <w:t xml:space="preserve">The bodily </w:t>
      </w:r>
      <w:r>
        <w:t xml:space="preserve">continuity </w:t>
      </w:r>
      <w:r w:rsidR="00FF6D5B">
        <w:t>theory</w:t>
      </w:r>
      <w:r w:rsidR="00673F28">
        <w:t xml:space="preserve"> states that ‘P</w:t>
      </w:r>
      <w:r w:rsidR="00673F28" w:rsidRPr="00D6260F">
        <w:rPr>
          <w:vertAlign w:val="subscript"/>
        </w:rPr>
        <w:t>2</w:t>
      </w:r>
      <w:r w:rsidR="00673F28">
        <w:t xml:space="preserve"> is the same person as P</w:t>
      </w:r>
      <w:r w:rsidR="00673F28" w:rsidRPr="00D6260F">
        <w:rPr>
          <w:vertAlign w:val="subscript"/>
        </w:rPr>
        <w:t>1</w:t>
      </w:r>
      <w:r w:rsidR="00673F28">
        <w:t xml:space="preserve"> if P</w:t>
      </w:r>
      <w:r w:rsidR="00673F28" w:rsidRPr="00D6260F">
        <w:rPr>
          <w:vertAlign w:val="subscript"/>
        </w:rPr>
        <w:t>2</w:t>
      </w:r>
      <w:r w:rsidR="00673F28">
        <w:t>’s body is the same body as P</w:t>
      </w:r>
      <w:r w:rsidR="00673F28" w:rsidRPr="00D6260F">
        <w:rPr>
          <w:vertAlign w:val="subscript"/>
        </w:rPr>
        <w:t>1</w:t>
      </w:r>
      <w:r w:rsidR="00673F28">
        <w:t>’s body’</w:t>
      </w:r>
      <w:r w:rsidR="001B6A13">
        <w:t xml:space="preserve"> or put more simply that ‘the person to whom you are talking </w:t>
      </w:r>
      <w:r w:rsidR="00197EA5">
        <w:t xml:space="preserve">to </w:t>
      </w:r>
      <w:r w:rsidR="001B6A13">
        <w:t xml:space="preserve">now and call ‘John’ is the same person as the person to whom you were talking to last week and then called ‘John’ </w:t>
      </w:r>
      <w:r w:rsidR="00197EA5">
        <w:t>if and only if</w:t>
      </w:r>
      <w:r w:rsidR="001B6A13">
        <w:t xml:space="preserve"> he has the same body’.</w:t>
      </w:r>
      <w:r w:rsidR="00673F28">
        <w:rPr>
          <w:rStyle w:val="EndnoteReference"/>
        </w:rPr>
        <w:endnoteReference w:id="6"/>
      </w:r>
      <w:r w:rsidR="001B6A13">
        <w:t xml:space="preserve"> </w:t>
      </w:r>
      <w:r w:rsidR="001B6A13" w:rsidRPr="009814AA">
        <w:t>So John at the current time of talking (P</w:t>
      </w:r>
      <w:r w:rsidR="001B6A13" w:rsidRPr="00D6260F">
        <w:rPr>
          <w:vertAlign w:val="subscript"/>
        </w:rPr>
        <w:t>2</w:t>
      </w:r>
      <w:r w:rsidR="001B6A13" w:rsidRPr="009814AA">
        <w:t xml:space="preserve"> at t</w:t>
      </w:r>
      <w:r w:rsidR="001B6A13" w:rsidRPr="00D6260F">
        <w:rPr>
          <w:vertAlign w:val="subscript"/>
        </w:rPr>
        <w:t>2</w:t>
      </w:r>
      <w:r w:rsidR="001B6A13" w:rsidRPr="009814AA">
        <w:t>) would have the same body</w:t>
      </w:r>
      <w:r w:rsidR="009814AA">
        <w:t xml:space="preserve"> </w:t>
      </w:r>
      <w:r w:rsidR="001B6A13" w:rsidRPr="009814AA">
        <w:t xml:space="preserve">as </w:t>
      </w:r>
      <w:r w:rsidR="009814AA">
        <w:t xml:space="preserve">the body of </w:t>
      </w:r>
      <w:r w:rsidR="001B6A13" w:rsidRPr="009814AA">
        <w:t>John at the previous time of talking (P</w:t>
      </w:r>
      <w:r w:rsidR="001B6A13" w:rsidRPr="00D6260F">
        <w:rPr>
          <w:vertAlign w:val="subscript"/>
        </w:rPr>
        <w:t>1</w:t>
      </w:r>
      <w:r w:rsidR="001B6A13" w:rsidRPr="009814AA">
        <w:t xml:space="preserve"> at </w:t>
      </w:r>
      <w:r w:rsidR="00F05FDF" w:rsidRPr="009814AA">
        <w:t>t</w:t>
      </w:r>
      <w:r w:rsidR="001B6A13" w:rsidRPr="00D6260F">
        <w:rPr>
          <w:vertAlign w:val="subscript"/>
        </w:rPr>
        <w:t>1</w:t>
      </w:r>
      <w:r w:rsidR="001B6A13" w:rsidRPr="009814AA">
        <w:t>)</w:t>
      </w:r>
      <w:r w:rsidR="00F05FDF" w:rsidRPr="009814AA">
        <w:t xml:space="preserve">. </w:t>
      </w:r>
      <w:r w:rsidR="00537AE1">
        <w:t xml:space="preserve">Having the same body does not </w:t>
      </w:r>
      <w:r w:rsidR="00F91EF7">
        <w:t xml:space="preserve">need for both bodies to be of exact equal matter. It does however need to be of a similar matter and in a similar arrangement. For example, if I were to lose my right arm but all my other matter was intact and in the same organization then it follows that I, even with loss of limb, am the same person as I was at an earlier time in which I still had my right arm. Whereas if I were to replace </w:t>
      </w:r>
      <w:r w:rsidR="008A3374">
        <w:t>all</w:t>
      </w:r>
      <w:r w:rsidR="00F91EF7">
        <w:t xml:space="preserve"> my organic matter with robotic replacements then I would not constitute being the same person.</w:t>
      </w:r>
      <w:r w:rsidR="008A3374">
        <w:t xml:space="preserve"> </w:t>
      </w:r>
    </w:p>
    <w:p w:rsidR="009814AA" w:rsidRPr="00B71C8C" w:rsidRDefault="008A3374">
      <w:r>
        <w:t xml:space="preserve">However, this account faces issues with regards to organ transplantation. A person could have a kidney removed and replaced with another’s and the constitution of personal identity will not have changed. Yet arguably, the same person having the brain removed and replaced with another’s would constitute change in their personal identity. </w:t>
      </w:r>
      <w:r w:rsidR="009478CD">
        <w:t xml:space="preserve">This suggests that there are differences in the importance that different body parts have in relation to personal identity. In the example above, for someone’s personal identity to be altered they may need not change all their bodily matter but only the most important part, notably the brain. So, why is it that there is precedent over the brain with regards to personal identity? Perhaps there is more correlation with the idea of memory and characteristics and personal identity than of bodily </w:t>
      </w:r>
      <w:r w:rsidR="00130E8F">
        <w:t xml:space="preserve">continuity and personal identity. This notion could explain why the brain is more important to personal identity than other bodily matter, e.g. a kidney. This is because the brain has a direct link with memory and characteristics. If this is the case, then personal identity would be better defined by the concepts of memory and characteristics over the idea of bodily continuity. It is clear to see how </w:t>
      </w:r>
      <w:r w:rsidR="005C2AF3">
        <w:t xml:space="preserve">the argument that personal identity is constituted by memory is motivated by this issue for the theory of bodily continuity as it helps explain why the brain seems more important than other bodily matter. </w:t>
      </w:r>
    </w:p>
    <w:p w:rsidR="0007098E" w:rsidRDefault="00B71C8C">
      <w:r>
        <w:t>Locke’s theory of memory has no</w:t>
      </w:r>
      <w:r w:rsidR="000809CF">
        <w:t>w</w:t>
      </w:r>
      <w:r>
        <w:t xml:space="preserve"> been given motivation, however it also faces an issue with itself. The potential of the absurdity notion given by Reid in response to the theory in which he speaks of a hypothetical officer being flogged as a boy for punishment</w:t>
      </w:r>
      <w:r w:rsidR="000809CF">
        <w:t xml:space="preserve"> (A)</w:t>
      </w:r>
      <w:r>
        <w:t>, t</w:t>
      </w:r>
      <w:r w:rsidR="000809CF">
        <w:t>aking a standard from an enemy in his first campaign (B) and then being made general (C).</w:t>
      </w:r>
      <w:r w:rsidR="000809CF">
        <w:rPr>
          <w:rStyle w:val="EndnoteReference"/>
        </w:rPr>
        <w:endnoteReference w:id="7"/>
      </w:r>
      <w:r w:rsidR="000809CF">
        <w:t xml:space="preserve"> In this argument B remembers the events experienced by A and C remembers the events experienced by B but C does not remember the events experienced by A. So according to Locke, A = B and B = C </w:t>
      </w:r>
      <w:r w:rsidR="000809CF">
        <w:lastRenderedPageBreak/>
        <w:t>because of B and C’s respective memories of the experiences of A and B. But as C does not recall the events experienced by A Locke would argue that A ≠ C</w:t>
      </w:r>
      <w:r w:rsidR="00D33E70">
        <w:t>. However, as identity is a transitive relation, because A = B and B = C it follows that A must also = C. This leads to an absurdity because A both = and ≠ C at the same time. This is a direct contradiction to Locke’s own view that ‘we never find and can’t even conceive of two things of the same kind existing in the same place at the same time, so we rightly conclude that whatever exists in a certain place at a certain time excludes all others of the same kind, and is there itself alone.’</w:t>
      </w:r>
      <w:r w:rsidR="00D33E70">
        <w:rPr>
          <w:rStyle w:val="EndnoteReference"/>
        </w:rPr>
        <w:endnoteReference w:id="8"/>
      </w:r>
      <w:r w:rsidR="00D33E70">
        <w:t xml:space="preserve"> One way to respond to this is to take Swinburne’s solution to the problem in which he outlines that ‘P</w:t>
      </w:r>
      <w:r w:rsidR="00D33E70" w:rsidRPr="00D6260F">
        <w:rPr>
          <w:vertAlign w:val="subscript"/>
        </w:rPr>
        <w:t>2</w:t>
      </w:r>
      <w:r w:rsidR="00D33E70">
        <w:t xml:space="preserve"> at t</w:t>
      </w:r>
      <w:r w:rsidR="00D33E70" w:rsidRPr="00D6260F">
        <w:rPr>
          <w:vertAlign w:val="subscript"/>
        </w:rPr>
        <w:t>2</w:t>
      </w:r>
      <w:r w:rsidR="00D33E70">
        <w:t xml:space="preserve"> is the same person as P</w:t>
      </w:r>
      <w:r w:rsidR="00D33E70" w:rsidRPr="00D6260F">
        <w:rPr>
          <w:vertAlign w:val="subscript"/>
        </w:rPr>
        <w:t>1</w:t>
      </w:r>
      <w:r w:rsidR="0007098E">
        <w:t xml:space="preserve"> at an earlier time t</w:t>
      </w:r>
      <w:r w:rsidR="0007098E" w:rsidRPr="00D6260F">
        <w:rPr>
          <w:vertAlign w:val="subscript"/>
        </w:rPr>
        <w:t>1</w:t>
      </w:r>
      <w:r w:rsidR="0007098E">
        <w:t xml:space="preserve"> if and only if </w:t>
      </w:r>
      <w:r w:rsidR="0007098E">
        <w:rPr>
          <w:i/>
        </w:rPr>
        <w:t xml:space="preserve">either </w:t>
      </w:r>
      <w:r w:rsidR="0007098E">
        <w:t>P</w:t>
      </w:r>
      <w:r w:rsidR="0007098E" w:rsidRPr="00D6260F">
        <w:rPr>
          <w:vertAlign w:val="subscript"/>
        </w:rPr>
        <w:t>2</w:t>
      </w:r>
      <w:r w:rsidR="0007098E">
        <w:t xml:space="preserve"> apparently remembers what P</w:t>
      </w:r>
      <w:r w:rsidR="0007098E" w:rsidRPr="00D6260F">
        <w:rPr>
          <w:vertAlign w:val="subscript"/>
        </w:rPr>
        <w:t>1</w:t>
      </w:r>
      <w:r w:rsidR="0007098E">
        <w:t xml:space="preserve"> did and experienced, or he apparently remembers what some person P’ at an intermediate time t’ did and experienced, when P’ apparently remembers what P</w:t>
      </w:r>
      <w:r w:rsidR="0007098E" w:rsidRPr="00D6260F">
        <w:rPr>
          <w:vertAlign w:val="subscript"/>
        </w:rPr>
        <w:t>1</w:t>
      </w:r>
      <w:r w:rsidR="0007098E">
        <w:t xml:space="preserve"> did and experienced, or they are linked by some longer intermediate chain’.</w:t>
      </w:r>
      <w:r w:rsidR="0007098E">
        <w:rPr>
          <w:rStyle w:val="EndnoteReference"/>
        </w:rPr>
        <w:endnoteReference w:id="9"/>
      </w:r>
      <w:r w:rsidR="0007098E">
        <w:t xml:space="preserve"> Therefore, A does not both = and ≠ C in this example, it only = C because A and C are linked by B. It is the continuity of memory rather than individual memories that defines our personal identity. So, by using this revised theory memory can still be the constitution for personal identity as it no longer faces the absurdity issue. </w:t>
      </w:r>
    </w:p>
    <w:p w:rsidR="0007098E" w:rsidRPr="0007098E" w:rsidRDefault="0007098E">
      <w:r>
        <w:t xml:space="preserve">Overall, the continuity of memory is crucial to the </w:t>
      </w:r>
      <w:r w:rsidR="009D5FC8">
        <w:t xml:space="preserve">conception of personal identity over time. We can see this as it attributes to the explanation of the brain being more essential to personal identity than other bodily matter. Further to this, it is the idea of continuity of memory that tackles the absurdity problem raised against the more traditional theory of memory as defining personal identity. Because of this, it seems continuity of memory is vital to personal identity over time. </w:t>
      </w:r>
    </w:p>
    <w:p w:rsidR="00F05FDF" w:rsidRDefault="009814AA">
      <w:pPr>
        <w:rPr>
          <w:u w:val="single"/>
        </w:rPr>
      </w:pPr>
      <w:r w:rsidRPr="009814AA">
        <w:rPr>
          <w:u w:val="single"/>
        </w:rPr>
        <w:t>References</w:t>
      </w:r>
    </w:p>
    <w:p w:rsidR="009D5FC8" w:rsidRDefault="009D5FC8" w:rsidP="009D5FC8">
      <w:r>
        <w:t xml:space="preserve">Locke, J., </w:t>
      </w:r>
      <w:r>
        <w:rPr>
          <w:i/>
        </w:rPr>
        <w:t xml:space="preserve">An Essay Concerning Human Understanding, </w:t>
      </w:r>
      <w:r>
        <w:t>ed. P.H. Nidditch, Book II, Chapter XXVII, Oxford, 1975.</w:t>
      </w:r>
    </w:p>
    <w:p w:rsidR="009D5FC8" w:rsidRDefault="009D5FC8" w:rsidP="009D5FC8">
      <w:r>
        <w:t xml:space="preserve">Reid, T., </w:t>
      </w:r>
      <w:r>
        <w:rPr>
          <w:i/>
        </w:rPr>
        <w:t xml:space="preserve">Essays on the Intellectual Powers of Man, </w:t>
      </w:r>
      <w:r>
        <w:t>Essay III, chapters 4 and 6. Reprinted in Perry 1975</w:t>
      </w:r>
      <w:r w:rsidR="00272DB9">
        <w:t>a</w:t>
      </w:r>
    </w:p>
    <w:p w:rsidR="009D5FC8" w:rsidRPr="009D5FC8" w:rsidRDefault="009D5FC8" w:rsidP="009D5FC8">
      <w:r>
        <w:t xml:space="preserve">Swinburne, R., </w:t>
      </w:r>
      <w:r>
        <w:rPr>
          <w:i/>
        </w:rPr>
        <w:t>Personal Identity</w:t>
      </w:r>
      <w:r>
        <w:t>, Basil Blackwell Publisher, Oxford, 1984</w:t>
      </w:r>
      <w:r>
        <w:t>.</w:t>
      </w:r>
    </w:p>
    <w:sectPr w:rsidR="009D5FC8" w:rsidRPr="009D5FC8">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1982" w:rsidRDefault="00F51982" w:rsidP="00932508">
      <w:pPr>
        <w:spacing w:after="0" w:line="240" w:lineRule="auto"/>
      </w:pPr>
      <w:r>
        <w:separator/>
      </w:r>
    </w:p>
  </w:endnote>
  <w:endnote w:type="continuationSeparator" w:id="0">
    <w:p w:rsidR="00F51982" w:rsidRDefault="00F51982" w:rsidP="00932508">
      <w:pPr>
        <w:spacing w:after="0" w:line="240" w:lineRule="auto"/>
      </w:pPr>
      <w:r>
        <w:continuationSeparator/>
      </w:r>
    </w:p>
  </w:endnote>
  <w:endnote w:id="1">
    <w:p w:rsidR="00932508" w:rsidRPr="00932508" w:rsidRDefault="00932508">
      <w:pPr>
        <w:pStyle w:val="EndnoteText"/>
      </w:pPr>
      <w:r>
        <w:rPr>
          <w:rStyle w:val="EndnoteReference"/>
        </w:rPr>
        <w:endnoteRef/>
      </w:r>
      <w:r>
        <w:t xml:space="preserve"> Locke, J</w:t>
      </w:r>
      <w:r w:rsidR="000809CF">
        <w:t>.</w:t>
      </w:r>
      <w:r>
        <w:t xml:space="preserve">, </w:t>
      </w:r>
      <w:r>
        <w:rPr>
          <w:i/>
        </w:rPr>
        <w:t xml:space="preserve">An Essay Concerning Human Understanding, </w:t>
      </w:r>
      <w:r>
        <w:t xml:space="preserve">ed. P.H. Nidditch, Book II, Chapter XXVII, Oxford, </w:t>
      </w:r>
      <w:r w:rsidR="000809CF">
        <w:t>1975.</w:t>
      </w:r>
    </w:p>
  </w:endnote>
  <w:endnote w:id="2">
    <w:p w:rsidR="00932508" w:rsidRPr="00932508" w:rsidRDefault="00932508">
      <w:pPr>
        <w:pStyle w:val="EndnoteText"/>
      </w:pPr>
      <w:r>
        <w:rPr>
          <w:rStyle w:val="EndnoteReference"/>
        </w:rPr>
        <w:endnoteRef/>
      </w:r>
      <w:r>
        <w:t xml:space="preserve"> Swinburne, R</w:t>
      </w:r>
      <w:r w:rsidR="000809CF">
        <w:t>.</w:t>
      </w:r>
      <w:r>
        <w:t xml:space="preserve">, </w:t>
      </w:r>
      <w:r>
        <w:rPr>
          <w:i/>
        </w:rPr>
        <w:t>Personal Identity</w:t>
      </w:r>
      <w:r>
        <w:t>, Basil Blackwell Publisher, Oxford, 1984, Pg 8</w:t>
      </w:r>
    </w:p>
  </w:endnote>
  <w:endnote w:id="3">
    <w:p w:rsidR="00F2155C" w:rsidRDefault="00F2155C">
      <w:pPr>
        <w:pStyle w:val="EndnoteText"/>
      </w:pPr>
      <w:r>
        <w:rPr>
          <w:rStyle w:val="EndnoteReference"/>
        </w:rPr>
        <w:endnoteRef/>
      </w:r>
      <w:r>
        <w:t xml:space="preserve"> </w:t>
      </w:r>
      <w:r>
        <w:t>Swinburne, R</w:t>
      </w:r>
      <w:r w:rsidR="000809CF">
        <w:t>.</w:t>
      </w:r>
      <w:r>
        <w:t xml:space="preserve">, </w:t>
      </w:r>
      <w:r>
        <w:rPr>
          <w:i/>
        </w:rPr>
        <w:t>Personal Identity</w:t>
      </w:r>
      <w:r>
        <w:t>, Basil Blackwell Publisher, Oxford, 1984, Pg 8</w:t>
      </w:r>
      <w:r>
        <w:t>-9</w:t>
      </w:r>
    </w:p>
  </w:endnote>
  <w:endnote w:id="4">
    <w:p w:rsidR="00F7611A" w:rsidRDefault="00F7611A">
      <w:pPr>
        <w:pStyle w:val="EndnoteText"/>
      </w:pPr>
      <w:r>
        <w:rPr>
          <w:rStyle w:val="EndnoteReference"/>
        </w:rPr>
        <w:endnoteRef/>
      </w:r>
      <w:r>
        <w:t xml:space="preserve"> </w:t>
      </w:r>
      <w:r w:rsidRPr="00F7611A">
        <w:t>Swinburne, R</w:t>
      </w:r>
      <w:r w:rsidR="000809CF">
        <w:t>.</w:t>
      </w:r>
      <w:r w:rsidRPr="00F7611A">
        <w:t xml:space="preserve">, Personal Identity, Basil Blackwell Publisher, Oxford, 1984, Pg </w:t>
      </w:r>
      <w:r>
        <w:t>9</w:t>
      </w:r>
    </w:p>
  </w:endnote>
  <w:endnote w:id="5">
    <w:p w:rsidR="00F2155C" w:rsidRDefault="00F2155C">
      <w:pPr>
        <w:pStyle w:val="EndnoteText"/>
      </w:pPr>
      <w:r>
        <w:rPr>
          <w:rStyle w:val="EndnoteReference"/>
        </w:rPr>
        <w:endnoteRef/>
      </w:r>
      <w:r>
        <w:t xml:space="preserve"> </w:t>
      </w:r>
      <w:r>
        <w:t>Swinburne, R</w:t>
      </w:r>
      <w:r w:rsidR="000809CF">
        <w:t>.</w:t>
      </w:r>
      <w:r>
        <w:t xml:space="preserve">, </w:t>
      </w:r>
      <w:r>
        <w:rPr>
          <w:i/>
        </w:rPr>
        <w:t>Personal Identity</w:t>
      </w:r>
      <w:r>
        <w:t>, Basil Blackwell Publisher, Oxford, 1984, Pg 8</w:t>
      </w:r>
    </w:p>
  </w:endnote>
  <w:endnote w:id="6">
    <w:p w:rsidR="00673F28" w:rsidRDefault="00673F28">
      <w:pPr>
        <w:pStyle w:val="EndnoteText"/>
      </w:pPr>
      <w:r>
        <w:rPr>
          <w:rStyle w:val="EndnoteReference"/>
        </w:rPr>
        <w:endnoteRef/>
      </w:r>
      <w:r>
        <w:t xml:space="preserve"> </w:t>
      </w:r>
      <w:r>
        <w:t>Swinburne, R</w:t>
      </w:r>
      <w:r w:rsidR="000809CF">
        <w:t>.</w:t>
      </w:r>
      <w:r>
        <w:t xml:space="preserve">, </w:t>
      </w:r>
      <w:r>
        <w:rPr>
          <w:i/>
        </w:rPr>
        <w:t>Personal Identity</w:t>
      </w:r>
      <w:r>
        <w:t xml:space="preserve">, Basil Blackwell Publisher, Oxford, 1984, Pg </w:t>
      </w:r>
      <w:r>
        <w:t>3</w:t>
      </w:r>
    </w:p>
  </w:endnote>
  <w:endnote w:id="7">
    <w:p w:rsidR="000809CF" w:rsidRPr="000809CF" w:rsidRDefault="000809CF">
      <w:pPr>
        <w:pStyle w:val="EndnoteText"/>
      </w:pPr>
      <w:r>
        <w:rPr>
          <w:rStyle w:val="EndnoteReference"/>
        </w:rPr>
        <w:endnoteRef/>
      </w:r>
      <w:r>
        <w:t xml:space="preserve"> Reid, T., </w:t>
      </w:r>
      <w:r>
        <w:rPr>
          <w:i/>
        </w:rPr>
        <w:t xml:space="preserve">Essays on the Intellectual Powers of Man, </w:t>
      </w:r>
      <w:r>
        <w:t>Essay III, chapters 4 and 6. Reprinted in Perry 1975a</w:t>
      </w:r>
    </w:p>
  </w:endnote>
  <w:endnote w:id="8">
    <w:p w:rsidR="00D33E70" w:rsidRDefault="00D33E70">
      <w:pPr>
        <w:pStyle w:val="EndnoteText"/>
      </w:pPr>
      <w:r>
        <w:rPr>
          <w:rStyle w:val="EndnoteReference"/>
        </w:rPr>
        <w:endnoteRef/>
      </w:r>
      <w:r>
        <w:t xml:space="preserve"> Locke, </w:t>
      </w:r>
      <w:r>
        <w:t xml:space="preserve">J., </w:t>
      </w:r>
      <w:r>
        <w:rPr>
          <w:i/>
        </w:rPr>
        <w:t xml:space="preserve">An Essay Concerning Human Understanding, </w:t>
      </w:r>
      <w:r>
        <w:t>ed. P.H. Nidditch, Book II, Chapter XXVII, Oxford, 1975.</w:t>
      </w:r>
      <w:r>
        <w:t xml:space="preserve"> Section 1.</w:t>
      </w:r>
    </w:p>
  </w:endnote>
  <w:endnote w:id="9">
    <w:p w:rsidR="0007098E" w:rsidRPr="00932508" w:rsidRDefault="0007098E" w:rsidP="0007098E">
      <w:pPr>
        <w:pStyle w:val="EndnoteText"/>
      </w:pPr>
      <w:r>
        <w:rPr>
          <w:rStyle w:val="EndnoteReference"/>
        </w:rPr>
        <w:endnoteRef/>
      </w:r>
      <w:r>
        <w:t xml:space="preserve"> </w:t>
      </w:r>
      <w:r>
        <w:t xml:space="preserve">Swinburne, R., </w:t>
      </w:r>
      <w:r>
        <w:rPr>
          <w:i/>
        </w:rPr>
        <w:t>Personal Identity</w:t>
      </w:r>
      <w:r>
        <w:t xml:space="preserve">, Basil Blackwell Publisher, Oxford, 1984, Pg </w:t>
      </w:r>
      <w:r>
        <w:t>10-11</w:t>
      </w:r>
    </w:p>
    <w:p w:rsidR="0007098E" w:rsidRDefault="0007098E">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1982" w:rsidRDefault="00F51982" w:rsidP="00932508">
      <w:pPr>
        <w:spacing w:after="0" w:line="240" w:lineRule="auto"/>
      </w:pPr>
      <w:r>
        <w:separator/>
      </w:r>
    </w:p>
  </w:footnote>
  <w:footnote w:type="continuationSeparator" w:id="0">
    <w:p w:rsidR="00F51982" w:rsidRDefault="00F51982" w:rsidP="009325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B9A"/>
    <w:rsid w:val="0007098E"/>
    <w:rsid w:val="000809CF"/>
    <w:rsid w:val="00093B53"/>
    <w:rsid w:val="00105383"/>
    <w:rsid w:val="00130E8F"/>
    <w:rsid w:val="00155A09"/>
    <w:rsid w:val="00187F8F"/>
    <w:rsid w:val="001957E6"/>
    <w:rsid w:val="00197EA5"/>
    <w:rsid w:val="001B6A13"/>
    <w:rsid w:val="00272DB9"/>
    <w:rsid w:val="005152C3"/>
    <w:rsid w:val="0053630B"/>
    <w:rsid w:val="00537AE1"/>
    <w:rsid w:val="005B5BF7"/>
    <w:rsid w:val="005C2AF3"/>
    <w:rsid w:val="005E4ABE"/>
    <w:rsid w:val="005F4324"/>
    <w:rsid w:val="005F4FD0"/>
    <w:rsid w:val="0063307D"/>
    <w:rsid w:val="00673F28"/>
    <w:rsid w:val="007C79A3"/>
    <w:rsid w:val="007D5806"/>
    <w:rsid w:val="0082653E"/>
    <w:rsid w:val="008914B8"/>
    <w:rsid w:val="008A3374"/>
    <w:rsid w:val="00903421"/>
    <w:rsid w:val="00932508"/>
    <w:rsid w:val="00944B9A"/>
    <w:rsid w:val="009478CD"/>
    <w:rsid w:val="009548A8"/>
    <w:rsid w:val="009814AA"/>
    <w:rsid w:val="009D5FC8"/>
    <w:rsid w:val="00A40229"/>
    <w:rsid w:val="00AD68BC"/>
    <w:rsid w:val="00B71C8C"/>
    <w:rsid w:val="00C32B6E"/>
    <w:rsid w:val="00C33775"/>
    <w:rsid w:val="00C731C0"/>
    <w:rsid w:val="00D33E70"/>
    <w:rsid w:val="00D6260F"/>
    <w:rsid w:val="00DF47D3"/>
    <w:rsid w:val="00F05FDF"/>
    <w:rsid w:val="00F2155C"/>
    <w:rsid w:val="00F51982"/>
    <w:rsid w:val="00F7611A"/>
    <w:rsid w:val="00F91EF7"/>
    <w:rsid w:val="00FF6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ADD6E6"/>
  <w15:chartTrackingRefBased/>
  <w15:docId w15:val="{7536FFDF-053A-45AE-8B2E-07FFA1D9C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sz w:val="22"/>
        <w:szCs w:val="22"/>
        <w:lang w:val="en-GB" w:eastAsia="en-US" w:bidi="ar-SA"/>
      </w:rPr>
    </w:rPrDefault>
    <w:pPrDefault>
      <w:pPr>
        <w:spacing w:after="20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93250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32508"/>
    <w:rPr>
      <w:sz w:val="20"/>
      <w:szCs w:val="20"/>
    </w:rPr>
  </w:style>
  <w:style w:type="character" w:styleId="EndnoteReference">
    <w:name w:val="endnote reference"/>
    <w:basedOn w:val="DefaultParagraphFont"/>
    <w:uiPriority w:val="99"/>
    <w:semiHidden/>
    <w:unhideWhenUsed/>
    <w:rsid w:val="00932508"/>
    <w:rPr>
      <w:vertAlign w:val="superscript"/>
    </w:rPr>
  </w:style>
  <w:style w:type="paragraph" w:styleId="FootnoteText">
    <w:name w:val="footnote text"/>
    <w:basedOn w:val="Normal"/>
    <w:link w:val="FootnoteTextChar"/>
    <w:uiPriority w:val="99"/>
    <w:semiHidden/>
    <w:unhideWhenUsed/>
    <w:rsid w:val="00F215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155C"/>
    <w:rPr>
      <w:sz w:val="20"/>
      <w:szCs w:val="20"/>
    </w:rPr>
  </w:style>
  <w:style w:type="character" w:styleId="FootnoteReference">
    <w:name w:val="footnote reference"/>
    <w:basedOn w:val="DefaultParagraphFont"/>
    <w:uiPriority w:val="99"/>
    <w:semiHidden/>
    <w:unhideWhenUsed/>
    <w:rsid w:val="00F2155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63A3E8-6B69-49FD-86AC-74849B9D5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3</Pages>
  <Words>1314</Words>
  <Characters>7491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 (1604459)</dc:creator>
  <cp:keywords/>
  <dc:description/>
  <cp:lastModifiedBy>Raleigh O'sullivan</cp:lastModifiedBy>
  <cp:revision>19</cp:revision>
  <dcterms:created xsi:type="dcterms:W3CDTF">2017-11-29T02:18:00Z</dcterms:created>
  <dcterms:modified xsi:type="dcterms:W3CDTF">2017-11-29T13:24:00Z</dcterms:modified>
</cp:coreProperties>
</file>