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37380810"/>
        <w:docPartObj>
          <w:docPartGallery w:val="Cover Pages"/>
          <w:docPartUnique/>
        </w:docPartObj>
      </w:sdtPr>
      <w:sdtContent>
        <w:p w14:paraId="10482948" w14:textId="4EBC1E5D" w:rsidR="00C83A62" w:rsidRDefault="00C83A62">
          <w:r>
            <w:rPr>
              <w:noProof/>
            </w:rPr>
            <mc:AlternateContent>
              <mc:Choice Requires="wps">
                <w:drawing>
                  <wp:anchor distT="0" distB="0" distL="114300" distR="114300" simplePos="0" relativeHeight="251659264" behindDoc="0" locked="0" layoutInCell="1" allowOverlap="1" wp14:anchorId="4C4DA664" wp14:editId="59F51CD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13"/>
                                  <w:gridCol w:w="2034"/>
                                </w:tblGrid>
                                <w:tr w:rsidR="00AB40B3" w14:paraId="71A926BE" w14:textId="77777777">
                                  <w:trPr>
                                    <w:jc w:val="center"/>
                                  </w:trPr>
                                  <w:tc>
                                    <w:tcPr>
                                      <w:tcW w:w="2568" w:type="pct"/>
                                      <w:vAlign w:val="center"/>
                                    </w:tcPr>
                                    <w:p w14:paraId="4E632C8E" w14:textId="1327FD28" w:rsidR="00ED26B4" w:rsidRDefault="00ED26B4">
                                      <w:pPr>
                                        <w:jc w:val="right"/>
                                      </w:pPr>
                                      <w:r>
                                        <w:rPr>
                                          <w:noProof/>
                                        </w:rPr>
                                        <w:drawing>
                                          <wp:inline distT="0" distB="0" distL="0" distR="0" wp14:anchorId="0027AA39" wp14:editId="797AC176">
                                            <wp:extent cx="3932683" cy="240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43345" cy="240680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DB1151B" w14:textId="0ED3A1C0" w:rsidR="00ED26B4" w:rsidRDefault="00ED26B4">
                                          <w:pPr>
                                            <w:pStyle w:val="NoSpacing"/>
                                            <w:spacing w:line="312" w:lineRule="auto"/>
                                            <w:jc w:val="right"/>
                                            <w:rPr>
                                              <w:caps/>
                                              <w:color w:val="191919" w:themeColor="text1" w:themeTint="E6"/>
                                              <w:sz w:val="72"/>
                                              <w:szCs w:val="72"/>
                                            </w:rPr>
                                          </w:pPr>
                                          <w:r>
                                            <w:rPr>
                                              <w:caps/>
                                              <w:color w:val="191919" w:themeColor="text1" w:themeTint="E6"/>
                                              <w:sz w:val="72"/>
                                              <w:szCs w:val="72"/>
                                            </w:rPr>
                                            <w:t>Environmental Impact Assessment and the Cleve Hill Solar Park</w:t>
                                          </w:r>
                                        </w:p>
                                      </w:sdtContent>
                                    </w:sdt>
                                    <w:p w14:paraId="1D839EA1" w14:textId="77D4749C" w:rsidR="00ED26B4" w:rsidRDefault="00AB40B3">
                                      <w:pPr>
                                        <w:jc w:val="right"/>
                                        <w:rPr>
                                          <w:sz w:val="24"/>
                                          <w:szCs w:val="24"/>
                                        </w:rPr>
                                      </w:pPr>
                                      <w:r>
                                        <w:rPr>
                                          <w:noProof/>
                                        </w:rPr>
                                        <w:drawing>
                                          <wp:inline distT="0" distB="0" distL="0" distR="0" wp14:anchorId="2C8A8613" wp14:editId="30C5682E">
                                            <wp:extent cx="1047750" cy="419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102553" cy="441337"/>
                                                    </a:xfrm>
                                                    <a:prstGeom prst="rect">
                                                      <a:avLst/>
                                                    </a:prstGeom>
                                                  </pic:spPr>
                                                </pic:pic>
                                              </a:graphicData>
                                            </a:graphic>
                                          </wp:inline>
                                        </w:drawing>
                                      </w:r>
                                    </w:p>
                                  </w:tc>
                                  <w:tc>
                                    <w:tcPr>
                                      <w:tcW w:w="2432" w:type="pct"/>
                                      <w:vAlign w:val="center"/>
                                    </w:tcPr>
                                    <w:p w14:paraId="5D693697" w14:textId="5320B33E" w:rsidR="00ED26B4" w:rsidRDefault="00ED26B4">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8603039" w14:textId="41152E35" w:rsidR="00ED26B4" w:rsidRDefault="00E10667">
                                          <w:pPr>
                                            <w:rPr>
                                              <w:color w:val="000000" w:themeColor="text1"/>
                                            </w:rPr>
                                          </w:pPr>
                                          <w:r>
                                            <w:rPr>
                                              <w:color w:val="000000" w:themeColor="text1"/>
                                            </w:rPr>
                                            <w:t>The Build and Natural Environment sector has had to change their view on the environment as the public and governments over the world start a journey to improve environmental conditions, this is where Environmental Impact Assessments</w:t>
                                          </w:r>
                                          <w:r w:rsidR="00AB40B3">
                                            <w:rPr>
                                              <w:color w:val="000000" w:themeColor="text1"/>
                                            </w:rPr>
                                            <w:t xml:space="preserve"> (EIA)</w:t>
                                          </w:r>
                                          <w:r>
                                            <w:rPr>
                                              <w:color w:val="000000" w:themeColor="text1"/>
                                            </w:rPr>
                                            <w:t xml:space="preserve"> and new legislation have been put into place. The case study being review in this report is Cleve Hill Solar Park, Faversham. The report </w:t>
                                          </w:r>
                                          <w:r w:rsidR="00AB40B3">
                                            <w:rPr>
                                              <w:color w:val="000000" w:themeColor="text1"/>
                                            </w:rPr>
                                            <w:t>examines</w:t>
                                          </w:r>
                                          <w:r>
                                            <w:rPr>
                                              <w:color w:val="000000" w:themeColor="text1"/>
                                            </w:rPr>
                                            <w:t xml:space="preserve"> how the case study</w:t>
                                          </w:r>
                                          <w:r w:rsidR="00AB40B3">
                                            <w:rPr>
                                              <w:color w:val="000000" w:themeColor="text1"/>
                                            </w:rPr>
                                            <w:t xml:space="preserve"> carried out their EIA, focusing on Ecology, mitigation and monitoring. The report found that extensive surveys where carried to establish what type of habitats and wildlife could be found in the possible site, however, little details was given on what plans were in place to mitigate the impact to the habitat and wildlife, and no monitoring methods were given.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D26CDBB" w14:textId="0547B5F3" w:rsidR="00ED26B4" w:rsidRDefault="00ED26B4">
                                          <w:pPr>
                                            <w:pStyle w:val="NoSpacing"/>
                                            <w:rPr>
                                              <w:color w:val="ED7D31" w:themeColor="accent2"/>
                                              <w:sz w:val="26"/>
                                              <w:szCs w:val="26"/>
                                            </w:rPr>
                                          </w:pPr>
                                          <w:r>
                                            <w:rPr>
                                              <w:color w:val="ED7D31" w:themeColor="accent2"/>
                                              <w:sz w:val="26"/>
                                              <w:szCs w:val="26"/>
                                            </w:rPr>
                                            <w:t>Marie Amy West (1702919)</w:t>
                                          </w:r>
                                        </w:p>
                                      </w:sdtContent>
                                    </w:sdt>
                                    <w:p w14:paraId="24AF3C4D" w14:textId="55EFDAE6" w:rsidR="00ED26B4" w:rsidRDefault="00ED26B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10667">
                                            <w:rPr>
                                              <w:color w:val="44546A" w:themeColor="text2"/>
                                            </w:rPr>
                                            <w:t>11/04/2021</w:t>
                                          </w:r>
                                        </w:sdtContent>
                                      </w:sdt>
                                    </w:p>
                                  </w:tc>
                                </w:tr>
                              </w:tbl>
                              <w:p w14:paraId="01403FE3" w14:textId="77777777" w:rsidR="00ED26B4" w:rsidRDefault="00ED26B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C4DA66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13"/>
                            <w:gridCol w:w="2034"/>
                          </w:tblGrid>
                          <w:tr w:rsidR="00AB40B3" w14:paraId="71A926BE" w14:textId="77777777">
                            <w:trPr>
                              <w:jc w:val="center"/>
                            </w:trPr>
                            <w:tc>
                              <w:tcPr>
                                <w:tcW w:w="2568" w:type="pct"/>
                                <w:vAlign w:val="center"/>
                              </w:tcPr>
                              <w:p w14:paraId="4E632C8E" w14:textId="1327FD28" w:rsidR="00ED26B4" w:rsidRDefault="00ED26B4">
                                <w:pPr>
                                  <w:jc w:val="right"/>
                                </w:pPr>
                                <w:r>
                                  <w:rPr>
                                    <w:noProof/>
                                  </w:rPr>
                                  <w:drawing>
                                    <wp:inline distT="0" distB="0" distL="0" distR="0" wp14:anchorId="0027AA39" wp14:editId="797AC176">
                                      <wp:extent cx="3932683" cy="240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43345" cy="2406808"/>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DB1151B" w14:textId="0ED3A1C0" w:rsidR="00ED26B4" w:rsidRDefault="00ED26B4">
                                    <w:pPr>
                                      <w:pStyle w:val="NoSpacing"/>
                                      <w:spacing w:line="312" w:lineRule="auto"/>
                                      <w:jc w:val="right"/>
                                      <w:rPr>
                                        <w:caps/>
                                        <w:color w:val="191919" w:themeColor="text1" w:themeTint="E6"/>
                                        <w:sz w:val="72"/>
                                        <w:szCs w:val="72"/>
                                      </w:rPr>
                                    </w:pPr>
                                    <w:r>
                                      <w:rPr>
                                        <w:caps/>
                                        <w:color w:val="191919" w:themeColor="text1" w:themeTint="E6"/>
                                        <w:sz w:val="72"/>
                                        <w:szCs w:val="72"/>
                                      </w:rPr>
                                      <w:t>Environmental Impact Assessment and the Cleve Hill Solar Park</w:t>
                                    </w:r>
                                  </w:p>
                                </w:sdtContent>
                              </w:sdt>
                              <w:p w14:paraId="1D839EA1" w14:textId="77D4749C" w:rsidR="00ED26B4" w:rsidRDefault="00AB40B3">
                                <w:pPr>
                                  <w:jc w:val="right"/>
                                  <w:rPr>
                                    <w:sz w:val="24"/>
                                    <w:szCs w:val="24"/>
                                  </w:rPr>
                                </w:pPr>
                                <w:r>
                                  <w:rPr>
                                    <w:noProof/>
                                  </w:rPr>
                                  <w:drawing>
                                    <wp:inline distT="0" distB="0" distL="0" distR="0" wp14:anchorId="2C8A8613" wp14:editId="30C5682E">
                                      <wp:extent cx="1047750" cy="4194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102553" cy="441337"/>
                                              </a:xfrm>
                                              <a:prstGeom prst="rect">
                                                <a:avLst/>
                                              </a:prstGeom>
                                            </pic:spPr>
                                          </pic:pic>
                                        </a:graphicData>
                                      </a:graphic>
                                    </wp:inline>
                                  </w:drawing>
                                </w:r>
                              </w:p>
                            </w:tc>
                            <w:tc>
                              <w:tcPr>
                                <w:tcW w:w="2432" w:type="pct"/>
                                <w:vAlign w:val="center"/>
                              </w:tcPr>
                              <w:p w14:paraId="5D693697" w14:textId="5320B33E" w:rsidR="00ED26B4" w:rsidRDefault="00ED26B4">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28603039" w14:textId="41152E35" w:rsidR="00ED26B4" w:rsidRDefault="00E10667">
                                    <w:pPr>
                                      <w:rPr>
                                        <w:color w:val="000000" w:themeColor="text1"/>
                                      </w:rPr>
                                    </w:pPr>
                                    <w:r>
                                      <w:rPr>
                                        <w:color w:val="000000" w:themeColor="text1"/>
                                      </w:rPr>
                                      <w:t>The Build and Natural Environment sector has had to change their view on the environment as the public and governments over the world start a journey to improve environmental conditions, this is where Environmental Impact Assessments</w:t>
                                    </w:r>
                                    <w:r w:rsidR="00AB40B3">
                                      <w:rPr>
                                        <w:color w:val="000000" w:themeColor="text1"/>
                                      </w:rPr>
                                      <w:t xml:space="preserve"> (EIA)</w:t>
                                    </w:r>
                                    <w:r>
                                      <w:rPr>
                                        <w:color w:val="000000" w:themeColor="text1"/>
                                      </w:rPr>
                                      <w:t xml:space="preserve"> and new legislation have been put into place. The case study being review in this report is Cleve Hill Solar Park, Faversham. The report </w:t>
                                    </w:r>
                                    <w:r w:rsidR="00AB40B3">
                                      <w:rPr>
                                        <w:color w:val="000000" w:themeColor="text1"/>
                                      </w:rPr>
                                      <w:t>examines</w:t>
                                    </w:r>
                                    <w:r>
                                      <w:rPr>
                                        <w:color w:val="000000" w:themeColor="text1"/>
                                      </w:rPr>
                                      <w:t xml:space="preserve"> how the case study</w:t>
                                    </w:r>
                                    <w:r w:rsidR="00AB40B3">
                                      <w:rPr>
                                        <w:color w:val="000000" w:themeColor="text1"/>
                                      </w:rPr>
                                      <w:t xml:space="preserve"> carried out their EIA, focusing on Ecology, mitigation and monitoring. The report found that extensive surveys where carried to establish what type of habitats and wildlife could be found in the possible site, however, little details was given on what plans were in place to mitigate the impact to the habitat and wildlife, and no monitoring methods were given.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D26CDBB" w14:textId="0547B5F3" w:rsidR="00ED26B4" w:rsidRDefault="00ED26B4">
                                    <w:pPr>
                                      <w:pStyle w:val="NoSpacing"/>
                                      <w:rPr>
                                        <w:color w:val="ED7D31" w:themeColor="accent2"/>
                                        <w:sz w:val="26"/>
                                        <w:szCs w:val="26"/>
                                      </w:rPr>
                                    </w:pPr>
                                    <w:r>
                                      <w:rPr>
                                        <w:color w:val="ED7D31" w:themeColor="accent2"/>
                                        <w:sz w:val="26"/>
                                        <w:szCs w:val="26"/>
                                      </w:rPr>
                                      <w:t>Marie Amy West (1702919)</w:t>
                                    </w:r>
                                  </w:p>
                                </w:sdtContent>
                              </w:sdt>
                              <w:p w14:paraId="24AF3C4D" w14:textId="55EFDAE6" w:rsidR="00ED26B4" w:rsidRDefault="00ED26B4">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10667">
                                      <w:rPr>
                                        <w:color w:val="44546A" w:themeColor="text2"/>
                                      </w:rPr>
                                      <w:t>11/04/2021</w:t>
                                    </w:r>
                                  </w:sdtContent>
                                </w:sdt>
                              </w:p>
                            </w:tc>
                          </w:tr>
                        </w:tbl>
                        <w:p w14:paraId="01403FE3" w14:textId="77777777" w:rsidR="00ED26B4" w:rsidRDefault="00ED26B4"/>
                      </w:txbxContent>
                    </v:textbox>
                    <w10:wrap anchorx="page" anchory="page"/>
                  </v:shape>
                </w:pict>
              </mc:Fallback>
            </mc:AlternateContent>
          </w:r>
          <w:r>
            <w:br w:type="page"/>
          </w:r>
        </w:p>
      </w:sdtContent>
    </w:sdt>
    <w:sdt>
      <w:sdtPr>
        <w:id w:val="2766092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758ACF6" w14:textId="7C5C9EA0" w:rsidR="00FC3815" w:rsidRDefault="00FC3815">
          <w:pPr>
            <w:pStyle w:val="TOCHeading"/>
          </w:pPr>
          <w:r>
            <w:t>Contents</w:t>
          </w:r>
        </w:p>
        <w:p w14:paraId="0C52CA9E" w14:textId="2162751E" w:rsidR="00FC3815" w:rsidRDefault="00FC3815">
          <w:pPr>
            <w:pStyle w:val="TOC1"/>
            <w:tabs>
              <w:tab w:val="right" w:leader="dot" w:pos="9016"/>
            </w:tabs>
            <w:rPr>
              <w:noProof/>
            </w:rPr>
          </w:pPr>
          <w:r>
            <w:fldChar w:fldCharType="begin"/>
          </w:r>
          <w:r>
            <w:instrText xml:space="preserve"> TOC \o "1-3" \h \z \u </w:instrText>
          </w:r>
          <w:r>
            <w:fldChar w:fldCharType="separate"/>
          </w:r>
          <w:hyperlink w:anchor="_Toc69053465" w:history="1">
            <w:r w:rsidRPr="00960667">
              <w:rPr>
                <w:rStyle w:val="Hyperlink"/>
                <w:noProof/>
              </w:rPr>
              <w:t>1.0 Introduction</w:t>
            </w:r>
            <w:r>
              <w:rPr>
                <w:noProof/>
                <w:webHidden/>
              </w:rPr>
              <w:tab/>
            </w:r>
            <w:r>
              <w:rPr>
                <w:noProof/>
                <w:webHidden/>
              </w:rPr>
              <w:fldChar w:fldCharType="begin"/>
            </w:r>
            <w:r>
              <w:rPr>
                <w:noProof/>
                <w:webHidden/>
              </w:rPr>
              <w:instrText xml:space="preserve"> PAGEREF _Toc69053465 \h </w:instrText>
            </w:r>
            <w:r>
              <w:rPr>
                <w:noProof/>
                <w:webHidden/>
              </w:rPr>
            </w:r>
            <w:r>
              <w:rPr>
                <w:noProof/>
                <w:webHidden/>
              </w:rPr>
              <w:fldChar w:fldCharType="separate"/>
            </w:r>
            <w:r>
              <w:rPr>
                <w:noProof/>
                <w:webHidden/>
              </w:rPr>
              <w:t>4</w:t>
            </w:r>
            <w:r>
              <w:rPr>
                <w:noProof/>
                <w:webHidden/>
              </w:rPr>
              <w:fldChar w:fldCharType="end"/>
            </w:r>
          </w:hyperlink>
        </w:p>
        <w:p w14:paraId="5F33D9A7" w14:textId="34940093" w:rsidR="00FC3815" w:rsidRDefault="00FC3815">
          <w:pPr>
            <w:pStyle w:val="TOC1"/>
            <w:tabs>
              <w:tab w:val="right" w:leader="dot" w:pos="9016"/>
            </w:tabs>
            <w:rPr>
              <w:noProof/>
            </w:rPr>
          </w:pPr>
          <w:hyperlink w:anchor="_Toc69053466" w:history="1">
            <w:r w:rsidRPr="00960667">
              <w:rPr>
                <w:rStyle w:val="Hyperlink"/>
                <w:noProof/>
              </w:rPr>
              <w:t>2.0 What is an Environmental Impact Assessment?</w:t>
            </w:r>
            <w:r>
              <w:rPr>
                <w:noProof/>
                <w:webHidden/>
              </w:rPr>
              <w:tab/>
            </w:r>
            <w:r>
              <w:rPr>
                <w:noProof/>
                <w:webHidden/>
              </w:rPr>
              <w:fldChar w:fldCharType="begin"/>
            </w:r>
            <w:r>
              <w:rPr>
                <w:noProof/>
                <w:webHidden/>
              </w:rPr>
              <w:instrText xml:space="preserve"> PAGEREF _Toc69053466 \h </w:instrText>
            </w:r>
            <w:r>
              <w:rPr>
                <w:noProof/>
                <w:webHidden/>
              </w:rPr>
            </w:r>
            <w:r>
              <w:rPr>
                <w:noProof/>
                <w:webHidden/>
              </w:rPr>
              <w:fldChar w:fldCharType="separate"/>
            </w:r>
            <w:r>
              <w:rPr>
                <w:noProof/>
                <w:webHidden/>
              </w:rPr>
              <w:t>4</w:t>
            </w:r>
            <w:r>
              <w:rPr>
                <w:noProof/>
                <w:webHidden/>
              </w:rPr>
              <w:fldChar w:fldCharType="end"/>
            </w:r>
          </w:hyperlink>
        </w:p>
        <w:p w14:paraId="6331B5BB" w14:textId="306198F0" w:rsidR="00FC3815" w:rsidRDefault="00FC3815">
          <w:pPr>
            <w:pStyle w:val="TOC1"/>
            <w:tabs>
              <w:tab w:val="right" w:leader="dot" w:pos="9016"/>
            </w:tabs>
            <w:rPr>
              <w:noProof/>
            </w:rPr>
          </w:pPr>
          <w:hyperlink w:anchor="_Toc69053467" w:history="1">
            <w:r w:rsidRPr="00960667">
              <w:rPr>
                <w:rStyle w:val="Hyperlink"/>
                <w:noProof/>
              </w:rPr>
              <w:t>3.0 Cleve Hill Solar Park Background Project</w:t>
            </w:r>
            <w:r>
              <w:rPr>
                <w:noProof/>
                <w:webHidden/>
              </w:rPr>
              <w:tab/>
            </w:r>
            <w:r>
              <w:rPr>
                <w:noProof/>
                <w:webHidden/>
              </w:rPr>
              <w:fldChar w:fldCharType="begin"/>
            </w:r>
            <w:r>
              <w:rPr>
                <w:noProof/>
                <w:webHidden/>
              </w:rPr>
              <w:instrText xml:space="preserve"> PAGEREF _Toc69053467 \h </w:instrText>
            </w:r>
            <w:r>
              <w:rPr>
                <w:noProof/>
                <w:webHidden/>
              </w:rPr>
            </w:r>
            <w:r>
              <w:rPr>
                <w:noProof/>
                <w:webHidden/>
              </w:rPr>
              <w:fldChar w:fldCharType="separate"/>
            </w:r>
            <w:r>
              <w:rPr>
                <w:noProof/>
                <w:webHidden/>
              </w:rPr>
              <w:t>6</w:t>
            </w:r>
            <w:r>
              <w:rPr>
                <w:noProof/>
                <w:webHidden/>
              </w:rPr>
              <w:fldChar w:fldCharType="end"/>
            </w:r>
          </w:hyperlink>
        </w:p>
        <w:p w14:paraId="0515AD84" w14:textId="2B5AB238" w:rsidR="00FC3815" w:rsidRDefault="00FC3815">
          <w:pPr>
            <w:pStyle w:val="TOC1"/>
            <w:tabs>
              <w:tab w:val="right" w:leader="dot" w:pos="9016"/>
            </w:tabs>
            <w:rPr>
              <w:noProof/>
            </w:rPr>
          </w:pPr>
          <w:hyperlink w:anchor="_Toc69053468" w:history="1">
            <w:r w:rsidRPr="00960667">
              <w:rPr>
                <w:rStyle w:val="Hyperlink"/>
                <w:noProof/>
              </w:rPr>
              <w:t>3.1 Ecology</w:t>
            </w:r>
            <w:r>
              <w:rPr>
                <w:noProof/>
                <w:webHidden/>
              </w:rPr>
              <w:tab/>
            </w:r>
            <w:r>
              <w:rPr>
                <w:noProof/>
                <w:webHidden/>
              </w:rPr>
              <w:fldChar w:fldCharType="begin"/>
            </w:r>
            <w:r>
              <w:rPr>
                <w:noProof/>
                <w:webHidden/>
              </w:rPr>
              <w:instrText xml:space="preserve"> PAGEREF _Toc69053468 \h </w:instrText>
            </w:r>
            <w:r>
              <w:rPr>
                <w:noProof/>
                <w:webHidden/>
              </w:rPr>
            </w:r>
            <w:r>
              <w:rPr>
                <w:noProof/>
                <w:webHidden/>
              </w:rPr>
              <w:fldChar w:fldCharType="separate"/>
            </w:r>
            <w:r>
              <w:rPr>
                <w:noProof/>
                <w:webHidden/>
              </w:rPr>
              <w:t>8</w:t>
            </w:r>
            <w:r>
              <w:rPr>
                <w:noProof/>
                <w:webHidden/>
              </w:rPr>
              <w:fldChar w:fldCharType="end"/>
            </w:r>
          </w:hyperlink>
        </w:p>
        <w:p w14:paraId="2BAE479E" w14:textId="63748937" w:rsidR="00FC3815" w:rsidRDefault="00FC3815">
          <w:pPr>
            <w:pStyle w:val="TOC1"/>
            <w:tabs>
              <w:tab w:val="right" w:leader="dot" w:pos="9016"/>
            </w:tabs>
            <w:rPr>
              <w:noProof/>
            </w:rPr>
          </w:pPr>
          <w:hyperlink w:anchor="_Toc69053469" w:history="1">
            <w:r w:rsidRPr="00960667">
              <w:rPr>
                <w:rStyle w:val="Hyperlink"/>
                <w:noProof/>
              </w:rPr>
              <w:t>4.0 Review of Academic Literature</w:t>
            </w:r>
            <w:r>
              <w:rPr>
                <w:noProof/>
                <w:webHidden/>
              </w:rPr>
              <w:tab/>
            </w:r>
            <w:r>
              <w:rPr>
                <w:noProof/>
                <w:webHidden/>
              </w:rPr>
              <w:fldChar w:fldCharType="begin"/>
            </w:r>
            <w:r>
              <w:rPr>
                <w:noProof/>
                <w:webHidden/>
              </w:rPr>
              <w:instrText xml:space="preserve"> PAGEREF _Toc69053469 \h </w:instrText>
            </w:r>
            <w:r>
              <w:rPr>
                <w:noProof/>
                <w:webHidden/>
              </w:rPr>
            </w:r>
            <w:r>
              <w:rPr>
                <w:noProof/>
                <w:webHidden/>
              </w:rPr>
              <w:fldChar w:fldCharType="separate"/>
            </w:r>
            <w:r>
              <w:rPr>
                <w:noProof/>
                <w:webHidden/>
              </w:rPr>
              <w:t>10</w:t>
            </w:r>
            <w:r>
              <w:rPr>
                <w:noProof/>
                <w:webHidden/>
              </w:rPr>
              <w:fldChar w:fldCharType="end"/>
            </w:r>
          </w:hyperlink>
        </w:p>
        <w:p w14:paraId="57FE47BF" w14:textId="6B822356" w:rsidR="00FC3815" w:rsidRDefault="00FC3815">
          <w:pPr>
            <w:pStyle w:val="TOC1"/>
            <w:tabs>
              <w:tab w:val="right" w:leader="dot" w:pos="9016"/>
            </w:tabs>
            <w:rPr>
              <w:noProof/>
            </w:rPr>
          </w:pPr>
          <w:hyperlink w:anchor="_Toc69053470" w:history="1">
            <w:r w:rsidRPr="00960667">
              <w:rPr>
                <w:rStyle w:val="Hyperlink"/>
                <w:noProof/>
              </w:rPr>
              <w:t>4.1 The Screening and Scoping</w:t>
            </w:r>
            <w:r>
              <w:rPr>
                <w:noProof/>
                <w:webHidden/>
              </w:rPr>
              <w:tab/>
            </w:r>
            <w:r>
              <w:rPr>
                <w:noProof/>
                <w:webHidden/>
              </w:rPr>
              <w:fldChar w:fldCharType="begin"/>
            </w:r>
            <w:r>
              <w:rPr>
                <w:noProof/>
                <w:webHidden/>
              </w:rPr>
              <w:instrText xml:space="preserve"> PAGEREF _Toc69053470 \h </w:instrText>
            </w:r>
            <w:r>
              <w:rPr>
                <w:noProof/>
                <w:webHidden/>
              </w:rPr>
            </w:r>
            <w:r>
              <w:rPr>
                <w:noProof/>
                <w:webHidden/>
              </w:rPr>
              <w:fldChar w:fldCharType="separate"/>
            </w:r>
            <w:r>
              <w:rPr>
                <w:noProof/>
                <w:webHidden/>
              </w:rPr>
              <w:t>10</w:t>
            </w:r>
            <w:r>
              <w:rPr>
                <w:noProof/>
                <w:webHidden/>
              </w:rPr>
              <w:fldChar w:fldCharType="end"/>
            </w:r>
          </w:hyperlink>
        </w:p>
        <w:p w14:paraId="511351F0" w14:textId="6278B8F9" w:rsidR="00FC3815" w:rsidRDefault="00FC3815">
          <w:pPr>
            <w:pStyle w:val="TOC1"/>
            <w:tabs>
              <w:tab w:val="right" w:leader="dot" w:pos="9016"/>
            </w:tabs>
            <w:rPr>
              <w:noProof/>
            </w:rPr>
          </w:pPr>
          <w:hyperlink w:anchor="_Toc69053471" w:history="1">
            <w:r w:rsidRPr="00960667">
              <w:rPr>
                <w:rStyle w:val="Hyperlink"/>
                <w:noProof/>
              </w:rPr>
              <w:t>4.2 Public Participation</w:t>
            </w:r>
            <w:r>
              <w:rPr>
                <w:noProof/>
                <w:webHidden/>
              </w:rPr>
              <w:tab/>
            </w:r>
            <w:r>
              <w:rPr>
                <w:noProof/>
                <w:webHidden/>
              </w:rPr>
              <w:fldChar w:fldCharType="begin"/>
            </w:r>
            <w:r>
              <w:rPr>
                <w:noProof/>
                <w:webHidden/>
              </w:rPr>
              <w:instrText xml:space="preserve"> PAGEREF _Toc69053471 \h </w:instrText>
            </w:r>
            <w:r>
              <w:rPr>
                <w:noProof/>
                <w:webHidden/>
              </w:rPr>
            </w:r>
            <w:r>
              <w:rPr>
                <w:noProof/>
                <w:webHidden/>
              </w:rPr>
              <w:fldChar w:fldCharType="separate"/>
            </w:r>
            <w:r>
              <w:rPr>
                <w:noProof/>
                <w:webHidden/>
              </w:rPr>
              <w:t>11</w:t>
            </w:r>
            <w:r>
              <w:rPr>
                <w:noProof/>
                <w:webHidden/>
              </w:rPr>
              <w:fldChar w:fldCharType="end"/>
            </w:r>
          </w:hyperlink>
        </w:p>
        <w:p w14:paraId="6D3B3F13" w14:textId="2A9D87B6" w:rsidR="00FC3815" w:rsidRDefault="00FC3815">
          <w:pPr>
            <w:pStyle w:val="TOC1"/>
            <w:tabs>
              <w:tab w:val="right" w:leader="dot" w:pos="9016"/>
            </w:tabs>
            <w:rPr>
              <w:noProof/>
            </w:rPr>
          </w:pPr>
          <w:hyperlink w:anchor="_Toc69053472" w:history="1">
            <w:r w:rsidRPr="00960667">
              <w:rPr>
                <w:rStyle w:val="Hyperlink"/>
                <w:noProof/>
              </w:rPr>
              <w:t>4.3 Ecology, Mitigation and Monitoring</w:t>
            </w:r>
            <w:r>
              <w:rPr>
                <w:noProof/>
                <w:webHidden/>
              </w:rPr>
              <w:tab/>
            </w:r>
            <w:r>
              <w:rPr>
                <w:noProof/>
                <w:webHidden/>
              </w:rPr>
              <w:fldChar w:fldCharType="begin"/>
            </w:r>
            <w:r>
              <w:rPr>
                <w:noProof/>
                <w:webHidden/>
              </w:rPr>
              <w:instrText xml:space="preserve"> PAGEREF _Toc69053472 \h </w:instrText>
            </w:r>
            <w:r>
              <w:rPr>
                <w:noProof/>
                <w:webHidden/>
              </w:rPr>
            </w:r>
            <w:r>
              <w:rPr>
                <w:noProof/>
                <w:webHidden/>
              </w:rPr>
              <w:fldChar w:fldCharType="separate"/>
            </w:r>
            <w:r>
              <w:rPr>
                <w:noProof/>
                <w:webHidden/>
              </w:rPr>
              <w:t>12</w:t>
            </w:r>
            <w:r>
              <w:rPr>
                <w:noProof/>
                <w:webHidden/>
              </w:rPr>
              <w:fldChar w:fldCharType="end"/>
            </w:r>
          </w:hyperlink>
        </w:p>
        <w:p w14:paraId="14EFA268" w14:textId="63A58521" w:rsidR="00FC3815" w:rsidRDefault="00FC3815">
          <w:pPr>
            <w:pStyle w:val="TOC1"/>
            <w:tabs>
              <w:tab w:val="right" w:leader="dot" w:pos="9016"/>
            </w:tabs>
            <w:rPr>
              <w:noProof/>
            </w:rPr>
          </w:pPr>
          <w:hyperlink w:anchor="_Toc69053473" w:history="1">
            <w:r w:rsidRPr="00960667">
              <w:rPr>
                <w:rStyle w:val="Hyperlink"/>
                <w:noProof/>
              </w:rPr>
              <w:t>5.0 Changes in Legislation</w:t>
            </w:r>
            <w:r>
              <w:rPr>
                <w:noProof/>
                <w:webHidden/>
              </w:rPr>
              <w:tab/>
            </w:r>
            <w:r>
              <w:rPr>
                <w:noProof/>
                <w:webHidden/>
              </w:rPr>
              <w:fldChar w:fldCharType="begin"/>
            </w:r>
            <w:r>
              <w:rPr>
                <w:noProof/>
                <w:webHidden/>
              </w:rPr>
              <w:instrText xml:space="preserve"> PAGEREF _Toc69053473 \h </w:instrText>
            </w:r>
            <w:r>
              <w:rPr>
                <w:noProof/>
                <w:webHidden/>
              </w:rPr>
            </w:r>
            <w:r>
              <w:rPr>
                <w:noProof/>
                <w:webHidden/>
              </w:rPr>
              <w:fldChar w:fldCharType="separate"/>
            </w:r>
            <w:r>
              <w:rPr>
                <w:noProof/>
                <w:webHidden/>
              </w:rPr>
              <w:t>13</w:t>
            </w:r>
            <w:r>
              <w:rPr>
                <w:noProof/>
                <w:webHidden/>
              </w:rPr>
              <w:fldChar w:fldCharType="end"/>
            </w:r>
          </w:hyperlink>
        </w:p>
        <w:p w14:paraId="483635D7" w14:textId="43109E7A" w:rsidR="00FC3815" w:rsidRDefault="00FC3815">
          <w:pPr>
            <w:pStyle w:val="TOC1"/>
            <w:tabs>
              <w:tab w:val="right" w:leader="dot" w:pos="9016"/>
            </w:tabs>
            <w:rPr>
              <w:noProof/>
            </w:rPr>
          </w:pPr>
          <w:hyperlink w:anchor="_Toc69053474" w:history="1">
            <w:r w:rsidRPr="00960667">
              <w:rPr>
                <w:rStyle w:val="Hyperlink"/>
                <w:noProof/>
              </w:rPr>
              <w:t>6.0 Conclusion</w:t>
            </w:r>
            <w:r>
              <w:rPr>
                <w:noProof/>
                <w:webHidden/>
              </w:rPr>
              <w:tab/>
            </w:r>
            <w:r>
              <w:rPr>
                <w:noProof/>
                <w:webHidden/>
              </w:rPr>
              <w:fldChar w:fldCharType="begin"/>
            </w:r>
            <w:r>
              <w:rPr>
                <w:noProof/>
                <w:webHidden/>
              </w:rPr>
              <w:instrText xml:space="preserve"> PAGEREF _Toc69053474 \h </w:instrText>
            </w:r>
            <w:r>
              <w:rPr>
                <w:noProof/>
                <w:webHidden/>
              </w:rPr>
            </w:r>
            <w:r>
              <w:rPr>
                <w:noProof/>
                <w:webHidden/>
              </w:rPr>
              <w:fldChar w:fldCharType="separate"/>
            </w:r>
            <w:r>
              <w:rPr>
                <w:noProof/>
                <w:webHidden/>
              </w:rPr>
              <w:t>14</w:t>
            </w:r>
            <w:r>
              <w:rPr>
                <w:noProof/>
                <w:webHidden/>
              </w:rPr>
              <w:fldChar w:fldCharType="end"/>
            </w:r>
          </w:hyperlink>
        </w:p>
        <w:p w14:paraId="62BC4C93" w14:textId="629C2483" w:rsidR="00FC3815" w:rsidRDefault="00FC3815">
          <w:pPr>
            <w:pStyle w:val="TOC1"/>
            <w:tabs>
              <w:tab w:val="right" w:leader="dot" w:pos="9016"/>
            </w:tabs>
            <w:rPr>
              <w:noProof/>
            </w:rPr>
          </w:pPr>
          <w:hyperlink w:anchor="_Toc69053475" w:history="1">
            <w:r w:rsidRPr="00960667">
              <w:rPr>
                <w:rStyle w:val="Hyperlink"/>
                <w:noProof/>
                <w:lang w:val="fr-FR"/>
              </w:rPr>
              <w:t xml:space="preserve">7.0 </w:t>
            </w:r>
            <w:r w:rsidRPr="00960667">
              <w:rPr>
                <w:rStyle w:val="Hyperlink"/>
                <w:noProof/>
              </w:rPr>
              <w:t>References</w:t>
            </w:r>
            <w:r>
              <w:rPr>
                <w:noProof/>
                <w:webHidden/>
              </w:rPr>
              <w:tab/>
            </w:r>
            <w:r>
              <w:rPr>
                <w:noProof/>
                <w:webHidden/>
              </w:rPr>
              <w:fldChar w:fldCharType="begin"/>
            </w:r>
            <w:r>
              <w:rPr>
                <w:noProof/>
                <w:webHidden/>
              </w:rPr>
              <w:instrText xml:space="preserve"> PAGEREF _Toc69053475 \h </w:instrText>
            </w:r>
            <w:r>
              <w:rPr>
                <w:noProof/>
                <w:webHidden/>
              </w:rPr>
            </w:r>
            <w:r>
              <w:rPr>
                <w:noProof/>
                <w:webHidden/>
              </w:rPr>
              <w:fldChar w:fldCharType="separate"/>
            </w:r>
            <w:r>
              <w:rPr>
                <w:noProof/>
                <w:webHidden/>
              </w:rPr>
              <w:t>15</w:t>
            </w:r>
            <w:r>
              <w:rPr>
                <w:noProof/>
                <w:webHidden/>
              </w:rPr>
              <w:fldChar w:fldCharType="end"/>
            </w:r>
          </w:hyperlink>
        </w:p>
        <w:p w14:paraId="5FF035FA" w14:textId="395B3DBF" w:rsidR="00FC3815" w:rsidRDefault="00FC3815">
          <w:r>
            <w:rPr>
              <w:b/>
              <w:bCs/>
              <w:noProof/>
            </w:rPr>
            <w:fldChar w:fldCharType="end"/>
          </w:r>
        </w:p>
      </w:sdtContent>
    </w:sdt>
    <w:p w14:paraId="21663191" w14:textId="7394DA6C" w:rsidR="004E7B8A" w:rsidRPr="00E76BB9" w:rsidRDefault="004E7B8A">
      <w:pPr>
        <w:rPr>
          <w:lang w:val="fr-FR"/>
        </w:rPr>
      </w:pPr>
    </w:p>
    <w:p w14:paraId="7A228E4C" w14:textId="1AB9E49C" w:rsidR="00C83A62" w:rsidRPr="00E76BB9" w:rsidRDefault="00C83A62">
      <w:pPr>
        <w:rPr>
          <w:lang w:val="fr-FR"/>
        </w:rPr>
      </w:pPr>
    </w:p>
    <w:p w14:paraId="6883F6D5" w14:textId="29A13221" w:rsidR="00C83A62" w:rsidRPr="00E76BB9" w:rsidRDefault="00C83A62">
      <w:pPr>
        <w:rPr>
          <w:lang w:val="fr-FR"/>
        </w:rPr>
      </w:pPr>
    </w:p>
    <w:p w14:paraId="280CF348" w14:textId="13DDDC16" w:rsidR="00C83A62" w:rsidRPr="00E76BB9" w:rsidRDefault="00C83A62">
      <w:pPr>
        <w:rPr>
          <w:lang w:val="fr-FR"/>
        </w:rPr>
      </w:pPr>
    </w:p>
    <w:p w14:paraId="4151040B" w14:textId="5C1501D8" w:rsidR="00C83A62" w:rsidRPr="00E76BB9" w:rsidRDefault="00C83A62">
      <w:pPr>
        <w:rPr>
          <w:lang w:val="fr-FR"/>
        </w:rPr>
      </w:pPr>
    </w:p>
    <w:p w14:paraId="2CF4B23B" w14:textId="42665774" w:rsidR="00C83A62" w:rsidRPr="00E76BB9" w:rsidRDefault="00C83A62">
      <w:pPr>
        <w:rPr>
          <w:lang w:val="fr-FR"/>
        </w:rPr>
      </w:pPr>
    </w:p>
    <w:p w14:paraId="6B35C4B2" w14:textId="08C7CC6A" w:rsidR="00C83A62" w:rsidRPr="00E76BB9" w:rsidRDefault="00C83A62">
      <w:pPr>
        <w:rPr>
          <w:lang w:val="fr-FR"/>
        </w:rPr>
      </w:pPr>
    </w:p>
    <w:p w14:paraId="73F9B9C6" w14:textId="4E58D4C5" w:rsidR="00C83A62" w:rsidRPr="00E76BB9" w:rsidRDefault="00C83A62">
      <w:pPr>
        <w:rPr>
          <w:lang w:val="fr-FR"/>
        </w:rPr>
      </w:pPr>
    </w:p>
    <w:p w14:paraId="40E75C83" w14:textId="06D4EA5B" w:rsidR="00C83A62" w:rsidRPr="00E76BB9" w:rsidRDefault="00C83A62">
      <w:pPr>
        <w:rPr>
          <w:lang w:val="fr-FR"/>
        </w:rPr>
      </w:pPr>
    </w:p>
    <w:p w14:paraId="312F5397" w14:textId="7FA699F9" w:rsidR="00C83A62" w:rsidRPr="00E76BB9" w:rsidRDefault="00C83A62">
      <w:pPr>
        <w:rPr>
          <w:lang w:val="fr-FR"/>
        </w:rPr>
      </w:pPr>
    </w:p>
    <w:p w14:paraId="356DE8A8" w14:textId="548350F8" w:rsidR="00C83A62" w:rsidRPr="00E76BB9" w:rsidRDefault="00C83A62">
      <w:pPr>
        <w:rPr>
          <w:lang w:val="fr-FR"/>
        </w:rPr>
      </w:pPr>
    </w:p>
    <w:p w14:paraId="4CC60F10" w14:textId="653CB1E6" w:rsidR="00C83A62" w:rsidRPr="00E76BB9" w:rsidRDefault="00C83A62">
      <w:pPr>
        <w:rPr>
          <w:lang w:val="fr-FR"/>
        </w:rPr>
      </w:pPr>
    </w:p>
    <w:p w14:paraId="6481C3A2" w14:textId="613AFA16" w:rsidR="00C83A62" w:rsidRPr="00E76BB9" w:rsidRDefault="00C83A62">
      <w:pPr>
        <w:rPr>
          <w:lang w:val="fr-FR"/>
        </w:rPr>
      </w:pPr>
    </w:p>
    <w:p w14:paraId="2E990ED6" w14:textId="40DAF059" w:rsidR="00C83A62" w:rsidRPr="00E76BB9" w:rsidRDefault="00C83A62">
      <w:pPr>
        <w:rPr>
          <w:lang w:val="fr-FR"/>
        </w:rPr>
      </w:pPr>
    </w:p>
    <w:p w14:paraId="2A43608C" w14:textId="75DBA902" w:rsidR="00C83A62" w:rsidRPr="00E76BB9" w:rsidRDefault="00C83A62">
      <w:pPr>
        <w:rPr>
          <w:lang w:val="fr-FR"/>
        </w:rPr>
      </w:pPr>
    </w:p>
    <w:p w14:paraId="06EF9CE1" w14:textId="31620DA0" w:rsidR="00C83A62" w:rsidRPr="00E76BB9" w:rsidRDefault="00C83A62">
      <w:pPr>
        <w:rPr>
          <w:lang w:val="fr-FR"/>
        </w:rPr>
      </w:pPr>
    </w:p>
    <w:p w14:paraId="19B17B35" w14:textId="48D0700D" w:rsidR="00C83A62" w:rsidRPr="00E76BB9" w:rsidRDefault="00C83A62">
      <w:pPr>
        <w:rPr>
          <w:lang w:val="fr-FR"/>
        </w:rPr>
      </w:pPr>
    </w:p>
    <w:p w14:paraId="4D606C29" w14:textId="723E6CBD" w:rsidR="00C83A62" w:rsidRDefault="00C83A62">
      <w:pPr>
        <w:rPr>
          <w:lang w:val="fr-FR"/>
        </w:rPr>
      </w:pPr>
    </w:p>
    <w:p w14:paraId="5FDE881E" w14:textId="77777777" w:rsidR="00FC3815" w:rsidRPr="00E76BB9" w:rsidRDefault="00FC3815">
      <w:pPr>
        <w:rPr>
          <w:lang w:val="fr-FR"/>
        </w:rPr>
      </w:pPr>
    </w:p>
    <w:p w14:paraId="453FE679" w14:textId="4062106E" w:rsidR="00C83A62" w:rsidRDefault="00C83A62" w:rsidP="00227697">
      <w:pPr>
        <w:ind w:left="3600"/>
        <w:rPr>
          <w:b/>
          <w:bCs/>
          <w:u w:val="single"/>
          <w:lang w:val="fr-FR"/>
        </w:rPr>
      </w:pPr>
      <w:r w:rsidRPr="00AB40B3">
        <w:rPr>
          <w:b/>
          <w:bCs/>
          <w:u w:val="single"/>
          <w:lang w:val="fr-FR"/>
        </w:rPr>
        <w:lastRenderedPageBreak/>
        <w:t>Figure page</w:t>
      </w:r>
    </w:p>
    <w:p w14:paraId="0D1D32D7" w14:textId="77777777" w:rsidR="00227697" w:rsidRPr="00AB40B3" w:rsidRDefault="00227697" w:rsidP="00227697">
      <w:pPr>
        <w:ind w:left="3600"/>
        <w:rPr>
          <w:b/>
          <w:bCs/>
          <w:u w:val="single"/>
          <w:lang w:val="fr-FR"/>
        </w:rPr>
      </w:pPr>
    </w:p>
    <w:p w14:paraId="29DEE7A3" w14:textId="50663136" w:rsidR="00C83A62" w:rsidRDefault="00AB40B3">
      <w:r w:rsidRPr="00AB40B3">
        <w:t xml:space="preserve">Figure 1 : </w:t>
      </w:r>
      <w:r w:rsidRPr="00AB40B3">
        <w:t>The Environmental Impact Assessment Process (Croner-I Ltd, 2021</w:t>
      </w:r>
      <w:r>
        <w:t>)……………………</w:t>
      </w:r>
      <w:r w:rsidR="00FC3815">
        <w:t>…………</w:t>
      </w:r>
      <w:r>
        <w:t>.</w:t>
      </w:r>
      <w:r w:rsidR="00FC3815">
        <w:t>5</w:t>
      </w:r>
    </w:p>
    <w:p w14:paraId="66990992" w14:textId="471864F1" w:rsidR="00AB40B3" w:rsidRPr="00AB40B3" w:rsidRDefault="00AB40B3">
      <w:r>
        <w:t>Figure 2 :</w:t>
      </w:r>
      <w:r w:rsidRPr="00AB40B3">
        <w:t xml:space="preserve"> The proposed Solar Park Site with designated area shown (Natural England, 2020)</w:t>
      </w:r>
      <w:r>
        <w:t>…………</w:t>
      </w:r>
      <w:r w:rsidR="00FC3815">
        <w:t>7</w:t>
      </w:r>
    </w:p>
    <w:p w14:paraId="4972D79A" w14:textId="55C61645" w:rsidR="00C83A62" w:rsidRPr="00AB40B3" w:rsidRDefault="00C83A62"/>
    <w:p w14:paraId="2B51416A" w14:textId="67474C02" w:rsidR="00C83A62" w:rsidRPr="00AB40B3" w:rsidRDefault="00C83A62"/>
    <w:p w14:paraId="353BD406" w14:textId="5341C837" w:rsidR="00C83A62" w:rsidRPr="00AB40B3" w:rsidRDefault="00C83A62"/>
    <w:p w14:paraId="1DAABE40" w14:textId="3A514FAD" w:rsidR="00C83A62" w:rsidRPr="00AB40B3" w:rsidRDefault="00C83A62"/>
    <w:p w14:paraId="5C6A830D" w14:textId="7D327671" w:rsidR="00C83A62" w:rsidRPr="00AB40B3" w:rsidRDefault="00C83A62"/>
    <w:p w14:paraId="13F6BC66" w14:textId="7BA64588" w:rsidR="00C83A62" w:rsidRPr="00AB40B3" w:rsidRDefault="00C83A62"/>
    <w:p w14:paraId="34C66041" w14:textId="39675C2E" w:rsidR="00C83A62" w:rsidRPr="00AB40B3" w:rsidRDefault="00C83A62"/>
    <w:p w14:paraId="4D481DE3" w14:textId="62AF6AC0" w:rsidR="00C83A62" w:rsidRPr="00AB40B3" w:rsidRDefault="00C83A62"/>
    <w:p w14:paraId="7E9F270E" w14:textId="3AAA4616" w:rsidR="00C83A62" w:rsidRPr="00AB40B3" w:rsidRDefault="00C83A62"/>
    <w:p w14:paraId="314F9987" w14:textId="55C19A39" w:rsidR="00C83A62" w:rsidRPr="00AB40B3" w:rsidRDefault="00C83A62"/>
    <w:p w14:paraId="7F464FCD" w14:textId="4770562C" w:rsidR="00C83A62" w:rsidRPr="00AB40B3" w:rsidRDefault="00C83A62"/>
    <w:p w14:paraId="3BA6A2A3" w14:textId="02BA1A17" w:rsidR="00C83A62" w:rsidRPr="00AB40B3" w:rsidRDefault="00C83A62"/>
    <w:p w14:paraId="388793C9" w14:textId="443D5F09" w:rsidR="00C83A62" w:rsidRPr="00AB40B3" w:rsidRDefault="00C83A62"/>
    <w:p w14:paraId="0173C506" w14:textId="515A281B" w:rsidR="00C83A62" w:rsidRPr="00AB40B3" w:rsidRDefault="00C83A62"/>
    <w:p w14:paraId="0AC1851B" w14:textId="3D1C0DF6" w:rsidR="00C83A62" w:rsidRPr="00AB40B3" w:rsidRDefault="00C83A62"/>
    <w:p w14:paraId="78507633" w14:textId="41D36894" w:rsidR="00C83A62" w:rsidRPr="00AB40B3" w:rsidRDefault="00C83A62"/>
    <w:p w14:paraId="665FDEE3" w14:textId="06F6A49A" w:rsidR="00C83A62" w:rsidRPr="00AB40B3" w:rsidRDefault="00C83A62"/>
    <w:p w14:paraId="3F155E45" w14:textId="31CE4AFE" w:rsidR="00C83A62" w:rsidRPr="00AB40B3" w:rsidRDefault="00C83A62"/>
    <w:p w14:paraId="521FC884" w14:textId="285C4C6B" w:rsidR="00C83A62" w:rsidRPr="00AB40B3" w:rsidRDefault="00C83A62"/>
    <w:p w14:paraId="77EC5DE3" w14:textId="41DAD66F" w:rsidR="00C83A62" w:rsidRPr="00AB40B3" w:rsidRDefault="00C83A62"/>
    <w:p w14:paraId="03613BAA" w14:textId="443AAC58" w:rsidR="00C83A62" w:rsidRPr="00AB40B3" w:rsidRDefault="00C83A62"/>
    <w:p w14:paraId="19F27FAB" w14:textId="0718727B" w:rsidR="00C83A62" w:rsidRPr="00AB40B3" w:rsidRDefault="00C83A62"/>
    <w:p w14:paraId="4FEC845E" w14:textId="3F9EE004" w:rsidR="00C83A62" w:rsidRPr="00AB40B3" w:rsidRDefault="00C83A62"/>
    <w:p w14:paraId="4D04D970" w14:textId="4E166B50" w:rsidR="00C83A62" w:rsidRPr="00AB40B3" w:rsidRDefault="00C83A62"/>
    <w:p w14:paraId="1395273D" w14:textId="7718D1AB" w:rsidR="00C83A62" w:rsidRDefault="00C83A62"/>
    <w:p w14:paraId="0E30871C" w14:textId="77777777" w:rsidR="00FC3815" w:rsidRPr="00AB40B3" w:rsidRDefault="00FC3815"/>
    <w:p w14:paraId="758E7CB2" w14:textId="77777777" w:rsidR="00AB40B3" w:rsidRDefault="00AB40B3"/>
    <w:p w14:paraId="65B01EBD" w14:textId="370FD5EB" w:rsidR="00C83A62" w:rsidRPr="00AB40B3" w:rsidRDefault="00C83A62" w:rsidP="00227697">
      <w:pPr>
        <w:ind w:left="3600"/>
        <w:rPr>
          <w:b/>
          <w:bCs/>
          <w:u w:val="single"/>
          <w:lang w:val="fr-FR"/>
        </w:rPr>
      </w:pPr>
      <w:r w:rsidRPr="00AB40B3">
        <w:rPr>
          <w:b/>
          <w:bCs/>
          <w:u w:val="single"/>
        </w:rPr>
        <w:lastRenderedPageBreak/>
        <w:t>Abbreviations</w:t>
      </w:r>
      <w:r w:rsidRPr="00AB40B3">
        <w:rPr>
          <w:b/>
          <w:bCs/>
          <w:u w:val="single"/>
          <w:lang w:val="fr-FR"/>
        </w:rPr>
        <w:t xml:space="preserve"> page </w:t>
      </w:r>
    </w:p>
    <w:p w14:paraId="025DC171" w14:textId="61D2C6B8" w:rsidR="00C83A62" w:rsidRPr="00E76BB9" w:rsidRDefault="00C83A62" w:rsidP="001E566F">
      <w:pPr>
        <w:jc w:val="both"/>
        <w:rPr>
          <w:lang w:val="fr-FR"/>
        </w:rPr>
      </w:pPr>
    </w:p>
    <w:p w14:paraId="6E1E634D" w14:textId="2126AD62" w:rsidR="00C83A62" w:rsidRDefault="001E566F" w:rsidP="001E566F">
      <w:pPr>
        <w:pStyle w:val="ListParagraph"/>
        <w:numPr>
          <w:ilvl w:val="0"/>
          <w:numId w:val="5"/>
        </w:numPr>
        <w:jc w:val="both"/>
        <w:rPr>
          <w:lang w:val="fr-FR"/>
        </w:rPr>
      </w:pPr>
      <w:r w:rsidRPr="001E566F">
        <w:rPr>
          <w:b/>
          <w:bCs/>
          <w:lang w:val="fr-FR"/>
        </w:rPr>
        <w:t>%</w:t>
      </w:r>
      <w:r>
        <w:rPr>
          <w:lang w:val="fr-FR"/>
        </w:rPr>
        <w:t xml:space="preserve"> - Percentage</w:t>
      </w:r>
    </w:p>
    <w:p w14:paraId="63D64BCF" w14:textId="5642C34F" w:rsidR="001E566F" w:rsidRPr="001E566F" w:rsidRDefault="001E566F" w:rsidP="001E566F">
      <w:pPr>
        <w:pStyle w:val="ListParagraph"/>
        <w:numPr>
          <w:ilvl w:val="0"/>
          <w:numId w:val="5"/>
        </w:numPr>
        <w:jc w:val="both"/>
        <w:rPr>
          <w:lang w:val="fr-FR"/>
        </w:rPr>
      </w:pPr>
      <w:r w:rsidRPr="001E566F">
        <w:rPr>
          <w:b/>
          <w:bCs/>
          <w:lang w:val="fr-FR"/>
        </w:rPr>
        <w:t>EIA</w:t>
      </w:r>
      <w:r>
        <w:rPr>
          <w:lang w:val="fr-FR"/>
        </w:rPr>
        <w:t xml:space="preserve"> – </w:t>
      </w:r>
      <w:r w:rsidRPr="001E566F">
        <w:t>Environmental</w:t>
      </w:r>
      <w:r>
        <w:rPr>
          <w:lang w:val="fr-FR"/>
        </w:rPr>
        <w:t xml:space="preserve"> </w:t>
      </w:r>
      <w:r>
        <w:t>Impact Assessment</w:t>
      </w:r>
    </w:p>
    <w:p w14:paraId="5A4B9387" w14:textId="6B134908" w:rsidR="001E566F" w:rsidRPr="001E566F" w:rsidRDefault="001E566F" w:rsidP="001E566F">
      <w:pPr>
        <w:pStyle w:val="ListParagraph"/>
        <w:numPr>
          <w:ilvl w:val="0"/>
          <w:numId w:val="5"/>
        </w:numPr>
        <w:jc w:val="both"/>
        <w:rPr>
          <w:lang w:val="fr-FR"/>
        </w:rPr>
      </w:pPr>
      <w:r w:rsidRPr="001E566F">
        <w:rPr>
          <w:b/>
          <w:bCs/>
        </w:rPr>
        <w:t>ES</w:t>
      </w:r>
      <w:r>
        <w:t xml:space="preserve"> – Environmental Statement </w:t>
      </w:r>
    </w:p>
    <w:p w14:paraId="5DE5B376" w14:textId="39A6D534" w:rsidR="001E566F" w:rsidRPr="001E566F" w:rsidRDefault="001E566F" w:rsidP="001E566F">
      <w:pPr>
        <w:pStyle w:val="ListParagraph"/>
        <w:numPr>
          <w:ilvl w:val="0"/>
          <w:numId w:val="5"/>
        </w:numPr>
        <w:jc w:val="both"/>
        <w:rPr>
          <w:lang w:val="fr-FR"/>
        </w:rPr>
      </w:pPr>
      <w:r w:rsidRPr="001E566F">
        <w:rPr>
          <w:b/>
          <w:bCs/>
        </w:rPr>
        <w:t>EU</w:t>
      </w:r>
      <w:r>
        <w:t xml:space="preserve"> – European Union</w:t>
      </w:r>
    </w:p>
    <w:p w14:paraId="504E0FB2" w14:textId="7D12B8B2" w:rsidR="001E566F" w:rsidRDefault="001E566F" w:rsidP="001E566F">
      <w:pPr>
        <w:pStyle w:val="ListParagraph"/>
        <w:numPr>
          <w:ilvl w:val="0"/>
          <w:numId w:val="5"/>
        </w:numPr>
        <w:jc w:val="both"/>
      </w:pPr>
      <w:r w:rsidRPr="001E566F">
        <w:rPr>
          <w:b/>
          <w:bCs/>
        </w:rPr>
        <w:t>GREAT</w:t>
      </w:r>
      <w:r>
        <w:t xml:space="preserve"> – Graveney Rural Environmental Action Team</w:t>
      </w:r>
    </w:p>
    <w:p w14:paraId="52448923" w14:textId="15291561" w:rsidR="001E566F" w:rsidRDefault="001E566F" w:rsidP="001E566F">
      <w:pPr>
        <w:pStyle w:val="ListParagraph"/>
        <w:numPr>
          <w:ilvl w:val="0"/>
          <w:numId w:val="5"/>
        </w:numPr>
        <w:jc w:val="both"/>
      </w:pPr>
      <w:r w:rsidRPr="001E566F">
        <w:rPr>
          <w:b/>
          <w:bCs/>
        </w:rPr>
        <w:t>Km</w:t>
      </w:r>
      <w:r>
        <w:t xml:space="preserve"> – Kilometre </w:t>
      </w:r>
    </w:p>
    <w:p w14:paraId="6425E86D" w14:textId="236F5184" w:rsidR="001E566F" w:rsidRDefault="001E566F" w:rsidP="001E566F">
      <w:pPr>
        <w:pStyle w:val="ListParagraph"/>
        <w:numPr>
          <w:ilvl w:val="0"/>
          <w:numId w:val="5"/>
        </w:numPr>
        <w:jc w:val="both"/>
      </w:pPr>
      <w:r w:rsidRPr="001E566F">
        <w:rPr>
          <w:b/>
          <w:bCs/>
        </w:rPr>
        <w:t>LNR</w:t>
      </w:r>
      <w:r>
        <w:t xml:space="preserve"> – Local Nature Reserve</w:t>
      </w:r>
    </w:p>
    <w:p w14:paraId="0096F253" w14:textId="4E002E24" w:rsidR="001E566F" w:rsidRDefault="001E566F" w:rsidP="001E566F">
      <w:pPr>
        <w:pStyle w:val="ListParagraph"/>
        <w:numPr>
          <w:ilvl w:val="0"/>
          <w:numId w:val="5"/>
        </w:numPr>
        <w:jc w:val="both"/>
      </w:pPr>
      <w:r w:rsidRPr="001E566F">
        <w:rPr>
          <w:b/>
          <w:bCs/>
        </w:rPr>
        <w:t>MCZ</w:t>
      </w:r>
      <w:r>
        <w:t xml:space="preserve"> – Marine Conservation Zone</w:t>
      </w:r>
    </w:p>
    <w:p w14:paraId="77F700E7" w14:textId="0127FA44" w:rsidR="001E566F" w:rsidRDefault="001E566F" w:rsidP="001E566F">
      <w:pPr>
        <w:pStyle w:val="ListParagraph"/>
        <w:numPr>
          <w:ilvl w:val="0"/>
          <w:numId w:val="5"/>
        </w:numPr>
        <w:jc w:val="both"/>
      </w:pPr>
      <w:r w:rsidRPr="001E566F">
        <w:rPr>
          <w:b/>
          <w:bCs/>
        </w:rPr>
        <w:t>MP</w:t>
      </w:r>
      <w:r>
        <w:t xml:space="preserve"> – Member of Parliament </w:t>
      </w:r>
    </w:p>
    <w:p w14:paraId="75B8BEF1" w14:textId="65EADBE0" w:rsidR="001E566F" w:rsidRDefault="001E566F" w:rsidP="001E566F">
      <w:pPr>
        <w:pStyle w:val="ListParagraph"/>
        <w:numPr>
          <w:ilvl w:val="0"/>
          <w:numId w:val="5"/>
        </w:numPr>
        <w:jc w:val="both"/>
      </w:pPr>
      <w:r w:rsidRPr="001E566F">
        <w:rPr>
          <w:b/>
          <w:bCs/>
        </w:rPr>
        <w:t>MW</w:t>
      </w:r>
      <w:r>
        <w:t xml:space="preserve"> – Megawatt</w:t>
      </w:r>
    </w:p>
    <w:p w14:paraId="5833D3A1" w14:textId="4C87C928" w:rsidR="001E566F" w:rsidRDefault="001E566F" w:rsidP="001E566F">
      <w:pPr>
        <w:pStyle w:val="ListParagraph"/>
        <w:numPr>
          <w:ilvl w:val="0"/>
          <w:numId w:val="5"/>
        </w:numPr>
        <w:jc w:val="both"/>
      </w:pPr>
      <w:r w:rsidRPr="001E566F">
        <w:rPr>
          <w:b/>
          <w:bCs/>
        </w:rPr>
        <w:t xml:space="preserve"> m</w:t>
      </w:r>
      <w:r>
        <w:t>– Metres</w:t>
      </w:r>
    </w:p>
    <w:p w14:paraId="5E998721" w14:textId="245600A7" w:rsidR="001E566F" w:rsidRDefault="001E566F" w:rsidP="001E566F">
      <w:pPr>
        <w:pStyle w:val="ListParagraph"/>
        <w:numPr>
          <w:ilvl w:val="0"/>
          <w:numId w:val="5"/>
        </w:numPr>
        <w:jc w:val="both"/>
      </w:pPr>
      <w:r w:rsidRPr="001E566F">
        <w:rPr>
          <w:b/>
          <w:bCs/>
        </w:rPr>
        <w:t>NNR</w:t>
      </w:r>
      <w:r>
        <w:t xml:space="preserve"> – National Nature Reserve </w:t>
      </w:r>
    </w:p>
    <w:p w14:paraId="1263DBDD" w14:textId="47F50DFA" w:rsidR="001E566F" w:rsidRDefault="001E566F" w:rsidP="001E566F">
      <w:pPr>
        <w:pStyle w:val="ListParagraph"/>
        <w:numPr>
          <w:ilvl w:val="0"/>
          <w:numId w:val="5"/>
        </w:numPr>
        <w:jc w:val="both"/>
      </w:pPr>
      <w:r w:rsidRPr="001E566F">
        <w:rPr>
          <w:b/>
          <w:bCs/>
        </w:rPr>
        <w:t>NSIP</w:t>
      </w:r>
      <w:r>
        <w:t xml:space="preserve"> – Nationally Significant Infrastructure Project </w:t>
      </w:r>
    </w:p>
    <w:p w14:paraId="1F25FA00" w14:textId="66E6DD0E" w:rsidR="001E566F" w:rsidRDefault="001E566F" w:rsidP="001E566F">
      <w:pPr>
        <w:pStyle w:val="ListParagraph"/>
        <w:numPr>
          <w:ilvl w:val="0"/>
          <w:numId w:val="5"/>
        </w:numPr>
        <w:jc w:val="both"/>
      </w:pPr>
      <w:r w:rsidRPr="001E566F">
        <w:rPr>
          <w:b/>
          <w:bCs/>
        </w:rPr>
        <w:t>NTS</w:t>
      </w:r>
      <w:r>
        <w:t xml:space="preserve"> – Non-technical Summary </w:t>
      </w:r>
    </w:p>
    <w:p w14:paraId="56D9BC3C" w14:textId="19F02C94" w:rsidR="001E566F" w:rsidRDefault="001E566F" w:rsidP="001E566F">
      <w:pPr>
        <w:pStyle w:val="ListParagraph"/>
        <w:numPr>
          <w:ilvl w:val="0"/>
          <w:numId w:val="5"/>
        </w:numPr>
        <w:jc w:val="both"/>
      </w:pPr>
      <w:r w:rsidRPr="001E566F">
        <w:rPr>
          <w:b/>
          <w:bCs/>
        </w:rPr>
        <w:t>PV</w:t>
      </w:r>
      <w:r>
        <w:t xml:space="preserve"> – Photovoltaic</w:t>
      </w:r>
    </w:p>
    <w:p w14:paraId="7F04129F" w14:textId="02E3F450" w:rsidR="001E566F" w:rsidRDefault="001E566F" w:rsidP="001E566F">
      <w:pPr>
        <w:pStyle w:val="ListParagraph"/>
        <w:numPr>
          <w:ilvl w:val="0"/>
          <w:numId w:val="5"/>
        </w:numPr>
        <w:jc w:val="both"/>
      </w:pPr>
      <w:r w:rsidRPr="001E566F">
        <w:rPr>
          <w:b/>
          <w:bCs/>
        </w:rPr>
        <w:t>RSPB</w:t>
      </w:r>
      <w:r>
        <w:t xml:space="preserve"> – Royal Society for the Protection of Birds</w:t>
      </w:r>
    </w:p>
    <w:p w14:paraId="504BA98D" w14:textId="2E5167A5" w:rsidR="001E566F" w:rsidRDefault="001E566F" w:rsidP="001E566F">
      <w:pPr>
        <w:pStyle w:val="ListParagraph"/>
        <w:numPr>
          <w:ilvl w:val="0"/>
          <w:numId w:val="5"/>
        </w:numPr>
        <w:jc w:val="both"/>
      </w:pPr>
      <w:r w:rsidRPr="001E566F">
        <w:rPr>
          <w:b/>
          <w:bCs/>
        </w:rPr>
        <w:t>SSSI</w:t>
      </w:r>
      <w:r>
        <w:t xml:space="preserve"> – Site of Special Interest</w:t>
      </w:r>
    </w:p>
    <w:p w14:paraId="5B87C42D" w14:textId="62E13BBA" w:rsidR="001E566F" w:rsidRDefault="001E566F" w:rsidP="001E566F">
      <w:pPr>
        <w:pStyle w:val="ListParagraph"/>
        <w:numPr>
          <w:ilvl w:val="0"/>
          <w:numId w:val="5"/>
        </w:numPr>
        <w:jc w:val="both"/>
      </w:pPr>
      <w:r w:rsidRPr="001E566F">
        <w:rPr>
          <w:b/>
          <w:bCs/>
        </w:rPr>
        <w:t>SAC</w:t>
      </w:r>
      <w:r>
        <w:t xml:space="preserve"> – Special Area of Conservation </w:t>
      </w:r>
    </w:p>
    <w:p w14:paraId="75BD3D50" w14:textId="44E6FE10" w:rsidR="001E566F" w:rsidRDefault="001E566F" w:rsidP="001E566F">
      <w:pPr>
        <w:pStyle w:val="ListParagraph"/>
        <w:numPr>
          <w:ilvl w:val="0"/>
          <w:numId w:val="5"/>
        </w:numPr>
        <w:jc w:val="both"/>
      </w:pPr>
      <w:r w:rsidRPr="001E566F">
        <w:rPr>
          <w:b/>
          <w:bCs/>
        </w:rPr>
        <w:t>SPA</w:t>
      </w:r>
      <w:r>
        <w:t xml:space="preserve"> – Special Protection Areas</w:t>
      </w:r>
    </w:p>
    <w:p w14:paraId="7B3244CA" w14:textId="2D6C4537" w:rsidR="00227697" w:rsidRDefault="001E566F" w:rsidP="001E566F">
      <w:pPr>
        <w:pStyle w:val="ListParagraph"/>
        <w:numPr>
          <w:ilvl w:val="0"/>
          <w:numId w:val="5"/>
        </w:numPr>
        <w:jc w:val="both"/>
      </w:pPr>
      <w:r w:rsidRPr="001E566F">
        <w:rPr>
          <w:b/>
          <w:bCs/>
        </w:rPr>
        <w:t>UK</w:t>
      </w:r>
      <w:r>
        <w:t xml:space="preserve"> – United Kingdom </w:t>
      </w:r>
    </w:p>
    <w:p w14:paraId="2DA80F92" w14:textId="452B440D" w:rsidR="001E566F" w:rsidRPr="001E566F" w:rsidRDefault="001E566F" w:rsidP="001E566F">
      <w:pPr>
        <w:pStyle w:val="ListParagraph"/>
        <w:numPr>
          <w:ilvl w:val="0"/>
          <w:numId w:val="5"/>
        </w:numPr>
        <w:jc w:val="both"/>
      </w:pPr>
      <w:r w:rsidRPr="001E566F">
        <w:rPr>
          <w:b/>
          <w:bCs/>
        </w:rPr>
        <w:t xml:space="preserve">US </w:t>
      </w:r>
      <w:r>
        <w:t>– United States</w:t>
      </w:r>
    </w:p>
    <w:p w14:paraId="5541FD00" w14:textId="5F93BCC5" w:rsidR="00C83A62" w:rsidRPr="001E566F" w:rsidRDefault="00C83A62"/>
    <w:p w14:paraId="41BDAE41" w14:textId="24D2C18A" w:rsidR="00C83A62" w:rsidRPr="001E566F" w:rsidRDefault="00C83A62"/>
    <w:p w14:paraId="4457A160" w14:textId="70D6BC55" w:rsidR="00C83A62" w:rsidRPr="001E566F" w:rsidRDefault="00C83A62"/>
    <w:p w14:paraId="79040E9F" w14:textId="2BB1F2CF" w:rsidR="00C83A62" w:rsidRPr="001E566F" w:rsidRDefault="00C83A62"/>
    <w:p w14:paraId="64BCAB37" w14:textId="350149C7" w:rsidR="00C83A62" w:rsidRPr="001E566F" w:rsidRDefault="00C83A62"/>
    <w:p w14:paraId="0D78273F" w14:textId="55864818" w:rsidR="00C83A62" w:rsidRPr="001E566F" w:rsidRDefault="00C83A62"/>
    <w:p w14:paraId="1B88A101" w14:textId="6395667F" w:rsidR="00C83A62" w:rsidRPr="001E566F" w:rsidRDefault="00C83A62"/>
    <w:p w14:paraId="758A0CBF" w14:textId="4C17E9D5" w:rsidR="00C83A62" w:rsidRPr="001E566F" w:rsidRDefault="00C83A62"/>
    <w:p w14:paraId="4C726054" w14:textId="5AE64916" w:rsidR="00C83A62" w:rsidRPr="001E566F" w:rsidRDefault="00C83A62"/>
    <w:p w14:paraId="4F8EB146" w14:textId="3033B3EE" w:rsidR="00C83A62" w:rsidRPr="001E566F" w:rsidRDefault="00C83A62"/>
    <w:p w14:paraId="39DBBB4F" w14:textId="103CECA9" w:rsidR="00C83A62" w:rsidRDefault="00C83A62"/>
    <w:p w14:paraId="0C4FBCCE" w14:textId="77777777" w:rsidR="001E566F" w:rsidRPr="001E566F" w:rsidRDefault="001E566F"/>
    <w:p w14:paraId="487246F1" w14:textId="631875B9" w:rsidR="00C83A62" w:rsidRPr="001E566F" w:rsidRDefault="00C83A62"/>
    <w:p w14:paraId="3C6922CF" w14:textId="2869288E" w:rsidR="00C83A62" w:rsidRPr="001E566F" w:rsidRDefault="00C83A62"/>
    <w:p w14:paraId="6545A2C1" w14:textId="6141FEED" w:rsidR="00C83A62" w:rsidRPr="003F55D5" w:rsidRDefault="001E566F" w:rsidP="001E566F">
      <w:pPr>
        <w:pStyle w:val="Heading1"/>
      </w:pPr>
      <w:bookmarkStart w:id="0" w:name="_Toc69053465"/>
      <w:r>
        <w:lastRenderedPageBreak/>
        <w:t xml:space="preserve">1.0 </w:t>
      </w:r>
      <w:r w:rsidR="00C83A62" w:rsidRPr="003F55D5">
        <w:t>Introduction</w:t>
      </w:r>
      <w:bookmarkEnd w:id="0"/>
      <w:r w:rsidR="00C83A62" w:rsidRPr="003F55D5">
        <w:t xml:space="preserve"> </w:t>
      </w:r>
    </w:p>
    <w:p w14:paraId="786751DB" w14:textId="229E935A" w:rsidR="003F55D5" w:rsidRDefault="003F55D5" w:rsidP="0010502A">
      <w:pPr>
        <w:pStyle w:val="ListParagraph"/>
        <w:ind w:left="360"/>
        <w:jc w:val="both"/>
        <w:rPr>
          <w:b/>
          <w:bCs/>
          <w:u w:val="single"/>
        </w:rPr>
      </w:pPr>
    </w:p>
    <w:p w14:paraId="3887ACD3" w14:textId="65695807" w:rsidR="003F55D5" w:rsidRDefault="00A02501" w:rsidP="0010502A">
      <w:pPr>
        <w:pStyle w:val="ListParagraph"/>
        <w:ind w:left="360"/>
        <w:jc w:val="both"/>
      </w:pPr>
      <w:r>
        <w:t>The topic of the environment has become a subject that is important to talk about due to the increased decline. With the pressure of climate change many sectors in the United Kingdom (UK) Have had to change the way they do things; the UK Government are devoted to having a net-zero carbon emission by the 2050 (Harvey, 2021). Although the built environment has be</w:t>
      </w:r>
      <w:r w:rsidR="004857D2">
        <w:t>en</w:t>
      </w:r>
      <w:r>
        <w:t xml:space="preserve"> tak</w:t>
      </w:r>
      <w:r w:rsidR="004857D2">
        <w:t>ing</w:t>
      </w:r>
      <w:r>
        <w:t xml:space="preserve"> large steps to become more </w:t>
      </w:r>
      <w:r w:rsidR="004857D2">
        <w:t>environmentally</w:t>
      </w:r>
      <w:r>
        <w:t xml:space="preserve"> friendly, they still account for 4</w:t>
      </w:r>
      <w:r w:rsidR="004857D2">
        <w:t>5</w:t>
      </w:r>
      <w:r w:rsidR="00A4358E">
        <w:t xml:space="preserve"> percent (</w:t>
      </w:r>
      <w:r>
        <w:t>%</w:t>
      </w:r>
      <w:r w:rsidR="00A4358E">
        <w:t>)</w:t>
      </w:r>
      <w:r>
        <w:t xml:space="preserve"> of the UK’s carbon emissions </w:t>
      </w:r>
      <w:r w:rsidR="004857D2">
        <w:t>(Harvey, 2021). A</w:t>
      </w:r>
      <w:r w:rsidR="00A87B7F">
        <w:t xml:space="preserve"> large percentage of carbon emissions can be attributed to the built </w:t>
      </w:r>
      <w:r w:rsidR="00C6143C">
        <w:t>environment,</w:t>
      </w:r>
      <w:r w:rsidR="004857D2">
        <w:t xml:space="preserve"> 32% of land field waste comes from construction and demolition, </w:t>
      </w:r>
      <w:r w:rsidR="007662F5">
        <w:t>and 58</w:t>
      </w:r>
      <w:r w:rsidR="004857D2">
        <w:t>% comes from water consumption (Sexton</w:t>
      </w:r>
      <w:r w:rsidR="00DC089C">
        <w:t xml:space="preserve"> </w:t>
      </w:r>
      <w:r w:rsidR="00DC089C">
        <w:rPr>
          <w:i/>
          <w:iCs/>
        </w:rPr>
        <w:t>et al.</w:t>
      </w:r>
      <w:r w:rsidR="004857D2">
        <w:t>, 20</w:t>
      </w:r>
      <w:r w:rsidR="00A87B7F">
        <w:t>11</w:t>
      </w:r>
      <w:r w:rsidR="004857D2">
        <w:t xml:space="preserve">). </w:t>
      </w:r>
      <w:r w:rsidR="00545310">
        <w:t xml:space="preserve">The UK Government has continued to make strides in policies to improve the environment and to make the built environment industry more friendly towards habitats, biodiversity, </w:t>
      </w:r>
      <w:r w:rsidR="00A4358E">
        <w:t xml:space="preserve">wildlife and </w:t>
      </w:r>
      <w:r w:rsidR="00545310">
        <w:t>be more sustainable (Sexton</w:t>
      </w:r>
      <w:r w:rsidR="00DC089C">
        <w:t xml:space="preserve"> </w:t>
      </w:r>
      <w:r w:rsidR="00DC089C">
        <w:rPr>
          <w:i/>
          <w:iCs/>
        </w:rPr>
        <w:t>et al.,</w:t>
      </w:r>
      <w:r w:rsidR="00545310">
        <w:t xml:space="preserve"> 2011). </w:t>
      </w:r>
    </w:p>
    <w:p w14:paraId="79ECFF36" w14:textId="1407B919" w:rsidR="00545310" w:rsidRDefault="00545310" w:rsidP="0010502A">
      <w:pPr>
        <w:pStyle w:val="ListParagraph"/>
        <w:ind w:left="360"/>
        <w:jc w:val="both"/>
      </w:pPr>
    </w:p>
    <w:p w14:paraId="0754BEF0" w14:textId="1B09E9E3" w:rsidR="00545310" w:rsidRDefault="00A4358E" w:rsidP="0010502A">
      <w:pPr>
        <w:pStyle w:val="ListParagraph"/>
        <w:ind w:left="360"/>
        <w:jc w:val="both"/>
      </w:pPr>
      <w:r>
        <w:t>T</w:t>
      </w:r>
      <w:r w:rsidR="00545310">
        <w:t xml:space="preserve">his report will examine the Environmental Impact Assessment (EIA), what the process entails and discussions on the progress toward the effectiveness and </w:t>
      </w:r>
      <w:r w:rsidR="001278AC">
        <w:t>execution of such policies. For this report a case study of Cleve Hill Solar Park</w:t>
      </w:r>
      <w:r>
        <w:t>,</w:t>
      </w:r>
      <w:r w:rsidR="001278AC">
        <w:t xml:space="preserve"> </w:t>
      </w:r>
      <w:r w:rsidR="00C6143C">
        <w:t>Faversham</w:t>
      </w:r>
      <w:r w:rsidR="001278AC">
        <w:t xml:space="preserve"> will be used as an example to represent the theories and how policies can be put into practice. The report will also consider any changes in policies and the industries views on current changes. </w:t>
      </w:r>
    </w:p>
    <w:p w14:paraId="4ED4E52C" w14:textId="77777777" w:rsidR="001278AC" w:rsidRPr="003F55D5" w:rsidRDefault="001278AC" w:rsidP="0010502A">
      <w:pPr>
        <w:pStyle w:val="ListParagraph"/>
        <w:ind w:left="360"/>
        <w:jc w:val="both"/>
      </w:pPr>
    </w:p>
    <w:p w14:paraId="7F21A628" w14:textId="5BC29A18" w:rsidR="00C83A62" w:rsidRPr="001278AC" w:rsidRDefault="00FC3815" w:rsidP="001E566F">
      <w:pPr>
        <w:pStyle w:val="Heading1"/>
      </w:pPr>
      <w:bookmarkStart w:id="1" w:name="_Toc69053466"/>
      <w:r>
        <w:t xml:space="preserve">2.0 </w:t>
      </w:r>
      <w:r w:rsidR="00C83A62" w:rsidRPr="001278AC">
        <w:t xml:space="preserve">What is an Environmental Impact </w:t>
      </w:r>
      <w:r w:rsidR="00C6143C" w:rsidRPr="001278AC">
        <w:t>Assessment?</w:t>
      </w:r>
      <w:bookmarkEnd w:id="1"/>
      <w:r w:rsidR="00C83A62" w:rsidRPr="001278AC">
        <w:t xml:space="preserve"> </w:t>
      </w:r>
    </w:p>
    <w:p w14:paraId="509BEB6C" w14:textId="5868B7E1" w:rsidR="001278AC" w:rsidRDefault="001278AC" w:rsidP="0010502A">
      <w:pPr>
        <w:pStyle w:val="ListParagraph"/>
        <w:ind w:left="360"/>
        <w:jc w:val="both"/>
        <w:rPr>
          <w:b/>
          <w:bCs/>
          <w:u w:val="single"/>
        </w:rPr>
      </w:pPr>
    </w:p>
    <w:p w14:paraId="446305FC" w14:textId="665E6614" w:rsidR="001278AC" w:rsidRDefault="00D07917" w:rsidP="0010502A">
      <w:pPr>
        <w:pStyle w:val="ListParagraph"/>
        <w:ind w:left="360"/>
        <w:jc w:val="both"/>
      </w:pPr>
      <w:r>
        <w:t xml:space="preserve">An Environmental Impact Assessment (EIA) was first considered when concerns for the environment from the public and the world in general, became more increasing </w:t>
      </w:r>
      <w:r w:rsidR="00C6143C">
        <w:t>in regard to</w:t>
      </w:r>
      <w:r>
        <w:t xml:space="preserve"> development projects</w:t>
      </w:r>
      <w:r w:rsidR="00CE6426">
        <w:t xml:space="preserve"> and the impacts </w:t>
      </w:r>
      <w:r>
        <w:t>(Croner-</w:t>
      </w:r>
      <w:r w:rsidR="00CE6426">
        <w:t>i</w:t>
      </w:r>
      <w:r>
        <w:t xml:space="preserve"> Ltd, 2021). </w:t>
      </w:r>
      <w:r w:rsidR="004615D9">
        <w:t xml:space="preserve">The EIA process was first </w:t>
      </w:r>
      <w:r w:rsidR="00A4358E">
        <w:t>e</w:t>
      </w:r>
      <w:r w:rsidR="004615D9">
        <w:t>stablished in the United Stated (US) in 1969 and in the years to come over 100 countries adapted a similar process (Croner-I Ltd, 2021). In 1988, the European Union</w:t>
      </w:r>
      <w:r w:rsidR="00B350DA">
        <w:t xml:space="preserve"> (EU)</w:t>
      </w:r>
      <w:r w:rsidR="004615D9">
        <w:t xml:space="preserve"> and its member states made it a legal requirement to participate in the EIA process</w:t>
      </w:r>
      <w:r w:rsidR="005E58AE">
        <w:t xml:space="preserve">, called A European </w:t>
      </w:r>
      <w:r w:rsidR="00973F27">
        <w:t>Directive EIA (85/337/EC)</w:t>
      </w:r>
      <w:r w:rsidR="004615D9">
        <w:t xml:space="preserve"> (Croner-I Ltd, 2021)</w:t>
      </w:r>
      <w:r w:rsidR="00B350DA">
        <w:t xml:space="preserve">. </w:t>
      </w:r>
    </w:p>
    <w:p w14:paraId="62B569FB" w14:textId="64AFBE0A" w:rsidR="005E58AE" w:rsidRDefault="005E58AE" w:rsidP="0010502A">
      <w:pPr>
        <w:pStyle w:val="ListParagraph"/>
        <w:ind w:left="360"/>
        <w:jc w:val="both"/>
      </w:pPr>
    </w:p>
    <w:p w14:paraId="74EFDE7B" w14:textId="77777777" w:rsidR="002E7FD0" w:rsidRDefault="005E58AE" w:rsidP="0010502A">
      <w:pPr>
        <w:pStyle w:val="ListParagraph"/>
        <w:ind w:left="360"/>
        <w:jc w:val="both"/>
      </w:pPr>
      <w:r>
        <w:t>Over the years the EU have amended th</w:t>
      </w:r>
      <w:r w:rsidR="002E7FD0">
        <w:t>e European Directive EIA (85/337/EC), the last time in 2014 (Croner-I Ltd, 2021); but in 2001 they introduced more criteria to the Directive and called it Strategic Environmental Impacts. This new criteria was to enhance understanding of the environment at a strategic scale and help to influence the decisions of potential types of developments of where and when they will proceeded (Croner-I Ltd, 2021).</w:t>
      </w:r>
    </w:p>
    <w:p w14:paraId="2937797E" w14:textId="77777777" w:rsidR="002E7FD0" w:rsidRDefault="002E7FD0" w:rsidP="0010502A">
      <w:pPr>
        <w:pStyle w:val="ListParagraph"/>
        <w:ind w:left="360"/>
        <w:jc w:val="both"/>
      </w:pPr>
    </w:p>
    <w:p w14:paraId="451A6923" w14:textId="19FDF09B" w:rsidR="005E58AE" w:rsidRDefault="002E7FD0" w:rsidP="0010502A">
      <w:pPr>
        <w:pStyle w:val="ListParagraph"/>
        <w:ind w:left="360"/>
        <w:jc w:val="both"/>
      </w:pPr>
      <w:r>
        <w:t xml:space="preserve"> Although the UK has left the EU there are other pol</w:t>
      </w:r>
      <w:r w:rsidR="005F5B3B">
        <w:t>ices</w:t>
      </w:r>
      <w:r>
        <w:t xml:space="preserve"> and </w:t>
      </w:r>
      <w:r w:rsidR="005F5B3B">
        <w:t>strategies</w:t>
      </w:r>
      <w:r>
        <w:t xml:space="preserve"> in place that each UK country </w:t>
      </w:r>
      <w:r w:rsidR="00C6143C">
        <w:t>follows,</w:t>
      </w:r>
      <w:r>
        <w:t xml:space="preserve"> or each country has built upon to make </w:t>
      </w:r>
      <w:r w:rsidR="005F5B3B">
        <w:t xml:space="preserve">the polices more accommodating to fit their own country (Croner-I Ltd, 2021). </w:t>
      </w:r>
    </w:p>
    <w:p w14:paraId="5F84336E" w14:textId="6DB5F659" w:rsidR="005F5B3B" w:rsidRDefault="005F5B3B" w:rsidP="0010502A">
      <w:pPr>
        <w:pStyle w:val="ListParagraph"/>
        <w:ind w:left="360"/>
        <w:jc w:val="both"/>
      </w:pPr>
    </w:p>
    <w:p w14:paraId="78B8AA0B" w14:textId="486F5FD7" w:rsidR="005F5B3B" w:rsidRDefault="005F5B3B" w:rsidP="0010502A">
      <w:pPr>
        <w:pStyle w:val="ListParagraph"/>
        <w:ind w:left="360"/>
        <w:jc w:val="both"/>
      </w:pPr>
      <w:r>
        <w:t xml:space="preserve">The EIA process for this case study, Cleve Hill Solar Park, will be using England’s process as </w:t>
      </w:r>
      <w:r w:rsidR="00C6143C">
        <w:t>its</w:t>
      </w:r>
      <w:r w:rsidR="000B0C9B">
        <w:t xml:space="preserve"> locations is in England. The development is considered a ‘Nationally Significant Infrastructure Project’ (NSIP) </w:t>
      </w:r>
      <w:r w:rsidR="00FE6607">
        <w:t xml:space="preserve">(Arcus Consultancy Services Ltd, 2017). This falls under the Planning Act 2008 in section 14(1)(a) and 15(2) due to the new generator having a capacity of more the 50 Megawatt (MW) (Arcus Consultancy Services Ltd, 2017). </w:t>
      </w:r>
      <w:r w:rsidR="00B9543B">
        <w:t xml:space="preserve">The development has to follow a number of legislation but another main one is the </w:t>
      </w:r>
      <w:r w:rsidR="00C5509E">
        <w:t xml:space="preserve">Town and Country Planning Act 1990 (Arcus Consultancy Services Ltd, 2017). </w:t>
      </w:r>
    </w:p>
    <w:p w14:paraId="741AC75D" w14:textId="425F22DC" w:rsidR="005906F8" w:rsidRDefault="005906F8" w:rsidP="0010502A">
      <w:pPr>
        <w:pStyle w:val="ListParagraph"/>
        <w:ind w:left="360"/>
        <w:jc w:val="both"/>
      </w:pPr>
    </w:p>
    <w:p w14:paraId="56C9374C" w14:textId="7378C298" w:rsidR="005906F8" w:rsidRDefault="005906F8" w:rsidP="0010502A">
      <w:pPr>
        <w:pStyle w:val="ListParagraph"/>
        <w:ind w:left="360"/>
        <w:jc w:val="both"/>
      </w:pPr>
      <w:r>
        <w:t>An EIA is carried out to gather data and information</w:t>
      </w:r>
      <w:r w:rsidR="00A4358E">
        <w:t xml:space="preserve">, </w:t>
      </w:r>
      <w:r>
        <w:t>then</w:t>
      </w:r>
      <w:r w:rsidR="00A4358E">
        <w:t xml:space="preserve"> to</w:t>
      </w:r>
      <w:r>
        <w:t xml:space="preserve"> compile it into a format that is understandable, such as a report</w:t>
      </w:r>
      <w:r w:rsidR="008406F8">
        <w:t xml:space="preserve"> (Croner-I Ltd, 2021)</w:t>
      </w:r>
      <w:r>
        <w:t>; this data and information will establish what impacts to the environment could be expected if the development were to go ahead, this will then allow the c</w:t>
      </w:r>
      <w:r w:rsidR="008406F8">
        <w:t xml:space="preserve">onsulting authority  to make a decision on whether to allow the planning to go a head or to deny permission to develop (Croner-I Ltd, 2021). </w:t>
      </w:r>
      <w:r w:rsidR="00382545">
        <w:t xml:space="preserve">There are a number of steps to follow when carrying out an EIA (Figure 1) that will allow a developer to gain a response and </w:t>
      </w:r>
      <w:r w:rsidR="000E36D6">
        <w:t>communicate</w:t>
      </w:r>
      <w:r w:rsidR="00382545">
        <w:t xml:space="preserve"> between the different stages, making sure that the Environment Statement (ES)</w:t>
      </w:r>
      <w:r w:rsidR="000E36D6">
        <w:t xml:space="preserve"> contains all of the information that it should (CBD Secretariat, 2021). </w:t>
      </w:r>
    </w:p>
    <w:p w14:paraId="677C8671" w14:textId="77777777" w:rsidR="000E36D6" w:rsidRDefault="000E36D6" w:rsidP="0010502A">
      <w:pPr>
        <w:pStyle w:val="ListParagraph"/>
        <w:ind w:left="360"/>
        <w:jc w:val="both"/>
      </w:pPr>
    </w:p>
    <w:p w14:paraId="6C0A9FB4" w14:textId="6E9DB58C" w:rsidR="00382545" w:rsidRDefault="00382545" w:rsidP="0010502A">
      <w:pPr>
        <w:pStyle w:val="ListParagraph"/>
        <w:ind w:left="360"/>
        <w:jc w:val="both"/>
      </w:pPr>
    </w:p>
    <w:p w14:paraId="334AB120" w14:textId="311257DD" w:rsidR="00382545" w:rsidRDefault="00382545" w:rsidP="0010502A">
      <w:pPr>
        <w:pStyle w:val="ListParagraph"/>
        <w:ind w:left="360"/>
        <w:jc w:val="both"/>
      </w:pPr>
      <w:r w:rsidRPr="00382545">
        <w:rPr>
          <w:noProof/>
        </w:rPr>
        <w:drawing>
          <wp:inline distT="0" distB="0" distL="0" distR="0" wp14:anchorId="47BF91F6" wp14:editId="1B4F651C">
            <wp:extent cx="2305050" cy="3476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305050" cy="3476625"/>
                    </a:xfrm>
                    <a:prstGeom prst="rect">
                      <a:avLst/>
                    </a:prstGeom>
                  </pic:spPr>
                </pic:pic>
              </a:graphicData>
            </a:graphic>
          </wp:inline>
        </w:drawing>
      </w:r>
    </w:p>
    <w:p w14:paraId="27C17874" w14:textId="08C97A2F" w:rsidR="00382545" w:rsidRDefault="00037C7C" w:rsidP="0010502A">
      <w:pPr>
        <w:pStyle w:val="ListParagraph"/>
        <w:ind w:left="360"/>
        <w:jc w:val="both"/>
      </w:pPr>
      <w:r>
        <w:t>Fig 1. The Environmental Impact Assessment Process (Croner-I Ltd, 2021)</w:t>
      </w:r>
      <w:r w:rsidR="00AA60B7">
        <w:t>.</w:t>
      </w:r>
    </w:p>
    <w:p w14:paraId="0EB96895" w14:textId="79EDE3AF" w:rsidR="000E36D6" w:rsidRDefault="000E36D6" w:rsidP="0010502A">
      <w:pPr>
        <w:pStyle w:val="ListParagraph"/>
        <w:ind w:left="360"/>
        <w:jc w:val="both"/>
      </w:pPr>
    </w:p>
    <w:p w14:paraId="36449C52" w14:textId="4CC3D58E" w:rsidR="000E36D6" w:rsidRDefault="000E36D6" w:rsidP="0010502A">
      <w:pPr>
        <w:pStyle w:val="ListParagraph"/>
        <w:ind w:left="360"/>
        <w:jc w:val="both"/>
      </w:pPr>
      <w:r>
        <w:t xml:space="preserve">Although an EIA is important not all developments </w:t>
      </w:r>
      <w:r w:rsidR="008207C4">
        <w:t xml:space="preserve">will be subjected or required to carry one out. There are different layers, for example, a Schedule 1 will be such developments as airports, motorways and energy stations, these will require an EIA to be conducted, while a Schedule 2 will </w:t>
      </w:r>
      <w:r w:rsidR="00E76BB9">
        <w:t xml:space="preserve">differ depending on the development hoping to take place, </w:t>
      </w:r>
      <w:r w:rsidR="008207C4">
        <w:t xml:space="preserve">the consulting authority </w:t>
      </w:r>
      <w:r w:rsidR="00E76BB9">
        <w:t xml:space="preserve">will need to </w:t>
      </w:r>
      <w:r w:rsidR="008207C4">
        <w:t>examin</w:t>
      </w:r>
      <w:r w:rsidR="00E76BB9">
        <w:t>e</w:t>
      </w:r>
      <w:r w:rsidR="008207C4">
        <w:t xml:space="preserve"> the Screening </w:t>
      </w:r>
      <w:r w:rsidR="00C6143C">
        <w:t>process,</w:t>
      </w:r>
      <w:r w:rsidR="008207C4">
        <w:t xml:space="preserve"> which will determine if the development will ne</w:t>
      </w:r>
      <w:r w:rsidR="00E76BB9">
        <w:t>e</w:t>
      </w:r>
      <w:r w:rsidR="008207C4">
        <w:t>d to</w:t>
      </w:r>
      <w:r w:rsidR="00E76BB9">
        <w:t xml:space="preserve"> be</w:t>
      </w:r>
      <w:r w:rsidR="008207C4">
        <w:t xml:space="preserve"> conduct </w:t>
      </w:r>
      <w:r w:rsidR="007662F5">
        <w:t>an</w:t>
      </w:r>
      <w:r w:rsidR="008207C4">
        <w:t xml:space="preserve"> EIA (Exam Chum, 2021).</w:t>
      </w:r>
    </w:p>
    <w:p w14:paraId="156F5483" w14:textId="02E5022E" w:rsidR="00E76BB9" w:rsidRDefault="00E76BB9" w:rsidP="0010502A">
      <w:pPr>
        <w:pStyle w:val="ListParagraph"/>
        <w:ind w:left="360"/>
        <w:jc w:val="both"/>
      </w:pPr>
    </w:p>
    <w:p w14:paraId="26915449" w14:textId="10C998B2" w:rsidR="00037C7C" w:rsidRDefault="00037C7C" w:rsidP="0010502A">
      <w:pPr>
        <w:pStyle w:val="ListParagraph"/>
        <w:ind w:left="360"/>
        <w:jc w:val="both"/>
      </w:pPr>
      <w:r>
        <w:t xml:space="preserve">The Screening process is a step that indicates if a development could have a possible impact on the environment and if </w:t>
      </w:r>
      <w:r w:rsidR="00C6143C">
        <w:t>so,</w:t>
      </w:r>
      <w:r>
        <w:t xml:space="preserve"> would require an EIA to take place (Exam Chum, 2021). Once the decision has been </w:t>
      </w:r>
      <w:r w:rsidR="00C6143C">
        <w:t>reach</w:t>
      </w:r>
      <w:r w:rsidR="00A4358E">
        <w:t>ed</w:t>
      </w:r>
      <w:r>
        <w:t xml:space="preserve"> the developer can move to the next step. If an EIA is required then the next step would be for the developer to request a scoping report</w:t>
      </w:r>
      <w:r w:rsidR="00AA60B7">
        <w:t xml:space="preserve"> (Sexton</w:t>
      </w:r>
      <w:r w:rsidR="00920462">
        <w:t xml:space="preserve"> </w:t>
      </w:r>
      <w:r w:rsidR="00920462">
        <w:rPr>
          <w:i/>
          <w:iCs/>
        </w:rPr>
        <w:t>et al.</w:t>
      </w:r>
      <w:r w:rsidR="00AA60B7">
        <w:t>, 2011)</w:t>
      </w:r>
      <w:r w:rsidR="00C4767F">
        <w:t xml:space="preserve">. </w:t>
      </w:r>
    </w:p>
    <w:p w14:paraId="094005D2" w14:textId="782C0BE6" w:rsidR="00C4767F" w:rsidRDefault="00C4767F" w:rsidP="0010502A">
      <w:pPr>
        <w:pStyle w:val="ListParagraph"/>
        <w:ind w:left="360"/>
        <w:jc w:val="both"/>
      </w:pPr>
    </w:p>
    <w:p w14:paraId="4CD162C0" w14:textId="5EBFCC55" w:rsidR="00C4767F" w:rsidRDefault="00C4767F" w:rsidP="0010502A">
      <w:pPr>
        <w:pStyle w:val="ListParagraph"/>
        <w:ind w:left="360"/>
        <w:jc w:val="both"/>
      </w:pPr>
      <w:r>
        <w:t>The Scoping report is an important step in the EIA process as it allows the impacts, alternatives to cause less of an impact</w:t>
      </w:r>
      <w:r w:rsidR="00AA60B7">
        <w:t xml:space="preserve"> to be suggested</w:t>
      </w:r>
      <w:r>
        <w:t xml:space="preserve"> and </w:t>
      </w:r>
      <w:r w:rsidR="00AA60B7">
        <w:t xml:space="preserve">what methods could be used or will be used in the different stages (Harvey, 2021). This stage also allows for other information such as what type of surveys will be used, what type of monitoring measures will be put in place, what possible impacts </w:t>
      </w:r>
      <w:r w:rsidR="00AA60B7">
        <w:lastRenderedPageBreak/>
        <w:t>the</w:t>
      </w:r>
      <w:r w:rsidR="00A4358E">
        <w:t xml:space="preserve">re </w:t>
      </w:r>
      <w:r w:rsidR="00AA60B7">
        <w:t xml:space="preserve">could be and what areas in and surrounding the location could be influenced by the development (CBD Secretariat, 2021). </w:t>
      </w:r>
    </w:p>
    <w:p w14:paraId="229BA713" w14:textId="48653654" w:rsidR="00054C29" w:rsidRDefault="00054C29" w:rsidP="0010502A">
      <w:pPr>
        <w:pStyle w:val="ListParagraph"/>
        <w:ind w:left="360"/>
        <w:jc w:val="both"/>
      </w:pPr>
    </w:p>
    <w:p w14:paraId="6DE217B8" w14:textId="5A01C253" w:rsidR="00054C29" w:rsidRDefault="00054C29" w:rsidP="0010502A">
      <w:pPr>
        <w:pStyle w:val="ListParagraph"/>
        <w:ind w:left="360"/>
        <w:jc w:val="both"/>
      </w:pPr>
      <w:r>
        <w:t>All of the information gathered is then compiled into an Environmental Statement (ES) which is then given to either the local authority or secretary of state</w:t>
      </w:r>
      <w:r w:rsidR="001A1529">
        <w:t xml:space="preserve"> (Exam Chum, 2021)</w:t>
      </w:r>
      <w:r>
        <w:t xml:space="preserve">; the authority of body presiding over the development will then give or not give permission for the development </w:t>
      </w:r>
      <w:r w:rsidR="00C6143C">
        <w:t>to continue</w:t>
      </w:r>
      <w:r w:rsidR="001A1529">
        <w:t xml:space="preserve"> (Croner-I Ltd, 2021)</w:t>
      </w:r>
      <w:r>
        <w:t>. This decision will be concluded by the information given in the Environmental Statement</w:t>
      </w:r>
      <w:r w:rsidR="001A1529">
        <w:t xml:space="preserve">, this approval or refusal will then have to be made public along with any justifications for this decision (Harvey, 2021).  </w:t>
      </w:r>
    </w:p>
    <w:p w14:paraId="72D689FC" w14:textId="77777777" w:rsidR="00E76BB9" w:rsidRPr="001278AC" w:rsidRDefault="00E76BB9" w:rsidP="0010502A">
      <w:pPr>
        <w:pStyle w:val="ListParagraph"/>
        <w:ind w:left="360"/>
        <w:jc w:val="both"/>
      </w:pPr>
    </w:p>
    <w:p w14:paraId="33D4B05E" w14:textId="436D31C5" w:rsidR="00C83A62" w:rsidRPr="001A1529" w:rsidRDefault="00FC3815" w:rsidP="00FC3815">
      <w:pPr>
        <w:pStyle w:val="Heading1"/>
      </w:pPr>
      <w:bookmarkStart w:id="2" w:name="_Toc69053467"/>
      <w:r>
        <w:t xml:space="preserve">3.0 </w:t>
      </w:r>
      <w:r w:rsidR="00C83A62" w:rsidRPr="001A1529">
        <w:t>Cleve Hill Solar Park Background Project</w:t>
      </w:r>
      <w:bookmarkEnd w:id="2"/>
      <w:r w:rsidR="00C83A62" w:rsidRPr="001A1529">
        <w:t xml:space="preserve"> </w:t>
      </w:r>
    </w:p>
    <w:p w14:paraId="7395E232" w14:textId="594F4199" w:rsidR="001A1529" w:rsidRDefault="001A1529" w:rsidP="0010502A">
      <w:pPr>
        <w:pStyle w:val="ListParagraph"/>
        <w:ind w:left="360"/>
        <w:jc w:val="both"/>
        <w:rPr>
          <w:b/>
          <w:bCs/>
          <w:u w:val="single"/>
        </w:rPr>
      </w:pPr>
    </w:p>
    <w:p w14:paraId="509479ED" w14:textId="03EBD75D" w:rsidR="001A1529" w:rsidRDefault="001A1529" w:rsidP="0010502A">
      <w:pPr>
        <w:pStyle w:val="ListParagraph"/>
        <w:ind w:left="360"/>
        <w:jc w:val="both"/>
      </w:pPr>
      <w:r>
        <w:t xml:space="preserve">Cleve Hill Solar Park is located on the Coast of North Kent, residing in close proximity to the Village of Graveney, approximately 1 mile northeast of Faversham and 3 miles west from Whitstable (Kent Wildlife Trust, 2021). </w:t>
      </w:r>
    </w:p>
    <w:p w14:paraId="09B1BEB7" w14:textId="02EE213D" w:rsidR="00A75790" w:rsidRDefault="00A75790" w:rsidP="0010502A">
      <w:pPr>
        <w:pStyle w:val="ListParagraph"/>
        <w:ind w:left="360"/>
        <w:jc w:val="both"/>
      </w:pPr>
    </w:p>
    <w:p w14:paraId="047DE1D4" w14:textId="0A2B4DF2" w:rsidR="00A75790" w:rsidRDefault="00A75790" w:rsidP="0010502A">
      <w:pPr>
        <w:pStyle w:val="ListParagraph"/>
        <w:ind w:left="360"/>
        <w:jc w:val="both"/>
      </w:pPr>
      <w:r>
        <w:t>The surrounding area of the Solar Park consist of a wide range of habitats, along with special sites. For Example, (Figure 2) shows the designated areas with valuable wildlife both at a National and International level, The Swale has three designations, Site of Special Interest (SSSI), the National designation of a Special Protection Area and European designation of a Ramsar Site</w:t>
      </w:r>
      <w:r w:rsidR="00C65A7D">
        <w:t xml:space="preserve"> (Kent Wildlife Trust, 2021)</w:t>
      </w:r>
      <w:r>
        <w:t xml:space="preserve">; not only does The Swale have these three different designations but </w:t>
      </w:r>
      <w:r w:rsidR="00C65A7D">
        <w:t>it also has a Marine Conservation Zone which is another national designation (Kent Wildlife Trust, 2021).</w:t>
      </w:r>
      <w:r w:rsidR="00FA2E8B">
        <w:t xml:space="preserve"> </w:t>
      </w:r>
    </w:p>
    <w:p w14:paraId="3A59E740" w14:textId="0C94FB4B" w:rsidR="00FA2E8B" w:rsidRDefault="00FA2E8B" w:rsidP="0010502A">
      <w:pPr>
        <w:pStyle w:val="ListParagraph"/>
        <w:ind w:left="360"/>
        <w:jc w:val="both"/>
      </w:pPr>
    </w:p>
    <w:p w14:paraId="433F5FE1" w14:textId="73CDF8C9" w:rsidR="00293655" w:rsidRDefault="00DB7919" w:rsidP="0010502A">
      <w:pPr>
        <w:pStyle w:val="ListParagraph"/>
        <w:ind w:left="360"/>
        <w:jc w:val="both"/>
      </w:pPr>
      <w:r>
        <w:t>This development is considered a Schedule 2 under Part 3 (a) of the Environmental Impact Assessment Regulations as its development would consist of ‘</w:t>
      </w:r>
      <w:r w:rsidRPr="00DB7919">
        <w:rPr>
          <w:i/>
          <w:iCs/>
        </w:rPr>
        <w:t xml:space="preserve">industrial installation for the production of electricity, steam and hot water’ </w:t>
      </w:r>
      <w:r>
        <w:t>(Arcus Consulting Services Ltd, 2017. P: 8).  Although this general means that it is not obligatory for Schedule 2 developments to carry out an ES the developers, knowing the background of the site, decided that one should be carried out without request from the presiding body (Arcus Consulting Services Ltd, 2017).</w:t>
      </w:r>
      <w:r w:rsidR="00A4358E">
        <w:t xml:space="preserve"> </w:t>
      </w:r>
      <w:r w:rsidR="00FA2E8B">
        <w:t>As stated before, this development is define</w:t>
      </w:r>
      <w:r w:rsidR="00A4358E">
        <w:t>d</w:t>
      </w:r>
      <w:r w:rsidR="00FA2E8B">
        <w:t xml:space="preserve"> as a National Significant Infrastructure so this means that the Secretary of State was the person who read the ES and made a decision on whether the development was to go a head or not (Arcus Consulting Services Ltd, 2017). The development was given permission to continue by the Secretary of State for Business, Energy and Industrial Strategy (Kent Wildlife Trust, 2021). This means that 800,000 solar panels will be placed, comprising of roughly 890 acres (360 hectares) of former grazing marsh (Kent Wildlife Trust, 2021). </w:t>
      </w:r>
    </w:p>
    <w:p w14:paraId="59B4F7BE" w14:textId="77777777" w:rsidR="00293655" w:rsidRDefault="00293655" w:rsidP="0010502A">
      <w:pPr>
        <w:pStyle w:val="ListParagraph"/>
        <w:ind w:left="360"/>
        <w:jc w:val="both"/>
      </w:pPr>
    </w:p>
    <w:p w14:paraId="6AF6B129" w14:textId="3F795B9C" w:rsidR="00C43765" w:rsidRDefault="00A75790" w:rsidP="0010502A">
      <w:pPr>
        <w:pStyle w:val="ListParagraph"/>
        <w:ind w:left="360"/>
        <w:jc w:val="both"/>
      </w:pPr>
      <w:r w:rsidRPr="00A75790">
        <w:lastRenderedPageBreak/>
        <w:drawing>
          <wp:inline distT="0" distB="0" distL="0" distR="0" wp14:anchorId="23EACFBD" wp14:editId="1F547ACD">
            <wp:extent cx="4610100" cy="3457830"/>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22559" cy="3467175"/>
                    </a:xfrm>
                    <a:prstGeom prst="rect">
                      <a:avLst/>
                    </a:prstGeom>
                  </pic:spPr>
                </pic:pic>
              </a:graphicData>
            </a:graphic>
          </wp:inline>
        </w:drawing>
      </w:r>
      <w:r w:rsidR="00C43765">
        <w:br/>
        <w:t xml:space="preserve">Fig 2. The proposed Solar Park Site with designated area shown (Natural England, 2020). </w:t>
      </w:r>
    </w:p>
    <w:p w14:paraId="05C5CCC5" w14:textId="77777777" w:rsidR="00C43765" w:rsidRDefault="00C43765" w:rsidP="0010502A">
      <w:pPr>
        <w:pStyle w:val="ListParagraph"/>
        <w:ind w:left="360"/>
        <w:jc w:val="both"/>
      </w:pPr>
    </w:p>
    <w:p w14:paraId="7D464C0D" w14:textId="4A7ED0CD" w:rsidR="00A75790" w:rsidRDefault="00293655" w:rsidP="0010502A">
      <w:pPr>
        <w:pStyle w:val="ListParagraph"/>
        <w:ind w:left="360"/>
        <w:jc w:val="both"/>
      </w:pPr>
      <w:r>
        <w:t xml:space="preserve">The developers of Cleve Hill Solar Park are two separate companies who specialise in solar parks but joined forces for this development (Cleve Hill Solar, 2021). </w:t>
      </w:r>
    </w:p>
    <w:p w14:paraId="7E1D2156" w14:textId="3E94CA6A" w:rsidR="00293655" w:rsidRDefault="00293655" w:rsidP="0010502A">
      <w:pPr>
        <w:pStyle w:val="ListParagraph"/>
        <w:ind w:left="360"/>
        <w:jc w:val="both"/>
      </w:pPr>
    </w:p>
    <w:p w14:paraId="6D262D2E" w14:textId="42E6C8D1" w:rsidR="00293655" w:rsidRDefault="00293655" w:rsidP="0010502A">
      <w:pPr>
        <w:pStyle w:val="ListParagraph"/>
        <w:ind w:left="360"/>
        <w:jc w:val="both"/>
      </w:pPr>
      <w:r>
        <w:t xml:space="preserve">One of the companies is </w:t>
      </w:r>
      <w:r w:rsidR="00D04436">
        <w:t>Hive Energy, which was first founded in 2010, and focus on providing energy by using Photovoltaic (PV) power; this is done by installing solar panels on commercial rooftops, building</w:t>
      </w:r>
      <w:r w:rsidR="003D35E3">
        <w:t>,</w:t>
      </w:r>
      <w:r w:rsidR="00D04436">
        <w:t xml:space="preserve"> solar farms and solar parks (Hive Energy Ltd, 2021). They also work international in such countries as, Africa, Middle East and Central America (Hive Energy Ltd, 2021). Their technology and vision of a clea</w:t>
      </w:r>
      <w:r w:rsidR="003D35E3">
        <w:t>n</w:t>
      </w:r>
      <w:r w:rsidR="00D04436">
        <w:t xml:space="preserve"> future is what has made them the leading developers in Solar PV energy in the UK and given the title of ‘Pure Play Developer’ by Bloomberg (Hive Energy Ltd, 2021). </w:t>
      </w:r>
    </w:p>
    <w:p w14:paraId="775F17F2" w14:textId="162688CA" w:rsidR="00EC639A" w:rsidRDefault="00EC639A" w:rsidP="0010502A">
      <w:pPr>
        <w:pStyle w:val="ListParagraph"/>
        <w:ind w:left="360"/>
        <w:jc w:val="both"/>
      </w:pPr>
    </w:p>
    <w:p w14:paraId="5F5A7A2F" w14:textId="30ECA88F" w:rsidR="00EC639A" w:rsidRDefault="00164119" w:rsidP="0010502A">
      <w:pPr>
        <w:pStyle w:val="ListParagraph"/>
        <w:ind w:left="360"/>
        <w:jc w:val="both"/>
      </w:pPr>
      <w:r>
        <w:t xml:space="preserve">The second company is Wirsol, first founded in 2013, and they focus on large scale projects in renewable energy such as, wind and photovoltaic (Wirsol Energy Ltd, 2021). They primarily work in the German market for renewables but are located in Spain, Italy, Belgium, UK, Switzerland, Canada, the United States, Brazil, Japan, China, Malaysia and the Maldives (Wirsol Energy Ltd, 2021). </w:t>
      </w:r>
    </w:p>
    <w:p w14:paraId="15242066" w14:textId="25FBAFB7" w:rsidR="00D04436" w:rsidRDefault="00D04436" w:rsidP="0010502A">
      <w:pPr>
        <w:pStyle w:val="ListParagraph"/>
        <w:ind w:left="360"/>
        <w:jc w:val="both"/>
      </w:pPr>
    </w:p>
    <w:p w14:paraId="4390BDF9" w14:textId="48CB88C0" w:rsidR="00D04436" w:rsidRDefault="00810BFD" w:rsidP="0010502A">
      <w:pPr>
        <w:pStyle w:val="ListParagraph"/>
        <w:ind w:left="360"/>
        <w:jc w:val="both"/>
      </w:pPr>
      <w:r>
        <w:t xml:space="preserve">Due to the different designated sites surrounding and within the proposed development site different organisations and government bodies had decided to make their voices herd on the project, with some not reviewing the scoring report before voicing their distain for the project. </w:t>
      </w:r>
    </w:p>
    <w:p w14:paraId="434A05B7" w14:textId="09CA20C4" w:rsidR="00810BFD" w:rsidRDefault="00810BFD" w:rsidP="0010502A">
      <w:pPr>
        <w:pStyle w:val="ListParagraph"/>
        <w:ind w:left="360"/>
        <w:jc w:val="both"/>
      </w:pPr>
    </w:p>
    <w:p w14:paraId="2A57A62B" w14:textId="356B80EE" w:rsidR="00810BFD" w:rsidRDefault="00810BFD" w:rsidP="0010502A">
      <w:pPr>
        <w:pStyle w:val="ListParagraph"/>
        <w:ind w:left="360"/>
        <w:jc w:val="both"/>
      </w:pPr>
      <w:r w:rsidRPr="00810BFD">
        <w:t>Kent Wildlife Trust, Kent Count</w:t>
      </w:r>
      <w:r>
        <w:t xml:space="preserve">ry Council, Swale Borough Council and the Royal Society for the Protection of Birds (RSPB) were some of the few organisations and government bodies that voice their issues with having </w:t>
      </w:r>
      <w:r w:rsidR="001E4E18">
        <w:t xml:space="preserve">this development on the proposed site. Although the government bodies were unable to contest this development and had to stop with their </w:t>
      </w:r>
      <w:r w:rsidR="00C6143C">
        <w:t>protests,</w:t>
      </w:r>
      <w:r w:rsidR="001E4E18">
        <w:t xml:space="preserve"> they still made it clear they were unhappy. The organisations, such as the Kent Wildlife Trust, stated </w:t>
      </w:r>
    </w:p>
    <w:p w14:paraId="2F0A7D7C" w14:textId="407CBDD0" w:rsidR="001E4E18" w:rsidRDefault="001E4E18" w:rsidP="0010502A">
      <w:pPr>
        <w:pStyle w:val="ListParagraph"/>
        <w:ind w:left="360"/>
        <w:jc w:val="both"/>
      </w:pPr>
    </w:p>
    <w:p w14:paraId="0C8A9E25" w14:textId="5ED0F92C" w:rsidR="001E4E18" w:rsidRDefault="001E4E18" w:rsidP="0010502A">
      <w:pPr>
        <w:pStyle w:val="ListParagraph"/>
        <w:ind w:left="360"/>
        <w:jc w:val="both"/>
      </w:pPr>
      <w:r w:rsidRPr="001E4E18">
        <w:rPr>
          <w:i/>
          <w:iCs/>
        </w:rPr>
        <w:lastRenderedPageBreak/>
        <w:t xml:space="preserve">“Kent Wildlife Trust is not opposed to solar </w:t>
      </w:r>
      <w:r w:rsidR="00C6143C" w:rsidRPr="001E4E18">
        <w:rPr>
          <w:i/>
          <w:iCs/>
        </w:rPr>
        <w:t>parks and</w:t>
      </w:r>
      <w:r w:rsidRPr="001E4E18">
        <w:rPr>
          <w:i/>
          <w:iCs/>
        </w:rPr>
        <w:t xml:space="preserve"> is supportive of initiatives to reduce reliance on fossil fuels - but this must not be at the expense of other aspects of the natural environment. As with many development issues, it is as much about ‘where’ as ‘what’ and in this case the development site is ‘functionally linked’ to the surrounding </w:t>
      </w:r>
      <w:r w:rsidR="00C6143C" w:rsidRPr="001E4E18">
        <w:rPr>
          <w:i/>
          <w:iCs/>
        </w:rPr>
        <w:t>habitats and</w:t>
      </w:r>
      <w:r w:rsidRPr="001E4E18">
        <w:rPr>
          <w:i/>
          <w:iCs/>
        </w:rPr>
        <w:t xml:space="preserve"> plays a vital role in supporting the species for which the area has been designated. In particular, significant numbers of Brent geese, lapwing and golden plover use the farmland. Marsh harrier breed and feed in the </w:t>
      </w:r>
      <w:r w:rsidR="00C6143C" w:rsidRPr="001E4E18">
        <w:rPr>
          <w:i/>
          <w:iCs/>
        </w:rPr>
        <w:t>area and</w:t>
      </w:r>
      <w:r w:rsidRPr="001E4E18">
        <w:rPr>
          <w:i/>
          <w:iCs/>
        </w:rPr>
        <w:t xml:space="preserve"> may be displaced by the presence of the solar panels.”</w:t>
      </w:r>
      <w:r>
        <w:rPr>
          <w:i/>
          <w:iCs/>
        </w:rPr>
        <w:t xml:space="preserve"> </w:t>
      </w:r>
      <w:r>
        <w:t>(Kent Wildlife Trust, 2021. P. 1).</w:t>
      </w:r>
    </w:p>
    <w:p w14:paraId="537A6D5E" w14:textId="1AC27F66" w:rsidR="007E1FA6" w:rsidRDefault="007E1FA6" w:rsidP="0010502A">
      <w:pPr>
        <w:pStyle w:val="ListParagraph"/>
        <w:ind w:left="360"/>
        <w:jc w:val="both"/>
      </w:pPr>
    </w:p>
    <w:p w14:paraId="329E3423" w14:textId="27D4EA80" w:rsidR="007E1FA6" w:rsidRDefault="00D059FB" w:rsidP="0010502A">
      <w:pPr>
        <w:pStyle w:val="ListParagraph"/>
        <w:ind w:left="360"/>
        <w:jc w:val="both"/>
      </w:pPr>
      <w:r>
        <w:t>The developers</w:t>
      </w:r>
      <w:r w:rsidR="00361043">
        <w:t xml:space="preserve"> say that they did</w:t>
      </w:r>
      <w:r>
        <w:t xml:space="preserve"> </w:t>
      </w:r>
      <w:r w:rsidR="00BC2CA4">
        <w:t>try to keep the public in</w:t>
      </w:r>
      <w:r w:rsidR="00361043">
        <w:t>formed about their plans (Community Consultation Leaflet, 2017). This was done by presenting the communities with information in meetings when phase 2 of construction started, while also providing community new</w:t>
      </w:r>
      <w:r w:rsidR="003D35E3">
        <w:t>s</w:t>
      </w:r>
      <w:r w:rsidR="00361043">
        <w:t xml:space="preserve"> leaflet</w:t>
      </w:r>
      <w:r w:rsidR="003D35E3">
        <w:t>s</w:t>
      </w:r>
      <w:r w:rsidR="00361043">
        <w:t xml:space="preserve"> every few months (Community Consultation Leaflet, 2017). </w:t>
      </w:r>
      <w:r w:rsidR="00D130AF">
        <w:t xml:space="preserve">These leaflets could be found around the communities and on the </w:t>
      </w:r>
      <w:r w:rsidR="00C6143C">
        <w:t>developer’s</w:t>
      </w:r>
      <w:r w:rsidR="00D130AF">
        <w:t xml:space="preserve"> website (Community Consultation Leaflet, 2017). </w:t>
      </w:r>
    </w:p>
    <w:p w14:paraId="687EC995" w14:textId="63085655" w:rsidR="00D130AF" w:rsidRDefault="00D130AF" w:rsidP="0010502A">
      <w:pPr>
        <w:pStyle w:val="ListParagraph"/>
        <w:ind w:left="360"/>
        <w:jc w:val="both"/>
      </w:pPr>
    </w:p>
    <w:p w14:paraId="51E4E8B9" w14:textId="3ABC6B77" w:rsidR="00D130AF" w:rsidRDefault="00D130AF" w:rsidP="0010502A">
      <w:pPr>
        <w:pStyle w:val="ListParagraph"/>
        <w:ind w:left="360"/>
        <w:jc w:val="both"/>
      </w:pPr>
      <w:r>
        <w:t>There are many parts to the</w:t>
      </w:r>
      <w:r w:rsidR="003D35E3">
        <w:t>ir Scoping report</w:t>
      </w:r>
      <w:r>
        <w:t xml:space="preserve"> for Cleve Hill Solar Park and the chapters are layout out as shown below: </w:t>
      </w:r>
    </w:p>
    <w:p w14:paraId="669A4019" w14:textId="4699E4FC" w:rsidR="00D130AF" w:rsidRDefault="00D130AF" w:rsidP="0010502A">
      <w:pPr>
        <w:pStyle w:val="ListParagraph"/>
        <w:ind w:left="360"/>
        <w:jc w:val="both"/>
      </w:pPr>
    </w:p>
    <w:p w14:paraId="18F27296" w14:textId="60F0C240" w:rsidR="00D130AF" w:rsidRDefault="00D130AF" w:rsidP="0010502A">
      <w:pPr>
        <w:pStyle w:val="ListParagraph"/>
        <w:numPr>
          <w:ilvl w:val="0"/>
          <w:numId w:val="2"/>
        </w:numPr>
        <w:jc w:val="both"/>
      </w:pPr>
      <w:r>
        <w:t>Introduction</w:t>
      </w:r>
    </w:p>
    <w:p w14:paraId="0F58EB2B" w14:textId="2AD0C1EF" w:rsidR="00D130AF" w:rsidRDefault="00D130AF" w:rsidP="0010502A">
      <w:pPr>
        <w:pStyle w:val="ListParagraph"/>
        <w:numPr>
          <w:ilvl w:val="0"/>
          <w:numId w:val="2"/>
        </w:numPr>
        <w:jc w:val="both"/>
      </w:pPr>
      <w:r>
        <w:t xml:space="preserve">Environmental Impact Assessment </w:t>
      </w:r>
    </w:p>
    <w:p w14:paraId="25ACA606" w14:textId="01B19A6C" w:rsidR="00D130AF" w:rsidRDefault="00D130AF" w:rsidP="0010502A">
      <w:pPr>
        <w:pStyle w:val="ListParagraph"/>
        <w:numPr>
          <w:ilvl w:val="0"/>
          <w:numId w:val="2"/>
        </w:numPr>
        <w:jc w:val="both"/>
      </w:pPr>
      <w:r>
        <w:t xml:space="preserve">Consultation </w:t>
      </w:r>
    </w:p>
    <w:p w14:paraId="157DDAEF" w14:textId="00C6B153" w:rsidR="00D130AF" w:rsidRDefault="00D130AF" w:rsidP="0010502A">
      <w:pPr>
        <w:pStyle w:val="ListParagraph"/>
        <w:numPr>
          <w:ilvl w:val="0"/>
          <w:numId w:val="2"/>
        </w:numPr>
        <w:jc w:val="both"/>
      </w:pPr>
      <w:r>
        <w:t>Site Selection and Consideration of Alternatives</w:t>
      </w:r>
    </w:p>
    <w:p w14:paraId="618D7293" w14:textId="6FFCC190" w:rsidR="00D130AF" w:rsidRDefault="00D130AF" w:rsidP="0010502A">
      <w:pPr>
        <w:pStyle w:val="ListParagraph"/>
        <w:numPr>
          <w:ilvl w:val="0"/>
          <w:numId w:val="2"/>
        </w:numPr>
        <w:jc w:val="both"/>
      </w:pPr>
      <w:r>
        <w:t xml:space="preserve">Project Description </w:t>
      </w:r>
    </w:p>
    <w:p w14:paraId="4E9A92F2" w14:textId="6D8303CA" w:rsidR="00D130AF" w:rsidRDefault="00D130AF" w:rsidP="0010502A">
      <w:pPr>
        <w:pStyle w:val="ListParagraph"/>
        <w:numPr>
          <w:ilvl w:val="0"/>
          <w:numId w:val="2"/>
        </w:numPr>
        <w:jc w:val="both"/>
      </w:pPr>
      <w:r>
        <w:t xml:space="preserve">Legislative and Planning Policy Context </w:t>
      </w:r>
    </w:p>
    <w:p w14:paraId="3E28FEFD" w14:textId="5F33E482" w:rsidR="00D130AF" w:rsidRDefault="00D130AF" w:rsidP="0010502A">
      <w:pPr>
        <w:pStyle w:val="ListParagraph"/>
        <w:numPr>
          <w:ilvl w:val="0"/>
          <w:numId w:val="2"/>
        </w:numPr>
        <w:jc w:val="both"/>
      </w:pPr>
      <w:r>
        <w:t xml:space="preserve">Landscape and Visual Impact Assessment </w:t>
      </w:r>
    </w:p>
    <w:p w14:paraId="64D243BD" w14:textId="63B29D79" w:rsidR="00D130AF" w:rsidRDefault="00D130AF" w:rsidP="0010502A">
      <w:pPr>
        <w:pStyle w:val="ListParagraph"/>
        <w:numPr>
          <w:ilvl w:val="0"/>
          <w:numId w:val="2"/>
        </w:numPr>
        <w:jc w:val="both"/>
      </w:pPr>
      <w:r>
        <w:t xml:space="preserve">Ecology </w:t>
      </w:r>
    </w:p>
    <w:p w14:paraId="56502769" w14:textId="11BF1FC6" w:rsidR="00D130AF" w:rsidRDefault="00D130AF" w:rsidP="0010502A">
      <w:pPr>
        <w:pStyle w:val="ListParagraph"/>
        <w:numPr>
          <w:ilvl w:val="0"/>
          <w:numId w:val="2"/>
        </w:numPr>
        <w:jc w:val="both"/>
      </w:pPr>
      <w:r>
        <w:t xml:space="preserve">Ornithology </w:t>
      </w:r>
    </w:p>
    <w:p w14:paraId="6C32B1D7" w14:textId="7BA1829E" w:rsidR="00D130AF" w:rsidRDefault="00D130AF" w:rsidP="0010502A">
      <w:pPr>
        <w:pStyle w:val="ListParagraph"/>
        <w:numPr>
          <w:ilvl w:val="0"/>
          <w:numId w:val="2"/>
        </w:numPr>
        <w:jc w:val="both"/>
      </w:pPr>
      <w:r>
        <w:t>Hydrology, Hydrogeology, Flood Risk and Ground Conditions</w:t>
      </w:r>
    </w:p>
    <w:p w14:paraId="7E1CF1CA" w14:textId="5F9A41E4" w:rsidR="00D130AF" w:rsidRDefault="00D130AF" w:rsidP="0010502A">
      <w:pPr>
        <w:pStyle w:val="ListParagraph"/>
        <w:numPr>
          <w:ilvl w:val="0"/>
          <w:numId w:val="2"/>
        </w:numPr>
        <w:jc w:val="both"/>
      </w:pPr>
      <w:r>
        <w:t>Cultural Heritage and Archaeology</w:t>
      </w:r>
    </w:p>
    <w:p w14:paraId="3BDEBC58" w14:textId="64CB593C" w:rsidR="00D130AF" w:rsidRDefault="00D130AF" w:rsidP="0010502A">
      <w:pPr>
        <w:pStyle w:val="ListParagraph"/>
        <w:numPr>
          <w:ilvl w:val="0"/>
          <w:numId w:val="2"/>
        </w:numPr>
        <w:jc w:val="both"/>
      </w:pPr>
      <w:r>
        <w:t>Noise</w:t>
      </w:r>
      <w:r w:rsidR="00B75916">
        <w:t xml:space="preserve"> and Vibration </w:t>
      </w:r>
    </w:p>
    <w:p w14:paraId="045A7549" w14:textId="7AF1362F" w:rsidR="00D130AF" w:rsidRDefault="00D130AF" w:rsidP="0010502A">
      <w:pPr>
        <w:pStyle w:val="ListParagraph"/>
        <w:numPr>
          <w:ilvl w:val="0"/>
          <w:numId w:val="2"/>
        </w:numPr>
        <w:jc w:val="both"/>
      </w:pPr>
      <w:r>
        <w:t>Socio-Economics, Tourism, Recreation and Land-use</w:t>
      </w:r>
    </w:p>
    <w:p w14:paraId="12B8B45E" w14:textId="6E839F28" w:rsidR="00D130AF" w:rsidRDefault="00D130AF" w:rsidP="0010502A">
      <w:pPr>
        <w:pStyle w:val="ListParagraph"/>
        <w:numPr>
          <w:ilvl w:val="0"/>
          <w:numId w:val="2"/>
        </w:numPr>
        <w:jc w:val="both"/>
      </w:pPr>
      <w:r>
        <w:t>Access and Traffic</w:t>
      </w:r>
    </w:p>
    <w:p w14:paraId="4A7DB871" w14:textId="69AA9812" w:rsidR="00D130AF" w:rsidRDefault="00D130AF" w:rsidP="0010502A">
      <w:pPr>
        <w:pStyle w:val="ListParagraph"/>
        <w:numPr>
          <w:ilvl w:val="0"/>
          <w:numId w:val="2"/>
        </w:numPr>
        <w:jc w:val="both"/>
      </w:pPr>
      <w:r>
        <w:t>Climate Change</w:t>
      </w:r>
    </w:p>
    <w:p w14:paraId="5098E5A5" w14:textId="6CF90493" w:rsidR="00D130AF" w:rsidRDefault="00D130AF" w:rsidP="0010502A">
      <w:pPr>
        <w:pStyle w:val="ListParagraph"/>
        <w:numPr>
          <w:ilvl w:val="0"/>
          <w:numId w:val="2"/>
        </w:numPr>
        <w:jc w:val="both"/>
      </w:pPr>
      <w:r>
        <w:t>Miscellaneous Issues, including glint and glare, human health and telecoms and waste</w:t>
      </w:r>
    </w:p>
    <w:p w14:paraId="283176BC" w14:textId="193BC3CA" w:rsidR="00D130AF" w:rsidRDefault="00D130AF" w:rsidP="0010502A">
      <w:pPr>
        <w:pStyle w:val="ListParagraph"/>
        <w:numPr>
          <w:ilvl w:val="0"/>
          <w:numId w:val="2"/>
        </w:numPr>
        <w:jc w:val="both"/>
      </w:pPr>
      <w:r>
        <w:t>Interaction and accumulation of effects</w:t>
      </w:r>
    </w:p>
    <w:p w14:paraId="24D2D661" w14:textId="47A381E7" w:rsidR="00D130AF" w:rsidRDefault="00D130AF" w:rsidP="0010502A">
      <w:pPr>
        <w:pStyle w:val="ListParagraph"/>
        <w:numPr>
          <w:ilvl w:val="0"/>
          <w:numId w:val="2"/>
        </w:numPr>
        <w:jc w:val="both"/>
      </w:pPr>
      <w:r>
        <w:t>Supporting Figures and Drawings</w:t>
      </w:r>
    </w:p>
    <w:p w14:paraId="66BB6337" w14:textId="73AA7B34" w:rsidR="00D130AF" w:rsidRDefault="00B75916" w:rsidP="0010502A">
      <w:pPr>
        <w:pStyle w:val="ListParagraph"/>
        <w:numPr>
          <w:ilvl w:val="0"/>
          <w:numId w:val="2"/>
        </w:numPr>
        <w:jc w:val="both"/>
      </w:pPr>
      <w:r w:rsidRPr="00B75916">
        <w:t>Technical Appendices (</w:t>
      </w:r>
      <w:r w:rsidR="007662F5" w:rsidRPr="00B75916">
        <w:t>e.g.,</w:t>
      </w:r>
      <w:r w:rsidRPr="00B75916">
        <w:t xml:space="preserve"> baseline survey re</w:t>
      </w:r>
      <w:r>
        <w:t>ports)</w:t>
      </w:r>
    </w:p>
    <w:p w14:paraId="0B655286" w14:textId="6D49A7AC" w:rsidR="00B75916" w:rsidRDefault="00B75916" w:rsidP="0010502A">
      <w:pPr>
        <w:jc w:val="both"/>
      </w:pPr>
      <w:r>
        <w:t xml:space="preserve">The report does contain many subheads breaking the report down further with more information, with a </w:t>
      </w:r>
      <w:r w:rsidR="007662F5">
        <w:t>5-page</w:t>
      </w:r>
      <w:r>
        <w:t xml:space="preserve"> content table. These are just the main headings. </w:t>
      </w:r>
    </w:p>
    <w:p w14:paraId="2C716929" w14:textId="1DE44FEF" w:rsidR="00C51AC8" w:rsidRDefault="00543530" w:rsidP="0010502A">
      <w:pPr>
        <w:jc w:val="both"/>
      </w:pPr>
      <w:r>
        <w:t>Th</w:t>
      </w:r>
      <w:r w:rsidR="00C51AC8">
        <w:t>is</w:t>
      </w:r>
      <w:r>
        <w:t xml:space="preserve"> </w:t>
      </w:r>
      <w:r w:rsidR="00553D89">
        <w:t>project i</w:t>
      </w:r>
      <w:r w:rsidR="003D35E3">
        <w:t>s</w:t>
      </w:r>
      <w:r w:rsidR="00553D89">
        <w:t xml:space="preserve"> placed </w:t>
      </w:r>
      <w:r w:rsidR="007741A2">
        <w:t xml:space="preserve">in an area </w:t>
      </w:r>
      <w:r w:rsidR="001C1E8A">
        <w:t xml:space="preserve">that has many different designated sites which </w:t>
      </w:r>
      <w:r w:rsidR="00DC55BE">
        <w:t>contain</w:t>
      </w:r>
      <w:r w:rsidR="003D35E3">
        <w:t>s</w:t>
      </w:r>
      <w:r w:rsidR="00DC55BE">
        <w:t xml:space="preserve"> a </w:t>
      </w:r>
      <w:r w:rsidR="003D35E3">
        <w:t>variation</w:t>
      </w:r>
      <w:r w:rsidR="00DC55BE">
        <w:t xml:space="preserve"> of different habitats, and the development is a large scale project</w:t>
      </w:r>
      <w:r w:rsidR="00C51AC8">
        <w:t>,</w:t>
      </w:r>
      <w:r w:rsidR="00DC55BE">
        <w:t xml:space="preserve"> th</w:t>
      </w:r>
      <w:r w:rsidR="00C51AC8">
        <w:t>at conducted a lot of information gathering to be able to give a well informed Environmental Statement. However, for this report the main section that will be focused on will be the Ecology</w:t>
      </w:r>
      <w:r w:rsidR="007662F5">
        <w:t xml:space="preserve"> as</w:t>
      </w:r>
      <w:r w:rsidR="00C51AC8">
        <w:t xml:space="preserve"> the </w:t>
      </w:r>
      <w:r w:rsidR="003D35E3">
        <w:t>Scoping report</w:t>
      </w:r>
      <w:r w:rsidR="00C51AC8">
        <w:t xml:space="preserve"> is too long to examine all of it.</w:t>
      </w:r>
    </w:p>
    <w:p w14:paraId="167A7961" w14:textId="03636681" w:rsidR="00C83A62" w:rsidRPr="00C6143C" w:rsidRDefault="00C6143C" w:rsidP="00FC3815">
      <w:pPr>
        <w:pStyle w:val="Heading1"/>
      </w:pPr>
      <w:bookmarkStart w:id="3" w:name="_Toc69053468"/>
      <w:r>
        <w:t xml:space="preserve">3.1 </w:t>
      </w:r>
      <w:r w:rsidR="00C83A62" w:rsidRPr="00C6143C">
        <w:t>Ecology</w:t>
      </w:r>
      <w:bookmarkEnd w:id="3"/>
      <w:r w:rsidR="00C51AC8" w:rsidRPr="00C6143C">
        <w:t xml:space="preserve"> </w:t>
      </w:r>
    </w:p>
    <w:p w14:paraId="1F448230" w14:textId="77777777" w:rsidR="00006064" w:rsidRDefault="00006064" w:rsidP="0010502A">
      <w:pPr>
        <w:jc w:val="both"/>
      </w:pPr>
    </w:p>
    <w:p w14:paraId="65A213B1" w14:textId="1E84B7DC" w:rsidR="005E2109" w:rsidRDefault="007662F5" w:rsidP="0010502A">
      <w:pPr>
        <w:jc w:val="both"/>
      </w:pPr>
      <w:r>
        <w:lastRenderedPageBreak/>
        <w:t xml:space="preserve">There are a number of different designated sites </w:t>
      </w:r>
      <w:r w:rsidR="00BC3C83">
        <w:t>within</w:t>
      </w:r>
      <w:r>
        <w:t xml:space="preserve"> the area, </w:t>
      </w:r>
      <w:r w:rsidR="001F5952">
        <w:t xml:space="preserve">either at a local, national or international area (Arcus Consulting Services Ltd., 2017).  </w:t>
      </w:r>
      <w:r w:rsidR="0075680D">
        <w:t>The Scoping report has listed all of the</w:t>
      </w:r>
      <w:r w:rsidR="00006064" w:rsidRPr="00006064">
        <w:t xml:space="preserve"> different designated site within the area</w:t>
      </w:r>
      <w:r w:rsidR="003D35E3">
        <w:t>,</w:t>
      </w:r>
      <w:r w:rsidR="00006064" w:rsidRPr="00006064">
        <w:t xml:space="preserve"> in a 5 kilometre (km)</w:t>
      </w:r>
      <w:r w:rsidR="003D35E3">
        <w:t xml:space="preserve"> distance</w:t>
      </w:r>
      <w:r w:rsidR="00006064" w:rsidRPr="00006064">
        <w:t xml:space="preserve"> of the development site. The location contains, one Marine Conservation Zone (MCZ), four Local Nature Reserves (LNR), two Sites of Special Scientific Interest (SSSI), one Special Area of Conservation and three National Nature Reserve (NNR), however, one area located within this site has three different designated site status with a Site of Special Scientific, a Ramsar site and a Special Protection Areas (SPA) (</w:t>
      </w:r>
      <w:r w:rsidR="00006064">
        <w:t xml:space="preserve">Arcus Consulting Services Ltd., 2017). </w:t>
      </w:r>
    </w:p>
    <w:p w14:paraId="00A7EB39" w14:textId="20C7B8EC" w:rsidR="00C51AC8" w:rsidRDefault="005E2109" w:rsidP="0010502A">
      <w:pPr>
        <w:jc w:val="both"/>
      </w:pPr>
      <w:r>
        <w:t>The</w:t>
      </w:r>
      <w:r w:rsidR="00CC3290">
        <w:t>re are a few sites that sit close to the development site. Two of the designated sites are situated adjacent in The Swale is, which sits to the north, east and west of the site, and has a designated site status of SSSI, Ramsar and SPA (Arcus Consulting Services Ltd., 2017). The other adj</w:t>
      </w:r>
      <w:r w:rsidR="00403B39">
        <w:t xml:space="preserve">acent site is situated in to the north and west of the development site, and its names is South Bank of the Swale and has a designated status of LNR (Arcus Consulting Services Ltd., 2017). Both these sites were given these statues due to having habitats such as mudflats, salt marshes, grazing marshes and wildlife such as, notable international gatherings of certain invertebrates, plants and birds (Arcus Consulting Services Ltd., 2017). </w:t>
      </w:r>
    </w:p>
    <w:p w14:paraId="290E03E3" w14:textId="54A3714C" w:rsidR="00403B39" w:rsidRDefault="00403B39" w:rsidP="0010502A">
      <w:pPr>
        <w:jc w:val="both"/>
      </w:pPr>
      <w:r>
        <w:t>The next closest designated site sits just 10 metres (m) to the west of the proposed site, with a MCZ status, which it gained due to intertidal aspects, subtidal aspects, high biodiversity, spawning and nursery site for different fish species and permanent home for marine invertebrates</w:t>
      </w:r>
      <w:r w:rsidR="00012B35">
        <w:t>, this site is The Swale Estuary</w:t>
      </w:r>
      <w:r>
        <w:t xml:space="preserve"> (Arcus Consulting Services Ltd., 2017).</w:t>
      </w:r>
    </w:p>
    <w:p w14:paraId="4553D101" w14:textId="056B5650" w:rsidR="00A008CE" w:rsidRDefault="00A008CE" w:rsidP="0010502A">
      <w:pPr>
        <w:jc w:val="both"/>
      </w:pPr>
      <w:r>
        <w:t>The Oare Marshes, which is at a distance of 300m from the development site, has a LNR designated status due to containing traditional grazing marsh, reedbeds, saltmarsh with freshwater and brackish dykes found in little streams running through the habitats (Arcus Consulting Services Ltd., 2017). This site also contains important international migration, overwintering and breeding wetland birds</w:t>
      </w:r>
      <w:r w:rsidR="00510E2D">
        <w:t xml:space="preserve">, the saltmarshes </w:t>
      </w:r>
      <w:r w:rsidR="00012B35">
        <w:t>sustain unique plants such as golden samphire, sea lavender, sea pu</w:t>
      </w:r>
      <w:r w:rsidR="004577A5">
        <w:t xml:space="preserve">rslane, sea clover and thrift, while the freshwater dykes have plants such as frog bit, reedmace and water plantain (Arcus Consulting Services Ltd., 2017). A common visitor to Swale is the Common Seals that like to swim there too (Arcus Consulting Services Ltd., 2017). </w:t>
      </w:r>
    </w:p>
    <w:p w14:paraId="141D0E36" w14:textId="3A0B08FB" w:rsidR="004577A5" w:rsidRDefault="00DB7776" w:rsidP="0010502A">
      <w:pPr>
        <w:jc w:val="both"/>
      </w:pPr>
      <w:r>
        <w:t xml:space="preserve">The remaining 8 designated site range </w:t>
      </w:r>
      <w:r w:rsidR="00BC3C83">
        <w:t xml:space="preserve">in distances from 1.4 km to 4.4 km (Arcus Consulting Services Ltd., 2017). The remaining designated sites are The Swale with a NNR, </w:t>
      </w:r>
      <w:proofErr w:type="spellStart"/>
      <w:r w:rsidR="00BC3C83">
        <w:t>Seasalter</w:t>
      </w:r>
      <w:proofErr w:type="spellEnd"/>
      <w:r w:rsidR="00BC3C83">
        <w:t xml:space="preserve"> Levels with a LNR, Foxes Cross Bottom with a LNR, Ellenden Woods with a SSSI</w:t>
      </w:r>
      <w:r w:rsidR="00C6585C">
        <w:t>, Blean Complex with a SAC, Elmley with a NNR, Blean Woods with a NNR and Church Woods Blean with a SSSI (Arcus Consulting Services Ltd., 2017)</w:t>
      </w:r>
      <w:r w:rsidR="001C2F91">
        <w:t>.</w:t>
      </w:r>
    </w:p>
    <w:p w14:paraId="588E860F" w14:textId="22BE570F" w:rsidR="001C2F91" w:rsidRDefault="001C2F91" w:rsidP="0010502A">
      <w:pPr>
        <w:jc w:val="both"/>
      </w:pPr>
      <w:r>
        <w:t>With this information in hand the developers carried out a range of different surveys and site visits. The surveys found that in three of the pond</w:t>
      </w:r>
      <w:r w:rsidR="003D35E3">
        <w:t>s,</w:t>
      </w:r>
      <w:r>
        <w:t xml:space="preserve"> not located on site</w:t>
      </w:r>
      <w:r w:rsidR="003D35E3">
        <w:t>,</w:t>
      </w:r>
      <w:r>
        <w:t xml:space="preserve"> had the presents of crested newts, many of the surrounding bodies of water did show signs of the presents of water voles, the area  is sustainable for bats but little bat activity was seen, in the ditches with water atypical insects where present and, the flora in the surrounding area showed no signs of rare or important vegetation (Arcus Consulting Services Ltd., 2017).</w:t>
      </w:r>
    </w:p>
    <w:p w14:paraId="687EE56F" w14:textId="48368AB2" w:rsidR="001C2F91" w:rsidRDefault="002640CB" w:rsidP="0010502A">
      <w:pPr>
        <w:jc w:val="both"/>
      </w:pPr>
      <w:r>
        <w:t xml:space="preserve">The conclusion made from these surveys found that the project will ‘limit likely ecological effects’ due to the infrastructure being located in arable land, which was found to have ‘limited ecological value’ (Arcus Consulting Services Ltd., 2017). However, they did state that there would be </w:t>
      </w:r>
    </w:p>
    <w:p w14:paraId="6F73ACEC" w14:textId="29E3C561" w:rsidR="002640CB" w:rsidRDefault="002640CB" w:rsidP="0010502A">
      <w:pPr>
        <w:jc w:val="both"/>
      </w:pPr>
      <w:r w:rsidRPr="002640CB">
        <w:rPr>
          <w:i/>
          <w:iCs/>
        </w:rPr>
        <w:t xml:space="preserve">“Loss of, and disturbance to, terrestrial habitats due to land take by the infrastructure; Loss of habitat important for the maintenance of species’ conservation statuses; Direct disturbance of, and harm to, </w:t>
      </w:r>
      <w:r w:rsidRPr="002640CB">
        <w:rPr>
          <w:i/>
          <w:iCs/>
        </w:rPr>
        <w:lastRenderedPageBreak/>
        <w:t>animals, including the displacement of species from the proximity of the Development; and Potential legal offences, even when significant adverse ecological effects are unlikely.”</w:t>
      </w:r>
      <w:r>
        <w:t xml:space="preserve">(Arcus Consulting Services Ltd., 2017. P. 51-52). </w:t>
      </w:r>
    </w:p>
    <w:p w14:paraId="1FED7D78" w14:textId="17B692D0" w:rsidR="00C51AC8" w:rsidRPr="00C51AC8" w:rsidRDefault="00302696" w:rsidP="0010502A">
      <w:pPr>
        <w:jc w:val="both"/>
        <w:rPr>
          <w:b/>
          <w:bCs/>
          <w:u w:val="single"/>
        </w:rPr>
      </w:pPr>
      <w:r>
        <w:t>A desk assessment was also carried out which was done to gather</w:t>
      </w:r>
      <w:r w:rsidR="00C1725F">
        <w:t xml:space="preserve"> information on the site that would be of use to their EIA</w:t>
      </w:r>
      <w:r>
        <w:t xml:space="preserve">. The information gathered was </w:t>
      </w:r>
      <w:r w:rsidR="00C1725F">
        <w:t xml:space="preserve">historical and regional; for example, the Kent and Medway Biological Records Centre and National Biodiversity Network was contacted to obtain records of any notable or protected species that could be found in the location, whether they were there at present or in the past (Arcus Consulting Services Ltd., 2017). </w:t>
      </w:r>
    </w:p>
    <w:p w14:paraId="12425FE7" w14:textId="3F9251C9" w:rsidR="00C83A62" w:rsidRPr="00C1725F" w:rsidRDefault="00FC3815" w:rsidP="00FC3815">
      <w:pPr>
        <w:pStyle w:val="Heading1"/>
      </w:pPr>
      <w:bookmarkStart w:id="4" w:name="_Toc69053469"/>
      <w:r>
        <w:t xml:space="preserve">4.0 </w:t>
      </w:r>
      <w:r w:rsidR="00C83A62" w:rsidRPr="00C1725F">
        <w:t>Review of Academic Literature</w:t>
      </w:r>
      <w:bookmarkEnd w:id="4"/>
      <w:r w:rsidR="00C1725F" w:rsidRPr="00C1725F">
        <w:br/>
      </w:r>
    </w:p>
    <w:p w14:paraId="7C6E85F9" w14:textId="6D5CAACA" w:rsidR="00C1725F" w:rsidRDefault="00C1725F" w:rsidP="0010502A">
      <w:pPr>
        <w:jc w:val="both"/>
      </w:pPr>
      <w:r>
        <w:t xml:space="preserve">The literature on EIA should be noted as it shows an insight into the how the process should work and how it does work in practice.  </w:t>
      </w:r>
      <w:r w:rsidR="00E420E7">
        <w:t xml:space="preserve">The goal of an EIA is to help protect the environment, by have this task carried out it allows the presider to make a decision on whether the effects of the development will be significant (Government, 2017) and encourages the industry to be more sustainable. </w:t>
      </w:r>
    </w:p>
    <w:p w14:paraId="60833E7E" w14:textId="718AB207" w:rsidR="00C83A62" w:rsidRPr="00E420E7" w:rsidRDefault="00E420E7" w:rsidP="00FC3815">
      <w:pPr>
        <w:pStyle w:val="Heading1"/>
      </w:pPr>
      <w:bookmarkStart w:id="5" w:name="_Toc69053470"/>
      <w:r>
        <w:t xml:space="preserve">4.1 </w:t>
      </w:r>
      <w:r w:rsidR="00C83A62" w:rsidRPr="00E420E7">
        <w:t>The Screening and Scoping</w:t>
      </w:r>
      <w:bookmarkEnd w:id="5"/>
      <w:r w:rsidR="00C83A62" w:rsidRPr="00E420E7">
        <w:t xml:space="preserve"> </w:t>
      </w:r>
    </w:p>
    <w:p w14:paraId="6FEE1985" w14:textId="3833A852" w:rsidR="001D6F4C" w:rsidRDefault="008B6441" w:rsidP="0010502A">
      <w:pPr>
        <w:jc w:val="both"/>
      </w:pPr>
      <w:r w:rsidRPr="008B6441">
        <w:t xml:space="preserve">The screening </w:t>
      </w:r>
      <w:r w:rsidR="001D6F4C">
        <w:t>step</w:t>
      </w:r>
      <w:r w:rsidRPr="008B6441">
        <w:t xml:space="preserve"> is the first </w:t>
      </w:r>
      <w:r w:rsidR="001D6F4C" w:rsidRPr="008B6441">
        <w:t>phase</w:t>
      </w:r>
      <w:r w:rsidRPr="008B6441">
        <w:t xml:space="preserve"> towards the EIA process</w:t>
      </w:r>
      <w:r>
        <w:t xml:space="preserve"> (International Institute for Sustainable Development, 2021).</w:t>
      </w:r>
      <w:r w:rsidR="00EF321B">
        <w:t>The purpose of a screening process is establish whether an EIA is required for the project being examined (E</w:t>
      </w:r>
      <w:r w:rsidR="0019760B">
        <w:t>uropean Commission</w:t>
      </w:r>
      <w:r w:rsidR="00EF321B">
        <w:t xml:space="preserve">, 2001). </w:t>
      </w:r>
      <w:r w:rsidR="001D6F4C">
        <w:t xml:space="preserve">For example, should the assessment be performed, will there be a considerable impact, or there is no need for the assessment to be preformed due an anticipated lack of considerable impacts (International Institute for Sustainable Development, 2021). The Screening process is essential as it will reveal the amount of impact expected from the short term and long term of the development or project (International Institute for Sustainable Development, 2021). </w:t>
      </w:r>
    </w:p>
    <w:p w14:paraId="59635C42" w14:textId="77777777" w:rsidR="00CB6C22" w:rsidRDefault="001D6F4C" w:rsidP="0010502A">
      <w:pPr>
        <w:jc w:val="both"/>
      </w:pPr>
      <w:r>
        <w:t>Although many smaller developments appear to not need one</w:t>
      </w:r>
      <w:r w:rsidR="00942A25">
        <w:t xml:space="preserve">, or might only have to consider if an EIA is needed due to the proposed site have a designation (The Town and Country Planning Regulations, 2011).  </w:t>
      </w:r>
      <w:r w:rsidR="00CB6C22">
        <w:t xml:space="preserve">However, in regards to Cleve Hill Solar Park the developers did considers the sites around them while also considering how they could continue to support the habitats and wildlife within the vicinity. </w:t>
      </w:r>
    </w:p>
    <w:p w14:paraId="55DE69CC" w14:textId="77777777" w:rsidR="008F25B0" w:rsidRDefault="00CB6C22" w:rsidP="0010502A">
      <w:pPr>
        <w:jc w:val="both"/>
      </w:pPr>
      <w:r>
        <w:t xml:space="preserve">The scoping stage is performed in preparation to accomplish an EIA, this step will </w:t>
      </w:r>
      <w:r w:rsidR="00B163F0">
        <w:t xml:space="preserve">distinguish any issues that have the possibility to have the </w:t>
      </w:r>
      <w:r w:rsidR="00152EC8">
        <w:t>highest</w:t>
      </w:r>
      <w:r w:rsidR="00B163F0">
        <w:t xml:space="preserve"> consequence  while allowing one with little or less consequences to be excluded (International Institute for Sustainable Development, 2021). The scoping report helps to establish the limits of an EIA in regards to the development,  what the EIA will include and how the EIA was assembled using terms of references (International Institute for Sustainable Development, 2021). </w:t>
      </w:r>
    </w:p>
    <w:p w14:paraId="2F79B6CD" w14:textId="05AE24C9" w:rsidR="00E420E7" w:rsidRDefault="00152EC8" w:rsidP="0010502A">
      <w:pPr>
        <w:jc w:val="both"/>
      </w:pPr>
      <w:r>
        <w:t xml:space="preserve">However, while researching the government EIA guidelines there seemed to be no guidance on what </w:t>
      </w:r>
      <w:r w:rsidR="008F25B0">
        <w:t xml:space="preserve">would be consider to have the highest consequence, in regards to what would impact the environment more and what would be detrimental to the wildlife. Due to this lack of guidance on what would be considered to have the highest consequence, it could be the reason behind having such large scoping reports as the developer is including everything to make sure there are no delays in the presider giving permission or not. </w:t>
      </w:r>
    </w:p>
    <w:p w14:paraId="01753672" w14:textId="2D1E3C2F" w:rsidR="008F25B0" w:rsidRDefault="008F25B0" w:rsidP="0010502A">
      <w:pPr>
        <w:jc w:val="both"/>
      </w:pPr>
      <w:r>
        <w:t xml:space="preserve">This is clear to see in the scoping report for Cleve Hill Solar Park and the ES, the consulting services used made sure to include ever last little bit of detail including such things as what a scoping report is; </w:t>
      </w:r>
      <w:r w:rsidR="00A44173">
        <w:lastRenderedPageBreak/>
        <w:t xml:space="preserve">which means it is of no surprise that the scoping report is 109 pages long, they have covered the necessary  information while providing more details to ensure that every possible question that the presider might asked is already answered. </w:t>
      </w:r>
    </w:p>
    <w:p w14:paraId="7BF7B328" w14:textId="53FC8175" w:rsidR="00E10667" w:rsidRPr="00E10667" w:rsidRDefault="00E10667" w:rsidP="00FC3815">
      <w:pPr>
        <w:pStyle w:val="Heading1"/>
      </w:pPr>
      <w:bookmarkStart w:id="6" w:name="_Toc69053471"/>
      <w:r w:rsidRPr="00E10667">
        <w:t>4.2 Public Participation</w:t>
      </w:r>
      <w:bookmarkEnd w:id="6"/>
      <w:r w:rsidRPr="00E10667">
        <w:t xml:space="preserve"> </w:t>
      </w:r>
    </w:p>
    <w:p w14:paraId="76B3D39C" w14:textId="172776DD" w:rsidR="00C83A62" w:rsidRDefault="000B2A95" w:rsidP="00E10667">
      <w:pPr>
        <w:jc w:val="both"/>
      </w:pPr>
      <w:r>
        <w:t xml:space="preserve">The Publics participation in EIA </w:t>
      </w:r>
      <w:r w:rsidR="0096785F">
        <w:t>is not necessary but if included will allow the development to progress with little hindrance. In regards to EIA’s and government policy making the public participation can be beneficial, as seen in the Water and flood management policy making (Wood, 2003). There is also this mentality that if a development will affected the local people that they have a right to be included in the process and have the chance to contribute (</w:t>
      </w:r>
      <w:proofErr w:type="spellStart"/>
      <w:r w:rsidR="0096785F">
        <w:t>Pahl-Wostl</w:t>
      </w:r>
      <w:proofErr w:type="spellEnd"/>
      <w:r w:rsidR="0096785F">
        <w:t xml:space="preserve"> </w:t>
      </w:r>
      <w:r w:rsidR="0096785F">
        <w:rPr>
          <w:i/>
          <w:iCs/>
        </w:rPr>
        <w:t>et al.,</w:t>
      </w:r>
      <w:r w:rsidR="0096785F">
        <w:t xml:space="preserve"> 2007). </w:t>
      </w:r>
    </w:p>
    <w:p w14:paraId="11133317" w14:textId="570B0DAA" w:rsidR="00FE6198" w:rsidRDefault="0096785F" w:rsidP="0010502A">
      <w:pPr>
        <w:jc w:val="both"/>
      </w:pPr>
      <w:r>
        <w:t xml:space="preserve">The reason for having public participation in EIA’s is that it could allow more insight and the public/locals will </w:t>
      </w:r>
      <w:r w:rsidR="00322621">
        <w:t>feel listen to</w:t>
      </w:r>
      <w:r>
        <w:t xml:space="preserve">, for example, </w:t>
      </w:r>
      <w:r w:rsidR="00322621">
        <w:t>it will protect individuals right while bring acceptance to the development when transparency and information is given (</w:t>
      </w:r>
      <w:proofErr w:type="spellStart"/>
      <w:r w:rsidR="00322621">
        <w:t>Cuppen</w:t>
      </w:r>
      <w:proofErr w:type="spellEnd"/>
      <w:r w:rsidR="00322621">
        <w:t xml:space="preserve"> </w:t>
      </w:r>
      <w:r w:rsidR="00322621">
        <w:rPr>
          <w:i/>
          <w:iCs/>
        </w:rPr>
        <w:t>et al.,</w:t>
      </w:r>
      <w:r w:rsidR="00322621">
        <w:t xml:space="preserve"> 2012). However, this does not mean that public participation will secure  acceptance within the community (Innes and </w:t>
      </w:r>
      <w:proofErr w:type="spellStart"/>
      <w:r w:rsidR="00322621">
        <w:t>Booher</w:t>
      </w:r>
      <w:proofErr w:type="spellEnd"/>
      <w:r w:rsidR="00322621">
        <w:t>, 200</w:t>
      </w:r>
      <w:r w:rsidR="0019760B">
        <w:t>7</w:t>
      </w:r>
      <w:r w:rsidR="00322621">
        <w:t xml:space="preserve">). </w:t>
      </w:r>
    </w:p>
    <w:p w14:paraId="7742390C" w14:textId="1D1A09E5" w:rsidR="00FE6198" w:rsidRDefault="00FE6198" w:rsidP="0010502A">
      <w:pPr>
        <w:jc w:val="both"/>
      </w:pPr>
      <w:r>
        <w:t xml:space="preserve">To be more engaging with the public there is a Non-Technical Summary (NTS) which is meant to e enticing to read and understandable to the general public (Murphy, 2012). </w:t>
      </w:r>
    </w:p>
    <w:p w14:paraId="0AFA55A9" w14:textId="0268C0FE" w:rsidR="00FE6198" w:rsidRDefault="00FE6198" w:rsidP="0010502A">
      <w:pPr>
        <w:jc w:val="both"/>
      </w:pPr>
      <w:r>
        <w:t>The Cleve Hill Solar Park project did have some public participation but still did not le</w:t>
      </w:r>
      <w:r w:rsidR="00657208">
        <w:t>a</w:t>
      </w:r>
      <w:r>
        <w:t>d to acceptance by organisations</w:t>
      </w:r>
      <w:r w:rsidR="00657208">
        <w:t xml:space="preserve"> and many of the local people</w:t>
      </w:r>
      <w:r>
        <w:t xml:space="preserve">. </w:t>
      </w:r>
      <w:r w:rsidR="00657208">
        <w:t xml:space="preserve">The developers held 4 meeting within the surrounding areas that would be most affected and 3 meeting were held in the evening allowing the public to attend (Community Consultation leaflet, 2017). </w:t>
      </w:r>
    </w:p>
    <w:p w14:paraId="07C0852D" w14:textId="3381CCA8" w:rsidR="00B350DD" w:rsidRDefault="00B350DD" w:rsidP="0010502A">
      <w:pPr>
        <w:jc w:val="both"/>
      </w:pPr>
      <w:r>
        <w:t>Such distain for the project was present that the  community and organisations reach out to a group called Graveney Rural Environment Action Team (GREAT) This group is a collection of people who bring together the views and voices of local, regional and national organisations and communities that are against such developments as the Cleve Hill Solar Park (</w:t>
      </w:r>
      <w:r w:rsidRPr="00B350DD">
        <w:t>Save Graveney Marshes</w:t>
      </w:r>
      <w:r>
        <w:t>, 2019). A web site was made called ‘</w:t>
      </w:r>
      <w:r w:rsidRPr="00B350DD">
        <w:t>Save Graveney Marshes</w:t>
      </w:r>
      <w:r>
        <w:t>’, the site explains why they are against the development and what organisations are in agreements that the development should not be given permission and proceed with building (</w:t>
      </w:r>
      <w:r w:rsidRPr="00B350DD">
        <w:t>Save Graveney Marshes</w:t>
      </w:r>
      <w:r>
        <w:t>, 2019).</w:t>
      </w:r>
      <w:r w:rsidR="004E0F25">
        <w:t xml:space="preserve"> Although not necessarily needed but the list of organisations against the development also contained government bodies, </w:t>
      </w:r>
      <w:r>
        <w:t xml:space="preserve"> </w:t>
      </w:r>
      <w:r w:rsidR="004E0F25">
        <w:t>the list is : (</w:t>
      </w:r>
      <w:r w:rsidR="004E0F25" w:rsidRPr="004E0F25">
        <w:t>Save Graveney Marshes</w:t>
      </w:r>
      <w:r w:rsidR="004E0F25">
        <w:t>, 2019)</w:t>
      </w:r>
    </w:p>
    <w:p w14:paraId="207285A5" w14:textId="6097AD9B" w:rsidR="004E0F25" w:rsidRDefault="004E0F25" w:rsidP="0010502A">
      <w:pPr>
        <w:pStyle w:val="ListParagraph"/>
        <w:numPr>
          <w:ilvl w:val="0"/>
          <w:numId w:val="3"/>
        </w:numPr>
        <w:jc w:val="both"/>
      </w:pPr>
      <w:r>
        <w:t>RSPB</w:t>
      </w:r>
    </w:p>
    <w:p w14:paraId="35EBEA87" w14:textId="407F6C7E" w:rsidR="004E0F25" w:rsidRDefault="004E0F25" w:rsidP="0010502A">
      <w:pPr>
        <w:pStyle w:val="ListParagraph"/>
        <w:numPr>
          <w:ilvl w:val="0"/>
          <w:numId w:val="3"/>
        </w:numPr>
        <w:jc w:val="both"/>
      </w:pPr>
      <w:r>
        <w:t>Kent Wildlife Trust</w:t>
      </w:r>
    </w:p>
    <w:p w14:paraId="7371F523" w14:textId="1F42DE91" w:rsidR="004E0F25" w:rsidRDefault="004E0F25" w:rsidP="0010502A">
      <w:pPr>
        <w:pStyle w:val="ListParagraph"/>
        <w:numPr>
          <w:ilvl w:val="0"/>
          <w:numId w:val="3"/>
        </w:numPr>
        <w:jc w:val="both"/>
      </w:pPr>
      <w:r>
        <w:t>Graveney Community</w:t>
      </w:r>
    </w:p>
    <w:p w14:paraId="6361283B" w14:textId="26A9F073" w:rsidR="004E0F25" w:rsidRDefault="004E0F25" w:rsidP="0010502A">
      <w:pPr>
        <w:pStyle w:val="ListParagraph"/>
        <w:numPr>
          <w:ilvl w:val="0"/>
          <w:numId w:val="3"/>
        </w:numPr>
        <w:jc w:val="both"/>
      </w:pPr>
      <w:r>
        <w:t>GREAT</w:t>
      </w:r>
    </w:p>
    <w:p w14:paraId="607A2F4E" w14:textId="510BE721" w:rsidR="004E0F25" w:rsidRDefault="004E0F25" w:rsidP="0010502A">
      <w:pPr>
        <w:pStyle w:val="ListParagraph"/>
        <w:numPr>
          <w:ilvl w:val="0"/>
          <w:numId w:val="3"/>
        </w:numPr>
        <w:jc w:val="both"/>
      </w:pPr>
      <w:r>
        <w:t xml:space="preserve">Member of Parliament (MP) Helen </w:t>
      </w:r>
      <w:proofErr w:type="spellStart"/>
      <w:r>
        <w:t>Whately</w:t>
      </w:r>
      <w:proofErr w:type="spellEnd"/>
      <w:r>
        <w:t xml:space="preserve"> of Faversham </w:t>
      </w:r>
    </w:p>
    <w:p w14:paraId="50AEC6F0" w14:textId="5B5AB02F" w:rsidR="004E0F25" w:rsidRDefault="004E0F25" w:rsidP="0010502A">
      <w:pPr>
        <w:pStyle w:val="ListParagraph"/>
        <w:numPr>
          <w:ilvl w:val="0"/>
          <w:numId w:val="3"/>
        </w:numPr>
        <w:jc w:val="both"/>
      </w:pPr>
      <w:r>
        <w:t>Swale Green Party</w:t>
      </w:r>
    </w:p>
    <w:p w14:paraId="4125E64C" w14:textId="663E26B5" w:rsidR="004E0F25" w:rsidRDefault="004E0F25" w:rsidP="0010502A">
      <w:pPr>
        <w:pStyle w:val="ListParagraph"/>
        <w:numPr>
          <w:ilvl w:val="0"/>
          <w:numId w:val="3"/>
        </w:numPr>
        <w:jc w:val="both"/>
      </w:pPr>
      <w:r>
        <w:t>Swale Borough Council</w:t>
      </w:r>
    </w:p>
    <w:p w14:paraId="795FD287" w14:textId="2FF428DD" w:rsidR="004E0F25" w:rsidRDefault="004E0F25" w:rsidP="0010502A">
      <w:pPr>
        <w:pStyle w:val="ListParagraph"/>
        <w:numPr>
          <w:ilvl w:val="0"/>
          <w:numId w:val="3"/>
        </w:numPr>
        <w:jc w:val="both"/>
      </w:pPr>
      <w:r>
        <w:t xml:space="preserve">Faversham Liberal Democrat Party </w:t>
      </w:r>
    </w:p>
    <w:p w14:paraId="44D081D9" w14:textId="210B7BD7" w:rsidR="004E0F25" w:rsidRDefault="004E0F25" w:rsidP="0010502A">
      <w:pPr>
        <w:pStyle w:val="ListParagraph"/>
        <w:numPr>
          <w:ilvl w:val="0"/>
          <w:numId w:val="3"/>
        </w:numPr>
        <w:jc w:val="both"/>
      </w:pPr>
      <w:r>
        <w:t>The Faversham Society</w:t>
      </w:r>
    </w:p>
    <w:p w14:paraId="176A6173" w14:textId="0B144EEF" w:rsidR="004E0F25" w:rsidRDefault="004E0F25" w:rsidP="0010502A">
      <w:pPr>
        <w:pStyle w:val="ListParagraph"/>
        <w:numPr>
          <w:ilvl w:val="0"/>
          <w:numId w:val="3"/>
        </w:numPr>
        <w:jc w:val="both"/>
      </w:pPr>
      <w:r>
        <w:t xml:space="preserve">Ramblers Association </w:t>
      </w:r>
    </w:p>
    <w:p w14:paraId="14FC2C72" w14:textId="5EB4A7C3" w:rsidR="004E0F25" w:rsidRDefault="004E0F25" w:rsidP="0010502A">
      <w:pPr>
        <w:jc w:val="both"/>
      </w:pPr>
      <w:r>
        <w:t>As stated above, this list might not be important but the author thinks that it is of interest that a few government bodies had an issue with this development proceeding.</w:t>
      </w:r>
    </w:p>
    <w:p w14:paraId="5394C373" w14:textId="43249DC6" w:rsidR="004E0F25" w:rsidRPr="00E10667" w:rsidRDefault="00E10667" w:rsidP="00FC3815">
      <w:pPr>
        <w:pStyle w:val="Heading1"/>
      </w:pPr>
      <w:bookmarkStart w:id="7" w:name="_Toc69053472"/>
      <w:r w:rsidRPr="00E10667">
        <w:lastRenderedPageBreak/>
        <w:t>4.3 Ecology, Mitigation and Monitoring</w:t>
      </w:r>
      <w:bookmarkEnd w:id="7"/>
    </w:p>
    <w:p w14:paraId="28A2FF9D" w14:textId="2810F170" w:rsidR="004E0F25" w:rsidRDefault="004E0F25" w:rsidP="0010502A">
      <w:pPr>
        <w:jc w:val="both"/>
      </w:pPr>
    </w:p>
    <w:p w14:paraId="507EF142" w14:textId="09375EF1" w:rsidR="00C83A62" w:rsidRDefault="00917D58" w:rsidP="0010502A">
      <w:pPr>
        <w:jc w:val="both"/>
      </w:pPr>
      <w:r>
        <w:t xml:space="preserve">The purpose of ecology, mitigation and monitoring is to ensure the EIA are considering, informing and continually maintaining the surrounding environment. In 1993 a study carried out on 37 developments of roads found that 49% failed to provide information on mitigation methods and only 8% had given a detailed plan on proposed  mitigation methods (Thompson </w:t>
      </w:r>
      <w:r>
        <w:rPr>
          <w:i/>
          <w:iCs/>
        </w:rPr>
        <w:t xml:space="preserve">et al., </w:t>
      </w:r>
      <w:r>
        <w:t xml:space="preserve">2015). The same study then visited seven different sites with a combined 202 proposed or required by law mitigation methods, some of the methods had to be excluded as they would have or were carried out during construction, such as time of year that construction would begin (Thompson </w:t>
      </w:r>
      <w:r>
        <w:rPr>
          <w:i/>
          <w:iCs/>
        </w:rPr>
        <w:t xml:space="preserve">et al., </w:t>
      </w:r>
      <w:r>
        <w:t>2015)</w:t>
      </w:r>
      <w:r w:rsidR="00B9543B">
        <w:t xml:space="preserve">. These site visit found that 65.3% had been completed implemented, 18.8% had to some extent by implemented and 15.8% had not been implemented at all (Thompson </w:t>
      </w:r>
      <w:r w:rsidR="00B9543B">
        <w:rPr>
          <w:i/>
          <w:iCs/>
        </w:rPr>
        <w:t xml:space="preserve">et al., </w:t>
      </w:r>
      <w:r w:rsidR="00B9543B">
        <w:t xml:space="preserve">2015). </w:t>
      </w:r>
    </w:p>
    <w:p w14:paraId="2C4207AA" w14:textId="1D41E5BA" w:rsidR="00B9543B" w:rsidRDefault="00B9543B" w:rsidP="0010502A">
      <w:pPr>
        <w:jc w:val="both"/>
      </w:pPr>
      <w:r>
        <w:t>This is just one of many studies that show many developments will implement the plans completely but some development will not deliver what they agree to and was given permission to</w:t>
      </w:r>
      <w:r w:rsidR="003D35E3">
        <w:t xml:space="preserve"> build on some of these plans</w:t>
      </w:r>
      <w:r>
        <w:t xml:space="preserve">. </w:t>
      </w:r>
    </w:p>
    <w:p w14:paraId="0416C626" w14:textId="0F40B8AE" w:rsidR="00CA7119" w:rsidRDefault="00CA7119" w:rsidP="0010502A">
      <w:pPr>
        <w:jc w:val="both"/>
      </w:pPr>
      <w:r>
        <w:t xml:space="preserve">With the project only just being given permission in May of 2020, construction of the project has yet to have started; any mitigation and monitoring that has been preposed has yet to be put into action. However, they did disclose what they found and what they plan to do to mitigate the loss of possible habitats. </w:t>
      </w:r>
    </w:p>
    <w:p w14:paraId="40F9B53E" w14:textId="7740B329" w:rsidR="00CA7119" w:rsidRDefault="00CA7119" w:rsidP="0010502A">
      <w:pPr>
        <w:jc w:val="both"/>
      </w:pPr>
      <w:r>
        <w:t xml:space="preserve">With a large area to examine there are a lot of surveys and notes to consider. The findings of </w:t>
      </w:r>
      <w:r w:rsidR="00FF0F84">
        <w:t xml:space="preserve">the extended phase 1 habitat survey </w:t>
      </w:r>
      <w:r>
        <w:t>will be discussed</w:t>
      </w:r>
      <w:r w:rsidR="00FF0F84">
        <w:t>, examining</w:t>
      </w:r>
      <w:r>
        <w:t xml:space="preserve"> what was found instead of what was not found. </w:t>
      </w:r>
      <w:r w:rsidR="005D4EAB">
        <w:t xml:space="preserve">Another thing to note is that the scoping report was put together in 2017, however, the habitat survey was carried out between August and September of 2015. </w:t>
      </w:r>
    </w:p>
    <w:p w14:paraId="0826261B" w14:textId="503DC513" w:rsidR="005D4EAB" w:rsidRDefault="005D4EAB" w:rsidP="0010502A">
      <w:pPr>
        <w:jc w:val="both"/>
      </w:pPr>
      <w:r>
        <w:t xml:space="preserve">In regards to terrestrial and aquatic invertebrates the survey only found 172 species, some common but also atypical one, for example, three different species of water beetles, and boatman bugs that were found in the water ditches bordering the development site (Arcus Consulting Services Ltd, 2017). </w:t>
      </w:r>
    </w:p>
    <w:p w14:paraId="6CBE5B6B" w14:textId="0AF6D7A0" w:rsidR="005D4EAB" w:rsidRDefault="005D4EAB" w:rsidP="0010502A">
      <w:pPr>
        <w:jc w:val="both"/>
      </w:pPr>
      <w:r>
        <w:t>The amphibians survey was carried out between April and June 2015, the survey found no crested newt but did find smooth newt, common frog and marsh frog</w:t>
      </w:r>
      <w:r w:rsidR="002C4FF6">
        <w:t xml:space="preserve"> (Arcus  Consulting Services Ltd, 2017). The reptile survey was carried out in the beginning of September 2015, a high population of common lizard and a low population of grass snakes were found (Arcus Consulting Services Ltd, 2017). The bat survey was carried out between June and September 2015, which found that 9 species of bats used the site, Common Pipistrelle and Soprano Pipistrelle were found in high numbers, Noctule and Serotine bats were found in moderate numbers, Myotis bats (</w:t>
      </w:r>
      <w:proofErr w:type="spellStart"/>
      <w:r w:rsidR="002C4FF6">
        <w:t>Daubenton</w:t>
      </w:r>
      <w:proofErr w:type="spellEnd"/>
      <w:r w:rsidR="002C4FF6">
        <w:t xml:space="preserve"> bats), Leisler bats, Brown Long-Eared bats and </w:t>
      </w:r>
      <w:proofErr w:type="spellStart"/>
      <w:r w:rsidR="002C4FF6">
        <w:t>Nathusius</w:t>
      </w:r>
      <w:proofErr w:type="spellEnd"/>
      <w:r w:rsidR="002C4FF6">
        <w:t xml:space="preserve"> bats were found on the site but in small numbers (Arcus Consulting Services Ltd, 2017</w:t>
      </w:r>
      <w:r w:rsidR="00533605">
        <w:t>)</w:t>
      </w:r>
      <w:r w:rsidR="002C4FF6">
        <w:t>.</w:t>
      </w:r>
      <w:r w:rsidR="00533605">
        <w:t xml:space="preserve"> No signs of Badgers on the development site was found (Arcus Consulting Services Ltd, 2017). A survey for Water Voles was carried out in September 2015, 22 ditches were examines and in 10 of them large amounts of Water Voles were present along with other species, such as, Bank Voles and Brown Rats (Arcus Consulting Services Ltd, 2017). </w:t>
      </w:r>
    </w:p>
    <w:p w14:paraId="3ABAD6EA" w14:textId="78ECA5E0" w:rsidR="00533605" w:rsidRDefault="00533605" w:rsidP="0010502A">
      <w:pPr>
        <w:jc w:val="both"/>
      </w:pPr>
      <w:r>
        <w:t xml:space="preserve">There are also a number of different bird species that can be found in or surrounding this site. Such species as, European White-fronted and Dark-bellied brent goose, Shelduck, Wigeon, Teal, Pintail, Shoveler, Little Egret, Avocet, </w:t>
      </w:r>
      <w:proofErr w:type="spellStart"/>
      <w:r>
        <w:t>Oystercather</w:t>
      </w:r>
      <w:proofErr w:type="spellEnd"/>
      <w:r>
        <w:t>, Grey and Golden Plover, Lapwing, Curl</w:t>
      </w:r>
      <w:r w:rsidR="0038547D">
        <w:t>e</w:t>
      </w:r>
      <w:r>
        <w:t xml:space="preserve">w, </w:t>
      </w:r>
      <w:r w:rsidR="0038547D">
        <w:t xml:space="preserve">Black-tailed and Bar-tailed godwit, Knot, Sanderling, Dunlin, Green Sandpiper and Greenshank (Arcus Consulting Services Ltd, 2017)- this are just the noteworthy species. </w:t>
      </w:r>
    </w:p>
    <w:p w14:paraId="29A47DEF" w14:textId="2F2355B1" w:rsidR="0038547D" w:rsidRDefault="0038547D" w:rsidP="0010502A">
      <w:pPr>
        <w:jc w:val="both"/>
      </w:pPr>
      <w:r>
        <w:lastRenderedPageBreak/>
        <w:t xml:space="preserve">The main response to what mitigation and monitoring will be done to ensure that these habitat will remain in good condition or will not be impacted is: </w:t>
      </w:r>
    </w:p>
    <w:p w14:paraId="799B27D0" w14:textId="47139507" w:rsidR="0038547D" w:rsidRDefault="0038547D" w:rsidP="0010502A">
      <w:pPr>
        <w:jc w:val="both"/>
      </w:pPr>
      <w:r w:rsidRPr="0038547D">
        <w:rPr>
          <w:i/>
          <w:iCs/>
        </w:rPr>
        <w:t>‘The change in habitats as a result of the Development will offer opportunities to manage habitats around the solar panels in a way that may improve conditions for</w:t>
      </w:r>
      <w:r>
        <w:t xml:space="preserve"> (whatever animal is being discussed)’ (Arcus Consulting Services Ltd, 2017. P. 43). </w:t>
      </w:r>
    </w:p>
    <w:p w14:paraId="203FB020" w14:textId="2D0B2A48" w:rsidR="00B9543B" w:rsidRDefault="0038547D" w:rsidP="0010502A">
      <w:pPr>
        <w:jc w:val="both"/>
      </w:pPr>
      <w:r>
        <w:t xml:space="preserve">Although a great deal of surveys were carried out to examine what species are on this site the underwhelming plans for what steps will be taken to mitigate and monitor these habitats and species is disappointing. </w:t>
      </w:r>
    </w:p>
    <w:p w14:paraId="2061E8C5" w14:textId="363C450B" w:rsidR="00E10667" w:rsidRPr="00E10667" w:rsidRDefault="00E10667" w:rsidP="00FC3815">
      <w:pPr>
        <w:pStyle w:val="Heading1"/>
      </w:pPr>
      <w:bookmarkStart w:id="8" w:name="_Toc69053473"/>
      <w:r w:rsidRPr="00E10667">
        <w:t>5.0 Changes in Legislation</w:t>
      </w:r>
      <w:bookmarkEnd w:id="8"/>
    </w:p>
    <w:p w14:paraId="06E6AD36" w14:textId="561F0B22" w:rsidR="003F55D5" w:rsidRDefault="00A43825" w:rsidP="0010502A">
      <w:pPr>
        <w:jc w:val="both"/>
      </w:pPr>
      <w:r>
        <w:t xml:space="preserve">Considering the this report was published in 2017 the EIA, ES and Scoping report should have been carried out to  the standard  of the most up-to-date legislation. However, there have been a few amendments in some legislation. </w:t>
      </w:r>
    </w:p>
    <w:p w14:paraId="6FB618E8" w14:textId="698A6AEF" w:rsidR="00A43825" w:rsidRDefault="00A43825" w:rsidP="0010502A">
      <w:pPr>
        <w:jc w:val="both"/>
      </w:pPr>
      <w:r>
        <w:t>The Town and Country Planning (Environmental Impact Assessment) Regulations 2017 has had a total of 61 amendments, which led to changes in other legislation such as, The Conservation of Habitats and Species Regulation 2017, The Town an</w:t>
      </w:r>
      <w:r w:rsidR="00ED26B4">
        <w:t xml:space="preserve">d Country Planning (Permission in Principle) Order 2017, </w:t>
      </w:r>
      <w:bookmarkStart w:id="9" w:name="_Hlk69037708"/>
      <w:r w:rsidR="00ED26B4">
        <w:t>The Environmental Assessment and Miscellaneous Planning (EU Exit) Regulations 2018</w:t>
      </w:r>
      <w:bookmarkEnd w:id="9"/>
      <w:r w:rsidR="00ED26B4">
        <w:t>, The Environmental Food and Rural Affairs (England) Regulations 2018, The Nuclear Reactors (Environmental Impact Assessment of Decommissioning) Regulations 2018, and The Town and Country Planning and Infrastructure Planning (Environmental Impact Assessment) Regulations 2018 (Nicholas Pearson Associates, 2</w:t>
      </w:r>
      <w:r w:rsidR="00DC089C">
        <w:t>019</w:t>
      </w:r>
      <w:r w:rsidR="00ED26B4">
        <w:t xml:space="preserve">). </w:t>
      </w:r>
    </w:p>
    <w:p w14:paraId="5C22C960" w14:textId="3A265B2B" w:rsidR="00ED26B4" w:rsidRDefault="00ED26B4" w:rsidP="0010502A">
      <w:pPr>
        <w:jc w:val="both"/>
      </w:pPr>
      <w:r>
        <w:t xml:space="preserve">The changes in The Town and Country Planning (Environment Impact Assessment) </w:t>
      </w:r>
      <w:r w:rsidR="005352B4">
        <w:t xml:space="preserve">Regulations 2017 are the Terminology, instead of ES it is referred to EIA; Mitigation, there should be emphasis, and detailed information on what the plans are for mitigation and monitoring; Appropriate Assessments, EIA reports should also contain assessments under the Habitats and Bird directives (Brodies, 2017).  </w:t>
      </w:r>
    </w:p>
    <w:p w14:paraId="6C8457D6" w14:textId="728F8F5D" w:rsidR="005352B4" w:rsidRDefault="005352B4" w:rsidP="0010502A">
      <w:pPr>
        <w:jc w:val="both"/>
      </w:pPr>
      <w:r w:rsidRPr="005352B4">
        <w:t>The Environmental Assessment and Miscellaneous Planning (EU Exit) Regulations 2018</w:t>
      </w:r>
      <w:r>
        <w:t xml:space="preserve"> was made to just ensure that developers </w:t>
      </w:r>
      <w:r w:rsidR="00B52D54">
        <w:t>would still have to undertake EIA’s even once the UK had left the EU (Government, 2020)</w:t>
      </w:r>
    </w:p>
    <w:p w14:paraId="63619937" w14:textId="6817AC6A" w:rsidR="00A43825" w:rsidRDefault="005352B4" w:rsidP="0010502A">
      <w:pPr>
        <w:jc w:val="both"/>
      </w:pPr>
      <w:r>
        <w:t xml:space="preserve">There was also temporary changes in The Town and Country Planning (Development Management Procedure, Listed Buildings and Environmental Impact Assessments)(England)(Coronavirus) Regulations 2020, </w:t>
      </w:r>
      <w:r w:rsidR="00B52D54">
        <w:t>is meant that there was flexibility in how the presider and developer publicise their application for a development; virtual planning committees were allowed</w:t>
      </w:r>
      <w:r w:rsidR="0009639C">
        <w:t xml:space="preserve"> to carry out </w:t>
      </w:r>
      <w:r w:rsidR="00B52D54">
        <w:t>mee</w:t>
      </w:r>
      <w:r w:rsidR="0009639C">
        <w:t xml:space="preserve">tings online </w:t>
      </w:r>
      <w:r w:rsidR="00B52D54">
        <w:t>until May 7</w:t>
      </w:r>
      <w:r w:rsidR="00B52D54" w:rsidRPr="00B52D54">
        <w:rPr>
          <w:vertAlign w:val="superscript"/>
        </w:rPr>
        <w:t>th</w:t>
      </w:r>
      <w:r w:rsidR="00B52D54">
        <w:t xml:space="preserve"> 2021</w:t>
      </w:r>
      <w:r w:rsidR="0009639C">
        <w:t xml:space="preserve"> and also able to take alternate steps to make sure that applications are published and consulted on correctly; Community Infrastructure Levy allowed there to be a certain amount of flexibility on small or medium sized projects, allowing them to defer payments without the fear of suffering more costs; Neighbourhood Plans which meant no elections or referendums were to be held until March 6</w:t>
      </w:r>
      <w:r w:rsidR="0009639C" w:rsidRPr="0009639C">
        <w:rPr>
          <w:vertAlign w:val="superscript"/>
        </w:rPr>
        <w:t>th</w:t>
      </w:r>
      <w:r w:rsidR="0009639C">
        <w:t xml:space="preserve"> 2021; Permitted Development Rights which was to allow temporary changes in use of land or building, for example allowing building to become testing sites or hospitals (Temple, 2020). </w:t>
      </w:r>
    </w:p>
    <w:p w14:paraId="6F3E44C8" w14:textId="42E1AA89" w:rsidR="00FC3815" w:rsidRDefault="00FC3815" w:rsidP="0010502A">
      <w:pPr>
        <w:jc w:val="both"/>
      </w:pPr>
    </w:p>
    <w:p w14:paraId="6658299A" w14:textId="77777777" w:rsidR="00FC3815" w:rsidRPr="0038547D" w:rsidRDefault="00FC3815" w:rsidP="0010502A">
      <w:pPr>
        <w:jc w:val="both"/>
      </w:pPr>
    </w:p>
    <w:p w14:paraId="1C37337C" w14:textId="1CB3D08C" w:rsidR="008417A6" w:rsidRPr="008417A6" w:rsidRDefault="00FC3815" w:rsidP="00FC3815">
      <w:pPr>
        <w:pStyle w:val="Heading1"/>
      </w:pPr>
      <w:bookmarkStart w:id="10" w:name="_Toc69053474"/>
      <w:r>
        <w:lastRenderedPageBreak/>
        <w:t xml:space="preserve">6.0 </w:t>
      </w:r>
      <w:r w:rsidR="003F55D5" w:rsidRPr="00F05150">
        <w:t>Conclusion</w:t>
      </w:r>
      <w:bookmarkEnd w:id="10"/>
      <w:r w:rsidR="003F55D5" w:rsidRPr="00F05150">
        <w:t xml:space="preserve"> </w:t>
      </w:r>
    </w:p>
    <w:p w14:paraId="4EBA11A4" w14:textId="6B269E73" w:rsidR="008417A6" w:rsidRDefault="00AB31D1" w:rsidP="0010502A">
      <w:pPr>
        <w:jc w:val="both"/>
      </w:pPr>
      <w:r>
        <w:t xml:space="preserve">In Conclusion  the legislation does appear to have improve significantly, incorporating many concerns that </w:t>
      </w:r>
      <w:r w:rsidR="00F05150">
        <w:t>environmental based organisations and the public had brought attention to. Such changes as allowing more public participation,  mitigation and monitoring of ecology. Although these legislation ha</w:t>
      </w:r>
      <w:r w:rsidR="00E322CD">
        <w:t>ve</w:t>
      </w:r>
      <w:r w:rsidR="00F05150">
        <w:t xml:space="preserve"> been made</w:t>
      </w:r>
      <w:r w:rsidR="008417A6">
        <w:t>,</w:t>
      </w:r>
      <w:r w:rsidR="00F05150">
        <w:t xml:space="preserve"> </w:t>
      </w:r>
      <w:r w:rsidR="00E322CD">
        <w:t>the</w:t>
      </w:r>
      <w:r w:rsidR="00F05150">
        <w:t xml:space="preserve"> theory</w:t>
      </w:r>
      <w:r w:rsidR="00E322CD">
        <w:t xml:space="preserve"> of them </w:t>
      </w:r>
      <w:r w:rsidR="00F05150">
        <w:t>sound</w:t>
      </w:r>
      <w:r w:rsidR="00E322CD">
        <w:t>s</w:t>
      </w:r>
      <w:r w:rsidR="00F05150">
        <w:t xml:space="preserve"> fantastic from an environmental point of view</w:t>
      </w:r>
      <w:r w:rsidR="008417A6">
        <w:t>,</w:t>
      </w:r>
      <w:r w:rsidR="00F05150">
        <w:t xml:space="preserve"> as we can see in the case study, the legislation in practice is underwhelming</w:t>
      </w:r>
      <w:r w:rsidR="00E322CD">
        <w:t xml:space="preserve"> in some cases</w:t>
      </w:r>
      <w:r w:rsidR="00F05150">
        <w:t xml:space="preserve">. </w:t>
      </w:r>
      <w:r w:rsidR="00F05150">
        <w:br/>
      </w:r>
      <w:r w:rsidR="00F05150">
        <w:br/>
        <w:t xml:space="preserve">The Cleve Hill Solar Park fell within the 2017 regulations and did very well to comply with the legislation, providing a lot of information which shows that they have </w:t>
      </w:r>
      <w:r w:rsidR="00E322CD">
        <w:t>examined</w:t>
      </w:r>
      <w:r w:rsidR="00F05150">
        <w:t xml:space="preserve"> everything; the mitigation and monitoring aspect is lacking, and even with little detail the development was given permission to continue with construction. Considering the development has only just been granted permission in 2020 there is no insight into </w:t>
      </w:r>
      <w:r w:rsidR="00E322CD">
        <w:t>what their</w:t>
      </w:r>
      <w:r w:rsidR="00F05150">
        <w:t xml:space="preserve"> mitigation plans</w:t>
      </w:r>
      <w:r w:rsidR="00E322CD">
        <w:t xml:space="preserve"> are</w:t>
      </w:r>
      <w:r w:rsidR="00F05150">
        <w:t xml:space="preserve">. </w:t>
      </w:r>
    </w:p>
    <w:p w14:paraId="75768CBA" w14:textId="7484D4B5" w:rsidR="008417A6" w:rsidRDefault="00F05150" w:rsidP="0010502A">
      <w:pPr>
        <w:jc w:val="both"/>
      </w:pPr>
      <w:r>
        <w:t xml:space="preserve">However, the author is </w:t>
      </w:r>
      <w:r w:rsidR="008417A6">
        <w:t>wondering how a development with the plans to build on or within a short distance of 14 different designated site, with government bodies and up-standing organisation against the development, was granted permission with only mitigation mention in a report with the underwhelming response of :</w:t>
      </w:r>
    </w:p>
    <w:p w14:paraId="049AFDE0" w14:textId="26E12335" w:rsidR="00F05150" w:rsidRDefault="008417A6" w:rsidP="0010502A">
      <w:pPr>
        <w:jc w:val="both"/>
      </w:pPr>
      <w:r w:rsidRPr="008417A6">
        <w:rPr>
          <w:i/>
          <w:iCs/>
        </w:rPr>
        <w:t xml:space="preserve">‘ </w:t>
      </w:r>
      <w:r w:rsidRPr="008417A6">
        <w:rPr>
          <w:i/>
          <w:iCs/>
        </w:rPr>
        <w:t>The change in habitats as a result of the Development will offer opportunities to manage habitats around the solar panels in a way that may improve conditions for</w:t>
      </w:r>
      <w:r>
        <w:rPr>
          <w:i/>
          <w:iCs/>
        </w:rPr>
        <w:t xml:space="preserve"> </w:t>
      </w:r>
      <w:r>
        <w:t xml:space="preserve">(name of whatever species they are discussing)’ (Arcus Consulting Services Ltd, 2017. P. 43). </w:t>
      </w:r>
    </w:p>
    <w:p w14:paraId="2610810C" w14:textId="39544E98" w:rsidR="008417A6" w:rsidRDefault="008417A6" w:rsidP="0010502A">
      <w:pPr>
        <w:jc w:val="both"/>
      </w:pPr>
      <w:r>
        <w:t xml:space="preserve">In this case study it is clear to see that the theory of an EIA was superior than the practice of the EIA. </w:t>
      </w:r>
      <w:r w:rsidR="00E322CD">
        <w:t xml:space="preserve">Considering location and size of development perhaps the presider should have requested a more detailed plan on their mitigation and monitoring plans. </w:t>
      </w:r>
    </w:p>
    <w:p w14:paraId="7257FED9" w14:textId="34D8BEAC" w:rsidR="00FC3815" w:rsidRDefault="00FC3815" w:rsidP="0010502A">
      <w:pPr>
        <w:jc w:val="both"/>
      </w:pPr>
    </w:p>
    <w:p w14:paraId="7A179F6D" w14:textId="774C1BB8" w:rsidR="00FC3815" w:rsidRDefault="00FC3815" w:rsidP="0010502A">
      <w:pPr>
        <w:jc w:val="both"/>
      </w:pPr>
    </w:p>
    <w:p w14:paraId="3DD05D40" w14:textId="7D964061" w:rsidR="00FC3815" w:rsidRDefault="00FC3815" w:rsidP="0010502A">
      <w:pPr>
        <w:jc w:val="both"/>
      </w:pPr>
    </w:p>
    <w:p w14:paraId="0830CB2B" w14:textId="52EEE2E6" w:rsidR="00FC3815" w:rsidRDefault="00FC3815" w:rsidP="0010502A">
      <w:pPr>
        <w:jc w:val="both"/>
      </w:pPr>
    </w:p>
    <w:p w14:paraId="318366D3" w14:textId="190C7B41" w:rsidR="00FC3815" w:rsidRDefault="00FC3815" w:rsidP="0010502A">
      <w:pPr>
        <w:jc w:val="both"/>
      </w:pPr>
    </w:p>
    <w:p w14:paraId="0EE134D9" w14:textId="70B52034" w:rsidR="00FC3815" w:rsidRDefault="00FC3815" w:rsidP="0010502A">
      <w:pPr>
        <w:jc w:val="both"/>
      </w:pPr>
    </w:p>
    <w:p w14:paraId="6FA14DA5" w14:textId="1A2C9C5E" w:rsidR="00FC3815" w:rsidRDefault="00FC3815" w:rsidP="0010502A">
      <w:pPr>
        <w:jc w:val="both"/>
      </w:pPr>
    </w:p>
    <w:p w14:paraId="3C778B81" w14:textId="512FA708" w:rsidR="00FC3815" w:rsidRDefault="00FC3815" w:rsidP="0010502A">
      <w:pPr>
        <w:jc w:val="both"/>
      </w:pPr>
    </w:p>
    <w:p w14:paraId="2C27CF93" w14:textId="0E5302F0" w:rsidR="00FC3815" w:rsidRDefault="00FC3815" w:rsidP="0010502A">
      <w:pPr>
        <w:jc w:val="both"/>
      </w:pPr>
    </w:p>
    <w:p w14:paraId="21A45E12" w14:textId="39B9AAD0" w:rsidR="00FC3815" w:rsidRDefault="00FC3815" w:rsidP="0010502A">
      <w:pPr>
        <w:jc w:val="both"/>
      </w:pPr>
    </w:p>
    <w:p w14:paraId="22DAB1F9" w14:textId="3AEA7114" w:rsidR="00FC3815" w:rsidRDefault="00FC3815" w:rsidP="0010502A">
      <w:pPr>
        <w:jc w:val="both"/>
      </w:pPr>
    </w:p>
    <w:p w14:paraId="4F00DB04" w14:textId="6EDEFE9E" w:rsidR="00FC3815" w:rsidRDefault="00FC3815" w:rsidP="0010502A">
      <w:pPr>
        <w:jc w:val="both"/>
      </w:pPr>
    </w:p>
    <w:p w14:paraId="7BDAEF40" w14:textId="19197432" w:rsidR="00FC3815" w:rsidRDefault="00FC3815" w:rsidP="0010502A">
      <w:pPr>
        <w:jc w:val="both"/>
      </w:pPr>
    </w:p>
    <w:p w14:paraId="008B6514" w14:textId="7EB16B9B" w:rsidR="00FC3815" w:rsidRDefault="00FC3815" w:rsidP="0010502A">
      <w:pPr>
        <w:jc w:val="both"/>
      </w:pPr>
    </w:p>
    <w:p w14:paraId="777A141D" w14:textId="21629D30" w:rsidR="00FC3815" w:rsidRDefault="00FC3815" w:rsidP="0010502A">
      <w:pPr>
        <w:jc w:val="both"/>
      </w:pPr>
    </w:p>
    <w:p w14:paraId="5F350FA1" w14:textId="11A5817C" w:rsidR="00FC3815" w:rsidRDefault="00FC3815" w:rsidP="0010502A">
      <w:pPr>
        <w:jc w:val="both"/>
      </w:pPr>
    </w:p>
    <w:p w14:paraId="15653E67" w14:textId="77777777" w:rsidR="00FC3815" w:rsidRPr="008417A6" w:rsidRDefault="00FC3815" w:rsidP="0010502A">
      <w:pPr>
        <w:jc w:val="both"/>
      </w:pPr>
    </w:p>
    <w:p w14:paraId="3719AE49" w14:textId="185CF5B0" w:rsidR="003A4057" w:rsidRPr="003A4057" w:rsidRDefault="003F55D5" w:rsidP="00FC3815">
      <w:pPr>
        <w:pStyle w:val="Heading1"/>
        <w:rPr>
          <w:rFonts w:asciiTheme="minorHAnsi" w:eastAsiaTheme="minorHAnsi" w:hAnsiTheme="minorHAnsi" w:cstheme="minorBidi"/>
          <w:color w:val="auto"/>
          <w:sz w:val="22"/>
          <w:szCs w:val="22"/>
          <w:lang w:val="fr-FR"/>
        </w:rPr>
      </w:pPr>
      <w:bookmarkStart w:id="11" w:name="_Toc69053475"/>
      <w:r w:rsidRPr="0019760B">
        <w:rPr>
          <w:lang w:val="fr-FR"/>
        </w:rPr>
        <w:t xml:space="preserve">7.0 </w:t>
      </w:r>
      <w:r w:rsidRPr="0010502A">
        <w:t>References</w:t>
      </w:r>
      <w:bookmarkEnd w:id="11"/>
    </w:p>
    <w:p w14:paraId="6F3FF0FF" w14:textId="0BF09E72"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Arcus Consulting Services, 2017. </w:t>
      </w:r>
      <w:r w:rsidRPr="003A4057">
        <w:rPr>
          <w:rFonts w:eastAsia="Times New Roman" w:cstheme="minorHAnsi"/>
          <w:i/>
          <w:iCs/>
          <w:color w:val="000000"/>
          <w:lang w:eastAsia="en-GB"/>
        </w:rPr>
        <w:t>Environmental Impact Assessment: Scoping Report Cleve Hill Solar Park</w:t>
      </w:r>
      <w:r w:rsidRPr="003A4057">
        <w:rPr>
          <w:rFonts w:eastAsia="Times New Roman" w:cstheme="minorHAnsi"/>
          <w:color w:val="000000"/>
          <w:lang w:eastAsia="en-GB"/>
        </w:rPr>
        <w:t>. [</w:t>
      </w:r>
      <w:r w:rsidRPr="0010502A">
        <w:rPr>
          <w:rFonts w:eastAsia="Times New Roman" w:cstheme="minorHAnsi"/>
          <w:color w:val="000000"/>
          <w:lang w:eastAsia="en-GB"/>
        </w:rPr>
        <w:t>PDF</w:t>
      </w:r>
      <w:r w:rsidRPr="003A4057">
        <w:rPr>
          <w:rFonts w:eastAsia="Times New Roman" w:cstheme="minorHAnsi"/>
          <w:color w:val="000000"/>
          <w:lang w:eastAsia="en-GB"/>
        </w:rPr>
        <w:t>] North Yorkshire: Arcus Consultancy Services, pp.8, 43, 51 and 52. Available at: &lt;http://file:///C:/Users/Marie/Downloads/EN010085-000027-CHSP%20-%20Scoping%20Report.pdf&gt;</w:t>
      </w:r>
      <w:r w:rsidR="0010502A">
        <w:rPr>
          <w:rFonts w:eastAsia="Times New Roman" w:cstheme="minorHAnsi"/>
          <w:color w:val="000000"/>
          <w:lang w:eastAsia="en-GB"/>
        </w:rPr>
        <w:t>.</w:t>
      </w:r>
    </w:p>
    <w:p w14:paraId="030D559C" w14:textId="4545C16A"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Brodies, 2017. </w:t>
      </w:r>
      <w:r w:rsidRPr="003A4057">
        <w:rPr>
          <w:rFonts w:eastAsia="Times New Roman" w:cstheme="minorHAnsi"/>
          <w:i/>
          <w:iCs/>
          <w:color w:val="000000"/>
          <w:lang w:eastAsia="en-GB"/>
        </w:rPr>
        <w:t>Changes to Environmental Impact Assessment Regulations</w:t>
      </w:r>
      <w:r w:rsidRPr="003A4057">
        <w:rPr>
          <w:rFonts w:eastAsia="Times New Roman" w:cstheme="minorHAnsi"/>
          <w:color w:val="000000"/>
          <w:lang w:eastAsia="en-GB"/>
        </w:rPr>
        <w:t xml:space="preserve">. [online] </w:t>
      </w:r>
      <w:proofErr w:type="spellStart"/>
      <w:r w:rsidRPr="003A4057">
        <w:rPr>
          <w:rFonts w:eastAsia="Times New Roman" w:cstheme="minorHAnsi"/>
          <w:color w:val="000000"/>
          <w:lang w:eastAsia="en-GB"/>
        </w:rPr>
        <w:t>BRODIESllp</w:t>
      </w:r>
      <w:proofErr w:type="spellEnd"/>
      <w:r w:rsidRPr="003A4057">
        <w:rPr>
          <w:rFonts w:eastAsia="Times New Roman" w:cstheme="minorHAnsi"/>
          <w:color w:val="000000"/>
          <w:lang w:eastAsia="en-GB"/>
        </w:rPr>
        <w:t>. Available at: &lt;https://brodies.com/insights/planning-environment-and-climate/changes-to-environmental-impact-assessment-regulations-effective-from-16-may-2017/&gt;</w:t>
      </w:r>
    </w:p>
    <w:p w14:paraId="3199F599" w14:textId="1918EF80"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CBD Secretariat, 2021. </w:t>
      </w:r>
      <w:r w:rsidRPr="003A4057">
        <w:rPr>
          <w:rFonts w:eastAsia="Times New Roman" w:cstheme="minorHAnsi"/>
          <w:i/>
          <w:iCs/>
          <w:color w:val="000000"/>
          <w:lang w:eastAsia="en-GB"/>
        </w:rPr>
        <w:t>What is Impact Assessment?</w:t>
      </w:r>
      <w:r w:rsidRPr="003A4057">
        <w:rPr>
          <w:rFonts w:eastAsia="Times New Roman" w:cstheme="minorHAnsi"/>
          <w:color w:val="000000"/>
          <w:lang w:eastAsia="en-GB"/>
        </w:rPr>
        <w:t xml:space="preserve">. [online] Convention on Biological Diversity. Available at: &lt;https://www.cbd.int/impact/whatis.shtml&gt; </w:t>
      </w:r>
    </w:p>
    <w:p w14:paraId="7A6FC3B3" w14:textId="21363558"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Cleve Hill Solar, 2021. </w:t>
      </w:r>
      <w:r w:rsidRPr="003A4057">
        <w:rPr>
          <w:rFonts w:eastAsia="Times New Roman" w:cstheme="minorHAnsi"/>
          <w:i/>
          <w:iCs/>
          <w:color w:val="000000"/>
          <w:lang w:eastAsia="en-GB"/>
        </w:rPr>
        <w:t>Cleve Hill Solar Park: About us</w:t>
      </w:r>
      <w:r w:rsidRPr="003A4057">
        <w:rPr>
          <w:rFonts w:eastAsia="Times New Roman" w:cstheme="minorHAnsi"/>
          <w:color w:val="000000"/>
          <w:lang w:eastAsia="en-GB"/>
        </w:rPr>
        <w:t xml:space="preserve">. [online] Cleve Hill Solar Park. Available at: &lt;https://www.clevehillsolar.com/&gt; </w:t>
      </w:r>
    </w:p>
    <w:p w14:paraId="2CB3A80F" w14:textId="734908A5"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Community Consultation Leaflet, 2017. </w:t>
      </w:r>
      <w:r w:rsidRPr="003A4057">
        <w:rPr>
          <w:rFonts w:eastAsia="Times New Roman" w:cstheme="minorHAnsi"/>
          <w:i/>
          <w:iCs/>
          <w:color w:val="000000"/>
          <w:lang w:eastAsia="en-GB"/>
        </w:rPr>
        <w:t>Cleve Hill Solar Park: Community Consultation Leaflet</w:t>
      </w:r>
      <w:r w:rsidRPr="003A4057">
        <w:rPr>
          <w:rFonts w:eastAsia="Times New Roman" w:cstheme="minorHAnsi"/>
          <w:color w:val="000000"/>
          <w:lang w:eastAsia="en-GB"/>
        </w:rPr>
        <w:t>. 2nd ed. [</w:t>
      </w:r>
      <w:r w:rsidRPr="0010502A">
        <w:rPr>
          <w:rFonts w:eastAsia="Times New Roman" w:cstheme="minorHAnsi"/>
          <w:color w:val="000000"/>
          <w:lang w:eastAsia="en-GB"/>
        </w:rPr>
        <w:t>PDF</w:t>
      </w:r>
      <w:r w:rsidRPr="003A4057">
        <w:rPr>
          <w:rFonts w:eastAsia="Times New Roman" w:cstheme="minorHAnsi"/>
          <w:color w:val="000000"/>
          <w:lang w:eastAsia="en-GB"/>
        </w:rPr>
        <w:t xml:space="preserve">] Available at: &lt;https://ww2.rspb.org.uk/groups/images/17032018092902.pdf&gt; </w:t>
      </w:r>
    </w:p>
    <w:p w14:paraId="03430F03" w14:textId="792C30FA"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Croner-i Ltd, 2021. </w:t>
      </w:r>
      <w:r w:rsidRPr="003A4057">
        <w:rPr>
          <w:rFonts w:eastAsia="Times New Roman" w:cstheme="minorHAnsi"/>
          <w:i/>
          <w:iCs/>
          <w:color w:val="000000"/>
          <w:lang w:eastAsia="en-GB"/>
        </w:rPr>
        <w:t>Environmental Impact Assessment: In-depth</w:t>
      </w:r>
      <w:r w:rsidRPr="003A4057">
        <w:rPr>
          <w:rFonts w:eastAsia="Times New Roman" w:cstheme="minorHAnsi"/>
          <w:color w:val="000000"/>
          <w:lang w:eastAsia="en-GB"/>
        </w:rPr>
        <w:t xml:space="preserve">. [online] Croner-i Audit and Accounting. Available at: &lt;https://app.croneri.co.uk/topics/environmental-impact-assessment/indepth&gt; </w:t>
      </w:r>
    </w:p>
    <w:p w14:paraId="3EA3851C" w14:textId="0D42C219" w:rsidR="003A4057" w:rsidRPr="003A4057" w:rsidRDefault="003A4057" w:rsidP="0010502A">
      <w:pPr>
        <w:spacing w:after="180" w:line="240" w:lineRule="auto"/>
        <w:ind w:left="450" w:hanging="450"/>
        <w:jc w:val="both"/>
        <w:rPr>
          <w:rFonts w:eastAsia="Times New Roman" w:cstheme="minorHAnsi"/>
          <w:color w:val="000000"/>
          <w:lang w:eastAsia="en-GB"/>
        </w:rPr>
      </w:pPr>
      <w:proofErr w:type="spellStart"/>
      <w:r w:rsidRPr="003A4057">
        <w:rPr>
          <w:rFonts w:eastAsia="Times New Roman" w:cstheme="minorHAnsi"/>
          <w:color w:val="000000"/>
          <w:lang w:eastAsia="en-GB"/>
        </w:rPr>
        <w:t>Cuppen</w:t>
      </w:r>
      <w:proofErr w:type="spellEnd"/>
      <w:r w:rsidRPr="003A4057">
        <w:rPr>
          <w:rFonts w:eastAsia="Times New Roman" w:cstheme="minorHAnsi"/>
          <w:color w:val="000000"/>
          <w:lang w:eastAsia="en-GB"/>
        </w:rPr>
        <w:t xml:space="preserve">, M., </w:t>
      </w:r>
      <w:proofErr w:type="spellStart"/>
      <w:r w:rsidRPr="003A4057">
        <w:rPr>
          <w:rFonts w:eastAsia="Times New Roman" w:cstheme="minorHAnsi"/>
          <w:color w:val="000000"/>
          <w:lang w:eastAsia="en-GB"/>
        </w:rPr>
        <w:t>Broekhans</w:t>
      </w:r>
      <w:proofErr w:type="spellEnd"/>
      <w:r w:rsidRPr="003A4057">
        <w:rPr>
          <w:rFonts w:eastAsia="Times New Roman" w:cstheme="minorHAnsi"/>
          <w:color w:val="000000"/>
          <w:lang w:eastAsia="en-GB"/>
        </w:rPr>
        <w:t xml:space="preserve">, B. and </w:t>
      </w:r>
      <w:proofErr w:type="spellStart"/>
      <w:r w:rsidRPr="003A4057">
        <w:rPr>
          <w:rFonts w:eastAsia="Times New Roman" w:cstheme="minorHAnsi"/>
          <w:color w:val="000000"/>
          <w:lang w:eastAsia="en-GB"/>
        </w:rPr>
        <w:t>Enserink</w:t>
      </w:r>
      <w:proofErr w:type="spellEnd"/>
      <w:r w:rsidRPr="003A4057">
        <w:rPr>
          <w:rFonts w:eastAsia="Times New Roman" w:cstheme="minorHAnsi"/>
          <w:color w:val="000000"/>
          <w:lang w:eastAsia="en-GB"/>
        </w:rPr>
        <w:t>, B., 2012. Public Participation in EIA and Attitude Formation. </w:t>
      </w:r>
      <w:r w:rsidRPr="003A4057">
        <w:rPr>
          <w:rFonts w:eastAsia="Times New Roman" w:cstheme="minorHAnsi"/>
          <w:i/>
          <w:iCs/>
          <w:color w:val="000000"/>
          <w:lang w:eastAsia="en-GB"/>
        </w:rPr>
        <w:t>Impact Assessment and Project Appraisal</w:t>
      </w:r>
      <w:r w:rsidRPr="003A4057">
        <w:rPr>
          <w:rFonts w:eastAsia="Times New Roman" w:cstheme="minorHAnsi"/>
          <w:color w:val="000000"/>
          <w:lang w:eastAsia="en-GB"/>
        </w:rPr>
        <w:t xml:space="preserve">, [online] 30(2), pp.63-74. Available at: &lt;https://www.tandfonline.com/doi/full/10.1080/14615517.2012.660348?scroll=top&amp;needAccess=true&gt; </w:t>
      </w:r>
    </w:p>
    <w:p w14:paraId="223664A8" w14:textId="551D038F"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European Commission, 2001. </w:t>
      </w:r>
      <w:r w:rsidRPr="003A4057">
        <w:rPr>
          <w:rFonts w:eastAsia="Times New Roman" w:cstheme="minorHAnsi"/>
          <w:i/>
          <w:iCs/>
          <w:color w:val="000000"/>
          <w:lang w:eastAsia="en-GB"/>
        </w:rPr>
        <w:t>Guidance on EIA Screening</w:t>
      </w:r>
      <w:r w:rsidRPr="003A4057">
        <w:rPr>
          <w:rFonts w:eastAsia="Times New Roman" w:cstheme="minorHAnsi"/>
          <w:color w:val="000000"/>
          <w:lang w:eastAsia="en-GB"/>
        </w:rPr>
        <w:t>. [</w:t>
      </w:r>
      <w:r w:rsidRPr="0010502A">
        <w:rPr>
          <w:rFonts w:eastAsia="Times New Roman" w:cstheme="minorHAnsi"/>
          <w:color w:val="000000"/>
          <w:lang w:eastAsia="en-GB"/>
        </w:rPr>
        <w:t>PDF</w:t>
      </w:r>
      <w:r w:rsidRPr="003A4057">
        <w:rPr>
          <w:rFonts w:eastAsia="Times New Roman" w:cstheme="minorHAnsi"/>
          <w:color w:val="000000"/>
          <w:lang w:eastAsia="en-GB"/>
        </w:rPr>
        <w:t xml:space="preserve">] Luxembourg: European Commission. Available at: &lt;https://ec.europa.eu/environment/archives/eia/eia-guidelines/g-screening-full-text.pdf&gt; </w:t>
      </w:r>
    </w:p>
    <w:p w14:paraId="1BC05793" w14:textId="0C51D897"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Exam Chum, 2021. </w:t>
      </w:r>
      <w:r w:rsidRPr="003A4057">
        <w:rPr>
          <w:rFonts w:eastAsia="Times New Roman" w:cstheme="minorHAnsi"/>
          <w:i/>
          <w:iCs/>
          <w:color w:val="000000"/>
          <w:lang w:eastAsia="en-GB"/>
        </w:rPr>
        <w:t>What is a Screening in EIA?</w:t>
      </w:r>
      <w:r w:rsidRPr="003A4057">
        <w:rPr>
          <w:rFonts w:eastAsia="Times New Roman" w:cstheme="minorHAnsi"/>
          <w:color w:val="000000"/>
          <w:lang w:eastAsia="en-GB"/>
        </w:rPr>
        <w:t xml:space="preserve">. [online] Exam Chum. Available at: &lt;https://www.examchum.uk/landscape-architecture/screening-in-eia/#:~:text=Screening%20is%20the%20process%20of,the%20design%20of%20the%20project.&gt; </w:t>
      </w:r>
    </w:p>
    <w:p w14:paraId="3CEC7460" w14:textId="74613EB9"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Government, 2017. </w:t>
      </w:r>
      <w:r w:rsidRPr="003A4057">
        <w:rPr>
          <w:rFonts w:eastAsia="Times New Roman" w:cstheme="minorHAnsi"/>
          <w:i/>
          <w:iCs/>
          <w:color w:val="000000"/>
          <w:lang w:eastAsia="en-GB"/>
        </w:rPr>
        <w:t>Environmental Impact Assessment</w:t>
      </w:r>
      <w:r w:rsidRPr="003A4057">
        <w:rPr>
          <w:rFonts w:eastAsia="Times New Roman" w:cstheme="minorHAnsi"/>
          <w:color w:val="000000"/>
          <w:lang w:eastAsia="en-GB"/>
        </w:rPr>
        <w:t xml:space="preserve">. [online] Gov.uk. Available at: &lt;https://www.gov.uk/guidance/environmental-impact-assessment#:~:text=The%20aim%20of%20Environmental%20Impact,the%20likely%20significant%20effects%2C%20and&gt; </w:t>
      </w:r>
    </w:p>
    <w:p w14:paraId="563955C6" w14:textId="7007C1B3"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Government, 2020. </w:t>
      </w:r>
      <w:r w:rsidRPr="003A4057">
        <w:rPr>
          <w:rFonts w:eastAsia="Times New Roman" w:cstheme="minorHAnsi"/>
          <w:i/>
          <w:iCs/>
          <w:color w:val="000000"/>
          <w:lang w:eastAsia="en-GB"/>
        </w:rPr>
        <w:t>The Environment Assessments and Miscellaneous Planning (Amendment) (EU Exit) Regulations 2018</w:t>
      </w:r>
      <w:r w:rsidRPr="003A4057">
        <w:rPr>
          <w:rFonts w:eastAsia="Times New Roman" w:cstheme="minorHAnsi"/>
          <w:color w:val="000000"/>
          <w:lang w:eastAsia="en-GB"/>
        </w:rPr>
        <w:t xml:space="preserve">. [online] Legislation.gov.uk. Available at: &lt;https://www.legislation.gov.uk/uksi/2018/1232/contents/made&gt; </w:t>
      </w:r>
    </w:p>
    <w:p w14:paraId="709C7108" w14:textId="1139302F"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Harvey, E., 2021. </w:t>
      </w:r>
      <w:r w:rsidRPr="003A4057">
        <w:rPr>
          <w:rFonts w:eastAsia="Times New Roman" w:cstheme="minorHAnsi"/>
          <w:i/>
          <w:iCs/>
          <w:color w:val="000000"/>
          <w:lang w:eastAsia="en-GB"/>
        </w:rPr>
        <w:t>Climate Change and Housing: How the Movement will Impact UK Property</w:t>
      </w:r>
      <w:r w:rsidRPr="003A4057">
        <w:rPr>
          <w:rFonts w:eastAsia="Times New Roman" w:cstheme="minorHAnsi"/>
          <w:color w:val="000000"/>
          <w:lang w:eastAsia="en-GB"/>
        </w:rPr>
        <w:t xml:space="preserve">. [online] Buy Association. Available at: &lt;https://www.buyassociation.co.uk/2020/02/13/climate-change-and-housing-how-the-movement-will-impact-uk-property/&gt; </w:t>
      </w:r>
    </w:p>
    <w:p w14:paraId="3CA93385" w14:textId="56E20872"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lastRenderedPageBreak/>
        <w:t>Hive Energy Ltd, 2021. </w:t>
      </w:r>
      <w:r w:rsidRPr="003A4057">
        <w:rPr>
          <w:rFonts w:eastAsia="Times New Roman" w:cstheme="minorHAnsi"/>
          <w:i/>
          <w:iCs/>
          <w:color w:val="000000"/>
          <w:lang w:eastAsia="en-GB"/>
        </w:rPr>
        <w:t>Hive Energy: Renewable &amp; Environment</w:t>
      </w:r>
      <w:r w:rsidRPr="003A4057">
        <w:rPr>
          <w:rFonts w:eastAsia="Times New Roman" w:cstheme="minorHAnsi"/>
          <w:color w:val="000000"/>
          <w:lang w:eastAsia="en-GB"/>
        </w:rPr>
        <w:t xml:space="preserve">. [online] </w:t>
      </w:r>
      <w:proofErr w:type="spellStart"/>
      <w:r w:rsidRPr="003A4057">
        <w:rPr>
          <w:rFonts w:eastAsia="Times New Roman" w:cstheme="minorHAnsi"/>
          <w:color w:val="000000"/>
          <w:lang w:eastAsia="en-GB"/>
        </w:rPr>
        <w:t>Linkedin</w:t>
      </w:r>
      <w:proofErr w:type="spellEnd"/>
      <w:r w:rsidRPr="003A4057">
        <w:rPr>
          <w:rFonts w:eastAsia="Times New Roman" w:cstheme="minorHAnsi"/>
          <w:color w:val="000000"/>
          <w:lang w:eastAsia="en-GB"/>
        </w:rPr>
        <w:t xml:space="preserve">. Available at: &lt;https://www.linkedin.com/company/hive-energy-ltd&gt; </w:t>
      </w:r>
    </w:p>
    <w:p w14:paraId="422A59A5" w14:textId="386AEFE8" w:rsidR="003A4057" w:rsidRPr="003A4057"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 xml:space="preserve">Innes, J. and </w:t>
      </w:r>
      <w:proofErr w:type="spellStart"/>
      <w:r w:rsidRPr="003A4057">
        <w:rPr>
          <w:rFonts w:eastAsia="Times New Roman" w:cstheme="minorHAnsi"/>
          <w:color w:val="000000"/>
          <w:lang w:eastAsia="en-GB"/>
        </w:rPr>
        <w:t>Booher</w:t>
      </w:r>
      <w:proofErr w:type="spellEnd"/>
      <w:r w:rsidRPr="003A4057">
        <w:rPr>
          <w:rFonts w:eastAsia="Times New Roman" w:cstheme="minorHAnsi"/>
          <w:color w:val="000000"/>
          <w:lang w:eastAsia="en-GB"/>
        </w:rPr>
        <w:t>, D., 2007. Reframing Public Participation: Strategies for the 21st Century. </w:t>
      </w:r>
      <w:r w:rsidRPr="003A4057">
        <w:rPr>
          <w:rFonts w:eastAsia="Times New Roman" w:cstheme="minorHAnsi"/>
          <w:i/>
          <w:iCs/>
          <w:color w:val="000000"/>
          <w:lang w:eastAsia="en-GB"/>
        </w:rPr>
        <w:t>Planning Theory and Practice</w:t>
      </w:r>
      <w:r w:rsidRPr="003A4057">
        <w:rPr>
          <w:rFonts w:eastAsia="Times New Roman" w:cstheme="minorHAnsi"/>
          <w:color w:val="000000"/>
          <w:lang w:eastAsia="en-GB"/>
        </w:rPr>
        <w:t xml:space="preserve">, [online] 5(4), pp.419-436. Available at: &lt;https://www.tandfonline.com/doi/10.1080/1464935042000293170&gt; </w:t>
      </w:r>
    </w:p>
    <w:p w14:paraId="0E5B952A" w14:textId="199FA1F1" w:rsidR="0010502A" w:rsidRPr="0010502A" w:rsidRDefault="003A4057" w:rsidP="0010502A">
      <w:pPr>
        <w:spacing w:after="180" w:line="240" w:lineRule="auto"/>
        <w:ind w:left="450" w:hanging="450"/>
        <w:jc w:val="both"/>
        <w:rPr>
          <w:rFonts w:eastAsia="Times New Roman" w:cstheme="minorHAnsi"/>
          <w:color w:val="000000"/>
          <w:lang w:eastAsia="en-GB"/>
        </w:rPr>
      </w:pPr>
      <w:r w:rsidRPr="003A4057">
        <w:rPr>
          <w:rFonts w:eastAsia="Times New Roman" w:cstheme="minorHAnsi"/>
          <w:color w:val="000000"/>
          <w:lang w:eastAsia="en-GB"/>
        </w:rPr>
        <w:t>International Institute for Sustainable Development, 2021. </w:t>
      </w:r>
      <w:r w:rsidRPr="003A4057">
        <w:rPr>
          <w:rFonts w:eastAsia="Times New Roman" w:cstheme="minorHAnsi"/>
          <w:i/>
          <w:iCs/>
          <w:color w:val="000000"/>
          <w:lang w:eastAsia="en-GB"/>
        </w:rPr>
        <w:t>The 7 Steps to an EIA</w:t>
      </w:r>
      <w:r w:rsidRPr="003A4057">
        <w:rPr>
          <w:rFonts w:eastAsia="Times New Roman" w:cstheme="minorHAnsi"/>
          <w:color w:val="000000"/>
          <w:lang w:eastAsia="en-GB"/>
        </w:rPr>
        <w:t>. [online] IISD. Available at: &lt;https://www.iisd.org/learning/eia/eia-7-steps/step-1-screening/&gt;</w:t>
      </w:r>
    </w:p>
    <w:p w14:paraId="6A761936" w14:textId="77777777" w:rsidR="0010502A" w:rsidRPr="0010502A" w:rsidRDefault="0010502A" w:rsidP="0010502A">
      <w:pPr>
        <w:spacing w:after="180" w:line="240" w:lineRule="auto"/>
        <w:ind w:left="450" w:hanging="450"/>
        <w:jc w:val="both"/>
        <w:rPr>
          <w:rFonts w:eastAsia="Times New Roman" w:cstheme="minorHAnsi"/>
          <w:color w:val="000000"/>
          <w:lang w:eastAsia="en-GB"/>
        </w:rPr>
      </w:pPr>
      <w:r w:rsidRPr="0010502A">
        <w:rPr>
          <w:rFonts w:eastAsia="Times New Roman" w:cstheme="minorHAnsi"/>
          <w:color w:val="000000"/>
          <w:lang w:eastAsia="en-GB"/>
        </w:rPr>
        <w:t>Kent Wildlife Trust, 2021. </w:t>
      </w:r>
      <w:r w:rsidRPr="0010502A">
        <w:rPr>
          <w:rFonts w:eastAsia="Times New Roman" w:cstheme="minorHAnsi"/>
          <w:i/>
          <w:iCs/>
          <w:color w:val="000000"/>
          <w:lang w:eastAsia="en-GB"/>
        </w:rPr>
        <w:t>Cleve Hill Solar Park</w:t>
      </w:r>
      <w:r w:rsidRPr="0010502A">
        <w:rPr>
          <w:rFonts w:eastAsia="Times New Roman" w:cstheme="minorHAnsi"/>
          <w:color w:val="000000"/>
          <w:lang w:eastAsia="en-GB"/>
        </w:rPr>
        <w:t>. [online] Kent Wildlife Trust. Available at: &lt;https://www.kentwildlifetrust.org.uk/campaigns/planning-and-development/cleve-hill-solar-park&gt; [Accessed 11 April 2021].</w:t>
      </w:r>
    </w:p>
    <w:p w14:paraId="4FB22C38" w14:textId="56597F75" w:rsidR="0010502A" w:rsidRPr="0010502A" w:rsidRDefault="0010502A" w:rsidP="0010502A">
      <w:pPr>
        <w:spacing w:after="180" w:line="240" w:lineRule="auto"/>
        <w:ind w:left="450" w:hanging="450"/>
        <w:jc w:val="both"/>
        <w:rPr>
          <w:rFonts w:eastAsia="Times New Roman" w:cstheme="minorHAnsi"/>
          <w:color w:val="000000"/>
          <w:lang w:eastAsia="en-GB"/>
        </w:rPr>
      </w:pPr>
      <w:r w:rsidRPr="0010502A">
        <w:rPr>
          <w:rFonts w:eastAsia="Times New Roman" w:cstheme="minorHAnsi"/>
          <w:color w:val="000000"/>
          <w:lang w:eastAsia="en-GB"/>
        </w:rPr>
        <w:t>Murphy, J., 2012. </w:t>
      </w:r>
      <w:r w:rsidRPr="0010502A">
        <w:rPr>
          <w:rFonts w:eastAsia="Times New Roman" w:cstheme="minorHAnsi"/>
          <w:i/>
          <w:iCs/>
          <w:color w:val="000000"/>
          <w:lang w:eastAsia="en-GB"/>
        </w:rPr>
        <w:t>Effective Non-Technical Summaries for Environmental Impact Assessment</w:t>
      </w:r>
      <w:r w:rsidRPr="0010502A">
        <w:rPr>
          <w:rFonts w:eastAsia="Times New Roman" w:cstheme="minorHAnsi"/>
          <w:color w:val="000000"/>
          <w:lang w:eastAsia="en-GB"/>
        </w:rPr>
        <w:t>. [</w:t>
      </w:r>
      <w:r>
        <w:rPr>
          <w:rFonts w:eastAsia="Times New Roman" w:cstheme="minorHAnsi"/>
          <w:color w:val="000000"/>
          <w:lang w:eastAsia="en-GB"/>
        </w:rPr>
        <w:t>PDF</w:t>
      </w:r>
      <w:r w:rsidRPr="0010502A">
        <w:rPr>
          <w:rFonts w:eastAsia="Times New Roman" w:cstheme="minorHAnsi"/>
          <w:color w:val="000000"/>
          <w:lang w:eastAsia="en-GB"/>
        </w:rPr>
        <w:t xml:space="preserve">] </w:t>
      </w:r>
      <w:proofErr w:type="spellStart"/>
      <w:r w:rsidRPr="0010502A">
        <w:rPr>
          <w:rFonts w:eastAsia="Times New Roman" w:cstheme="minorHAnsi"/>
          <w:color w:val="000000"/>
          <w:lang w:eastAsia="en-GB"/>
        </w:rPr>
        <w:t>eBrief</w:t>
      </w:r>
      <w:proofErr w:type="spellEnd"/>
      <w:r w:rsidRPr="0010502A">
        <w:rPr>
          <w:rFonts w:eastAsia="Times New Roman" w:cstheme="minorHAnsi"/>
          <w:color w:val="000000"/>
          <w:lang w:eastAsia="en-GB"/>
        </w:rPr>
        <w:t xml:space="preserve">, p.1. Available at: &lt;http://file:///C:/Users/Marie/Downloads/iema_e-briefing_7_jan_12_non-technical_summaries1%20(1).pdf&gt; </w:t>
      </w:r>
    </w:p>
    <w:p w14:paraId="01574700" w14:textId="17E83072" w:rsidR="0010502A" w:rsidRPr="0010502A" w:rsidRDefault="0010502A" w:rsidP="0010502A">
      <w:pPr>
        <w:spacing w:after="180" w:line="240" w:lineRule="auto"/>
        <w:ind w:left="450" w:hanging="450"/>
        <w:jc w:val="both"/>
        <w:rPr>
          <w:rFonts w:eastAsia="Times New Roman" w:cstheme="minorHAnsi"/>
          <w:color w:val="000000"/>
          <w:lang w:eastAsia="en-GB"/>
        </w:rPr>
      </w:pPr>
      <w:r w:rsidRPr="0010502A">
        <w:rPr>
          <w:rFonts w:eastAsia="Times New Roman" w:cstheme="minorHAnsi"/>
          <w:color w:val="000000"/>
          <w:lang w:eastAsia="en-GB"/>
        </w:rPr>
        <w:t>Nicholas Pearson Associates, 2019. </w:t>
      </w:r>
      <w:r w:rsidRPr="0010502A">
        <w:rPr>
          <w:rFonts w:eastAsia="Times New Roman" w:cstheme="minorHAnsi"/>
          <w:i/>
          <w:iCs/>
          <w:color w:val="000000"/>
          <w:lang w:eastAsia="en-GB"/>
        </w:rPr>
        <w:t>The EIA Regulations: Two Years On</w:t>
      </w:r>
      <w:r w:rsidRPr="0010502A">
        <w:rPr>
          <w:rFonts w:eastAsia="Times New Roman" w:cstheme="minorHAnsi"/>
          <w:color w:val="000000"/>
          <w:lang w:eastAsia="en-GB"/>
        </w:rPr>
        <w:t xml:space="preserve">. [online] Nicholas Pearson Associates. Available at: &lt;https://npaconsult.co.uk/articles/the-eia-regulations-two-years-on/&gt; </w:t>
      </w:r>
    </w:p>
    <w:p w14:paraId="0C4B78A3" w14:textId="625CE9C4" w:rsidR="0010502A" w:rsidRPr="0010502A" w:rsidRDefault="0010502A" w:rsidP="0010502A">
      <w:pPr>
        <w:spacing w:after="180" w:line="240" w:lineRule="auto"/>
        <w:ind w:left="450" w:hanging="450"/>
        <w:jc w:val="both"/>
        <w:rPr>
          <w:rFonts w:eastAsia="Times New Roman" w:cstheme="minorHAnsi"/>
          <w:color w:val="000000"/>
          <w:lang w:eastAsia="en-GB"/>
        </w:rPr>
      </w:pPr>
      <w:proofErr w:type="spellStart"/>
      <w:r w:rsidRPr="0010502A">
        <w:rPr>
          <w:rFonts w:eastAsia="Times New Roman" w:cstheme="minorHAnsi"/>
          <w:color w:val="000000"/>
          <w:lang w:eastAsia="en-GB"/>
        </w:rPr>
        <w:t>Pahl-Wostl</w:t>
      </w:r>
      <w:proofErr w:type="spellEnd"/>
      <w:r w:rsidRPr="0010502A">
        <w:rPr>
          <w:rFonts w:eastAsia="Times New Roman" w:cstheme="minorHAnsi"/>
          <w:color w:val="000000"/>
          <w:lang w:eastAsia="en-GB"/>
        </w:rPr>
        <w:t xml:space="preserve">, C., Craps, M., </w:t>
      </w:r>
      <w:proofErr w:type="spellStart"/>
      <w:r w:rsidRPr="0010502A">
        <w:rPr>
          <w:rFonts w:eastAsia="Times New Roman" w:cstheme="minorHAnsi"/>
          <w:color w:val="000000"/>
          <w:lang w:eastAsia="en-GB"/>
        </w:rPr>
        <w:t>Dewulf</w:t>
      </w:r>
      <w:proofErr w:type="spellEnd"/>
      <w:r w:rsidRPr="0010502A">
        <w:rPr>
          <w:rFonts w:eastAsia="Times New Roman" w:cstheme="minorHAnsi"/>
          <w:color w:val="000000"/>
          <w:lang w:eastAsia="en-GB"/>
        </w:rPr>
        <w:t xml:space="preserve">, A., </w:t>
      </w:r>
      <w:proofErr w:type="spellStart"/>
      <w:r w:rsidRPr="0010502A">
        <w:rPr>
          <w:rFonts w:eastAsia="Times New Roman" w:cstheme="minorHAnsi"/>
          <w:color w:val="000000"/>
          <w:lang w:eastAsia="en-GB"/>
        </w:rPr>
        <w:t>Tabara</w:t>
      </w:r>
      <w:proofErr w:type="spellEnd"/>
      <w:r w:rsidRPr="0010502A">
        <w:rPr>
          <w:rFonts w:eastAsia="Times New Roman" w:cstheme="minorHAnsi"/>
          <w:color w:val="000000"/>
          <w:lang w:eastAsia="en-GB"/>
        </w:rPr>
        <w:t>, D. and Taillieu, T., 2007. Social Learning and Water Resources Management. </w:t>
      </w:r>
      <w:r w:rsidRPr="0010502A">
        <w:rPr>
          <w:rFonts w:eastAsia="Times New Roman" w:cstheme="minorHAnsi"/>
          <w:i/>
          <w:iCs/>
          <w:color w:val="000000"/>
          <w:lang w:eastAsia="en-GB"/>
        </w:rPr>
        <w:t>Ecology and Society</w:t>
      </w:r>
      <w:r w:rsidRPr="0010502A">
        <w:rPr>
          <w:rFonts w:eastAsia="Times New Roman" w:cstheme="minorHAnsi"/>
          <w:color w:val="000000"/>
          <w:lang w:eastAsia="en-GB"/>
        </w:rPr>
        <w:t xml:space="preserve">, [online] 12(2). Available at: &lt;http://www.ecologyandsociety.org/vol12/iss2/art5/&gt; </w:t>
      </w:r>
    </w:p>
    <w:p w14:paraId="465FAA15" w14:textId="683D78E1" w:rsidR="0010502A" w:rsidRPr="0010502A" w:rsidRDefault="0010502A" w:rsidP="0010502A">
      <w:pPr>
        <w:spacing w:after="180" w:line="240" w:lineRule="auto"/>
        <w:ind w:left="450" w:hanging="450"/>
        <w:jc w:val="both"/>
        <w:rPr>
          <w:rFonts w:eastAsia="Times New Roman" w:cstheme="minorHAnsi"/>
          <w:color w:val="000000"/>
          <w:lang w:eastAsia="en-GB"/>
        </w:rPr>
      </w:pPr>
      <w:r w:rsidRPr="0010502A">
        <w:rPr>
          <w:rFonts w:eastAsia="Times New Roman" w:cstheme="minorHAnsi"/>
          <w:color w:val="000000"/>
          <w:lang w:eastAsia="en-GB"/>
        </w:rPr>
        <w:t>Save Graveney Marshes, 2019. </w:t>
      </w:r>
      <w:r w:rsidRPr="0010502A">
        <w:rPr>
          <w:rFonts w:eastAsia="Times New Roman" w:cstheme="minorHAnsi"/>
          <w:i/>
          <w:iCs/>
          <w:color w:val="000000"/>
          <w:lang w:eastAsia="en-GB"/>
        </w:rPr>
        <w:t>Who Are We</w:t>
      </w:r>
      <w:r w:rsidRPr="0010502A">
        <w:rPr>
          <w:rFonts w:eastAsia="Times New Roman" w:cstheme="minorHAnsi"/>
          <w:color w:val="000000"/>
          <w:lang w:eastAsia="en-GB"/>
        </w:rPr>
        <w:t xml:space="preserve">. [online] Save Graveney Marshes. Available at: &lt;https://savegraveneymarshes.org/who-we-are/&gt; </w:t>
      </w:r>
    </w:p>
    <w:p w14:paraId="5F0CB4B1" w14:textId="0B610CAF" w:rsidR="0010502A" w:rsidRPr="0010502A" w:rsidRDefault="0010502A" w:rsidP="0010502A">
      <w:pPr>
        <w:spacing w:after="180" w:line="240" w:lineRule="auto"/>
        <w:ind w:left="450" w:hanging="450"/>
        <w:jc w:val="both"/>
        <w:rPr>
          <w:rFonts w:eastAsia="Times New Roman" w:cstheme="minorHAnsi"/>
          <w:color w:val="000000"/>
          <w:lang w:eastAsia="en-GB"/>
        </w:rPr>
      </w:pPr>
      <w:r w:rsidRPr="0010502A">
        <w:rPr>
          <w:rFonts w:eastAsia="Times New Roman" w:cstheme="minorHAnsi"/>
          <w:color w:val="000000"/>
          <w:lang w:eastAsia="en-GB"/>
        </w:rPr>
        <w:t>Sexton, M., Yao, R., Parker, G. and Whyte, J., 2011. </w:t>
      </w:r>
      <w:r w:rsidRPr="0010502A">
        <w:rPr>
          <w:rFonts w:eastAsia="Times New Roman" w:cstheme="minorHAnsi"/>
          <w:i/>
          <w:iCs/>
          <w:color w:val="000000"/>
          <w:lang w:eastAsia="en-GB"/>
        </w:rPr>
        <w:t>Sustainability: the Changing Built Environment</w:t>
      </w:r>
      <w:r w:rsidRPr="0010502A">
        <w:rPr>
          <w:rFonts w:eastAsia="Times New Roman" w:cstheme="minorHAnsi"/>
          <w:color w:val="000000"/>
          <w:lang w:eastAsia="en-GB"/>
        </w:rPr>
        <w:t>. [</w:t>
      </w:r>
      <w:r>
        <w:rPr>
          <w:rFonts w:eastAsia="Times New Roman" w:cstheme="minorHAnsi"/>
          <w:color w:val="000000"/>
          <w:lang w:eastAsia="en-GB"/>
        </w:rPr>
        <w:t>PDF</w:t>
      </w:r>
      <w:r w:rsidRPr="0010502A">
        <w:rPr>
          <w:rFonts w:eastAsia="Times New Roman" w:cstheme="minorHAnsi"/>
          <w:color w:val="000000"/>
          <w:lang w:eastAsia="en-GB"/>
        </w:rPr>
        <w:t xml:space="preserve">] Reading.ac.uk. Available at: &lt;https://www.reading.ac.uk/web/files/innovativeconstructionresearchcentre/B02942_Research_Review_Winter_2011_SUSTAIN.pdf&gt; </w:t>
      </w:r>
    </w:p>
    <w:p w14:paraId="057CD05B" w14:textId="48162D67" w:rsidR="0010502A" w:rsidRPr="0010502A" w:rsidRDefault="0010502A" w:rsidP="0010502A">
      <w:pPr>
        <w:spacing w:after="180" w:line="240" w:lineRule="auto"/>
        <w:ind w:left="450" w:hanging="450"/>
        <w:jc w:val="both"/>
        <w:rPr>
          <w:rFonts w:eastAsia="Times New Roman" w:cstheme="minorHAnsi"/>
          <w:color w:val="000000"/>
          <w:lang w:eastAsia="en-GB"/>
        </w:rPr>
      </w:pPr>
      <w:r w:rsidRPr="0010502A">
        <w:rPr>
          <w:rFonts w:eastAsia="Times New Roman" w:cstheme="minorHAnsi"/>
          <w:color w:val="000000"/>
          <w:lang w:eastAsia="en-GB"/>
        </w:rPr>
        <w:t>Temple, 2020. Changes to Planning and EIA Regulation and Guidance. </w:t>
      </w:r>
      <w:r w:rsidRPr="0010502A">
        <w:rPr>
          <w:rFonts w:eastAsia="Times New Roman" w:cstheme="minorHAnsi"/>
          <w:i/>
          <w:iCs/>
          <w:color w:val="000000"/>
          <w:lang w:eastAsia="en-GB"/>
        </w:rPr>
        <w:t>Temple</w:t>
      </w:r>
      <w:r w:rsidRPr="0010502A">
        <w:rPr>
          <w:rFonts w:eastAsia="Times New Roman" w:cstheme="minorHAnsi"/>
          <w:color w:val="000000"/>
          <w:lang w:eastAsia="en-GB"/>
        </w:rPr>
        <w:t xml:space="preserve">, [online] p.1. Available at: &lt;https://www.templegroup.co.uk/revision-to-the-eia-regulations/&gt; </w:t>
      </w:r>
    </w:p>
    <w:p w14:paraId="2051F5AC" w14:textId="15D8AE79" w:rsidR="0010502A" w:rsidRPr="0010502A" w:rsidRDefault="0010502A" w:rsidP="0010502A">
      <w:pPr>
        <w:spacing w:after="180" w:line="240" w:lineRule="auto"/>
        <w:ind w:left="450" w:hanging="450"/>
        <w:jc w:val="both"/>
        <w:rPr>
          <w:rFonts w:eastAsia="Times New Roman" w:cstheme="minorHAnsi"/>
          <w:color w:val="000000"/>
          <w:lang w:eastAsia="en-GB"/>
        </w:rPr>
      </w:pPr>
      <w:r w:rsidRPr="0010502A">
        <w:rPr>
          <w:rFonts w:eastAsia="Times New Roman" w:cstheme="minorHAnsi"/>
          <w:color w:val="000000"/>
          <w:lang w:eastAsia="en-GB"/>
        </w:rPr>
        <w:t>The Town and Country Planning Regulations, 2011. </w:t>
      </w:r>
      <w:r w:rsidRPr="0010502A">
        <w:rPr>
          <w:rFonts w:eastAsia="Times New Roman" w:cstheme="minorHAnsi"/>
          <w:i/>
          <w:iCs/>
          <w:color w:val="000000"/>
          <w:lang w:eastAsia="en-GB"/>
        </w:rPr>
        <w:t>Environment Impact Assessment EIA</w:t>
      </w:r>
      <w:r w:rsidRPr="0010502A">
        <w:rPr>
          <w:rFonts w:eastAsia="Times New Roman" w:cstheme="minorHAnsi"/>
          <w:color w:val="000000"/>
          <w:lang w:eastAsia="en-GB"/>
        </w:rPr>
        <w:t xml:space="preserve">. [online] Available at: &lt;https://www.designingbuildings.co.uk/wiki/Environmental_impact_assessment_EIA#:~:text=EIAs%20are%20required%20for%20developments,Refineries&gt; </w:t>
      </w:r>
    </w:p>
    <w:p w14:paraId="034A8D52" w14:textId="7CCA18DE" w:rsidR="0010502A" w:rsidRPr="0010502A" w:rsidRDefault="0010502A" w:rsidP="0010502A">
      <w:pPr>
        <w:spacing w:after="180" w:line="240" w:lineRule="auto"/>
        <w:ind w:left="450" w:hanging="450"/>
        <w:jc w:val="both"/>
        <w:rPr>
          <w:rFonts w:eastAsia="Times New Roman" w:cstheme="minorHAnsi"/>
          <w:color w:val="000000"/>
          <w:lang w:eastAsia="en-GB"/>
        </w:rPr>
      </w:pPr>
      <w:r w:rsidRPr="0010502A">
        <w:rPr>
          <w:rFonts w:eastAsia="Times New Roman" w:cstheme="minorHAnsi"/>
          <w:color w:val="000000"/>
          <w:lang w:eastAsia="en-GB"/>
        </w:rPr>
        <w:t xml:space="preserve">Thompson, S., </w:t>
      </w:r>
      <w:proofErr w:type="spellStart"/>
      <w:r w:rsidRPr="0010502A">
        <w:rPr>
          <w:rFonts w:eastAsia="Times New Roman" w:cstheme="minorHAnsi"/>
          <w:color w:val="000000"/>
          <w:lang w:eastAsia="en-GB"/>
        </w:rPr>
        <w:t>Drayson</w:t>
      </w:r>
      <w:proofErr w:type="spellEnd"/>
      <w:r w:rsidRPr="0010502A">
        <w:rPr>
          <w:rFonts w:eastAsia="Times New Roman" w:cstheme="minorHAnsi"/>
          <w:color w:val="000000"/>
          <w:lang w:eastAsia="en-GB"/>
        </w:rPr>
        <w:t>, K. and Policy, M., 2015. Monitoring and Mitigation in EIA Developments. </w:t>
      </w:r>
      <w:r w:rsidRPr="0010502A">
        <w:rPr>
          <w:rFonts w:eastAsia="Times New Roman" w:cstheme="minorHAnsi"/>
          <w:i/>
          <w:iCs/>
          <w:color w:val="000000"/>
          <w:lang w:eastAsia="en-GB"/>
        </w:rPr>
        <w:t>In Practice</w:t>
      </w:r>
      <w:r w:rsidRPr="0010502A">
        <w:rPr>
          <w:rFonts w:eastAsia="Times New Roman" w:cstheme="minorHAnsi"/>
          <w:color w:val="000000"/>
          <w:lang w:eastAsia="en-GB"/>
        </w:rPr>
        <w:t xml:space="preserve">, [online] 88, pp.9-13. Available at: &lt;https://www.researchgate.net/publication/278023794_Monitoring_Mitigation_in_EIA_Developments&gt; </w:t>
      </w:r>
    </w:p>
    <w:p w14:paraId="5E1C415A" w14:textId="712275CD" w:rsidR="0010502A" w:rsidRPr="0010502A" w:rsidRDefault="0010502A" w:rsidP="0010502A">
      <w:pPr>
        <w:spacing w:after="180" w:line="240" w:lineRule="auto"/>
        <w:ind w:left="450" w:hanging="450"/>
        <w:jc w:val="both"/>
        <w:rPr>
          <w:rFonts w:eastAsia="Times New Roman" w:cstheme="minorHAnsi"/>
          <w:color w:val="000000"/>
          <w:lang w:eastAsia="en-GB"/>
        </w:rPr>
      </w:pPr>
      <w:r w:rsidRPr="0010502A">
        <w:rPr>
          <w:rFonts w:eastAsia="Times New Roman" w:cstheme="minorHAnsi"/>
          <w:color w:val="000000"/>
          <w:lang w:eastAsia="en-GB"/>
        </w:rPr>
        <w:t>Wirsol Energy Ltd, 2021. </w:t>
      </w:r>
      <w:r w:rsidRPr="0010502A">
        <w:rPr>
          <w:rFonts w:eastAsia="Times New Roman" w:cstheme="minorHAnsi"/>
          <w:i/>
          <w:iCs/>
          <w:color w:val="000000"/>
          <w:lang w:eastAsia="en-GB"/>
        </w:rPr>
        <w:t>Wirsol</w:t>
      </w:r>
      <w:r w:rsidRPr="0010502A">
        <w:rPr>
          <w:rFonts w:eastAsia="Times New Roman" w:cstheme="minorHAnsi"/>
          <w:color w:val="000000"/>
          <w:lang w:eastAsia="en-GB"/>
        </w:rPr>
        <w:t xml:space="preserve">. [online] </w:t>
      </w:r>
      <w:proofErr w:type="spellStart"/>
      <w:r w:rsidRPr="0010502A">
        <w:rPr>
          <w:rFonts w:eastAsia="Times New Roman" w:cstheme="minorHAnsi"/>
          <w:color w:val="000000"/>
          <w:lang w:eastAsia="en-GB"/>
        </w:rPr>
        <w:t>Linkedin</w:t>
      </w:r>
      <w:proofErr w:type="spellEnd"/>
      <w:r w:rsidRPr="0010502A">
        <w:rPr>
          <w:rFonts w:eastAsia="Times New Roman" w:cstheme="minorHAnsi"/>
          <w:color w:val="000000"/>
          <w:lang w:eastAsia="en-GB"/>
        </w:rPr>
        <w:t xml:space="preserve">. Available at: &lt;https://uk.linkedin.com/in/mark-hogan-14ba311b&gt; </w:t>
      </w:r>
    </w:p>
    <w:p w14:paraId="7D040D3C" w14:textId="77777777" w:rsidR="0010502A" w:rsidRPr="0010502A" w:rsidRDefault="0010502A" w:rsidP="0010502A">
      <w:pPr>
        <w:spacing w:after="180" w:line="240" w:lineRule="auto"/>
        <w:ind w:left="450" w:hanging="450"/>
        <w:jc w:val="both"/>
        <w:rPr>
          <w:rFonts w:eastAsia="Times New Roman" w:cstheme="minorHAnsi"/>
          <w:color w:val="000000"/>
          <w:lang w:eastAsia="en-GB"/>
        </w:rPr>
      </w:pPr>
      <w:r w:rsidRPr="0010502A">
        <w:rPr>
          <w:rFonts w:eastAsia="Times New Roman" w:cstheme="minorHAnsi"/>
          <w:color w:val="000000"/>
          <w:lang w:eastAsia="en-GB"/>
        </w:rPr>
        <w:t>Wood, C., 2003. </w:t>
      </w:r>
      <w:r w:rsidRPr="0010502A">
        <w:rPr>
          <w:rFonts w:eastAsia="Times New Roman" w:cstheme="minorHAnsi"/>
          <w:i/>
          <w:iCs/>
          <w:color w:val="000000"/>
          <w:lang w:eastAsia="en-GB"/>
        </w:rPr>
        <w:t>Environmental Impact Assessment: A Comparative Review</w:t>
      </w:r>
      <w:r w:rsidRPr="0010502A">
        <w:rPr>
          <w:rFonts w:eastAsia="Times New Roman" w:cstheme="minorHAnsi"/>
          <w:color w:val="000000"/>
          <w:lang w:eastAsia="en-GB"/>
        </w:rPr>
        <w:t>. 2nd ed. Harlow: Prentice Hall.</w:t>
      </w:r>
    </w:p>
    <w:p w14:paraId="0CD2DDD6" w14:textId="77777777" w:rsidR="0010502A" w:rsidRPr="003A4057" w:rsidRDefault="0010502A" w:rsidP="003A4057">
      <w:pPr>
        <w:spacing w:after="180" w:line="240" w:lineRule="auto"/>
        <w:ind w:left="450" w:hanging="450"/>
        <w:rPr>
          <w:rFonts w:ascii="Times New Roman" w:eastAsia="Times New Roman" w:hAnsi="Times New Roman" w:cs="Times New Roman"/>
          <w:color w:val="000000"/>
          <w:sz w:val="27"/>
          <w:szCs w:val="27"/>
          <w:lang w:eastAsia="en-GB"/>
        </w:rPr>
      </w:pPr>
    </w:p>
    <w:p w14:paraId="3466C6B6" w14:textId="7FFAF529" w:rsidR="003F55D5" w:rsidRPr="00942A25" w:rsidRDefault="003F55D5">
      <w:pPr>
        <w:rPr>
          <w:b/>
          <w:bCs/>
          <w:u w:val="single"/>
        </w:rPr>
      </w:pPr>
    </w:p>
    <w:sectPr w:rsidR="003F55D5" w:rsidRPr="00942A25" w:rsidSect="00C83A6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325815" w14:textId="77777777" w:rsidR="00507879" w:rsidRDefault="00507879" w:rsidP="00C83A62">
      <w:pPr>
        <w:spacing w:after="0" w:line="240" w:lineRule="auto"/>
      </w:pPr>
      <w:r>
        <w:separator/>
      </w:r>
    </w:p>
  </w:endnote>
  <w:endnote w:type="continuationSeparator" w:id="0">
    <w:p w14:paraId="50286C38" w14:textId="77777777" w:rsidR="00507879" w:rsidRDefault="00507879" w:rsidP="00C83A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721048"/>
      <w:docPartObj>
        <w:docPartGallery w:val="Page Numbers (Bottom of Page)"/>
        <w:docPartUnique/>
      </w:docPartObj>
    </w:sdtPr>
    <w:sdtEndPr>
      <w:rPr>
        <w:color w:val="7F7F7F" w:themeColor="background1" w:themeShade="7F"/>
        <w:spacing w:val="60"/>
      </w:rPr>
    </w:sdtEndPr>
    <w:sdtContent>
      <w:p w14:paraId="1482EE8F" w14:textId="617299A9" w:rsidR="00ED26B4" w:rsidRDefault="00ED26B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6A93CD2" w14:textId="77777777" w:rsidR="00ED26B4" w:rsidRDefault="00ED2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EEB383" w14:textId="77777777" w:rsidR="00507879" w:rsidRDefault="00507879" w:rsidP="00C83A62">
      <w:pPr>
        <w:spacing w:after="0" w:line="240" w:lineRule="auto"/>
      </w:pPr>
      <w:r>
        <w:separator/>
      </w:r>
    </w:p>
  </w:footnote>
  <w:footnote w:type="continuationSeparator" w:id="0">
    <w:p w14:paraId="5536F03D" w14:textId="77777777" w:rsidR="00507879" w:rsidRDefault="00507879" w:rsidP="00C83A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3F4219"/>
    <w:multiLevelType w:val="multilevel"/>
    <w:tmpl w:val="EF7AC6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AF806FA"/>
    <w:multiLevelType w:val="hybridMultilevel"/>
    <w:tmpl w:val="8662CFB0"/>
    <w:lvl w:ilvl="0" w:tplc="E9843520">
      <w:numFmt w:val="bullet"/>
      <w:lvlText w:val=""/>
      <w:lvlJc w:val="left"/>
      <w:pPr>
        <w:ind w:left="564" w:hanging="204"/>
      </w:pPr>
      <w:rPr>
        <w:rFonts w:asciiTheme="minorHAnsi" w:eastAsiaTheme="minorHAnsi" w:hAnsiTheme="minorHAns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C1155B"/>
    <w:multiLevelType w:val="hybridMultilevel"/>
    <w:tmpl w:val="042089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8B1889"/>
    <w:multiLevelType w:val="hybridMultilevel"/>
    <w:tmpl w:val="CF3E0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C75CF1"/>
    <w:multiLevelType w:val="hybridMultilevel"/>
    <w:tmpl w:val="142EA288"/>
    <w:lvl w:ilvl="0" w:tplc="975AC37C">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A62"/>
    <w:rsid w:val="00006064"/>
    <w:rsid w:val="00012B35"/>
    <w:rsid w:val="00037C7C"/>
    <w:rsid w:val="00054C29"/>
    <w:rsid w:val="0009639C"/>
    <w:rsid w:val="000B0C9B"/>
    <w:rsid w:val="000B2A95"/>
    <w:rsid w:val="000C562E"/>
    <w:rsid w:val="000E36D6"/>
    <w:rsid w:val="0010502A"/>
    <w:rsid w:val="001278AC"/>
    <w:rsid w:val="00152EC8"/>
    <w:rsid w:val="00164119"/>
    <w:rsid w:val="0019760B"/>
    <w:rsid w:val="001A1529"/>
    <w:rsid w:val="001C1E8A"/>
    <w:rsid w:val="001C2F91"/>
    <w:rsid w:val="001D6F4C"/>
    <w:rsid w:val="001E4E18"/>
    <w:rsid w:val="001E566F"/>
    <w:rsid w:val="001F5952"/>
    <w:rsid w:val="00227697"/>
    <w:rsid w:val="002640CB"/>
    <w:rsid w:val="00293655"/>
    <w:rsid w:val="002C4FF6"/>
    <w:rsid w:val="002E7FD0"/>
    <w:rsid w:val="00302696"/>
    <w:rsid w:val="00314B6D"/>
    <w:rsid w:val="00322621"/>
    <w:rsid w:val="00361043"/>
    <w:rsid w:val="00382545"/>
    <w:rsid w:val="0038547D"/>
    <w:rsid w:val="003A4057"/>
    <w:rsid w:val="003D35E3"/>
    <w:rsid w:val="003F55D5"/>
    <w:rsid w:val="00403B39"/>
    <w:rsid w:val="004577A5"/>
    <w:rsid w:val="004615D9"/>
    <w:rsid w:val="004857D2"/>
    <w:rsid w:val="004E0F25"/>
    <w:rsid w:val="004E4E5C"/>
    <w:rsid w:val="004E7B8A"/>
    <w:rsid w:val="00507879"/>
    <w:rsid w:val="00510E2D"/>
    <w:rsid w:val="00533605"/>
    <w:rsid w:val="005352B4"/>
    <w:rsid w:val="00543530"/>
    <w:rsid w:val="00545310"/>
    <w:rsid w:val="00553D89"/>
    <w:rsid w:val="005906F8"/>
    <w:rsid w:val="005D4EAB"/>
    <w:rsid w:val="005E2109"/>
    <w:rsid w:val="005E58AE"/>
    <w:rsid w:val="005F5B3B"/>
    <w:rsid w:val="00601824"/>
    <w:rsid w:val="00657208"/>
    <w:rsid w:val="0075680D"/>
    <w:rsid w:val="007662F5"/>
    <w:rsid w:val="007741A2"/>
    <w:rsid w:val="007E1FA6"/>
    <w:rsid w:val="00810BFD"/>
    <w:rsid w:val="008207C4"/>
    <w:rsid w:val="008406F8"/>
    <w:rsid w:val="008417A6"/>
    <w:rsid w:val="008B6441"/>
    <w:rsid w:val="008F25B0"/>
    <w:rsid w:val="00917D58"/>
    <w:rsid w:val="00920462"/>
    <w:rsid w:val="00942A25"/>
    <w:rsid w:val="0096785F"/>
    <w:rsid w:val="00973F27"/>
    <w:rsid w:val="009C24F8"/>
    <w:rsid w:val="00A008CE"/>
    <w:rsid w:val="00A02501"/>
    <w:rsid w:val="00A4358E"/>
    <w:rsid w:val="00A43825"/>
    <w:rsid w:val="00A44173"/>
    <w:rsid w:val="00A75790"/>
    <w:rsid w:val="00A87B7F"/>
    <w:rsid w:val="00AA60B7"/>
    <w:rsid w:val="00AB31D1"/>
    <w:rsid w:val="00AB40B3"/>
    <w:rsid w:val="00B163F0"/>
    <w:rsid w:val="00B350DA"/>
    <w:rsid w:val="00B350DD"/>
    <w:rsid w:val="00B52D54"/>
    <w:rsid w:val="00B75916"/>
    <w:rsid w:val="00B9543B"/>
    <w:rsid w:val="00BC2CA4"/>
    <w:rsid w:val="00BC3C83"/>
    <w:rsid w:val="00C1725F"/>
    <w:rsid w:val="00C43765"/>
    <w:rsid w:val="00C4767F"/>
    <w:rsid w:val="00C51AC8"/>
    <w:rsid w:val="00C5509E"/>
    <w:rsid w:val="00C6143C"/>
    <w:rsid w:val="00C6585C"/>
    <w:rsid w:val="00C65A7D"/>
    <w:rsid w:val="00C71C3C"/>
    <w:rsid w:val="00C71EBC"/>
    <w:rsid w:val="00C83A62"/>
    <w:rsid w:val="00CA7119"/>
    <w:rsid w:val="00CB6C22"/>
    <w:rsid w:val="00CC3290"/>
    <w:rsid w:val="00CE6426"/>
    <w:rsid w:val="00D04436"/>
    <w:rsid w:val="00D059FB"/>
    <w:rsid w:val="00D07917"/>
    <w:rsid w:val="00D130AF"/>
    <w:rsid w:val="00D31BAD"/>
    <w:rsid w:val="00DA68C3"/>
    <w:rsid w:val="00DB7776"/>
    <w:rsid w:val="00DB7919"/>
    <w:rsid w:val="00DC089C"/>
    <w:rsid w:val="00DC55BE"/>
    <w:rsid w:val="00E10667"/>
    <w:rsid w:val="00E322CD"/>
    <w:rsid w:val="00E420E7"/>
    <w:rsid w:val="00E76BB9"/>
    <w:rsid w:val="00EC639A"/>
    <w:rsid w:val="00ED26B4"/>
    <w:rsid w:val="00EF321B"/>
    <w:rsid w:val="00F05150"/>
    <w:rsid w:val="00F37DB0"/>
    <w:rsid w:val="00FA2E8B"/>
    <w:rsid w:val="00FC3815"/>
    <w:rsid w:val="00FE6198"/>
    <w:rsid w:val="00FE6607"/>
    <w:rsid w:val="00FF0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648E2"/>
  <w15:chartTrackingRefBased/>
  <w15:docId w15:val="{3EF44B4E-9530-4F3D-8AAD-148812ABA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6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3A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3A62"/>
    <w:rPr>
      <w:rFonts w:eastAsiaTheme="minorEastAsia"/>
      <w:lang w:val="en-US"/>
    </w:rPr>
  </w:style>
  <w:style w:type="paragraph" w:styleId="Header">
    <w:name w:val="header"/>
    <w:basedOn w:val="Normal"/>
    <w:link w:val="HeaderChar"/>
    <w:uiPriority w:val="99"/>
    <w:unhideWhenUsed/>
    <w:rsid w:val="00C83A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A62"/>
  </w:style>
  <w:style w:type="paragraph" w:styleId="Footer">
    <w:name w:val="footer"/>
    <w:basedOn w:val="Normal"/>
    <w:link w:val="FooterChar"/>
    <w:uiPriority w:val="99"/>
    <w:unhideWhenUsed/>
    <w:rsid w:val="00C83A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A62"/>
  </w:style>
  <w:style w:type="paragraph" w:styleId="ListParagraph">
    <w:name w:val="List Paragraph"/>
    <w:basedOn w:val="Normal"/>
    <w:uiPriority w:val="34"/>
    <w:qFormat/>
    <w:rsid w:val="003F55D5"/>
    <w:pPr>
      <w:ind w:left="720"/>
      <w:contextualSpacing/>
    </w:pPr>
  </w:style>
  <w:style w:type="character" w:styleId="Hyperlink">
    <w:name w:val="Hyperlink"/>
    <w:basedOn w:val="DefaultParagraphFont"/>
    <w:uiPriority w:val="99"/>
    <w:unhideWhenUsed/>
    <w:rsid w:val="004857D2"/>
    <w:rPr>
      <w:color w:val="0563C1" w:themeColor="hyperlink"/>
      <w:u w:val="single"/>
    </w:rPr>
  </w:style>
  <w:style w:type="character" w:styleId="UnresolvedMention">
    <w:name w:val="Unresolved Mention"/>
    <w:basedOn w:val="DefaultParagraphFont"/>
    <w:uiPriority w:val="99"/>
    <w:semiHidden/>
    <w:unhideWhenUsed/>
    <w:rsid w:val="004857D2"/>
    <w:rPr>
      <w:color w:val="605E5C"/>
      <w:shd w:val="clear" w:color="auto" w:fill="E1DFDD"/>
    </w:rPr>
  </w:style>
  <w:style w:type="character" w:customStyle="1" w:styleId="Heading1Char">
    <w:name w:val="Heading 1 Char"/>
    <w:basedOn w:val="DefaultParagraphFont"/>
    <w:link w:val="Heading1"/>
    <w:uiPriority w:val="9"/>
    <w:rsid w:val="001E56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C3815"/>
    <w:pPr>
      <w:outlineLvl w:val="9"/>
    </w:pPr>
    <w:rPr>
      <w:lang w:val="en-US"/>
    </w:rPr>
  </w:style>
  <w:style w:type="paragraph" w:styleId="TOC1">
    <w:name w:val="toc 1"/>
    <w:basedOn w:val="Normal"/>
    <w:next w:val="Normal"/>
    <w:autoRedefine/>
    <w:uiPriority w:val="39"/>
    <w:unhideWhenUsed/>
    <w:rsid w:val="00FC381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504078">
      <w:bodyDiv w:val="1"/>
      <w:marLeft w:val="0"/>
      <w:marRight w:val="0"/>
      <w:marTop w:val="0"/>
      <w:marBottom w:val="0"/>
      <w:divBdr>
        <w:top w:val="none" w:sz="0" w:space="0" w:color="auto"/>
        <w:left w:val="none" w:sz="0" w:space="0" w:color="auto"/>
        <w:bottom w:val="none" w:sz="0" w:space="0" w:color="auto"/>
        <w:right w:val="none" w:sz="0" w:space="0" w:color="auto"/>
      </w:divBdr>
    </w:div>
    <w:div w:id="1762874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Build and Natural Environment sector has had to change their view on the environment as the public and governments over the world start a journey to improve environmental conditions, this is where Environmental Impact Assessments (EIA) and new legislation have been put into place. The case study being review in this report is Cleve Hill Solar Park, Faversham. The report examines how the case study carried out their EIA, focusing on Ecology, mitigation and monitoring. The report found that extensive surveys where carried to establish what type of habitats and wildlife could be found in the possible site, however, little details was given on what plans were in place to mitigate the impact to the habitat and wildlife, and no monitoring methods were given.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9AEB2F-FEFF-401B-BE84-B8F74F14DA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5796</Words>
  <Characters>33039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Environmental Impact Assessment and the Cleve Hill Solar Park</vt:lpstr>
    </vt:vector>
  </TitlesOfParts>
  <Company/>
  <LinksUpToDate>false</LinksUpToDate>
  <CharactersWithSpaces>38758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Impact Assessment and the Cleve Hill Solar Park</dc:title>
  <dc:subject/>
  <dc:creator>Marie Amy West (1702919)</dc:creator>
  <cp:keywords/>
  <dc:description/>
  <cp:lastModifiedBy>Marie Amy West (1702919)</cp:lastModifiedBy>
  <cp:revision>40</cp:revision>
  <dcterms:created xsi:type="dcterms:W3CDTF">2021-03-28T11:22:00Z</dcterms:created>
  <dcterms:modified xsi:type="dcterms:W3CDTF">2021-04-11T16:11:00Z</dcterms:modified>
  <cp:category>11/04/2021</cp:category>
</cp:coreProperties>
</file>