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6886888"/>
        <w:docPartObj>
          <w:docPartGallery w:val="Cover Pages"/>
          <w:docPartUnique/>
        </w:docPartObj>
      </w:sdtPr>
      <w:sdtEndPr>
        <w:rPr>
          <w:rFonts w:ascii="Times New Roman" w:hAnsi="Times New Roman" w:cs="Times New Roman"/>
          <w:b/>
          <w:color w:val="000000" w:themeColor="text1"/>
          <w:sz w:val="32"/>
          <w:szCs w:val="24"/>
        </w:rPr>
      </w:sdtEndPr>
      <w:sdtContent>
        <w:p w14:paraId="104E7DDF" w14:textId="55494692" w:rsidR="00023FD9" w:rsidRDefault="00023FD9">
          <w:r>
            <w:rPr>
              <w:noProof/>
            </w:rPr>
            <mc:AlternateContent>
              <mc:Choice Requires="wpg">
                <w:drawing>
                  <wp:anchor distT="0" distB="0" distL="114300" distR="114300" simplePos="0" relativeHeight="251660288" behindDoc="0" locked="0" layoutInCell="1" allowOverlap="1" wp14:anchorId="33A59B1C" wp14:editId="2CC986DB">
                    <wp:simplePos x="0" y="0"/>
                    <wp:positionH relativeFrom="page">
                      <wp:align>left</wp:align>
                    </wp:positionH>
                    <wp:positionV relativeFrom="page">
                      <wp:align>top</wp:align>
                    </wp:positionV>
                    <wp:extent cx="7541260" cy="3401568"/>
                    <wp:effectExtent l="0" t="0" r="2540"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7541260"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5CBEA463" w14:textId="523063A2" w:rsidR="00023FD9" w:rsidRDefault="00023FD9">
                                  <w:pPr>
                                    <w:pStyle w:val="NoSpacing"/>
                                    <w:spacing w:after="240" w:line="216" w:lineRule="auto"/>
                                    <w:rPr>
                                      <w:rFonts w:asciiTheme="majorHAnsi" w:hAnsiTheme="majorHAnsi"/>
                                      <w:color w:val="1F497D" w:themeColor="text2"/>
                                      <w:spacing w:val="10"/>
                                      <w:sz w:val="36"/>
                                      <w:szCs w:val="36"/>
                                    </w:rPr>
                                  </w:pPr>
                                </w:p>
                                <w:sdt>
                                  <w:sdtPr>
                                    <w:rPr>
                                      <w:rFonts w:asciiTheme="majorHAnsi" w:hAnsiTheme="majorHAnsi"/>
                                      <w:caps/>
                                      <w:color w:val="1F497D"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8B54501" w14:textId="5826EF17" w:rsidR="00023FD9" w:rsidRDefault="00023FD9">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written 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A59B1C" id="Group 39" o:spid="_x0000_s1026" alt="Title: Title and subtitle with crop mark graphic" style="position:absolute;margin-left:0;margin-top:0;width:593.8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f497d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" filled="f" stroked="f" strokeweight="2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5CBEA463" w14:textId="523063A2" w:rsidR="00023FD9" w:rsidRDefault="00023FD9">
                            <w:pPr>
                              <w:pStyle w:val="NoSpacing"/>
                              <w:spacing w:after="240" w:line="216" w:lineRule="auto"/>
                              <w:rPr>
                                <w:rFonts w:asciiTheme="majorHAnsi" w:hAnsiTheme="majorHAnsi"/>
                                <w:color w:val="1F497D" w:themeColor="text2"/>
                                <w:spacing w:val="10"/>
                                <w:sz w:val="36"/>
                                <w:szCs w:val="36"/>
                              </w:rPr>
                            </w:pPr>
                          </w:p>
                          <w:sdt>
                            <w:sdtPr>
                              <w:rPr>
                                <w:rFonts w:asciiTheme="majorHAnsi" w:hAnsiTheme="majorHAnsi"/>
                                <w:caps/>
                                <w:color w:val="1F497D"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8B54501" w14:textId="5826EF17" w:rsidR="00023FD9" w:rsidRDefault="00023FD9">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written report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D56F571" wp14:editId="3C12D8BA">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C87AD8C"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eece1 [3214]" stroked="f">
                    <w10:wrap anchorx="page" anchory="page"/>
                  </v:rect>
                </w:pict>
              </mc:Fallback>
            </mc:AlternateContent>
          </w:r>
        </w:p>
        <w:p w14:paraId="71C7A9CF" w14:textId="7725249B" w:rsidR="00023FD9" w:rsidRDefault="00023FD9">
          <w:pPr>
            <w:rPr>
              <w:rFonts w:ascii="Times New Roman" w:hAnsi="Times New Roman" w:cs="Times New Roman"/>
              <w:b/>
              <w:color w:val="000000" w:themeColor="text1"/>
              <w:sz w:val="32"/>
              <w:szCs w:val="24"/>
            </w:rPr>
          </w:pPr>
          <w:r>
            <w:rPr>
              <w:noProof/>
            </w:rPr>
            <mc:AlternateContent>
              <mc:Choice Requires="wpg">
                <w:drawing>
                  <wp:anchor distT="0" distB="0" distL="114300" distR="114300" simplePos="0" relativeHeight="251661312" behindDoc="0" locked="0" layoutInCell="1" allowOverlap="1" wp14:anchorId="2E3F81F2" wp14:editId="08C86268">
                    <wp:simplePos x="0" y="0"/>
                    <wp:positionH relativeFrom="page">
                      <wp:posOffset>772886</wp:posOffset>
                    </wp:positionH>
                    <wp:positionV relativeFrom="page">
                      <wp:posOffset>6683829</wp:posOffset>
                    </wp:positionV>
                    <wp:extent cx="7004258" cy="3373755"/>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7004258" cy="3373755"/>
                              <a:chOff x="-128589" y="0"/>
                              <a:chExt cx="4800411"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28589" y="0"/>
                                <a:ext cx="3904218" cy="2413885"/>
                              </a:xfrm>
                              <a:prstGeom prst="rect">
                                <a:avLst/>
                              </a:prstGeom>
                              <a:noFill/>
                              <a:ln w="6350">
                                <a:noFill/>
                              </a:ln>
                            </wps:spPr>
                            <wps:txbx>
                              <w:txbxContent>
                                <w:p w14:paraId="151F5EE6" w14:textId="50E7B73C" w:rsidR="00023FD9" w:rsidRDefault="00000000" w:rsidP="00023FD9">
                                  <w:pPr>
                                    <w:pStyle w:val="NoSpacing"/>
                                    <w:jc w:val="center"/>
                                    <w:rPr>
                                      <w:color w:val="1F497D" w:themeColor="text2"/>
                                      <w:spacing w:val="10"/>
                                      <w:sz w:val="28"/>
                                      <w:szCs w:val="28"/>
                                    </w:rPr>
                                  </w:pPr>
                                  <w:sdt>
                                    <w:sdtPr>
                                      <w:rPr>
                                        <w:color w:val="1F497D"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023FD9">
                                        <w:rPr>
                                          <w:color w:val="1F497D" w:themeColor="text2"/>
                                          <w:spacing w:val="10"/>
                                          <w:sz w:val="28"/>
                                          <w:szCs w:val="28"/>
                                        </w:rPr>
                                        <w:t>STUDENT NAME AND NUMBER:</w:t>
                                      </w:r>
                                      <w:r w:rsidR="004E3BEB">
                                        <w:rPr>
                                          <w:color w:val="1F497D" w:themeColor="text2"/>
                                          <w:spacing w:val="10"/>
                                          <w:sz w:val="28"/>
                                          <w:szCs w:val="28"/>
                                        </w:rPr>
                                        <w:t xml:space="preserve"> MARCELA MANOLE  2111927 </w:t>
                                      </w:r>
                                      <w:r w:rsidR="00023FD9">
                                        <w:rPr>
                                          <w:color w:val="1F497D" w:themeColor="text2"/>
                                          <w:spacing w:val="10"/>
                                          <w:sz w:val="28"/>
                                          <w:szCs w:val="28"/>
                                        </w:rPr>
                                        <w:t xml:space="preserve">MODULE NAME AND CODE: MANAGEMENT AND ORGANISATIONAL </w:t>
                                      </w:r>
                                      <w:proofErr w:type="gramStart"/>
                                      <w:r w:rsidR="00023FD9">
                                        <w:rPr>
                                          <w:color w:val="1F497D" w:themeColor="text2"/>
                                          <w:spacing w:val="10"/>
                                          <w:sz w:val="28"/>
                                          <w:szCs w:val="28"/>
                                        </w:rPr>
                                        <w:t>BEHAVIOUR  BMIH</w:t>
                                      </w:r>
                                      <w:proofErr w:type="gramEnd"/>
                                      <w:r w:rsidR="00023FD9">
                                        <w:rPr>
                                          <w:color w:val="1F497D" w:themeColor="text2"/>
                                          <w:spacing w:val="10"/>
                                          <w:sz w:val="28"/>
                                          <w:szCs w:val="28"/>
                                        </w:rPr>
                                        <w:t>5004</w:t>
                                      </w:r>
                                    </w:sdtContent>
                                  </w:sdt>
                                  <w:r w:rsidR="00023FD9">
                                    <w:rPr>
                                      <w:color w:val="1F497D" w:themeColor="text2"/>
                                      <w:spacing w:val="10"/>
                                      <w:sz w:val="28"/>
                                      <w:szCs w:val="28"/>
                                    </w:rPr>
                                    <w:t xml:space="preserve"> </w:t>
                                  </w:r>
                                </w:p>
                                <w:p w14:paraId="3CD4FB3C" w14:textId="1B6666B4" w:rsidR="00023FD9" w:rsidRDefault="00023FD9" w:rsidP="00023FD9">
                                  <w:pPr>
                                    <w:pStyle w:val="NoSpacing"/>
                                    <w:jc w:val="center"/>
                                    <w:rPr>
                                      <w:color w:val="1F497D" w:themeColor="text2"/>
                                      <w:spacing w:val="10"/>
                                      <w:sz w:val="28"/>
                                      <w:szCs w:val="28"/>
                                    </w:rPr>
                                  </w:pPr>
                                  <w:r>
                                    <w:rPr>
                                      <w:color w:val="1F497D" w:themeColor="text2"/>
                                      <w:spacing w:val="10"/>
                                      <w:sz w:val="28"/>
                                      <w:szCs w:val="28"/>
                                    </w:rPr>
                                    <w:t>LECTURER NAME: LOLA VILLARD-COLES</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3F81F2" id="Group 38" o:spid="_x0000_s1031" alt="Title: Author and company name with crop mark graphic" style="position:absolute;margin-left:60.85pt;margin-top:526.3pt;width:551.5pt;height:265.65pt;z-index:251661312;mso-position-horizontal-relative:page;mso-position-vertical-relative:page;mso-width-relative:margin;mso-height-relative:margin" coordorigin="-1285" coordsize="48004,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f497d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" filled="f" stroked="f" strokeweight="2pt"/>
                    </v:group>
                    <v:shape id="Text Box 458" o:spid="_x0000_s1035" type="#_x0000_t202" style="position:absolute;left:-1285;width:39041;height:2413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151F5EE6" w14:textId="50E7B73C" w:rsidR="00023FD9" w:rsidRDefault="00023FD9" w:rsidP="00023FD9">
                            <w:pPr>
                              <w:pStyle w:val="NoSpacing"/>
                              <w:jc w:val="center"/>
                              <w:rPr>
                                <w:color w:val="1F497D" w:themeColor="text2"/>
                                <w:spacing w:val="10"/>
                                <w:sz w:val="28"/>
                                <w:szCs w:val="28"/>
                              </w:rPr>
                            </w:pPr>
                            <w:sdt>
                              <w:sdtPr>
                                <w:rPr>
                                  <w:color w:val="1F497D"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1F497D" w:themeColor="text2"/>
                                    <w:spacing w:val="10"/>
                                    <w:sz w:val="28"/>
                                    <w:szCs w:val="28"/>
                                  </w:rPr>
                                  <w:t>STUDENT NAME AND NUMBER:</w:t>
                                </w:r>
                                <w:r w:rsidR="004E3BEB">
                                  <w:rPr>
                                    <w:color w:val="1F497D" w:themeColor="text2"/>
                                    <w:spacing w:val="10"/>
                                    <w:sz w:val="28"/>
                                    <w:szCs w:val="28"/>
                                  </w:rPr>
                                  <w:t xml:space="preserve"> MARCELA MANOLE  2111927 </w:t>
                                </w:r>
                                <w:r>
                                  <w:rPr>
                                    <w:color w:val="1F497D" w:themeColor="text2"/>
                                    <w:spacing w:val="10"/>
                                    <w:sz w:val="28"/>
                                    <w:szCs w:val="28"/>
                                  </w:rPr>
                                  <w:t xml:space="preserve">MODULE NAME AND CODE: MANAGEMENT AND ORGANISATIONAL </w:t>
                                </w:r>
                                <w:proofErr w:type="gramStart"/>
                                <w:r>
                                  <w:rPr>
                                    <w:color w:val="1F497D" w:themeColor="text2"/>
                                    <w:spacing w:val="10"/>
                                    <w:sz w:val="28"/>
                                    <w:szCs w:val="28"/>
                                  </w:rPr>
                                  <w:t>BEHAVIOUR  BMIH</w:t>
                                </w:r>
                                <w:proofErr w:type="gramEnd"/>
                                <w:r>
                                  <w:rPr>
                                    <w:color w:val="1F497D" w:themeColor="text2"/>
                                    <w:spacing w:val="10"/>
                                    <w:sz w:val="28"/>
                                    <w:szCs w:val="28"/>
                                  </w:rPr>
                                  <w:t>5004</w:t>
                                </w:r>
                              </w:sdtContent>
                            </w:sdt>
                            <w:r>
                              <w:rPr>
                                <w:color w:val="1F497D" w:themeColor="text2"/>
                                <w:spacing w:val="10"/>
                                <w:sz w:val="28"/>
                                <w:szCs w:val="28"/>
                              </w:rPr>
                              <w:t xml:space="preserve"> </w:t>
                            </w:r>
                          </w:p>
                          <w:p w14:paraId="3CD4FB3C" w14:textId="1B6666B4" w:rsidR="00023FD9" w:rsidRDefault="00023FD9" w:rsidP="00023FD9">
                            <w:pPr>
                              <w:pStyle w:val="NoSpacing"/>
                              <w:jc w:val="center"/>
                              <w:rPr>
                                <w:color w:val="1F497D" w:themeColor="text2"/>
                                <w:spacing w:val="10"/>
                                <w:sz w:val="28"/>
                                <w:szCs w:val="28"/>
                              </w:rPr>
                            </w:pPr>
                            <w:r>
                              <w:rPr>
                                <w:color w:val="1F497D" w:themeColor="text2"/>
                                <w:spacing w:val="10"/>
                                <w:sz w:val="28"/>
                                <w:szCs w:val="28"/>
                              </w:rPr>
                              <w:t>LECTURER NAME: LOLA VILLARD-COLES</w:t>
                            </w:r>
                          </w:p>
                        </w:txbxContent>
                      </v:textbox>
                    </v:shape>
                    <w10:wrap anchorx="page" anchory="page"/>
                  </v:group>
                </w:pict>
              </mc:Fallback>
            </mc:AlternateContent>
          </w:r>
          <w:r>
            <w:rPr>
              <w:rFonts w:ascii="Times New Roman" w:hAnsi="Times New Roman" w:cs="Times New Roman"/>
              <w:b/>
              <w:color w:val="000000" w:themeColor="text1"/>
              <w:sz w:val="32"/>
              <w:szCs w:val="24"/>
            </w:rPr>
            <w:br w:type="page"/>
          </w:r>
        </w:p>
      </w:sdtContent>
    </w:sdt>
    <w:p w14:paraId="5CB7EF87" w14:textId="77777777" w:rsidR="00C01F23" w:rsidRPr="008A03BD" w:rsidRDefault="00C01F23" w:rsidP="002C2C5E">
      <w:pPr>
        <w:spacing w:line="480" w:lineRule="auto"/>
        <w:jc w:val="center"/>
        <w:rPr>
          <w:rFonts w:ascii="Times New Roman" w:hAnsi="Times New Roman" w:cs="Times New Roman"/>
          <w:b/>
          <w:color w:val="000000" w:themeColor="text1"/>
          <w:sz w:val="32"/>
          <w:szCs w:val="24"/>
        </w:rPr>
      </w:pPr>
    </w:p>
    <w:p w14:paraId="13CA62FD" w14:textId="77777777" w:rsidR="00C01F23" w:rsidRPr="008A03BD" w:rsidRDefault="00C01F23" w:rsidP="002C2C5E">
      <w:pPr>
        <w:spacing w:line="480" w:lineRule="auto"/>
        <w:jc w:val="center"/>
        <w:rPr>
          <w:rFonts w:ascii="Times New Roman" w:hAnsi="Times New Roman" w:cs="Times New Roman"/>
          <w:b/>
          <w:color w:val="000000" w:themeColor="text1"/>
          <w:sz w:val="32"/>
          <w:szCs w:val="24"/>
        </w:rPr>
      </w:pPr>
    </w:p>
    <w:p w14:paraId="56442FE4" w14:textId="77777777" w:rsidR="00C01F23" w:rsidRPr="008A03BD" w:rsidRDefault="00C01F23" w:rsidP="002C2C5E">
      <w:pPr>
        <w:spacing w:line="480" w:lineRule="auto"/>
        <w:jc w:val="center"/>
        <w:rPr>
          <w:rFonts w:ascii="Times New Roman" w:hAnsi="Times New Roman" w:cs="Times New Roman"/>
          <w:b/>
          <w:color w:val="000000" w:themeColor="text1"/>
          <w:sz w:val="32"/>
          <w:szCs w:val="24"/>
        </w:rPr>
      </w:pPr>
    </w:p>
    <w:p w14:paraId="7210F4D3" w14:textId="77777777" w:rsidR="002D7907" w:rsidRPr="008A03BD" w:rsidRDefault="002D7907" w:rsidP="002C2C5E">
      <w:pPr>
        <w:spacing w:line="480" w:lineRule="auto"/>
        <w:jc w:val="center"/>
        <w:rPr>
          <w:rFonts w:ascii="Times New Roman" w:hAnsi="Times New Roman" w:cs="Times New Roman"/>
          <w:b/>
          <w:color w:val="000000" w:themeColor="text1"/>
          <w:sz w:val="32"/>
          <w:szCs w:val="24"/>
        </w:rPr>
      </w:pPr>
    </w:p>
    <w:p w14:paraId="5387CD03" w14:textId="10D8815D" w:rsidR="008C6B7A" w:rsidRPr="008A03BD" w:rsidRDefault="008C6B7A" w:rsidP="002C2C5E">
      <w:pPr>
        <w:spacing w:line="480" w:lineRule="auto"/>
        <w:rPr>
          <w:rFonts w:ascii="Times New Roman" w:hAnsi="Times New Roman" w:cs="Times New Roman"/>
          <w:b/>
          <w:color w:val="000000" w:themeColor="text1"/>
          <w:sz w:val="32"/>
          <w:szCs w:val="24"/>
        </w:rPr>
      </w:pPr>
    </w:p>
    <w:sdt>
      <w:sdtPr>
        <w:rPr>
          <w:rFonts w:ascii="Times New Roman" w:eastAsia="Arial" w:hAnsi="Times New Roman" w:cs="Times New Roman"/>
          <w:color w:val="000000" w:themeColor="text1"/>
          <w:sz w:val="24"/>
          <w:szCs w:val="24"/>
          <w:lang w:val="en-IN" w:eastAsia="en-IN"/>
        </w:rPr>
        <w:id w:val="961547124"/>
        <w:docPartObj>
          <w:docPartGallery w:val="Table of Contents"/>
          <w:docPartUnique/>
        </w:docPartObj>
      </w:sdtPr>
      <w:sdtEndPr>
        <w:rPr>
          <w:b/>
          <w:bCs/>
          <w:noProof/>
        </w:rPr>
      </w:sdtEndPr>
      <w:sdtContent>
        <w:p w14:paraId="1BD0D178" w14:textId="77777777" w:rsidR="008C6B7A" w:rsidRPr="008A03BD" w:rsidRDefault="00000000" w:rsidP="002C2C5E">
          <w:pPr>
            <w:pStyle w:val="TOCHeading"/>
            <w:spacing w:line="480" w:lineRule="auto"/>
            <w:jc w:val="center"/>
            <w:rPr>
              <w:rFonts w:ascii="Times New Roman" w:hAnsi="Times New Roman" w:cs="Times New Roman"/>
              <w:b/>
              <w:color w:val="000000" w:themeColor="text1"/>
              <w:sz w:val="24"/>
              <w:szCs w:val="24"/>
            </w:rPr>
          </w:pPr>
          <w:r w:rsidRPr="008A03BD">
            <w:rPr>
              <w:rFonts w:ascii="Times New Roman" w:hAnsi="Times New Roman" w:cs="Times New Roman"/>
              <w:b/>
              <w:color w:val="000000" w:themeColor="text1"/>
              <w:sz w:val="24"/>
              <w:szCs w:val="24"/>
            </w:rPr>
            <w:t>Table of Contents</w:t>
          </w:r>
        </w:p>
        <w:p w14:paraId="4B6E28CD" w14:textId="4F3495A2"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r w:rsidRPr="00B64A83">
            <w:rPr>
              <w:rFonts w:ascii="Times New Roman" w:hAnsi="Times New Roman" w:cs="Times New Roman"/>
              <w:b/>
              <w:bCs/>
              <w:noProof/>
              <w:color w:val="000000" w:themeColor="text1"/>
              <w:sz w:val="24"/>
              <w:szCs w:val="24"/>
            </w:rPr>
            <w:fldChar w:fldCharType="begin"/>
          </w:r>
          <w:r w:rsidRPr="00B64A83">
            <w:rPr>
              <w:rFonts w:ascii="Times New Roman" w:hAnsi="Times New Roman" w:cs="Times New Roman"/>
              <w:b/>
              <w:bCs/>
              <w:noProof/>
              <w:color w:val="000000" w:themeColor="text1"/>
              <w:sz w:val="24"/>
              <w:szCs w:val="24"/>
            </w:rPr>
            <w:instrText xml:space="preserve"> TOC \o "1-3" \h \z \u </w:instrText>
          </w:r>
          <w:r w:rsidRPr="00B64A83">
            <w:rPr>
              <w:rFonts w:ascii="Times New Roman" w:hAnsi="Times New Roman" w:cs="Times New Roman"/>
              <w:b/>
              <w:bCs/>
              <w:noProof/>
              <w:color w:val="000000" w:themeColor="text1"/>
              <w:sz w:val="24"/>
              <w:szCs w:val="24"/>
            </w:rPr>
            <w:fldChar w:fldCharType="separate"/>
          </w:r>
          <w:hyperlink w:anchor="_Toc149577184" w:history="1">
            <w:r w:rsidR="00B64A83" w:rsidRPr="00B64A83">
              <w:rPr>
                <w:rStyle w:val="Hyperlink"/>
                <w:rFonts w:ascii="Times New Roman" w:hAnsi="Times New Roman" w:cs="Times New Roman"/>
                <w:noProof/>
                <w:sz w:val="24"/>
                <w:szCs w:val="24"/>
              </w:rPr>
              <w:t>Introduction</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_Toc149577184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2</w:t>
            </w:r>
            <w:r w:rsidR="00B64A83" w:rsidRPr="00B64A83">
              <w:rPr>
                <w:rFonts w:ascii="Times New Roman" w:hAnsi="Times New Roman" w:cs="Times New Roman"/>
                <w:noProof/>
                <w:webHidden/>
                <w:sz w:val="24"/>
                <w:szCs w:val="24"/>
              </w:rPr>
              <w:fldChar w:fldCharType="end"/>
            </w:r>
          </w:hyperlink>
        </w:p>
        <w:p w14:paraId="5C202D44" w14:textId="09DC9B79"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hyperlink w:anchor="_Toc149577185" w:history="1">
            <w:r w:rsidR="00B64A83" w:rsidRPr="00B64A83">
              <w:rPr>
                <w:rStyle w:val="Hyperlink"/>
                <w:rFonts w:ascii="Times New Roman" w:hAnsi="Times New Roman" w:cs="Times New Roman"/>
                <w:noProof/>
                <w:sz w:val="24"/>
                <w:szCs w:val="24"/>
              </w:rPr>
              <w:t>Organisation structure, culture and goals</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_Toc149577185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2</w:t>
            </w:r>
            <w:r w:rsidR="00B64A83" w:rsidRPr="00B64A83">
              <w:rPr>
                <w:rFonts w:ascii="Times New Roman" w:hAnsi="Times New Roman" w:cs="Times New Roman"/>
                <w:noProof/>
                <w:webHidden/>
                <w:sz w:val="24"/>
                <w:szCs w:val="24"/>
              </w:rPr>
              <w:fldChar w:fldCharType="end"/>
            </w:r>
          </w:hyperlink>
        </w:p>
        <w:p w14:paraId="59758003" w14:textId="7E038614"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hyperlink w:anchor="_Toc149577186" w:history="1">
            <w:r w:rsidR="00B64A83" w:rsidRPr="00B64A83">
              <w:rPr>
                <w:rStyle w:val="Hyperlink"/>
                <w:rFonts w:ascii="Times New Roman" w:hAnsi="Times New Roman" w:cs="Times New Roman"/>
                <w:noProof/>
                <w:sz w:val="24"/>
                <w:szCs w:val="24"/>
              </w:rPr>
              <w:t>Recent change initiatives</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_Toc149577186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3</w:t>
            </w:r>
            <w:r w:rsidR="00B64A83" w:rsidRPr="00B64A83">
              <w:rPr>
                <w:rFonts w:ascii="Times New Roman" w:hAnsi="Times New Roman" w:cs="Times New Roman"/>
                <w:noProof/>
                <w:webHidden/>
                <w:sz w:val="24"/>
                <w:szCs w:val="24"/>
              </w:rPr>
              <w:fldChar w:fldCharType="end"/>
            </w:r>
          </w:hyperlink>
        </w:p>
        <w:p w14:paraId="0BBCEC07" w14:textId="22D9F2F0"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hyperlink w:anchor="_Toc149577187" w:history="1">
            <w:r w:rsidR="00B64A83" w:rsidRPr="00B64A83">
              <w:rPr>
                <w:rStyle w:val="Hyperlink"/>
                <w:rFonts w:ascii="Times New Roman" w:hAnsi="Times New Roman" w:cs="Times New Roman"/>
                <w:noProof/>
                <w:sz w:val="24"/>
                <w:szCs w:val="24"/>
              </w:rPr>
              <w:t>Impact of changes</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_Toc149577187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5</w:t>
            </w:r>
            <w:r w:rsidR="00B64A83" w:rsidRPr="00B64A83">
              <w:rPr>
                <w:rFonts w:ascii="Times New Roman" w:hAnsi="Times New Roman" w:cs="Times New Roman"/>
                <w:noProof/>
                <w:webHidden/>
                <w:sz w:val="24"/>
                <w:szCs w:val="24"/>
              </w:rPr>
              <w:fldChar w:fldCharType="end"/>
            </w:r>
          </w:hyperlink>
        </w:p>
        <w:p w14:paraId="69B78276" w14:textId="19218CEA"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hyperlink w:anchor="_Toc149577188" w:history="1">
            <w:r w:rsidR="00B64A83" w:rsidRPr="00B64A83">
              <w:rPr>
                <w:rStyle w:val="Hyperlink"/>
                <w:rFonts w:ascii="Times New Roman" w:hAnsi="Times New Roman" w:cs="Times New Roman"/>
                <w:noProof/>
                <w:sz w:val="24"/>
                <w:szCs w:val="24"/>
              </w:rPr>
              <w:t>Way of management</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_Toc149577188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6</w:t>
            </w:r>
            <w:r w:rsidR="00B64A83" w:rsidRPr="00B64A83">
              <w:rPr>
                <w:rFonts w:ascii="Times New Roman" w:hAnsi="Times New Roman" w:cs="Times New Roman"/>
                <w:noProof/>
                <w:webHidden/>
                <w:sz w:val="24"/>
                <w:szCs w:val="24"/>
              </w:rPr>
              <w:fldChar w:fldCharType="end"/>
            </w:r>
          </w:hyperlink>
        </w:p>
        <w:p w14:paraId="4014D25E" w14:textId="755D055B"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hyperlink w:anchor="_Toc149577189" w:history="1">
            <w:r w:rsidR="00B64A83" w:rsidRPr="00B64A83">
              <w:rPr>
                <w:rStyle w:val="Hyperlink"/>
                <w:rFonts w:ascii="Times New Roman" w:hAnsi="Times New Roman" w:cs="Times New Roman"/>
                <w:noProof/>
                <w:sz w:val="24"/>
                <w:szCs w:val="24"/>
              </w:rPr>
              <w:t>Organisation's Strategic Direction</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_Toc149577189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10</w:t>
            </w:r>
            <w:r w:rsidR="00B64A83" w:rsidRPr="00B64A83">
              <w:rPr>
                <w:rFonts w:ascii="Times New Roman" w:hAnsi="Times New Roman" w:cs="Times New Roman"/>
                <w:noProof/>
                <w:webHidden/>
                <w:sz w:val="24"/>
                <w:szCs w:val="24"/>
              </w:rPr>
              <w:fldChar w:fldCharType="end"/>
            </w:r>
          </w:hyperlink>
        </w:p>
        <w:p w14:paraId="79D73065" w14:textId="04DE108E"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hyperlink w:anchor="_Toc149577190" w:history="1">
            <w:r w:rsidR="00B64A83" w:rsidRPr="00B64A83">
              <w:rPr>
                <w:rStyle w:val="Hyperlink"/>
                <w:rFonts w:ascii="Times New Roman" w:hAnsi="Times New Roman" w:cs="Times New Roman"/>
                <w:noProof/>
                <w:sz w:val="24"/>
                <w:szCs w:val="24"/>
              </w:rPr>
              <w:t>Current business performance</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_Toc149577190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10</w:t>
            </w:r>
            <w:r w:rsidR="00B64A83" w:rsidRPr="00B64A83">
              <w:rPr>
                <w:rFonts w:ascii="Times New Roman" w:hAnsi="Times New Roman" w:cs="Times New Roman"/>
                <w:noProof/>
                <w:webHidden/>
                <w:sz w:val="24"/>
                <w:szCs w:val="24"/>
              </w:rPr>
              <w:fldChar w:fldCharType="end"/>
            </w:r>
          </w:hyperlink>
        </w:p>
        <w:p w14:paraId="4F688123" w14:textId="484B58FA"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hyperlink w:anchor="_Toc149577191" w:history="1">
            <w:r w:rsidR="00B64A83" w:rsidRPr="00B64A83">
              <w:rPr>
                <w:rStyle w:val="Hyperlink"/>
                <w:rFonts w:ascii="Times New Roman" w:hAnsi="Times New Roman" w:cs="Times New Roman"/>
                <w:noProof/>
                <w:sz w:val="24"/>
                <w:szCs w:val="24"/>
              </w:rPr>
              <w:t>Conclusion</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_Toc149577191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12</w:t>
            </w:r>
            <w:r w:rsidR="00B64A83" w:rsidRPr="00B64A83">
              <w:rPr>
                <w:rFonts w:ascii="Times New Roman" w:hAnsi="Times New Roman" w:cs="Times New Roman"/>
                <w:noProof/>
                <w:webHidden/>
                <w:sz w:val="24"/>
                <w:szCs w:val="24"/>
              </w:rPr>
              <w:fldChar w:fldCharType="end"/>
            </w:r>
          </w:hyperlink>
        </w:p>
        <w:p w14:paraId="772EEBA9" w14:textId="475BAC7D" w:rsidR="00B64A83" w:rsidRPr="00B64A83" w:rsidRDefault="00000000" w:rsidP="002C2C5E">
          <w:pPr>
            <w:pStyle w:val="TOC1"/>
            <w:tabs>
              <w:tab w:val="right" w:leader="dot" w:pos="9350"/>
            </w:tabs>
            <w:spacing w:line="480" w:lineRule="auto"/>
            <w:rPr>
              <w:rFonts w:ascii="Times New Roman" w:eastAsiaTheme="minorEastAsia" w:hAnsi="Times New Roman" w:cs="Times New Roman"/>
              <w:noProof/>
              <w:kern w:val="2"/>
              <w:sz w:val="24"/>
              <w:szCs w:val="24"/>
              <w:lang w:eastAsia="zh-CN"/>
              <w14:ligatures w14:val="standardContextual"/>
            </w:rPr>
          </w:pPr>
          <w:hyperlink w:anchor="_Toc149577192" w:history="1">
            <w:r w:rsidR="00B64A83" w:rsidRPr="00B64A83">
              <w:rPr>
                <w:rStyle w:val="Hyperlink"/>
                <w:rFonts w:ascii="Times New Roman" w:hAnsi="Times New Roman" w:cs="Times New Roman"/>
                <w:noProof/>
                <w:sz w:val="24"/>
                <w:szCs w:val="24"/>
              </w:rPr>
              <w:t>Reference List</w:t>
            </w:r>
            <w:r w:rsidR="00B64A83" w:rsidRPr="00B64A83">
              <w:rPr>
                <w:rFonts w:ascii="Times New Roman" w:hAnsi="Times New Roman" w:cs="Times New Roman"/>
                <w:noProof/>
                <w:webHidden/>
                <w:sz w:val="24"/>
                <w:szCs w:val="24"/>
              </w:rPr>
              <w:tab/>
            </w:r>
            <w:r w:rsidR="00B64A83" w:rsidRPr="00B64A83">
              <w:rPr>
                <w:rFonts w:ascii="Times New Roman" w:hAnsi="Times New Roman" w:cs="Times New Roman"/>
                <w:noProof/>
                <w:webHidden/>
                <w:sz w:val="24"/>
                <w:szCs w:val="24"/>
              </w:rPr>
              <w:fldChar w:fldCharType="begin"/>
            </w:r>
            <w:r w:rsidR="00B64A83" w:rsidRPr="00B64A83">
              <w:rPr>
                <w:rFonts w:ascii="Times New Roman" w:hAnsi="Times New Roman" w:cs="Times New Roman"/>
                <w:noProof/>
                <w:webHidden/>
                <w:sz w:val="24"/>
                <w:szCs w:val="24"/>
              </w:rPr>
              <w:instrText xml:space="preserve"> PAGEREF _Toc149577192 \h </w:instrText>
            </w:r>
            <w:r w:rsidR="00B64A83" w:rsidRPr="00B64A83">
              <w:rPr>
                <w:rFonts w:ascii="Times New Roman" w:hAnsi="Times New Roman" w:cs="Times New Roman"/>
                <w:noProof/>
                <w:webHidden/>
                <w:sz w:val="24"/>
                <w:szCs w:val="24"/>
              </w:rPr>
            </w:r>
            <w:r w:rsidR="00B64A83" w:rsidRPr="00B64A83">
              <w:rPr>
                <w:rFonts w:ascii="Times New Roman" w:hAnsi="Times New Roman" w:cs="Times New Roman"/>
                <w:noProof/>
                <w:webHidden/>
                <w:sz w:val="24"/>
                <w:szCs w:val="24"/>
              </w:rPr>
              <w:fldChar w:fldCharType="separate"/>
            </w:r>
            <w:r w:rsidR="00023FD9">
              <w:rPr>
                <w:rFonts w:ascii="Times New Roman" w:hAnsi="Times New Roman" w:cs="Times New Roman"/>
                <w:noProof/>
                <w:webHidden/>
                <w:sz w:val="24"/>
                <w:szCs w:val="24"/>
              </w:rPr>
              <w:t>13</w:t>
            </w:r>
            <w:r w:rsidR="00B64A83" w:rsidRPr="00B64A83">
              <w:rPr>
                <w:rFonts w:ascii="Times New Roman" w:hAnsi="Times New Roman" w:cs="Times New Roman"/>
                <w:noProof/>
                <w:webHidden/>
                <w:sz w:val="24"/>
                <w:szCs w:val="24"/>
              </w:rPr>
              <w:fldChar w:fldCharType="end"/>
            </w:r>
          </w:hyperlink>
        </w:p>
        <w:p w14:paraId="3B9A3ACE" w14:textId="5E13AB54" w:rsidR="008C6B7A" w:rsidRPr="00B64A83" w:rsidRDefault="00000000" w:rsidP="002C2C5E">
          <w:pPr>
            <w:spacing w:line="480" w:lineRule="auto"/>
            <w:jc w:val="both"/>
            <w:rPr>
              <w:rFonts w:ascii="Times New Roman" w:hAnsi="Times New Roman" w:cs="Times New Roman"/>
              <w:color w:val="000000" w:themeColor="text1"/>
              <w:sz w:val="24"/>
              <w:szCs w:val="24"/>
            </w:rPr>
          </w:pPr>
          <w:r w:rsidRPr="00B64A83">
            <w:rPr>
              <w:rFonts w:ascii="Times New Roman" w:hAnsi="Times New Roman" w:cs="Times New Roman"/>
              <w:b/>
              <w:bCs/>
              <w:noProof/>
              <w:color w:val="000000" w:themeColor="text1"/>
              <w:sz w:val="24"/>
              <w:szCs w:val="24"/>
            </w:rPr>
            <w:fldChar w:fldCharType="end"/>
          </w:r>
        </w:p>
      </w:sdtContent>
    </w:sdt>
    <w:p w14:paraId="26CEBEEA" w14:textId="77777777" w:rsidR="00C01F23" w:rsidRPr="008A03BD" w:rsidRDefault="00C01F23" w:rsidP="002C2C5E">
      <w:pPr>
        <w:spacing w:line="480" w:lineRule="auto"/>
        <w:jc w:val="both"/>
        <w:rPr>
          <w:rFonts w:ascii="Times New Roman" w:hAnsi="Times New Roman" w:cs="Times New Roman"/>
          <w:b/>
          <w:color w:val="000000" w:themeColor="text1"/>
          <w:sz w:val="24"/>
          <w:szCs w:val="24"/>
        </w:rPr>
      </w:pPr>
    </w:p>
    <w:p w14:paraId="647ED4D2" w14:textId="77777777" w:rsidR="00C01F23" w:rsidRPr="008A03BD" w:rsidRDefault="00000000" w:rsidP="002C2C5E">
      <w:pPr>
        <w:spacing w:line="480" w:lineRule="auto"/>
        <w:rPr>
          <w:rFonts w:ascii="Times New Roman" w:hAnsi="Times New Roman" w:cs="Times New Roman"/>
          <w:b/>
          <w:color w:val="000000" w:themeColor="text1"/>
          <w:sz w:val="32"/>
          <w:szCs w:val="24"/>
        </w:rPr>
      </w:pPr>
      <w:r w:rsidRPr="008A03BD">
        <w:rPr>
          <w:rFonts w:ascii="Times New Roman" w:hAnsi="Times New Roman" w:cs="Times New Roman"/>
          <w:b/>
          <w:color w:val="000000" w:themeColor="text1"/>
          <w:sz w:val="32"/>
          <w:szCs w:val="24"/>
        </w:rPr>
        <w:br w:type="page"/>
      </w:r>
    </w:p>
    <w:p w14:paraId="70B776DE" w14:textId="77777777" w:rsidR="00F46FA9" w:rsidRPr="008A03BD" w:rsidRDefault="00000000" w:rsidP="002C2C5E">
      <w:pPr>
        <w:pStyle w:val="Heading1"/>
        <w:spacing w:line="480" w:lineRule="auto"/>
        <w:rPr>
          <w:color w:val="000000" w:themeColor="text1"/>
        </w:rPr>
      </w:pPr>
      <w:bookmarkStart w:id="0" w:name="_Toc149577184"/>
      <w:r w:rsidRPr="008A03BD">
        <w:rPr>
          <w:color w:val="000000" w:themeColor="text1"/>
        </w:rPr>
        <w:lastRenderedPageBreak/>
        <w:t>Introduction</w:t>
      </w:r>
      <w:bookmarkEnd w:id="0"/>
      <w:r w:rsidRPr="008A03BD">
        <w:rPr>
          <w:color w:val="000000" w:themeColor="text1"/>
        </w:rPr>
        <w:t xml:space="preserve"> </w:t>
      </w:r>
    </w:p>
    <w:p w14:paraId="49582925"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The audit analysis is significant for understanding the financial position of an organisation. The report will examine the organisational structure of Hilton Group, its goals and culture at corporate and individual levels. The discussion will take place about Hilton Group's recent changes and its current performance of the business. Additionally, the report will examine the way management has encompassed the change initiatives. </w:t>
      </w:r>
    </w:p>
    <w:p w14:paraId="562F4C14" w14:textId="77777777" w:rsidR="00F46FA9" w:rsidRPr="008A03BD" w:rsidRDefault="00000000" w:rsidP="002C2C5E">
      <w:pPr>
        <w:pStyle w:val="Heading1"/>
        <w:spacing w:line="480" w:lineRule="auto"/>
        <w:rPr>
          <w:color w:val="000000" w:themeColor="text1"/>
        </w:rPr>
      </w:pPr>
      <w:bookmarkStart w:id="1" w:name="_Toc149577185"/>
      <w:r w:rsidRPr="008A03BD">
        <w:rPr>
          <w:color w:val="000000" w:themeColor="text1"/>
        </w:rPr>
        <w:t xml:space="preserve">Organisation </w:t>
      </w:r>
      <w:r w:rsidR="005417CE" w:rsidRPr="008A03BD">
        <w:rPr>
          <w:color w:val="000000" w:themeColor="text1"/>
        </w:rPr>
        <w:t>structure, culture and goals</w:t>
      </w:r>
      <w:bookmarkEnd w:id="1"/>
      <w:r w:rsidR="005417CE" w:rsidRPr="008A03BD">
        <w:rPr>
          <w:color w:val="000000" w:themeColor="text1"/>
        </w:rPr>
        <w:t xml:space="preserve"> </w:t>
      </w:r>
    </w:p>
    <w:p w14:paraId="6F867AB9"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The organisational structure of the Hilton group is considerably hierarchical. At the corporate level, the hierarchical structure has allowed management of its expansion business functions (</w:t>
      </w:r>
      <w:r w:rsidRPr="008A03BD">
        <w:rPr>
          <w:rFonts w:ascii="Times New Roman" w:hAnsi="Times New Roman" w:cs="Times New Roman"/>
          <w:color w:val="000000" w:themeColor="text1"/>
          <w:sz w:val="24"/>
          <w:szCs w:val="24"/>
          <w:highlight w:val="white"/>
        </w:rPr>
        <w:t>Rhou and Singal, 2020</w:t>
      </w:r>
      <w:r w:rsidRPr="008A03BD">
        <w:rPr>
          <w:rFonts w:ascii="Times New Roman" w:eastAsia="Times New Roman" w:hAnsi="Times New Roman" w:cs="Times New Roman"/>
          <w:color w:val="000000" w:themeColor="text1"/>
          <w:sz w:val="24"/>
          <w:szCs w:val="24"/>
        </w:rPr>
        <w:t xml:space="preserve">). The concerned structure is dependent on the authority for dissemination of hospitality operations and </w:t>
      </w:r>
      <w:r w:rsidR="005417CE" w:rsidRPr="008A03BD">
        <w:rPr>
          <w:rFonts w:ascii="Times New Roman" w:eastAsia="Times New Roman" w:hAnsi="Times New Roman" w:cs="Times New Roman"/>
          <w:color w:val="000000" w:themeColor="text1"/>
          <w:sz w:val="24"/>
          <w:szCs w:val="24"/>
        </w:rPr>
        <w:t>managing its</w:t>
      </w:r>
      <w:r w:rsidRPr="008A03BD">
        <w:rPr>
          <w:rFonts w:ascii="Times New Roman" w:eastAsia="Times New Roman" w:hAnsi="Times New Roman" w:cs="Times New Roman"/>
          <w:color w:val="000000" w:themeColor="text1"/>
          <w:sz w:val="24"/>
          <w:szCs w:val="24"/>
        </w:rPr>
        <w:t xml:space="preserve"> stakeholders, such as employees, customers and investors. However, the organisational structure is reliant on divisions of work procedures into different portfolios. This allows coordination among the departments under centralised surveillance. The integration of the portfolios is done under the guidance of Christopher Nassetta (Hilton, 2023). This guidance allows the organisation to undertake development for expanding its hotel and resort services.</w:t>
      </w:r>
    </w:p>
    <w:p w14:paraId="151EF4C9"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The organisational culture of the Hilton Group highly values inclusion, diversity and innovation at both corporate and individual levels.  The company has been ranked second in 2019 as the best Multinational Workplace (Hilton, 2023). It has been possible by creating better opportunities for work and avenues for career development for human resources. The team management works to inculcate a culture of discipline and cooperation in the company. It has allowed the workforce to easily coordinate with each other without any inhibitions (</w:t>
      </w:r>
      <w:r w:rsidRPr="008A03BD">
        <w:rPr>
          <w:rFonts w:ascii="Times New Roman" w:hAnsi="Times New Roman" w:cs="Times New Roman"/>
          <w:color w:val="000000" w:themeColor="text1"/>
          <w:sz w:val="24"/>
          <w:szCs w:val="24"/>
          <w:highlight w:val="white"/>
        </w:rPr>
        <w:t>Sota, Chaudhry and Srivastava, 2020</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color w:val="000000" w:themeColor="text1"/>
          <w:sz w:val="24"/>
          <w:szCs w:val="24"/>
        </w:rPr>
        <w:lastRenderedPageBreak/>
        <w:t xml:space="preserve">The management simultaneously functions to provide world-class services to its customers by operating in approximately 750 hotels (Hilton, 2023). Furthermore, the company provides perks and benefits to its workforce. This enhances their brand in working with an international hospital brand, Hilton. </w:t>
      </w:r>
    </w:p>
    <w:p w14:paraId="5FA173F2" w14:textId="4E1C6EEE"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The organisational goal of the Hilton group is to offer exceptional services to the guests at the corporate level (Hilton, 2023). The company aims to prioritise its hospitality services by enhancing hotel amenities that can readily attract guests internationally. Apart from its regular hospitality services, the organisation has incorporated goals of sustainability. The sustainable goals have focussed on destination stewardship, enhancing transparency, integrity and valuing human rights.  For instance, at the individual level, the Hilton group has created around 5 million career opportunities through corporate involvement. (Hilton, 2023) </w:t>
      </w:r>
    </w:p>
    <w:p w14:paraId="4FE9FC34" w14:textId="77777777" w:rsidR="00F46FA9" w:rsidRPr="008A03BD" w:rsidRDefault="00000000" w:rsidP="002C2C5E">
      <w:pPr>
        <w:pStyle w:val="Heading1"/>
        <w:spacing w:line="480" w:lineRule="auto"/>
        <w:rPr>
          <w:color w:val="000000" w:themeColor="text1"/>
        </w:rPr>
      </w:pPr>
      <w:bookmarkStart w:id="2" w:name="_Toc149577186"/>
      <w:r w:rsidRPr="008A03BD">
        <w:rPr>
          <w:color w:val="000000" w:themeColor="text1"/>
        </w:rPr>
        <w:t>Recent change initiatives</w:t>
      </w:r>
      <w:bookmarkEnd w:id="2"/>
      <w:r w:rsidRPr="008A03BD">
        <w:rPr>
          <w:color w:val="000000" w:themeColor="text1"/>
        </w:rPr>
        <w:t xml:space="preserve"> </w:t>
      </w:r>
    </w:p>
    <w:p w14:paraId="5E7D494E"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The concerned </w:t>
      </w:r>
      <w:r w:rsidR="00C01F23" w:rsidRPr="008A03BD">
        <w:rPr>
          <w:rFonts w:ascii="Times New Roman" w:eastAsia="Times New Roman" w:hAnsi="Times New Roman" w:cs="Times New Roman"/>
          <w:color w:val="000000" w:themeColor="text1"/>
          <w:sz w:val="24"/>
          <w:szCs w:val="24"/>
        </w:rPr>
        <w:t>organisation</w:t>
      </w:r>
      <w:r w:rsidRPr="008A03BD">
        <w:rPr>
          <w:rFonts w:ascii="Times New Roman" w:eastAsia="Times New Roman" w:hAnsi="Times New Roman" w:cs="Times New Roman"/>
          <w:color w:val="000000" w:themeColor="text1"/>
          <w:sz w:val="24"/>
          <w:szCs w:val="24"/>
        </w:rPr>
        <w:t xml:space="preserve"> has undertaken recent change initiatives to influence its business functions at corporate and individual levels. The Hilton group has undertaken a change initiative regarding supporting employees who have been furloughed. The organisation has undertaken partnerships with different companies for channelling its recruitment procedures (Hilton, 2023). The company has opened different job positions from the elementary to the upper level to encompass the global workforce in the industry. </w:t>
      </w:r>
    </w:p>
    <w:p w14:paraId="07721D31" w14:textId="77777777" w:rsidR="00F46FA9" w:rsidRPr="008A03BD" w:rsidRDefault="00000000" w:rsidP="002C2C5E">
      <w:pPr>
        <w:spacing w:line="480" w:lineRule="auto"/>
        <w:jc w:val="center"/>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noProof/>
          <w:color w:val="000000" w:themeColor="text1"/>
          <w:sz w:val="24"/>
          <w:szCs w:val="24"/>
        </w:rPr>
        <w:lastRenderedPageBreak/>
        <w:drawing>
          <wp:inline distT="114300" distB="114300" distL="114300" distR="114300" wp14:anchorId="010AC215" wp14:editId="40AF3DA0">
            <wp:extent cx="3872481" cy="47697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7"/>
                    <a:stretch>
                      <a:fillRect/>
                    </a:stretch>
                  </pic:blipFill>
                  <pic:spPr>
                    <a:xfrm>
                      <a:off x="0" y="0"/>
                      <a:ext cx="3907111" cy="4812404"/>
                    </a:xfrm>
                    <a:prstGeom prst="rect">
                      <a:avLst/>
                    </a:prstGeom>
                  </pic:spPr>
                </pic:pic>
              </a:graphicData>
            </a:graphic>
          </wp:inline>
        </w:drawing>
      </w:r>
    </w:p>
    <w:p w14:paraId="3FD68AD6" w14:textId="77777777" w:rsidR="00F46FA9" w:rsidRPr="008A03BD" w:rsidRDefault="00000000" w:rsidP="002C2C5E">
      <w:pPr>
        <w:spacing w:line="480" w:lineRule="auto"/>
        <w:jc w:val="center"/>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b/>
          <w:color w:val="000000" w:themeColor="text1"/>
          <w:sz w:val="24"/>
          <w:szCs w:val="24"/>
        </w:rPr>
        <w:t>Figure 1: Environmental Initiatives</w:t>
      </w:r>
    </w:p>
    <w:p w14:paraId="249909C3" w14:textId="77777777" w:rsidR="00F46FA9" w:rsidRPr="008A03BD" w:rsidRDefault="00000000" w:rsidP="002C2C5E">
      <w:pPr>
        <w:spacing w:line="480" w:lineRule="auto"/>
        <w:jc w:val="center"/>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Source: (Hilton, 2023)</w:t>
      </w:r>
    </w:p>
    <w:p w14:paraId="1E184566" w14:textId="77777777" w:rsidR="00F46FA9" w:rsidRPr="008A03BD" w:rsidRDefault="00000000" w:rsidP="002C2C5E">
      <w:pPr>
        <w:spacing w:line="480" w:lineRule="auto"/>
        <w:jc w:val="both"/>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color w:val="000000" w:themeColor="text1"/>
          <w:sz w:val="24"/>
          <w:szCs w:val="24"/>
        </w:rPr>
        <w:t>The company has undertaken green initiatives to promote its sustainable practices (Hilton, 2023). These practices are fostered both through the corporate and individual activities. For instance, at the corporate level</w:t>
      </w:r>
      <w:r w:rsidR="005417CE" w:rsidRPr="008A03BD">
        <w:rPr>
          <w:rFonts w:ascii="Times New Roman" w:eastAsia="Times New Roman" w:hAnsi="Times New Roman" w:cs="Times New Roman"/>
          <w:color w:val="000000" w:themeColor="text1"/>
          <w:sz w:val="24"/>
          <w:szCs w:val="24"/>
        </w:rPr>
        <w:t>, initiatives</w:t>
      </w:r>
      <w:r w:rsidRPr="008A03BD">
        <w:rPr>
          <w:rFonts w:ascii="Times New Roman" w:eastAsia="Times New Roman" w:hAnsi="Times New Roman" w:cs="Times New Roman"/>
          <w:color w:val="000000" w:themeColor="text1"/>
          <w:sz w:val="24"/>
          <w:szCs w:val="24"/>
        </w:rPr>
        <w:t xml:space="preserve"> have been taken to reduce carbon emissions by 56% from the portfolio (Hilton, 2023). The initiatives have been supported by the actions of individuals in the form of cooperation and execution by the present organisational workforce. The initiatives of sustainability further focus on the reduction of waste generation. The generation of waste has been eliminated by decreasing the use of plastic considerably. For instance, the utilisation of plastic </w:t>
      </w:r>
      <w:r w:rsidRPr="008A03BD">
        <w:rPr>
          <w:rFonts w:ascii="Times New Roman" w:eastAsia="Times New Roman" w:hAnsi="Times New Roman" w:cs="Times New Roman"/>
          <w:color w:val="000000" w:themeColor="text1"/>
          <w:sz w:val="24"/>
          <w:szCs w:val="24"/>
        </w:rPr>
        <w:lastRenderedPageBreak/>
        <w:t xml:space="preserve">straws has been eliminated from the premises of </w:t>
      </w:r>
      <w:r w:rsidR="00327500" w:rsidRPr="008A03BD">
        <w:rPr>
          <w:rFonts w:ascii="Times New Roman" w:eastAsia="Times New Roman" w:hAnsi="Times New Roman" w:cs="Times New Roman"/>
          <w:color w:val="000000" w:themeColor="text1"/>
          <w:sz w:val="24"/>
          <w:szCs w:val="24"/>
        </w:rPr>
        <w:t>the resorts</w:t>
      </w:r>
      <w:r w:rsidRPr="008A03BD">
        <w:rPr>
          <w:rFonts w:ascii="Times New Roman" w:eastAsia="Times New Roman" w:hAnsi="Times New Roman" w:cs="Times New Roman"/>
          <w:color w:val="000000" w:themeColor="text1"/>
          <w:sz w:val="24"/>
          <w:szCs w:val="24"/>
        </w:rPr>
        <w:t xml:space="preserve"> and hotels managed by the Hilton Group. Each of the human resources is responsible for reinforcing its applicability in the industry functioning (</w:t>
      </w:r>
      <w:r w:rsidRPr="008A03BD">
        <w:rPr>
          <w:rFonts w:ascii="Times New Roman" w:hAnsi="Times New Roman" w:cs="Times New Roman"/>
          <w:color w:val="000000" w:themeColor="text1"/>
          <w:sz w:val="24"/>
          <w:szCs w:val="24"/>
          <w:highlight w:val="white"/>
        </w:rPr>
        <w:t>Pham, Tučková and Jabbour, 2019</w:t>
      </w:r>
      <w:r w:rsidRPr="008A03BD">
        <w:rPr>
          <w:rFonts w:ascii="Times New Roman" w:eastAsia="Times New Roman" w:hAnsi="Times New Roman" w:cs="Times New Roman"/>
          <w:color w:val="000000" w:themeColor="text1"/>
          <w:sz w:val="24"/>
          <w:szCs w:val="24"/>
        </w:rPr>
        <w:t xml:space="preserve">). The initiatives of sustainability additionally promote activities of recycling and reusing resources.  </w:t>
      </w:r>
    </w:p>
    <w:p w14:paraId="242B1F71" w14:textId="77777777" w:rsidR="00F46FA9" w:rsidRPr="008A03BD" w:rsidRDefault="00000000" w:rsidP="002C2C5E">
      <w:pPr>
        <w:pStyle w:val="Heading1"/>
        <w:spacing w:line="480" w:lineRule="auto"/>
        <w:rPr>
          <w:color w:val="000000" w:themeColor="text1"/>
        </w:rPr>
      </w:pPr>
      <w:bookmarkStart w:id="3" w:name="_Toc149577187"/>
      <w:r w:rsidRPr="008A03BD">
        <w:rPr>
          <w:color w:val="000000" w:themeColor="text1"/>
        </w:rPr>
        <w:t>Impact of changes</w:t>
      </w:r>
      <w:bookmarkEnd w:id="3"/>
      <w:r w:rsidRPr="008A03BD">
        <w:rPr>
          <w:color w:val="000000" w:themeColor="text1"/>
        </w:rPr>
        <w:t xml:space="preserve"> </w:t>
      </w:r>
    </w:p>
    <w:p w14:paraId="2561ED2C"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The change initiatives of sustainability have positively impacted the functioning of the Hilton Group. The adoption of green initiatives such as management of waste, recycling and reusing of waste has enhanced the cost efficiency. The inclusion of technology in </w:t>
      </w:r>
      <w:r w:rsidR="00DC13FE" w:rsidRPr="008A03BD">
        <w:rPr>
          <w:rFonts w:ascii="Times New Roman" w:eastAsia="Times New Roman" w:hAnsi="Times New Roman" w:cs="Times New Roman"/>
          <w:color w:val="000000" w:themeColor="text1"/>
          <w:sz w:val="24"/>
          <w:szCs w:val="24"/>
        </w:rPr>
        <w:t>sustainability has</w:t>
      </w:r>
      <w:r w:rsidRPr="008A03BD">
        <w:rPr>
          <w:rFonts w:ascii="Times New Roman" w:eastAsia="Times New Roman" w:hAnsi="Times New Roman" w:cs="Times New Roman"/>
          <w:color w:val="000000" w:themeColor="text1"/>
          <w:sz w:val="24"/>
          <w:szCs w:val="24"/>
        </w:rPr>
        <w:t xml:space="preserve"> ensured that a maximum of the resources are utilised and </w:t>
      </w:r>
      <w:r w:rsidR="007563A7" w:rsidRPr="008A03BD">
        <w:rPr>
          <w:rFonts w:ascii="Times New Roman" w:eastAsia="Times New Roman" w:hAnsi="Times New Roman" w:cs="Times New Roman"/>
          <w:color w:val="000000" w:themeColor="text1"/>
          <w:sz w:val="24"/>
          <w:szCs w:val="24"/>
        </w:rPr>
        <w:t xml:space="preserve">re-utilised </w:t>
      </w:r>
      <w:r w:rsidRPr="008A03BD">
        <w:rPr>
          <w:rFonts w:ascii="Times New Roman" w:eastAsia="Times New Roman" w:hAnsi="Times New Roman" w:cs="Times New Roman"/>
          <w:color w:val="000000" w:themeColor="text1"/>
          <w:sz w:val="24"/>
          <w:szCs w:val="24"/>
        </w:rPr>
        <w:t>(</w:t>
      </w:r>
      <w:r w:rsidRPr="008A03BD">
        <w:rPr>
          <w:rFonts w:ascii="Times New Roman" w:hAnsi="Times New Roman" w:cs="Times New Roman"/>
          <w:color w:val="000000" w:themeColor="text1"/>
          <w:sz w:val="24"/>
          <w:szCs w:val="24"/>
          <w:highlight w:val="white"/>
        </w:rPr>
        <w:t>Pham, Hoang and Phan, 2020</w:t>
      </w:r>
      <w:r w:rsidRPr="008A03BD">
        <w:rPr>
          <w:rFonts w:ascii="Times New Roman" w:eastAsia="Times New Roman" w:hAnsi="Times New Roman" w:cs="Times New Roman"/>
          <w:color w:val="000000" w:themeColor="text1"/>
          <w:sz w:val="24"/>
          <w:szCs w:val="24"/>
        </w:rPr>
        <w:t>). Therefore, at the corporate level, the company has harnessed financial benefits by reducing operational costs. The increase in cost efficiency attunes to the values of the enterprise in the conduction of responsible businesses.</w:t>
      </w:r>
    </w:p>
    <w:p w14:paraId="38D47086"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The integration of the sustainability practices had perpetrated the brand awareness and reputation of the Hilton Group. It enhances positivity among the stakeholders such as guests, investors and employees who are eco-conscious (</w:t>
      </w:r>
      <w:r w:rsidRPr="008A03BD">
        <w:rPr>
          <w:rFonts w:ascii="Times New Roman" w:hAnsi="Times New Roman" w:cs="Times New Roman"/>
          <w:color w:val="000000" w:themeColor="text1"/>
          <w:sz w:val="24"/>
          <w:szCs w:val="24"/>
          <w:highlight w:val="white"/>
        </w:rPr>
        <w:t>Shafaei, Nejati and Yusoff, 2022</w:t>
      </w:r>
      <w:r w:rsidRPr="008A03BD">
        <w:rPr>
          <w:rFonts w:ascii="Times New Roman" w:eastAsia="Times New Roman" w:hAnsi="Times New Roman" w:cs="Times New Roman"/>
          <w:color w:val="000000" w:themeColor="text1"/>
          <w:sz w:val="24"/>
          <w:szCs w:val="24"/>
        </w:rPr>
        <w:t xml:space="preserve">). The inclusion of such practices has increased loyalty among the customers along with an accelerated rate of occupancy. The adoption of sustainability initiatives has conformed to its goals, such as a reduction of carbon emissions and reception of waste generation. The intensity of the recycling and reusing process has ensured that fewer landfills are occupied </w:t>
      </w:r>
      <w:r w:rsidR="007874B0" w:rsidRPr="008A03BD">
        <w:rPr>
          <w:rFonts w:ascii="Times New Roman" w:eastAsia="Times New Roman" w:hAnsi="Times New Roman" w:cs="Times New Roman"/>
          <w:color w:val="000000" w:themeColor="text1"/>
          <w:sz w:val="24"/>
          <w:szCs w:val="24"/>
        </w:rPr>
        <w:t>with waste</w:t>
      </w:r>
      <w:r w:rsidRPr="008A03BD">
        <w:rPr>
          <w:rFonts w:ascii="Times New Roman" w:eastAsia="Times New Roman" w:hAnsi="Times New Roman" w:cs="Times New Roman"/>
          <w:color w:val="000000" w:themeColor="text1"/>
          <w:sz w:val="24"/>
          <w:szCs w:val="24"/>
        </w:rPr>
        <w:t xml:space="preserve"> generated from daily operations. It has allowed the concerned organisation to maintain as well as preserve the natural environment. Additionally, the integration of sustainability practices has ensured Hilton Group can easily adhere to change environmental compliance. </w:t>
      </w:r>
    </w:p>
    <w:p w14:paraId="48ED9FB8" w14:textId="4F662415"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lastRenderedPageBreak/>
        <w:t>The initiatives of assisting the furloughed human resources have positively impacted the organisation. At the individual level, employees feel highly motivated and remain loyal to an enterprise due to the inclusion of such initiatives (</w:t>
      </w:r>
      <w:r w:rsidRPr="008A03BD">
        <w:rPr>
          <w:rFonts w:ascii="Times New Roman" w:hAnsi="Times New Roman" w:cs="Times New Roman"/>
          <w:color w:val="000000" w:themeColor="text1"/>
          <w:sz w:val="24"/>
          <w:szCs w:val="24"/>
          <w:highlight w:val="white"/>
        </w:rPr>
        <w:t>Rhou and Singal, 2020</w:t>
      </w:r>
      <w:r w:rsidRPr="008A03BD">
        <w:rPr>
          <w:rFonts w:ascii="Times New Roman" w:eastAsia="Times New Roman" w:hAnsi="Times New Roman" w:cs="Times New Roman"/>
          <w:color w:val="000000" w:themeColor="text1"/>
          <w:sz w:val="24"/>
          <w:szCs w:val="24"/>
        </w:rPr>
        <w:t xml:space="preserve">). It has increased their responsibility towards the concerned group, decreasing costs of employee training along with </w:t>
      </w:r>
      <w:r w:rsidR="007874B0" w:rsidRPr="008A03BD">
        <w:rPr>
          <w:rFonts w:ascii="Times New Roman" w:eastAsia="Times New Roman" w:hAnsi="Times New Roman" w:cs="Times New Roman"/>
          <w:color w:val="000000" w:themeColor="text1"/>
          <w:sz w:val="24"/>
          <w:szCs w:val="24"/>
        </w:rPr>
        <w:t xml:space="preserve">turnover. </w:t>
      </w:r>
      <w:r w:rsidRPr="008A03BD">
        <w:rPr>
          <w:rFonts w:ascii="Times New Roman" w:eastAsia="Times New Roman" w:hAnsi="Times New Roman" w:cs="Times New Roman"/>
          <w:color w:val="000000" w:themeColor="text1"/>
          <w:sz w:val="24"/>
          <w:szCs w:val="24"/>
        </w:rPr>
        <w:t xml:space="preserve">Similarly, the initiative to include dismissed workers has created a positive public image of the group. </w:t>
      </w:r>
    </w:p>
    <w:p w14:paraId="5F1523EB" w14:textId="77777777" w:rsidR="00F46FA9" w:rsidRPr="008A03BD" w:rsidRDefault="00000000" w:rsidP="002C2C5E">
      <w:pPr>
        <w:pStyle w:val="Heading1"/>
        <w:spacing w:line="480" w:lineRule="auto"/>
        <w:rPr>
          <w:color w:val="000000" w:themeColor="text1"/>
        </w:rPr>
      </w:pPr>
      <w:bookmarkStart w:id="4" w:name="_Toc149577188"/>
      <w:r w:rsidRPr="008A03BD">
        <w:rPr>
          <w:color w:val="000000" w:themeColor="text1"/>
        </w:rPr>
        <w:t>Way of management</w:t>
      </w:r>
      <w:bookmarkEnd w:id="4"/>
      <w:r w:rsidRPr="008A03BD">
        <w:rPr>
          <w:color w:val="000000" w:themeColor="text1"/>
        </w:rPr>
        <w:t xml:space="preserve"> </w:t>
      </w:r>
    </w:p>
    <w:p w14:paraId="490FD28D" w14:textId="77777777" w:rsidR="007874B0"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Hilton group has appropriately managed its sustainable initiatives and initiatives of including furloughed workers. The sustainable practice has focussed on ethical sourcing by procurement of services and goods in a responsible manner (Hilton, 2023). The corporate level has focussed on sourcing materials from local suppliers in areas of Hilton's operation. This has adequately assisted the local communities and put forward a responsible approach through the maintenance of cooperation, transparency and integrity. </w:t>
      </w:r>
    </w:p>
    <w:p w14:paraId="7F0D3F70" w14:textId="77777777" w:rsidR="007874B0"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b/>
          <w:color w:val="000000" w:themeColor="text1"/>
          <w:sz w:val="24"/>
          <w:szCs w:val="24"/>
        </w:rPr>
        <w:t xml:space="preserve">The theory of Triple Bottom Line (TBL) </w:t>
      </w:r>
      <w:r w:rsidRPr="008A03BD">
        <w:rPr>
          <w:rFonts w:ascii="Times New Roman" w:eastAsia="Times New Roman" w:hAnsi="Times New Roman" w:cs="Times New Roman"/>
          <w:color w:val="000000" w:themeColor="text1"/>
          <w:sz w:val="24"/>
          <w:szCs w:val="24"/>
        </w:rPr>
        <w:t xml:space="preserve">can be applied in comprehending the initiatives undertaken by the Hilton Group. </w:t>
      </w:r>
    </w:p>
    <w:p w14:paraId="6B8B90B6" w14:textId="78FBD0E2" w:rsidR="00F46FA9" w:rsidRPr="008A03BD" w:rsidRDefault="00000000" w:rsidP="002C2C5E">
      <w:pPr>
        <w:spacing w:line="480" w:lineRule="auto"/>
        <w:jc w:val="center"/>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noProof/>
          <w:color w:val="000000" w:themeColor="text1"/>
          <w:sz w:val="24"/>
          <w:szCs w:val="24"/>
        </w:rPr>
        <w:lastRenderedPageBreak/>
        <w:drawing>
          <wp:inline distT="114300" distB="114300" distL="114300" distR="114300" wp14:anchorId="48899C78" wp14:editId="0ACD56E1">
            <wp:extent cx="5365630" cy="2872597"/>
            <wp:effectExtent l="0" t="0" r="6985" b="444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rcRect t="31409" b="15385"/>
                    <a:stretch>
                      <a:fillRect/>
                    </a:stretch>
                  </pic:blipFill>
                  <pic:spPr bwMode="auto">
                    <a:xfrm>
                      <a:off x="0" y="0"/>
                      <a:ext cx="5371031" cy="2875488"/>
                    </a:xfrm>
                    <a:prstGeom prst="rect">
                      <a:avLst/>
                    </a:prstGeom>
                    <a:ln>
                      <a:noFill/>
                    </a:ln>
                    <a:extLst>
                      <a:ext uri="{53640926-AAD7-44D8-BBD7-CCE9431645EC}">
                        <a14:shadowObscured xmlns:a14="http://schemas.microsoft.com/office/drawing/2010/main"/>
                      </a:ext>
                    </a:extLst>
                  </pic:spPr>
                </pic:pic>
              </a:graphicData>
            </a:graphic>
          </wp:inline>
        </w:drawing>
      </w:r>
    </w:p>
    <w:p w14:paraId="643B7593" w14:textId="77777777" w:rsidR="00F46FA9" w:rsidRPr="008A03BD" w:rsidRDefault="00000000" w:rsidP="002C2C5E">
      <w:pPr>
        <w:spacing w:line="480" w:lineRule="auto"/>
        <w:jc w:val="center"/>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b/>
          <w:color w:val="000000" w:themeColor="text1"/>
          <w:sz w:val="24"/>
          <w:szCs w:val="24"/>
        </w:rPr>
        <w:t xml:space="preserve">Figure </w:t>
      </w:r>
      <w:r w:rsidR="007874B0" w:rsidRPr="008A03BD">
        <w:rPr>
          <w:rFonts w:ascii="Times New Roman" w:eastAsia="Times New Roman" w:hAnsi="Times New Roman" w:cs="Times New Roman"/>
          <w:b/>
          <w:color w:val="000000" w:themeColor="text1"/>
          <w:sz w:val="24"/>
          <w:szCs w:val="24"/>
        </w:rPr>
        <w:t>2:</w:t>
      </w:r>
      <w:r w:rsidRPr="008A03BD">
        <w:rPr>
          <w:rFonts w:ascii="Times New Roman" w:eastAsia="Times New Roman" w:hAnsi="Times New Roman" w:cs="Times New Roman"/>
          <w:b/>
          <w:color w:val="000000" w:themeColor="text1"/>
          <w:sz w:val="24"/>
          <w:szCs w:val="24"/>
        </w:rPr>
        <w:t xml:space="preserve"> Aspects of TBL</w:t>
      </w:r>
    </w:p>
    <w:p w14:paraId="581A7220" w14:textId="77777777" w:rsidR="00F46FA9" w:rsidRPr="008A03BD" w:rsidRDefault="00000000" w:rsidP="002C2C5E">
      <w:pPr>
        <w:spacing w:line="480" w:lineRule="auto"/>
        <w:jc w:val="center"/>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Source: (HBS, 2020)</w:t>
      </w:r>
    </w:p>
    <w:p w14:paraId="09991AC8" w14:textId="1C8314AB"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It can be stated from the above figure that TBL theory focuses on the aspects of the planet, profits and people. An organisation can be considered responsible and ethical after incorporating these aspects in balance. Hilton Group is recognised as a </w:t>
      </w:r>
      <w:r w:rsidR="007874B0" w:rsidRPr="008A03BD">
        <w:rPr>
          <w:rFonts w:ascii="Times New Roman" w:eastAsia="Times New Roman" w:hAnsi="Times New Roman" w:cs="Times New Roman"/>
          <w:color w:val="000000" w:themeColor="text1"/>
          <w:sz w:val="24"/>
          <w:szCs w:val="24"/>
        </w:rPr>
        <w:t>pioneer</w:t>
      </w:r>
      <w:r w:rsidRPr="008A03BD">
        <w:rPr>
          <w:rFonts w:ascii="Times New Roman" w:eastAsia="Times New Roman" w:hAnsi="Times New Roman" w:cs="Times New Roman"/>
          <w:color w:val="000000" w:themeColor="text1"/>
          <w:sz w:val="24"/>
          <w:szCs w:val="24"/>
        </w:rPr>
        <w:t xml:space="preserve"> organisation in the hospitality industry (Hilton, 2023). </w:t>
      </w:r>
      <w:r w:rsidR="007874B0" w:rsidRPr="008A03BD">
        <w:rPr>
          <w:rFonts w:ascii="Times New Roman" w:eastAsia="Times New Roman" w:hAnsi="Times New Roman" w:cs="Times New Roman"/>
          <w:color w:val="000000" w:themeColor="text1"/>
          <w:sz w:val="24"/>
          <w:szCs w:val="24"/>
        </w:rPr>
        <w:t>The brand</w:t>
      </w:r>
      <w:r w:rsidRPr="008A03BD">
        <w:rPr>
          <w:rFonts w:ascii="Times New Roman" w:eastAsia="Times New Roman" w:hAnsi="Times New Roman" w:cs="Times New Roman"/>
          <w:color w:val="000000" w:themeColor="text1"/>
          <w:sz w:val="24"/>
          <w:szCs w:val="24"/>
        </w:rPr>
        <w:t xml:space="preserve"> reputation and recognition of the organisation have been feasible through its adherence to corporate social sustainability dimensions. The dimensions of CSR include economic growth, environmental protection and community participation. These aspects are given equal importance in the TBL theory (</w:t>
      </w:r>
      <w:r w:rsidRPr="008A03BD">
        <w:rPr>
          <w:rFonts w:ascii="Times New Roman" w:hAnsi="Times New Roman" w:cs="Times New Roman"/>
          <w:color w:val="000000" w:themeColor="text1"/>
          <w:sz w:val="24"/>
          <w:szCs w:val="24"/>
          <w:highlight w:val="white"/>
        </w:rPr>
        <w:t>Khan, Yu and Farooq, 2023</w:t>
      </w:r>
      <w:r w:rsidRPr="008A03BD">
        <w:rPr>
          <w:rFonts w:ascii="Times New Roman" w:eastAsia="Times New Roman" w:hAnsi="Times New Roman" w:cs="Times New Roman"/>
          <w:color w:val="000000" w:themeColor="text1"/>
          <w:sz w:val="24"/>
          <w:szCs w:val="24"/>
        </w:rPr>
        <w:t xml:space="preserve">). The concerned organisation has integrated the aspect of the planet by evaluation of environmental impact. The negative impact on the environment has been minimised by the adoption of destination stewardship as well as an action plan for positively impacting the climate. The inclusion of efforts such as the reduction of water, watts and waste in the hotels has incorporated the environmental aspects. The foundation focuses on philanthropic activities by helping the local communities in adopting practices of environmental protection. Moreover, the local community is given financial and </w:t>
      </w:r>
      <w:r w:rsidRPr="008A03BD">
        <w:rPr>
          <w:rFonts w:ascii="Times New Roman" w:eastAsia="Times New Roman" w:hAnsi="Times New Roman" w:cs="Times New Roman"/>
          <w:color w:val="000000" w:themeColor="text1"/>
          <w:sz w:val="24"/>
          <w:szCs w:val="24"/>
        </w:rPr>
        <w:lastRenderedPageBreak/>
        <w:t xml:space="preserve">learning resources for channelling their participation in environmental protection (Hilton, 2023). Therefore, the adoption of the practice of the foundation supports the Group corporate and individual level activities and reinforces a positive impact on the people element of TBL theory. Consecutively, the selected Group has adopted initiatives that aim at enhancing workforce participation and engagement. It has ensured that Hilton Group has encompassed elements of people as per TBL theory. </w:t>
      </w:r>
    </w:p>
    <w:p w14:paraId="51A52660"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The adoption of appropriate training and development programs has managed the practice of including furloughed workers. The human resources are given appropriate training that can enhance their existing skills as well as expertise. The selected organisation has managed staff by adopting practices of inclusion and diversity. The human rights of the individuals are protected thereby ensuring they are safeguarded against any inappropriate activities (</w:t>
      </w:r>
      <w:r w:rsidRPr="008A03BD">
        <w:rPr>
          <w:rFonts w:ascii="Times New Roman" w:hAnsi="Times New Roman" w:cs="Times New Roman"/>
          <w:color w:val="000000" w:themeColor="text1"/>
          <w:sz w:val="24"/>
          <w:szCs w:val="24"/>
          <w:highlight w:val="white"/>
        </w:rPr>
        <w:t>Hoang et al., 2021</w:t>
      </w:r>
      <w:r w:rsidRPr="008A03BD">
        <w:rPr>
          <w:rFonts w:ascii="Times New Roman" w:eastAsia="Times New Roman" w:hAnsi="Times New Roman" w:cs="Times New Roman"/>
          <w:color w:val="000000" w:themeColor="text1"/>
          <w:sz w:val="24"/>
          <w:szCs w:val="24"/>
        </w:rPr>
        <w:t xml:space="preserve">). Both the corporate and individual decisions facilitate the actions. The corporate level guides the Group in specifying the corporate objectives, goals and values. Concurrently, the individual performs the activities of monitoring and measuring the regular performance against the expected business standards. </w:t>
      </w:r>
    </w:p>
    <w:p w14:paraId="47BE01CC"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b/>
          <w:color w:val="000000" w:themeColor="text1"/>
          <w:sz w:val="24"/>
          <w:szCs w:val="24"/>
        </w:rPr>
        <w:t>The CSR Pyramid of Carroll</w:t>
      </w:r>
      <w:r w:rsidRPr="008A03BD">
        <w:rPr>
          <w:rFonts w:ascii="Times New Roman" w:eastAsia="Times New Roman" w:hAnsi="Times New Roman" w:cs="Times New Roman"/>
          <w:color w:val="000000" w:themeColor="text1"/>
          <w:sz w:val="24"/>
          <w:szCs w:val="24"/>
        </w:rPr>
        <w:t xml:space="preserve"> is pertinent in understanding the position of Hilton Group in the international hospitality industry. The pyramid of Carro</w:t>
      </w:r>
      <w:r w:rsidR="00FD633C" w:rsidRPr="008A03BD">
        <w:rPr>
          <w:rFonts w:ascii="Times New Roman" w:eastAsia="Times New Roman" w:hAnsi="Times New Roman" w:cs="Times New Roman"/>
          <w:color w:val="000000" w:themeColor="text1"/>
          <w:sz w:val="24"/>
          <w:szCs w:val="24"/>
        </w:rPr>
        <w:t>ll Examines the CSR elements that</w:t>
      </w:r>
      <w:r w:rsidRPr="008A03BD">
        <w:rPr>
          <w:rFonts w:ascii="Times New Roman" w:eastAsia="Times New Roman" w:hAnsi="Times New Roman" w:cs="Times New Roman"/>
          <w:color w:val="000000" w:themeColor="text1"/>
          <w:sz w:val="24"/>
          <w:szCs w:val="24"/>
        </w:rPr>
        <w:t xml:space="preserve"> an organisation can encompass. </w:t>
      </w:r>
    </w:p>
    <w:p w14:paraId="5F57CF8A" w14:textId="77777777" w:rsidR="00F46FA9" w:rsidRPr="008A03BD" w:rsidRDefault="00000000" w:rsidP="002C2C5E">
      <w:pPr>
        <w:spacing w:line="480" w:lineRule="auto"/>
        <w:jc w:val="center"/>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noProof/>
          <w:color w:val="000000" w:themeColor="text1"/>
          <w:sz w:val="24"/>
          <w:szCs w:val="24"/>
        </w:rPr>
        <w:lastRenderedPageBreak/>
        <w:drawing>
          <wp:inline distT="114300" distB="114300" distL="114300" distR="114300" wp14:anchorId="7AA8EF90" wp14:editId="2454C411">
            <wp:extent cx="4537494" cy="349123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rcRect b="7382"/>
                    <a:stretch>
                      <a:fillRect/>
                    </a:stretch>
                  </pic:blipFill>
                  <pic:spPr>
                    <a:xfrm>
                      <a:off x="0" y="0"/>
                      <a:ext cx="4547274" cy="3498755"/>
                    </a:xfrm>
                    <a:prstGeom prst="rect">
                      <a:avLst/>
                    </a:prstGeom>
                  </pic:spPr>
                </pic:pic>
              </a:graphicData>
            </a:graphic>
          </wp:inline>
        </w:drawing>
      </w:r>
    </w:p>
    <w:p w14:paraId="46C1D892" w14:textId="77777777" w:rsidR="00F46FA9" w:rsidRPr="008A03BD" w:rsidRDefault="00000000" w:rsidP="002C2C5E">
      <w:pPr>
        <w:spacing w:line="480" w:lineRule="auto"/>
        <w:jc w:val="center"/>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b/>
          <w:color w:val="000000" w:themeColor="text1"/>
          <w:sz w:val="24"/>
          <w:szCs w:val="24"/>
        </w:rPr>
        <w:t>Figure 3: Aspects of Carroll's Pyramid</w:t>
      </w:r>
    </w:p>
    <w:p w14:paraId="159E210C" w14:textId="77777777" w:rsidR="00F46FA9" w:rsidRPr="008A03BD" w:rsidRDefault="00000000" w:rsidP="002C2C5E">
      <w:pPr>
        <w:spacing w:line="480" w:lineRule="auto"/>
        <w:jc w:val="center"/>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Source: (Perry, 2020)</w:t>
      </w:r>
    </w:p>
    <w:p w14:paraId="6E669230" w14:textId="77777777" w:rsidR="00F46FA9" w:rsidRPr="008A03BD" w:rsidRDefault="00000000" w:rsidP="002C2C5E">
      <w:pPr>
        <w:spacing w:line="480" w:lineRule="auto"/>
        <w:jc w:val="both"/>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color w:val="000000" w:themeColor="text1"/>
          <w:sz w:val="24"/>
          <w:szCs w:val="24"/>
        </w:rPr>
        <w:t xml:space="preserve">It can be examined from the above that the chief elements of Carroll's pyramid are legal, environmental, discretionary and ethical </w:t>
      </w:r>
      <w:r w:rsidR="001508B0" w:rsidRPr="008A03BD">
        <w:rPr>
          <w:rFonts w:ascii="Times New Roman" w:eastAsia="Times New Roman" w:hAnsi="Times New Roman" w:cs="Times New Roman"/>
          <w:color w:val="000000" w:themeColor="text1"/>
          <w:sz w:val="24"/>
          <w:szCs w:val="24"/>
        </w:rPr>
        <w:t xml:space="preserve">practices. </w:t>
      </w:r>
      <w:r w:rsidRPr="008A03BD">
        <w:rPr>
          <w:rFonts w:ascii="Times New Roman" w:eastAsia="Times New Roman" w:hAnsi="Times New Roman" w:cs="Times New Roman"/>
          <w:color w:val="000000" w:themeColor="text1"/>
          <w:sz w:val="24"/>
          <w:szCs w:val="24"/>
        </w:rPr>
        <w:t xml:space="preserve">The integration of these aspects needs to be reinforced by the daily functioning of </w:t>
      </w:r>
      <w:r w:rsidR="001508B0" w:rsidRPr="008A03BD">
        <w:rPr>
          <w:rFonts w:ascii="Times New Roman" w:eastAsia="Times New Roman" w:hAnsi="Times New Roman" w:cs="Times New Roman"/>
          <w:color w:val="000000" w:themeColor="text1"/>
          <w:sz w:val="24"/>
          <w:szCs w:val="24"/>
        </w:rPr>
        <w:t>an organisation</w:t>
      </w:r>
      <w:r w:rsidRPr="008A03BD">
        <w:rPr>
          <w:rFonts w:ascii="Times New Roman" w:eastAsia="Times New Roman" w:hAnsi="Times New Roman" w:cs="Times New Roman"/>
          <w:color w:val="000000" w:themeColor="text1"/>
          <w:sz w:val="24"/>
          <w:szCs w:val="24"/>
        </w:rPr>
        <w:t xml:space="preserve"> (</w:t>
      </w:r>
      <w:r w:rsidRPr="008A03BD">
        <w:rPr>
          <w:rFonts w:ascii="Times New Roman" w:hAnsi="Times New Roman" w:cs="Times New Roman"/>
          <w:color w:val="000000" w:themeColor="text1"/>
          <w:sz w:val="24"/>
          <w:szCs w:val="24"/>
          <w:highlight w:val="white"/>
        </w:rPr>
        <w:t>Talonen et al., 2021</w:t>
      </w:r>
      <w:r w:rsidRPr="008A03BD">
        <w:rPr>
          <w:rFonts w:ascii="Times New Roman" w:eastAsia="Times New Roman" w:hAnsi="Times New Roman" w:cs="Times New Roman"/>
          <w:color w:val="000000" w:themeColor="text1"/>
          <w:sz w:val="24"/>
          <w:szCs w:val="24"/>
        </w:rPr>
        <w:t xml:space="preserve">).  The Hilton Group has adequately adopted these aspects to consolidate its position in the hospitality market. The legal aspects have for instance been managed by adhering to environmental regulations and rules. The management of this aspect has allowed for diminishing the adverse impact on the environment. The promotion of community services has managed the philanthropic aspect. For example, WaterAid, which is recognised as a Grantee of the Hilton Foundation, has installed </w:t>
      </w:r>
      <w:r w:rsidR="001508B0" w:rsidRPr="008A03BD">
        <w:rPr>
          <w:rFonts w:ascii="Times New Roman" w:eastAsia="Times New Roman" w:hAnsi="Times New Roman" w:cs="Times New Roman"/>
          <w:color w:val="000000" w:themeColor="text1"/>
          <w:sz w:val="24"/>
          <w:szCs w:val="24"/>
        </w:rPr>
        <w:t>a local water point in Tanzania</w:t>
      </w:r>
      <w:r w:rsidRPr="008A03BD">
        <w:rPr>
          <w:rFonts w:ascii="Times New Roman" w:eastAsia="Times New Roman" w:hAnsi="Times New Roman" w:cs="Times New Roman"/>
          <w:color w:val="000000" w:themeColor="text1"/>
          <w:sz w:val="24"/>
          <w:szCs w:val="24"/>
        </w:rPr>
        <w:t>.</w:t>
      </w:r>
      <w:r w:rsidR="001508B0"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color w:val="000000" w:themeColor="text1"/>
          <w:sz w:val="24"/>
          <w:szCs w:val="24"/>
        </w:rPr>
        <w:t xml:space="preserve">It has helped the local community members to save time in procuring water for drinking and household chores (Hilton, 2023). </w:t>
      </w:r>
    </w:p>
    <w:p w14:paraId="70032A8E" w14:textId="64AE96DA" w:rsidR="00F46FA9" w:rsidRPr="008A03BD" w:rsidRDefault="00000000" w:rsidP="002C2C5E">
      <w:pPr>
        <w:pStyle w:val="Heading1"/>
        <w:spacing w:line="480" w:lineRule="auto"/>
      </w:pPr>
      <w:bookmarkStart w:id="5" w:name="_Toc149577189"/>
      <w:r w:rsidRPr="008A03BD">
        <w:lastRenderedPageBreak/>
        <w:t>Organisation's Strategic Direction</w:t>
      </w:r>
      <w:bookmarkEnd w:id="5"/>
    </w:p>
    <w:p w14:paraId="448471D0"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The strategic direction of the Hilton Group is directed towards developing premium hospitality services for its customers (Hilton, 2023). The concerned group had included online platforms such as social media sites for informing and showcasing its amenities to international customers. At the individual level, customer care representatives have been appointed to establish a reciprocal connection with the guests. Simultaneously</w:t>
      </w:r>
      <w:r w:rsidR="00917E02" w:rsidRPr="008A03BD">
        <w:rPr>
          <w:rFonts w:ascii="Times New Roman" w:eastAsia="Times New Roman" w:hAnsi="Times New Roman" w:cs="Times New Roman"/>
          <w:color w:val="000000" w:themeColor="text1"/>
          <w:sz w:val="24"/>
          <w:szCs w:val="24"/>
        </w:rPr>
        <w:t>, at</w:t>
      </w:r>
      <w:r w:rsidRPr="008A03BD">
        <w:rPr>
          <w:rFonts w:ascii="Times New Roman" w:eastAsia="Times New Roman" w:hAnsi="Times New Roman" w:cs="Times New Roman"/>
          <w:color w:val="000000" w:themeColor="text1"/>
          <w:sz w:val="24"/>
          <w:szCs w:val="24"/>
        </w:rPr>
        <w:t xml:space="preserve"> the corporate level, professional tactics have been integrated to give the Hilton Group goals and objectives a strategic direction. This has been possible by considering initiatives of sustainability and employee retention and engagement (</w:t>
      </w:r>
      <w:r w:rsidRPr="008A03BD">
        <w:rPr>
          <w:rFonts w:ascii="Times New Roman" w:hAnsi="Times New Roman" w:cs="Times New Roman"/>
          <w:color w:val="000000" w:themeColor="text1"/>
          <w:sz w:val="24"/>
          <w:szCs w:val="24"/>
          <w:highlight w:val="white"/>
        </w:rPr>
        <w:t>Madanaguli et al., 2022</w:t>
      </w:r>
      <w:r w:rsidRPr="008A03BD">
        <w:rPr>
          <w:rFonts w:ascii="Times New Roman" w:eastAsia="Times New Roman" w:hAnsi="Times New Roman" w:cs="Times New Roman"/>
          <w:color w:val="000000" w:themeColor="text1"/>
          <w:sz w:val="24"/>
          <w:szCs w:val="24"/>
        </w:rPr>
        <w:t xml:space="preserve">). </w:t>
      </w:r>
    </w:p>
    <w:p w14:paraId="280F0584" w14:textId="77777777" w:rsidR="00F46FA9" w:rsidRPr="008A03BD" w:rsidRDefault="00000000" w:rsidP="002C2C5E">
      <w:pPr>
        <w:spacing w:line="480" w:lineRule="auto"/>
        <w:jc w:val="both"/>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color w:val="000000" w:themeColor="text1"/>
          <w:sz w:val="24"/>
          <w:szCs w:val="24"/>
        </w:rPr>
        <w:t xml:space="preserve">The guests favour hotels and resorts </w:t>
      </w:r>
      <w:r w:rsidR="00A370F6" w:rsidRPr="008A03BD">
        <w:rPr>
          <w:rFonts w:ascii="Times New Roman" w:eastAsia="Times New Roman" w:hAnsi="Times New Roman" w:cs="Times New Roman"/>
          <w:color w:val="000000" w:themeColor="text1"/>
          <w:sz w:val="24"/>
          <w:szCs w:val="24"/>
        </w:rPr>
        <w:t xml:space="preserve">that promote </w:t>
      </w:r>
      <w:r w:rsidRPr="008A03BD">
        <w:rPr>
          <w:rFonts w:ascii="Times New Roman" w:eastAsia="Times New Roman" w:hAnsi="Times New Roman" w:cs="Times New Roman"/>
          <w:color w:val="000000" w:themeColor="text1"/>
          <w:sz w:val="24"/>
          <w:szCs w:val="24"/>
        </w:rPr>
        <w:t xml:space="preserve">value to the environment and help </w:t>
      </w:r>
      <w:r w:rsidR="00917E02" w:rsidRPr="008A03BD">
        <w:rPr>
          <w:rFonts w:ascii="Times New Roman" w:eastAsia="Times New Roman" w:hAnsi="Times New Roman" w:cs="Times New Roman"/>
          <w:color w:val="000000" w:themeColor="text1"/>
          <w:sz w:val="24"/>
          <w:szCs w:val="24"/>
        </w:rPr>
        <w:t>in the protection</w:t>
      </w:r>
      <w:r w:rsidRPr="008A03BD">
        <w:rPr>
          <w:rFonts w:ascii="Times New Roman" w:eastAsia="Times New Roman" w:hAnsi="Times New Roman" w:cs="Times New Roman"/>
          <w:color w:val="000000" w:themeColor="text1"/>
          <w:sz w:val="24"/>
          <w:szCs w:val="24"/>
        </w:rPr>
        <w:t xml:space="preserve"> of biodiversity. These aspects have been effectively highlighted in the communication and advertising policy. The communication takes place by making the guest aware of the initiative, such as recycling and reusing resources. The social media posts on Facebook and Instagram showcase the hotel room and amenities that have been offered. Apart from these, videos and short reels have been posted on social media sites to make the consumer aware of the sophisticated services. The visual appeal creates an immediate effect on the guests, facilitating its strategic direction of offering premium hospitality services. </w:t>
      </w:r>
    </w:p>
    <w:p w14:paraId="63536155" w14:textId="77777777" w:rsidR="00F46FA9" w:rsidRPr="008A03BD" w:rsidRDefault="00000000" w:rsidP="002C2C5E">
      <w:pPr>
        <w:pStyle w:val="Heading1"/>
        <w:spacing w:line="480" w:lineRule="auto"/>
        <w:rPr>
          <w:color w:val="000000" w:themeColor="text1"/>
        </w:rPr>
      </w:pPr>
      <w:bookmarkStart w:id="6" w:name="_Toc149577190"/>
      <w:r w:rsidRPr="008A03BD">
        <w:rPr>
          <w:color w:val="000000" w:themeColor="text1"/>
        </w:rPr>
        <w:t>Current business performance</w:t>
      </w:r>
      <w:bookmarkEnd w:id="6"/>
    </w:p>
    <w:p w14:paraId="10C9E58E"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The present business performance of Hilton Group has perceived a profitable journey by initiatives of sustainability and employee participation. The revenue from the Holdings of Hilton Group has seen a rise of 8.77 billion USD in 2022 (Statista, 2023).  The revenue has increased from 5.79 billion USD in 2021. Similarly, the value of the hotel brand of Hilton Group has increased to 12.04 </w:t>
      </w:r>
      <w:r w:rsidRPr="008A03BD">
        <w:rPr>
          <w:rFonts w:ascii="Times New Roman" w:eastAsia="Times New Roman" w:hAnsi="Times New Roman" w:cs="Times New Roman"/>
          <w:color w:val="000000" w:themeColor="text1"/>
          <w:sz w:val="24"/>
          <w:szCs w:val="24"/>
        </w:rPr>
        <w:lastRenderedPageBreak/>
        <w:t xml:space="preserve">billion as of </w:t>
      </w:r>
      <w:r w:rsidR="00917E02" w:rsidRPr="008A03BD">
        <w:rPr>
          <w:rFonts w:ascii="Times New Roman" w:eastAsia="Times New Roman" w:hAnsi="Times New Roman" w:cs="Times New Roman"/>
          <w:color w:val="000000" w:themeColor="text1"/>
          <w:sz w:val="24"/>
          <w:szCs w:val="24"/>
        </w:rPr>
        <w:t>2022 (</w:t>
      </w:r>
      <w:r w:rsidRPr="008A03BD">
        <w:rPr>
          <w:rFonts w:ascii="Times New Roman" w:eastAsia="Times New Roman" w:hAnsi="Times New Roman" w:cs="Times New Roman"/>
          <w:color w:val="000000" w:themeColor="text1"/>
          <w:sz w:val="24"/>
          <w:szCs w:val="24"/>
        </w:rPr>
        <w:t xml:space="preserve">Statista, 2023). This value is considered the highest for any hotel brand internationally in </w:t>
      </w:r>
      <w:r w:rsidR="00917E02" w:rsidRPr="008A03BD">
        <w:rPr>
          <w:rFonts w:ascii="Times New Roman" w:eastAsia="Times New Roman" w:hAnsi="Times New Roman" w:cs="Times New Roman"/>
          <w:color w:val="000000" w:themeColor="text1"/>
          <w:sz w:val="24"/>
          <w:szCs w:val="24"/>
        </w:rPr>
        <w:t>2022 (</w:t>
      </w:r>
      <w:r w:rsidRPr="008A03BD">
        <w:rPr>
          <w:rFonts w:ascii="Times New Roman" w:eastAsia="Times New Roman" w:hAnsi="Times New Roman" w:cs="Times New Roman"/>
          <w:color w:val="000000" w:themeColor="text1"/>
          <w:sz w:val="24"/>
          <w:szCs w:val="24"/>
        </w:rPr>
        <w:t xml:space="preserve">Statista, 2023).  The business performance of </w:t>
      </w:r>
      <w:r w:rsidR="00917E02" w:rsidRPr="008A03BD">
        <w:rPr>
          <w:rFonts w:ascii="Times New Roman" w:eastAsia="Times New Roman" w:hAnsi="Times New Roman" w:cs="Times New Roman"/>
          <w:color w:val="000000" w:themeColor="text1"/>
          <w:sz w:val="24"/>
          <w:szCs w:val="24"/>
        </w:rPr>
        <w:t>the Hilton</w:t>
      </w:r>
      <w:r w:rsidRPr="008A03BD">
        <w:rPr>
          <w:rFonts w:ascii="Times New Roman" w:eastAsia="Times New Roman" w:hAnsi="Times New Roman" w:cs="Times New Roman"/>
          <w:color w:val="000000" w:themeColor="text1"/>
          <w:sz w:val="24"/>
          <w:szCs w:val="24"/>
        </w:rPr>
        <w:t xml:space="preserve"> group further facilitated new tactics for supplementing its business reputation. For instance, the concerned organisation has saved approximately 1 billion dollars from energy through </w:t>
      </w:r>
      <w:r w:rsidR="00917E02" w:rsidRPr="008A03BD">
        <w:rPr>
          <w:rFonts w:ascii="Times New Roman" w:eastAsia="Times New Roman" w:hAnsi="Times New Roman" w:cs="Times New Roman"/>
          <w:color w:val="000000" w:themeColor="text1"/>
          <w:sz w:val="24"/>
          <w:szCs w:val="24"/>
        </w:rPr>
        <w:t>the Light stay</w:t>
      </w:r>
      <w:r w:rsidRPr="008A03BD">
        <w:rPr>
          <w:rFonts w:ascii="Times New Roman" w:eastAsia="Times New Roman" w:hAnsi="Times New Roman" w:cs="Times New Roman"/>
          <w:color w:val="000000" w:themeColor="text1"/>
          <w:sz w:val="24"/>
          <w:szCs w:val="24"/>
        </w:rPr>
        <w:t xml:space="preserve">. Therefore, the Hilton Group has effectively managed its hospitality services to maintain and accept its present business performance. </w:t>
      </w:r>
    </w:p>
    <w:p w14:paraId="2C782CBD"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b/>
          <w:color w:val="000000" w:themeColor="text1"/>
          <w:sz w:val="24"/>
          <w:szCs w:val="24"/>
        </w:rPr>
        <w:t xml:space="preserve">The theory of stakeholders </w:t>
      </w:r>
      <w:r w:rsidRPr="008A03BD">
        <w:rPr>
          <w:rFonts w:ascii="Times New Roman" w:eastAsia="Times New Roman" w:hAnsi="Times New Roman" w:cs="Times New Roman"/>
          <w:color w:val="000000" w:themeColor="text1"/>
          <w:sz w:val="24"/>
          <w:szCs w:val="24"/>
        </w:rPr>
        <w:t xml:space="preserve">can be useful for understanding the position of the Hilton Group. </w:t>
      </w:r>
    </w:p>
    <w:p w14:paraId="19591253" w14:textId="77777777" w:rsidR="00F46FA9" w:rsidRPr="008A03BD" w:rsidRDefault="00000000" w:rsidP="002C2C5E">
      <w:pPr>
        <w:spacing w:line="480" w:lineRule="auto"/>
        <w:jc w:val="center"/>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noProof/>
          <w:color w:val="000000" w:themeColor="text1"/>
          <w:sz w:val="24"/>
          <w:szCs w:val="24"/>
        </w:rPr>
        <w:drawing>
          <wp:inline distT="114300" distB="114300" distL="114300" distR="114300" wp14:anchorId="6D94692B" wp14:editId="71938237">
            <wp:extent cx="5029200" cy="30765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a:stretch>
                      <a:fillRect/>
                    </a:stretch>
                  </pic:blipFill>
                  <pic:spPr>
                    <a:xfrm>
                      <a:off x="0" y="0"/>
                      <a:ext cx="5029200" cy="3076575"/>
                    </a:xfrm>
                    <a:prstGeom prst="rect">
                      <a:avLst/>
                    </a:prstGeom>
                  </pic:spPr>
                </pic:pic>
              </a:graphicData>
            </a:graphic>
          </wp:inline>
        </w:drawing>
      </w:r>
    </w:p>
    <w:p w14:paraId="0920AE75" w14:textId="77777777" w:rsidR="00F46FA9" w:rsidRPr="008A03BD" w:rsidRDefault="00000000" w:rsidP="002C2C5E">
      <w:pPr>
        <w:spacing w:line="480" w:lineRule="auto"/>
        <w:jc w:val="center"/>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b/>
          <w:color w:val="000000" w:themeColor="text1"/>
          <w:sz w:val="24"/>
          <w:szCs w:val="24"/>
        </w:rPr>
        <w:t>Figure 4: Aspects of Stakeholders Theory</w:t>
      </w:r>
    </w:p>
    <w:p w14:paraId="45D169BD" w14:textId="77777777" w:rsidR="00F46FA9" w:rsidRPr="008A03BD" w:rsidRDefault="00000000" w:rsidP="002C2C5E">
      <w:pPr>
        <w:spacing w:line="480" w:lineRule="auto"/>
        <w:jc w:val="center"/>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Source: (Mashigo, 2020)</w:t>
      </w:r>
    </w:p>
    <w:p w14:paraId="0DD24A16" w14:textId="77777777" w:rsidR="00F46FA9" w:rsidRPr="008A03BD" w:rsidRDefault="00000000" w:rsidP="002C2C5E">
      <w:pPr>
        <w:spacing w:line="480" w:lineRule="auto"/>
        <w:jc w:val="both"/>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color w:val="000000" w:themeColor="text1"/>
          <w:sz w:val="24"/>
          <w:szCs w:val="24"/>
        </w:rPr>
        <w:t>The theory upholds the importance of giving value to the stakeholders apart from the shareholders (</w:t>
      </w:r>
      <w:r w:rsidRPr="008A03BD">
        <w:rPr>
          <w:rFonts w:ascii="Times New Roman" w:hAnsi="Times New Roman" w:cs="Times New Roman"/>
          <w:color w:val="000000" w:themeColor="text1"/>
          <w:sz w:val="24"/>
          <w:szCs w:val="24"/>
          <w:highlight w:val="white"/>
        </w:rPr>
        <w:t>Freeman, Dmytriyev and Phillips, 2021</w:t>
      </w:r>
      <w:r w:rsidRPr="008A03BD">
        <w:rPr>
          <w:rFonts w:ascii="Times New Roman" w:eastAsia="Times New Roman" w:hAnsi="Times New Roman" w:cs="Times New Roman"/>
          <w:color w:val="000000" w:themeColor="text1"/>
          <w:sz w:val="24"/>
          <w:szCs w:val="24"/>
        </w:rPr>
        <w:t xml:space="preserve">). The business performance of the Hilton Group has strengthened the relationship between the organisation and the stakeholders.  The profitable position of the concerned group, as seen from the revenue and brand value, shows its prospect among the stakeholders. Concurrently, the theory focuses on adopting appropriate practices, such </w:t>
      </w:r>
      <w:r w:rsidRPr="008A03BD">
        <w:rPr>
          <w:rFonts w:ascii="Times New Roman" w:eastAsia="Times New Roman" w:hAnsi="Times New Roman" w:cs="Times New Roman"/>
          <w:color w:val="000000" w:themeColor="text1"/>
          <w:sz w:val="24"/>
          <w:szCs w:val="24"/>
        </w:rPr>
        <w:lastRenderedPageBreak/>
        <w:t xml:space="preserve">as green initiatives and </w:t>
      </w:r>
      <w:r w:rsidR="00917E02" w:rsidRPr="008A03BD">
        <w:rPr>
          <w:rFonts w:ascii="Times New Roman" w:eastAsia="Times New Roman" w:hAnsi="Times New Roman" w:cs="Times New Roman"/>
          <w:color w:val="000000" w:themeColor="text1"/>
          <w:sz w:val="24"/>
          <w:szCs w:val="24"/>
        </w:rPr>
        <w:t>employee</w:t>
      </w:r>
      <w:r w:rsidRPr="008A03BD">
        <w:rPr>
          <w:rFonts w:ascii="Times New Roman" w:eastAsia="Times New Roman" w:hAnsi="Times New Roman" w:cs="Times New Roman"/>
          <w:color w:val="000000" w:themeColor="text1"/>
          <w:sz w:val="24"/>
          <w:szCs w:val="24"/>
        </w:rPr>
        <w:t xml:space="preserve"> retention, for engaging stakeholders. Both at individual and corporate levels, the </w:t>
      </w:r>
      <w:r w:rsidR="0008496A" w:rsidRPr="008A03BD">
        <w:rPr>
          <w:rFonts w:ascii="Times New Roman" w:eastAsia="Times New Roman" w:hAnsi="Times New Roman" w:cs="Times New Roman"/>
          <w:color w:val="000000" w:themeColor="text1"/>
          <w:sz w:val="24"/>
          <w:szCs w:val="24"/>
        </w:rPr>
        <w:t>Hilton</w:t>
      </w:r>
      <w:r w:rsidRPr="008A03BD">
        <w:rPr>
          <w:rFonts w:ascii="Times New Roman" w:eastAsia="Times New Roman" w:hAnsi="Times New Roman" w:cs="Times New Roman"/>
          <w:color w:val="000000" w:themeColor="text1"/>
          <w:sz w:val="24"/>
          <w:szCs w:val="24"/>
        </w:rPr>
        <w:t xml:space="preserve"> group is aiming to imagine tots relationship with the stakeholders. </w:t>
      </w:r>
    </w:p>
    <w:p w14:paraId="5770D9F9" w14:textId="77777777" w:rsidR="00F46FA9" w:rsidRPr="008A03BD" w:rsidRDefault="00000000" w:rsidP="002C2C5E">
      <w:pPr>
        <w:pStyle w:val="Heading1"/>
        <w:spacing w:line="480" w:lineRule="auto"/>
        <w:rPr>
          <w:color w:val="000000" w:themeColor="text1"/>
        </w:rPr>
      </w:pPr>
      <w:bookmarkStart w:id="7" w:name="_Toc149577191"/>
      <w:r w:rsidRPr="008A03BD">
        <w:rPr>
          <w:color w:val="000000" w:themeColor="text1"/>
        </w:rPr>
        <w:t>Conclusion</w:t>
      </w:r>
      <w:bookmarkEnd w:id="7"/>
    </w:p>
    <w:p w14:paraId="1F671733" w14:textId="77777777" w:rsidR="00F46FA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It can be summarised from the above discussion, the prospective position that is enjoyed by Hilton Group in the international hospitality industry. The concerned group has undertaken new initiatives for sustainability and inclusion of furloughed employees. These initiatives have created a positive impact on the organisational operations and strengthened its relationship with the stakeholders. </w:t>
      </w:r>
    </w:p>
    <w:p w14:paraId="50F1CF07" w14:textId="77777777" w:rsidR="00F46FA9" w:rsidRPr="008A03BD" w:rsidRDefault="00F46FA9" w:rsidP="002C2C5E">
      <w:pPr>
        <w:spacing w:line="480" w:lineRule="auto"/>
        <w:jc w:val="both"/>
        <w:rPr>
          <w:rFonts w:ascii="Times New Roman" w:eastAsia="Times New Roman" w:hAnsi="Times New Roman" w:cs="Times New Roman"/>
          <w:color w:val="000000" w:themeColor="text1"/>
          <w:sz w:val="24"/>
          <w:szCs w:val="24"/>
        </w:rPr>
      </w:pPr>
    </w:p>
    <w:p w14:paraId="67A00EAA" w14:textId="77777777" w:rsidR="00114AC1" w:rsidRPr="008A03BD" w:rsidRDefault="00000000" w:rsidP="002C2C5E">
      <w:pPr>
        <w:spacing w:line="480" w:lineRule="auto"/>
        <w:rPr>
          <w:rFonts w:ascii="Times New Roman" w:eastAsia="Times New Roman" w:hAnsi="Times New Roman" w:cs="Times New Roman"/>
          <w:b/>
          <w:color w:val="000000" w:themeColor="text1"/>
          <w:sz w:val="24"/>
          <w:szCs w:val="24"/>
        </w:rPr>
      </w:pPr>
      <w:r w:rsidRPr="008A03BD">
        <w:rPr>
          <w:rFonts w:ascii="Times New Roman" w:eastAsia="Times New Roman" w:hAnsi="Times New Roman" w:cs="Times New Roman"/>
          <w:b/>
          <w:color w:val="000000" w:themeColor="text1"/>
          <w:sz w:val="24"/>
          <w:szCs w:val="24"/>
        </w:rPr>
        <w:br w:type="page"/>
      </w:r>
    </w:p>
    <w:p w14:paraId="025F88C5" w14:textId="77777777" w:rsidR="00F46FA9" w:rsidRPr="008A03BD" w:rsidRDefault="00000000" w:rsidP="002C2C5E">
      <w:pPr>
        <w:pStyle w:val="Heading1"/>
        <w:spacing w:line="480" w:lineRule="auto"/>
        <w:rPr>
          <w:color w:val="000000" w:themeColor="text1"/>
        </w:rPr>
      </w:pPr>
      <w:bookmarkStart w:id="8" w:name="_Toc149577192"/>
      <w:r w:rsidRPr="008A03BD">
        <w:rPr>
          <w:color w:val="000000" w:themeColor="text1"/>
        </w:rPr>
        <w:lastRenderedPageBreak/>
        <w:t>Reference List</w:t>
      </w:r>
      <w:bookmarkEnd w:id="8"/>
    </w:p>
    <w:p w14:paraId="260EAE75" w14:textId="77777777" w:rsidR="00E259F2" w:rsidRPr="008A03BD" w:rsidRDefault="00000000" w:rsidP="002C2C5E">
      <w:pPr>
        <w:spacing w:line="480" w:lineRule="auto"/>
        <w:jc w:val="both"/>
        <w:rPr>
          <w:rFonts w:ascii="Times New Roman" w:hAnsi="Times New Roman" w:cs="Times New Roman"/>
          <w:color w:val="000000" w:themeColor="text1"/>
          <w:sz w:val="24"/>
          <w:szCs w:val="24"/>
          <w:highlight w:val="white"/>
        </w:rPr>
      </w:pPr>
      <w:r w:rsidRPr="008A03BD">
        <w:rPr>
          <w:rFonts w:ascii="Times New Roman" w:hAnsi="Times New Roman" w:cs="Times New Roman"/>
          <w:color w:val="000000" w:themeColor="text1"/>
          <w:sz w:val="24"/>
          <w:szCs w:val="24"/>
          <w:highlight w:val="white"/>
        </w:rPr>
        <w:t xml:space="preserve">Freeman, R.E., Dmytriyev, S.D. and Phillips, R.A., (2021) ‘Stakeholder theory and the resource-based view of the firm’, </w:t>
      </w:r>
      <w:r w:rsidRPr="008A03BD">
        <w:rPr>
          <w:rFonts w:ascii="Times New Roman" w:hAnsi="Times New Roman" w:cs="Times New Roman"/>
          <w:i/>
          <w:color w:val="000000" w:themeColor="text1"/>
          <w:sz w:val="24"/>
          <w:szCs w:val="24"/>
          <w:highlight w:val="white"/>
        </w:rPr>
        <w:t>Journal of Management</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47</w:t>
      </w:r>
      <w:r w:rsidRPr="008A03BD">
        <w:rPr>
          <w:rFonts w:ascii="Times New Roman" w:hAnsi="Times New Roman" w:cs="Times New Roman"/>
          <w:color w:val="000000" w:themeColor="text1"/>
          <w:sz w:val="24"/>
          <w:szCs w:val="24"/>
          <w:highlight w:val="white"/>
        </w:rPr>
        <w:t>(7), pp.1757-1770.</w:t>
      </w:r>
    </w:p>
    <w:p w14:paraId="1C477D86"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HBS (2020) </w:t>
      </w:r>
      <w:r w:rsidRPr="008A03BD">
        <w:rPr>
          <w:rFonts w:ascii="Times New Roman" w:eastAsia="Times New Roman" w:hAnsi="Times New Roman" w:cs="Times New Roman"/>
          <w:i/>
          <w:color w:val="000000" w:themeColor="text1"/>
          <w:sz w:val="24"/>
          <w:szCs w:val="24"/>
        </w:rPr>
        <w:t>The triple bottom line: What it is &amp; why it’s important</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Business Insights Blog</w:t>
      </w:r>
      <w:r w:rsidRPr="008A03BD">
        <w:rPr>
          <w:rFonts w:ascii="Times New Roman" w:eastAsia="Times New Roman" w:hAnsi="Times New Roman" w:cs="Times New Roman"/>
          <w:color w:val="000000" w:themeColor="text1"/>
          <w:sz w:val="24"/>
          <w:szCs w:val="24"/>
        </w:rPr>
        <w:t>. Available at: https://online.hbs.edu/blog/post/what-is-the-triple-bottom-line (Accessed: 30 October 2023).</w:t>
      </w:r>
    </w:p>
    <w:p w14:paraId="7DA73EF0"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Hilton (2023) </w:t>
      </w:r>
      <w:r w:rsidRPr="008A03BD">
        <w:rPr>
          <w:rFonts w:ascii="Times New Roman" w:eastAsia="Times New Roman" w:hAnsi="Times New Roman" w:cs="Times New Roman"/>
          <w:i/>
          <w:color w:val="000000" w:themeColor="text1"/>
          <w:sz w:val="24"/>
          <w:szCs w:val="24"/>
        </w:rPr>
        <w:t>2030 goals: Travel with purpose: Hilton ESG</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Travel With Purpose | Hilton ESG</w:t>
      </w:r>
      <w:r w:rsidRPr="008A03BD">
        <w:rPr>
          <w:rFonts w:ascii="Times New Roman" w:eastAsia="Times New Roman" w:hAnsi="Times New Roman" w:cs="Times New Roman"/>
          <w:color w:val="000000" w:themeColor="text1"/>
          <w:sz w:val="24"/>
          <w:szCs w:val="24"/>
        </w:rPr>
        <w:t>. Available at: https://esg.hilton.com/2030-goals/ (Accessed: 30 October 2023).</w:t>
      </w:r>
    </w:p>
    <w:p w14:paraId="14268569"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Hilton (2023) </w:t>
      </w:r>
      <w:r w:rsidRPr="008A03BD">
        <w:rPr>
          <w:rFonts w:ascii="Times New Roman" w:eastAsia="Times New Roman" w:hAnsi="Times New Roman" w:cs="Times New Roman"/>
          <w:i/>
          <w:color w:val="000000" w:themeColor="text1"/>
          <w:sz w:val="24"/>
          <w:szCs w:val="24"/>
        </w:rPr>
        <w:t>2030 goals: Travel with purpose: Hilton ESG</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Travel With Purpose | Hilton ESG</w:t>
      </w:r>
      <w:r w:rsidRPr="008A03BD">
        <w:rPr>
          <w:rFonts w:ascii="Times New Roman" w:eastAsia="Times New Roman" w:hAnsi="Times New Roman" w:cs="Times New Roman"/>
          <w:color w:val="000000" w:themeColor="text1"/>
          <w:sz w:val="24"/>
          <w:szCs w:val="24"/>
        </w:rPr>
        <w:t>. Available at: https://esg.hilton.com/2030-goals/ (Accessed: 30 October 2023).</w:t>
      </w:r>
    </w:p>
    <w:p w14:paraId="24D8C950"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Hilton (2023) </w:t>
      </w:r>
      <w:r w:rsidRPr="008A03BD">
        <w:rPr>
          <w:rFonts w:ascii="Times New Roman" w:eastAsia="Times New Roman" w:hAnsi="Times New Roman" w:cs="Times New Roman"/>
          <w:i/>
          <w:color w:val="000000" w:themeColor="text1"/>
          <w:sz w:val="24"/>
          <w:szCs w:val="24"/>
        </w:rPr>
        <w:t>Company management</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Investors</w:t>
      </w:r>
      <w:r w:rsidRPr="008A03BD">
        <w:rPr>
          <w:rFonts w:ascii="Times New Roman" w:eastAsia="Times New Roman" w:hAnsi="Times New Roman" w:cs="Times New Roman"/>
          <w:color w:val="000000" w:themeColor="text1"/>
          <w:sz w:val="24"/>
          <w:szCs w:val="24"/>
        </w:rPr>
        <w:t>. Available at: https://ir.hilton.com/corporate-governance/management (Accessed: 30 October 2023).</w:t>
      </w:r>
    </w:p>
    <w:p w14:paraId="2BAFD66F"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Hilton (2023) </w:t>
      </w:r>
      <w:r w:rsidRPr="008A03BD">
        <w:rPr>
          <w:rFonts w:ascii="Times New Roman" w:eastAsia="Times New Roman" w:hAnsi="Times New Roman" w:cs="Times New Roman"/>
          <w:i/>
          <w:color w:val="000000" w:themeColor="text1"/>
          <w:sz w:val="24"/>
          <w:szCs w:val="24"/>
        </w:rPr>
        <w:t>Develop a hotel</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Hilton Corporate Site</w:t>
      </w:r>
      <w:r w:rsidRPr="008A03BD">
        <w:rPr>
          <w:rFonts w:ascii="Times New Roman" w:eastAsia="Times New Roman" w:hAnsi="Times New Roman" w:cs="Times New Roman"/>
          <w:color w:val="000000" w:themeColor="text1"/>
          <w:sz w:val="24"/>
          <w:szCs w:val="24"/>
        </w:rPr>
        <w:t>. Available at: https://www.hilton.com/en/corporate/development/hilton-performance-advantage/ (Accessed: 30 October 2023).</w:t>
      </w:r>
    </w:p>
    <w:p w14:paraId="13C22809"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Hilton (2023) </w:t>
      </w:r>
      <w:r w:rsidRPr="008A03BD">
        <w:rPr>
          <w:rFonts w:ascii="Times New Roman" w:eastAsia="Times New Roman" w:hAnsi="Times New Roman" w:cs="Times New Roman"/>
          <w:i/>
          <w:color w:val="000000" w:themeColor="text1"/>
          <w:sz w:val="24"/>
          <w:szCs w:val="24"/>
        </w:rPr>
        <w:t>Environmental impact: Travel with purpose: Hilton ESG</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Travel With Purpose | Hilton ESG</w:t>
      </w:r>
      <w:r w:rsidRPr="008A03BD">
        <w:rPr>
          <w:rFonts w:ascii="Times New Roman" w:eastAsia="Times New Roman" w:hAnsi="Times New Roman" w:cs="Times New Roman"/>
          <w:color w:val="000000" w:themeColor="text1"/>
          <w:sz w:val="24"/>
          <w:szCs w:val="24"/>
        </w:rPr>
        <w:t>. Available at: https://esg.hilton.com/environment/ (Accessed: 30 October 2023).</w:t>
      </w:r>
    </w:p>
    <w:p w14:paraId="1A868E3B"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Hilton (2023) </w:t>
      </w:r>
      <w:r w:rsidRPr="008A03BD">
        <w:rPr>
          <w:rFonts w:ascii="Times New Roman" w:eastAsia="Times New Roman" w:hAnsi="Times New Roman" w:cs="Times New Roman"/>
          <w:i/>
          <w:color w:val="000000" w:themeColor="text1"/>
          <w:sz w:val="24"/>
          <w:szCs w:val="24"/>
        </w:rPr>
        <w:t>Social: Travel with purpose: Hilton ESG</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Travel With Purpose | Hilton ESG</w:t>
      </w:r>
      <w:r w:rsidRPr="008A03BD">
        <w:rPr>
          <w:rFonts w:ascii="Times New Roman" w:eastAsia="Times New Roman" w:hAnsi="Times New Roman" w:cs="Times New Roman"/>
          <w:color w:val="000000" w:themeColor="text1"/>
          <w:sz w:val="24"/>
          <w:szCs w:val="24"/>
        </w:rPr>
        <w:t>. Available at: https://esg.hilton.com/social/ (Accessed: 30 October 2023).</w:t>
      </w:r>
    </w:p>
    <w:p w14:paraId="370B2050"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Hilton (2023) </w:t>
      </w:r>
      <w:r w:rsidRPr="008A03BD">
        <w:rPr>
          <w:rFonts w:ascii="Times New Roman" w:eastAsia="Times New Roman" w:hAnsi="Times New Roman" w:cs="Times New Roman"/>
          <w:i/>
          <w:color w:val="000000" w:themeColor="text1"/>
          <w:sz w:val="24"/>
          <w:szCs w:val="24"/>
        </w:rPr>
        <w:t>Welcome to Hilton</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Hilton Brands | Global Hospitality Company</w:t>
      </w:r>
      <w:r w:rsidRPr="008A03BD">
        <w:rPr>
          <w:rFonts w:ascii="Times New Roman" w:eastAsia="Times New Roman" w:hAnsi="Times New Roman" w:cs="Times New Roman"/>
          <w:color w:val="000000" w:themeColor="text1"/>
          <w:sz w:val="24"/>
          <w:szCs w:val="24"/>
        </w:rPr>
        <w:t>. Available at: https://www.hilton.com/en/corporate/#:~:text=To%20fill%20the%20earth%20with%20the%20light%20and%20warmth%20of,%2C%20every%20guest%2C%20every%20time. (Accessed: 30 October 2023).</w:t>
      </w:r>
    </w:p>
    <w:p w14:paraId="40E35D5A" w14:textId="77777777" w:rsidR="00E259F2" w:rsidRPr="008A03BD" w:rsidRDefault="00000000" w:rsidP="002C2C5E">
      <w:pPr>
        <w:spacing w:line="480" w:lineRule="auto"/>
        <w:jc w:val="both"/>
        <w:rPr>
          <w:rFonts w:ascii="Times New Roman" w:hAnsi="Times New Roman" w:cs="Times New Roman"/>
          <w:color w:val="000000" w:themeColor="text1"/>
          <w:sz w:val="24"/>
          <w:szCs w:val="24"/>
          <w:highlight w:val="white"/>
          <w:u w:val="single"/>
        </w:rPr>
      </w:pPr>
      <w:r w:rsidRPr="008A03BD">
        <w:rPr>
          <w:rFonts w:ascii="Times New Roman" w:hAnsi="Times New Roman" w:cs="Times New Roman"/>
          <w:color w:val="000000" w:themeColor="text1"/>
          <w:sz w:val="24"/>
          <w:szCs w:val="24"/>
          <w:highlight w:val="white"/>
        </w:rPr>
        <w:lastRenderedPageBreak/>
        <w:t xml:space="preserve">Hoang, G., Wilson-Evered, E., Lockstone-Binney, L. and Luu, T.T., (2021) ‘Empowering leadership in hospitality and tourism management: a systematic literature review’, </w:t>
      </w:r>
      <w:r w:rsidRPr="008A03BD">
        <w:rPr>
          <w:rFonts w:ascii="Times New Roman" w:hAnsi="Times New Roman" w:cs="Times New Roman"/>
          <w:i/>
          <w:color w:val="000000" w:themeColor="text1"/>
          <w:sz w:val="24"/>
          <w:szCs w:val="24"/>
          <w:highlight w:val="white"/>
        </w:rPr>
        <w:t>International Journal of Contemporary Hospitality Management</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33</w:t>
      </w:r>
      <w:r w:rsidRPr="008A03BD">
        <w:rPr>
          <w:rFonts w:ascii="Times New Roman" w:hAnsi="Times New Roman" w:cs="Times New Roman"/>
          <w:color w:val="000000" w:themeColor="text1"/>
          <w:sz w:val="24"/>
          <w:szCs w:val="24"/>
          <w:highlight w:val="white"/>
        </w:rPr>
        <w:t>(12), pp.4182-4214.</w:t>
      </w:r>
      <w:hyperlink r:id="rId11">
        <w:r w:rsidRPr="008A03BD">
          <w:rPr>
            <w:rFonts w:ascii="Times New Roman" w:hAnsi="Times New Roman" w:cs="Times New Roman"/>
            <w:color w:val="000000" w:themeColor="text1"/>
            <w:sz w:val="24"/>
            <w:szCs w:val="24"/>
            <w:highlight w:val="white"/>
          </w:rPr>
          <w:t xml:space="preserve"> </w:t>
        </w:r>
      </w:hyperlink>
      <w:r w:rsidRPr="008A03BD">
        <w:rPr>
          <w:rFonts w:ascii="Times New Roman" w:hAnsi="Times New Roman" w:cs="Times New Roman"/>
          <w:color w:val="000000" w:themeColor="text1"/>
          <w:sz w:val="24"/>
          <w:szCs w:val="24"/>
          <w:highlight w:val="white"/>
          <w:u w:val="single"/>
        </w:rPr>
        <w:t xml:space="preserve"> </w:t>
      </w:r>
    </w:p>
    <w:p w14:paraId="6D8119B0" w14:textId="77777777" w:rsidR="00E259F2" w:rsidRPr="008A03BD" w:rsidRDefault="00000000" w:rsidP="002C2C5E">
      <w:pPr>
        <w:spacing w:line="480" w:lineRule="auto"/>
        <w:jc w:val="both"/>
        <w:rPr>
          <w:rFonts w:ascii="Times New Roman" w:hAnsi="Times New Roman" w:cs="Times New Roman"/>
          <w:color w:val="000000" w:themeColor="text1"/>
          <w:sz w:val="24"/>
          <w:szCs w:val="24"/>
          <w:highlight w:val="white"/>
          <w:u w:val="single"/>
        </w:rPr>
      </w:pPr>
      <w:r w:rsidRPr="008A03BD">
        <w:rPr>
          <w:rFonts w:ascii="Times New Roman" w:hAnsi="Times New Roman" w:cs="Times New Roman"/>
          <w:color w:val="000000" w:themeColor="text1"/>
          <w:sz w:val="24"/>
          <w:szCs w:val="24"/>
          <w:highlight w:val="white"/>
        </w:rPr>
        <w:t xml:space="preserve">Khan, S.A.R., Yu, Z. and Farooq, K., (2023) ‘Green capabilities, green purchasing, and triple bottom line performance: Leading toward environmental sustainability’, </w:t>
      </w:r>
      <w:r w:rsidRPr="008A03BD">
        <w:rPr>
          <w:rFonts w:ascii="Times New Roman" w:hAnsi="Times New Roman" w:cs="Times New Roman"/>
          <w:i/>
          <w:color w:val="000000" w:themeColor="text1"/>
          <w:sz w:val="24"/>
          <w:szCs w:val="24"/>
          <w:highlight w:val="white"/>
        </w:rPr>
        <w:t>Business Strategy and the Environment</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32</w:t>
      </w:r>
      <w:r w:rsidRPr="008A03BD">
        <w:rPr>
          <w:rFonts w:ascii="Times New Roman" w:hAnsi="Times New Roman" w:cs="Times New Roman"/>
          <w:color w:val="000000" w:themeColor="text1"/>
          <w:sz w:val="24"/>
          <w:szCs w:val="24"/>
          <w:highlight w:val="white"/>
        </w:rPr>
        <w:t xml:space="preserve">(4), pp.2022-2034. </w:t>
      </w:r>
    </w:p>
    <w:p w14:paraId="0CC36688" w14:textId="77777777" w:rsidR="00667109"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hAnsi="Times New Roman" w:cs="Times New Roman"/>
          <w:color w:val="000000" w:themeColor="text1"/>
          <w:sz w:val="24"/>
          <w:szCs w:val="24"/>
          <w:highlight w:val="white"/>
        </w:rPr>
        <w:t xml:space="preserve">Madanaguli, A., Srivastava, S., Ferraris, A. and Dhir, A., (2022) ‘Corporate social responsibility and sustainability in the tourism sector: A systematic literature review and future outlook’, </w:t>
      </w:r>
      <w:r w:rsidRPr="008A03BD">
        <w:rPr>
          <w:rFonts w:ascii="Times New Roman" w:hAnsi="Times New Roman" w:cs="Times New Roman"/>
          <w:i/>
          <w:color w:val="000000" w:themeColor="text1"/>
          <w:sz w:val="24"/>
          <w:szCs w:val="24"/>
          <w:highlight w:val="white"/>
        </w:rPr>
        <w:t>Sustainable Development</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30</w:t>
      </w:r>
      <w:r w:rsidRPr="008A03BD">
        <w:rPr>
          <w:rFonts w:ascii="Times New Roman" w:hAnsi="Times New Roman" w:cs="Times New Roman"/>
          <w:color w:val="000000" w:themeColor="text1"/>
          <w:sz w:val="24"/>
          <w:szCs w:val="24"/>
          <w:highlight w:val="white"/>
        </w:rPr>
        <w:t xml:space="preserve">(3), pp.447-461. </w:t>
      </w:r>
    </w:p>
    <w:p w14:paraId="3F4130F8"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Mashigo, R. (2020) </w:t>
      </w:r>
      <w:r w:rsidRPr="008A03BD">
        <w:rPr>
          <w:rFonts w:ascii="Times New Roman" w:eastAsia="Times New Roman" w:hAnsi="Times New Roman" w:cs="Times New Roman"/>
          <w:i/>
          <w:color w:val="000000" w:themeColor="text1"/>
          <w:sz w:val="24"/>
          <w:szCs w:val="24"/>
        </w:rPr>
        <w:t>The relevance of stakeholder theory and strategic communication management in current organisations</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LinkedIn</w:t>
      </w:r>
      <w:r w:rsidRPr="008A03BD">
        <w:rPr>
          <w:rFonts w:ascii="Times New Roman" w:eastAsia="Times New Roman" w:hAnsi="Times New Roman" w:cs="Times New Roman"/>
          <w:color w:val="000000" w:themeColor="text1"/>
          <w:sz w:val="24"/>
          <w:szCs w:val="24"/>
        </w:rPr>
        <w:t>. Available at: https://www.linkedin.com/pulse/relevance-stakeholder-theory-strategic-communication-current-mashigo/ (Accessed: 30 October 2023).</w:t>
      </w:r>
    </w:p>
    <w:p w14:paraId="43007176"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Perry, P. (2020) </w:t>
      </w:r>
      <w:r w:rsidRPr="008A03BD">
        <w:rPr>
          <w:rFonts w:ascii="Times New Roman" w:eastAsia="Times New Roman" w:hAnsi="Times New Roman" w:cs="Times New Roman"/>
          <w:i/>
          <w:color w:val="000000" w:themeColor="text1"/>
          <w:sz w:val="24"/>
          <w:szCs w:val="24"/>
        </w:rPr>
        <w:t>Understanding &amp; Applying Carroll’s Pyramid of Corporate Social Responsibility</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Submittable Blog</w:t>
      </w:r>
      <w:r w:rsidRPr="008A03BD">
        <w:rPr>
          <w:rFonts w:ascii="Times New Roman" w:eastAsia="Times New Roman" w:hAnsi="Times New Roman" w:cs="Times New Roman"/>
          <w:color w:val="000000" w:themeColor="text1"/>
          <w:sz w:val="24"/>
          <w:szCs w:val="24"/>
        </w:rPr>
        <w:t>. Available at: https://blog.submittable.com/carrolls-pyramid-of-corporate-social-responsibility/ (Accessed: 30 October 2023).</w:t>
      </w:r>
    </w:p>
    <w:p w14:paraId="030D8DC5"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Perry, P. (2023) </w:t>
      </w:r>
      <w:r w:rsidRPr="008A03BD">
        <w:rPr>
          <w:rFonts w:ascii="Times New Roman" w:eastAsia="Times New Roman" w:hAnsi="Times New Roman" w:cs="Times New Roman"/>
          <w:i/>
          <w:color w:val="000000" w:themeColor="text1"/>
          <w:sz w:val="24"/>
          <w:szCs w:val="24"/>
        </w:rPr>
        <w:t>Understanding &amp; Applying Carroll’s Pyramid of Corporate Social Responsibility</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Submittable Blog</w:t>
      </w:r>
      <w:r w:rsidRPr="008A03BD">
        <w:rPr>
          <w:rFonts w:ascii="Times New Roman" w:eastAsia="Times New Roman" w:hAnsi="Times New Roman" w:cs="Times New Roman"/>
          <w:color w:val="000000" w:themeColor="text1"/>
          <w:sz w:val="24"/>
          <w:szCs w:val="24"/>
        </w:rPr>
        <w:t xml:space="preserve">. Available at: https://blog.submittable.com/carrolls-pyramid-of-corporate-social-responsibility/ (Accessed: 30 October 2023). </w:t>
      </w:r>
    </w:p>
    <w:p w14:paraId="3A046023"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hAnsi="Times New Roman" w:cs="Times New Roman"/>
          <w:color w:val="000000" w:themeColor="text1"/>
          <w:sz w:val="24"/>
          <w:szCs w:val="24"/>
          <w:highlight w:val="white"/>
        </w:rPr>
        <w:t xml:space="preserve">Pham, N.T., Hoang, H.T. and Phan, Q.P.T., (2020) ‘Green human resource management: a comprehensive review and future research agenda’, </w:t>
      </w:r>
      <w:r w:rsidRPr="008A03BD">
        <w:rPr>
          <w:rFonts w:ascii="Times New Roman" w:hAnsi="Times New Roman" w:cs="Times New Roman"/>
          <w:i/>
          <w:color w:val="000000" w:themeColor="text1"/>
          <w:sz w:val="24"/>
          <w:szCs w:val="24"/>
          <w:highlight w:val="white"/>
        </w:rPr>
        <w:t>International Journal of Manpower</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41</w:t>
      </w:r>
      <w:r w:rsidRPr="008A03BD">
        <w:rPr>
          <w:rFonts w:ascii="Times New Roman" w:hAnsi="Times New Roman" w:cs="Times New Roman"/>
          <w:color w:val="000000" w:themeColor="text1"/>
          <w:sz w:val="24"/>
          <w:szCs w:val="24"/>
          <w:highlight w:val="white"/>
        </w:rPr>
        <w:t xml:space="preserve">(7), pp.845-878. </w:t>
      </w:r>
    </w:p>
    <w:p w14:paraId="54E8E094" w14:textId="77777777" w:rsidR="00E259F2" w:rsidRPr="008A03BD" w:rsidRDefault="00000000" w:rsidP="002C2C5E">
      <w:pPr>
        <w:spacing w:line="480" w:lineRule="auto"/>
        <w:jc w:val="both"/>
        <w:rPr>
          <w:rFonts w:ascii="Times New Roman" w:hAnsi="Times New Roman" w:cs="Times New Roman"/>
          <w:color w:val="000000" w:themeColor="text1"/>
          <w:sz w:val="24"/>
          <w:szCs w:val="24"/>
          <w:highlight w:val="white"/>
          <w:u w:val="single"/>
        </w:rPr>
      </w:pPr>
      <w:r w:rsidRPr="008A03BD">
        <w:rPr>
          <w:rFonts w:ascii="Times New Roman" w:hAnsi="Times New Roman" w:cs="Times New Roman"/>
          <w:color w:val="000000" w:themeColor="text1"/>
          <w:sz w:val="24"/>
          <w:szCs w:val="24"/>
          <w:highlight w:val="white"/>
        </w:rPr>
        <w:lastRenderedPageBreak/>
        <w:t xml:space="preserve">Pham, N.T., Tučková, Z. and Jabbour, C.J.C., (2019) 'Greening the hospitality industry: How do green human resource management practices influence organisational citizenship behavior in hotels? A mixed-methods study’, </w:t>
      </w:r>
      <w:r w:rsidRPr="008A03BD">
        <w:rPr>
          <w:rFonts w:ascii="Times New Roman" w:hAnsi="Times New Roman" w:cs="Times New Roman"/>
          <w:i/>
          <w:color w:val="000000" w:themeColor="text1"/>
          <w:sz w:val="24"/>
          <w:szCs w:val="24"/>
          <w:highlight w:val="white"/>
        </w:rPr>
        <w:t>Tourism management</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72</w:t>
      </w:r>
      <w:r w:rsidRPr="008A03BD">
        <w:rPr>
          <w:rFonts w:ascii="Times New Roman" w:hAnsi="Times New Roman" w:cs="Times New Roman"/>
          <w:color w:val="000000" w:themeColor="text1"/>
          <w:sz w:val="24"/>
          <w:szCs w:val="24"/>
          <w:highlight w:val="white"/>
        </w:rPr>
        <w:t>, pp.386-399.</w:t>
      </w:r>
      <w:hyperlink r:id="rId12">
        <w:r w:rsidRPr="008A03BD">
          <w:rPr>
            <w:rFonts w:ascii="Times New Roman" w:hAnsi="Times New Roman" w:cs="Times New Roman"/>
            <w:color w:val="000000" w:themeColor="text1"/>
            <w:sz w:val="24"/>
            <w:szCs w:val="24"/>
            <w:highlight w:val="white"/>
          </w:rPr>
          <w:t xml:space="preserve"> </w:t>
        </w:r>
      </w:hyperlink>
      <w:r w:rsidR="00667109" w:rsidRPr="008A03BD">
        <w:rPr>
          <w:rFonts w:ascii="Times New Roman" w:hAnsi="Times New Roman" w:cs="Times New Roman"/>
          <w:color w:val="000000" w:themeColor="text1"/>
          <w:sz w:val="24"/>
          <w:szCs w:val="24"/>
          <w:highlight w:val="white"/>
          <w:u w:val="single"/>
        </w:rPr>
        <w:t xml:space="preserve"> </w:t>
      </w:r>
    </w:p>
    <w:p w14:paraId="04FC71A6"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hAnsi="Times New Roman" w:cs="Times New Roman"/>
          <w:color w:val="000000" w:themeColor="text1"/>
          <w:sz w:val="24"/>
          <w:szCs w:val="24"/>
          <w:highlight w:val="white"/>
        </w:rPr>
        <w:t xml:space="preserve">Rhou, Y. and Singal, M., (2020) ‘A review of the business case for CSR in the hospitality industry’, </w:t>
      </w:r>
      <w:r w:rsidRPr="008A03BD">
        <w:rPr>
          <w:rFonts w:ascii="Times New Roman" w:hAnsi="Times New Roman" w:cs="Times New Roman"/>
          <w:i/>
          <w:color w:val="000000" w:themeColor="text1"/>
          <w:sz w:val="24"/>
          <w:szCs w:val="24"/>
          <w:highlight w:val="white"/>
        </w:rPr>
        <w:t>International Journal of Hospitality Management</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84</w:t>
      </w:r>
      <w:r w:rsidRPr="008A03BD">
        <w:rPr>
          <w:rFonts w:ascii="Times New Roman" w:hAnsi="Times New Roman" w:cs="Times New Roman"/>
          <w:color w:val="000000" w:themeColor="text1"/>
          <w:sz w:val="24"/>
          <w:szCs w:val="24"/>
          <w:highlight w:val="white"/>
        </w:rPr>
        <w:t>, p.102330.</w:t>
      </w:r>
      <w:hyperlink r:id="rId13">
        <w:r w:rsidRPr="008A03BD">
          <w:rPr>
            <w:rFonts w:ascii="Times New Roman" w:hAnsi="Times New Roman" w:cs="Times New Roman"/>
            <w:color w:val="000000" w:themeColor="text1"/>
            <w:sz w:val="24"/>
            <w:szCs w:val="24"/>
            <w:highlight w:val="white"/>
          </w:rPr>
          <w:t xml:space="preserve"> </w:t>
        </w:r>
      </w:hyperlink>
      <w:r w:rsidR="00667109"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color w:val="000000" w:themeColor="text1"/>
          <w:sz w:val="24"/>
          <w:szCs w:val="24"/>
          <w:highlight w:val="white"/>
        </w:rPr>
        <w:t>Shafaei, A., Nejati, M. and Yusoff, Y.M., (2020) ‘Green human resource management: A two-study investigation of antecedents and outcomes’</w:t>
      </w:r>
      <w:r w:rsidR="00667109" w:rsidRPr="008A03BD">
        <w:rPr>
          <w:rFonts w:ascii="Times New Roman" w:hAnsi="Times New Roman" w:cs="Times New Roman"/>
          <w:color w:val="000000" w:themeColor="text1"/>
          <w:sz w:val="24"/>
          <w:szCs w:val="24"/>
          <w:highlight w:val="white"/>
        </w:rPr>
        <w:t>, International</w:t>
      </w:r>
      <w:r w:rsidRPr="008A03BD">
        <w:rPr>
          <w:rFonts w:ascii="Times New Roman" w:eastAsia="Times New Roman" w:hAnsi="Times New Roman" w:cs="Times New Roman"/>
          <w:i/>
          <w:color w:val="000000" w:themeColor="text1"/>
          <w:sz w:val="24"/>
          <w:szCs w:val="24"/>
        </w:rPr>
        <w:t xml:space="preserve"> Journal of Manpower</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41</w:t>
      </w:r>
      <w:r w:rsidRPr="008A03BD">
        <w:rPr>
          <w:rFonts w:ascii="Times New Roman" w:eastAsia="Times New Roman" w:hAnsi="Times New Roman" w:cs="Times New Roman"/>
          <w:color w:val="000000" w:themeColor="text1"/>
          <w:sz w:val="24"/>
          <w:szCs w:val="24"/>
        </w:rPr>
        <w:t>(7), pp.1041-1060.</w:t>
      </w:r>
    </w:p>
    <w:p w14:paraId="63A0A5A6" w14:textId="77777777" w:rsidR="00E259F2" w:rsidRPr="008A03BD" w:rsidRDefault="00000000" w:rsidP="002C2C5E">
      <w:pPr>
        <w:spacing w:line="480" w:lineRule="auto"/>
        <w:jc w:val="both"/>
        <w:rPr>
          <w:rFonts w:ascii="Times New Roman" w:hAnsi="Times New Roman" w:cs="Times New Roman"/>
          <w:color w:val="000000" w:themeColor="text1"/>
          <w:sz w:val="24"/>
          <w:szCs w:val="24"/>
          <w:highlight w:val="white"/>
          <w:u w:val="single"/>
        </w:rPr>
      </w:pPr>
      <w:r w:rsidRPr="008A03BD">
        <w:rPr>
          <w:rFonts w:ascii="Times New Roman" w:hAnsi="Times New Roman" w:cs="Times New Roman"/>
          <w:color w:val="000000" w:themeColor="text1"/>
          <w:sz w:val="24"/>
          <w:szCs w:val="24"/>
          <w:highlight w:val="white"/>
        </w:rPr>
        <w:t xml:space="preserve">Sota, S., Chaudhry, H. and Srivastava, M.K., (2020) ‘Customer relationship management research in hospitality industry: a review and classification’, </w:t>
      </w:r>
      <w:r w:rsidRPr="008A03BD">
        <w:rPr>
          <w:rFonts w:ascii="Times New Roman" w:hAnsi="Times New Roman" w:cs="Times New Roman"/>
          <w:i/>
          <w:color w:val="000000" w:themeColor="text1"/>
          <w:sz w:val="24"/>
          <w:szCs w:val="24"/>
          <w:highlight w:val="white"/>
        </w:rPr>
        <w:t>Journal of Hospitality Marketing &amp; Management</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29</w:t>
      </w:r>
      <w:r w:rsidRPr="008A03BD">
        <w:rPr>
          <w:rFonts w:ascii="Times New Roman" w:hAnsi="Times New Roman" w:cs="Times New Roman"/>
          <w:color w:val="000000" w:themeColor="text1"/>
          <w:sz w:val="24"/>
          <w:szCs w:val="24"/>
          <w:highlight w:val="white"/>
        </w:rPr>
        <w:t>(1), pp.39-64.</w:t>
      </w:r>
      <w:hyperlink r:id="rId14">
        <w:r w:rsidRPr="008A03BD">
          <w:rPr>
            <w:rFonts w:ascii="Times New Roman" w:hAnsi="Times New Roman" w:cs="Times New Roman"/>
            <w:color w:val="000000" w:themeColor="text1"/>
            <w:sz w:val="24"/>
            <w:szCs w:val="24"/>
            <w:highlight w:val="white"/>
          </w:rPr>
          <w:t xml:space="preserve"> </w:t>
        </w:r>
      </w:hyperlink>
      <w:r w:rsidR="00667109" w:rsidRPr="008A03BD">
        <w:rPr>
          <w:rFonts w:ascii="Times New Roman" w:hAnsi="Times New Roman" w:cs="Times New Roman"/>
          <w:color w:val="000000" w:themeColor="text1"/>
          <w:sz w:val="24"/>
          <w:szCs w:val="24"/>
          <w:highlight w:val="white"/>
          <w:u w:val="single"/>
        </w:rPr>
        <w:t xml:space="preserve"> </w:t>
      </w:r>
    </w:p>
    <w:p w14:paraId="24FFC1ED"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Statista (2023) </w:t>
      </w:r>
      <w:r w:rsidRPr="008A03BD">
        <w:rPr>
          <w:rFonts w:ascii="Times New Roman" w:eastAsia="Times New Roman" w:hAnsi="Times New Roman" w:cs="Times New Roman"/>
          <w:i/>
          <w:color w:val="000000" w:themeColor="text1"/>
          <w:sz w:val="24"/>
          <w:szCs w:val="24"/>
        </w:rPr>
        <w:t>Hilton Worldwide Hotels by region 2022</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Statista</w:t>
      </w:r>
      <w:r w:rsidRPr="008A03BD">
        <w:rPr>
          <w:rFonts w:ascii="Times New Roman" w:eastAsia="Times New Roman" w:hAnsi="Times New Roman" w:cs="Times New Roman"/>
          <w:color w:val="000000" w:themeColor="text1"/>
          <w:sz w:val="24"/>
          <w:szCs w:val="24"/>
        </w:rPr>
        <w:t>. Available at: https://www.statista.com/statistics/297754/number-of-hilton-worldwide-hotels-by-geographical-region/ (Accessed: 30 October 2023).</w:t>
      </w:r>
    </w:p>
    <w:p w14:paraId="02BF54CD" w14:textId="77777777" w:rsidR="00E259F2" w:rsidRPr="008A03BD" w:rsidRDefault="00000000" w:rsidP="002C2C5E">
      <w:pPr>
        <w:spacing w:line="480" w:lineRule="auto"/>
        <w:jc w:val="both"/>
        <w:rPr>
          <w:rFonts w:ascii="Times New Roman" w:eastAsia="Times New Roman" w:hAnsi="Times New Roman" w:cs="Times New Roman"/>
          <w:color w:val="000000" w:themeColor="text1"/>
          <w:sz w:val="24"/>
          <w:szCs w:val="24"/>
        </w:rPr>
      </w:pPr>
      <w:r w:rsidRPr="008A03BD">
        <w:rPr>
          <w:rFonts w:ascii="Times New Roman" w:eastAsia="Times New Roman" w:hAnsi="Times New Roman" w:cs="Times New Roman"/>
          <w:color w:val="000000" w:themeColor="text1"/>
          <w:sz w:val="24"/>
          <w:szCs w:val="24"/>
        </w:rPr>
        <w:t xml:space="preserve">Statista (2023) </w:t>
      </w:r>
      <w:r w:rsidRPr="008A03BD">
        <w:rPr>
          <w:rFonts w:ascii="Times New Roman" w:eastAsia="Times New Roman" w:hAnsi="Times New Roman" w:cs="Times New Roman"/>
          <w:i/>
          <w:color w:val="000000" w:themeColor="text1"/>
          <w:sz w:val="24"/>
          <w:szCs w:val="24"/>
        </w:rPr>
        <w:t>Topic: Hilton Worldwide Holdings</w:t>
      </w:r>
      <w:r w:rsidRPr="008A03BD">
        <w:rPr>
          <w:rFonts w:ascii="Times New Roman" w:eastAsia="Times New Roman" w:hAnsi="Times New Roman" w:cs="Times New Roman"/>
          <w:color w:val="000000" w:themeColor="text1"/>
          <w:sz w:val="24"/>
          <w:szCs w:val="24"/>
        </w:rPr>
        <w:t xml:space="preserve">, </w:t>
      </w:r>
      <w:r w:rsidRPr="008A03BD">
        <w:rPr>
          <w:rFonts w:ascii="Times New Roman" w:eastAsia="Times New Roman" w:hAnsi="Times New Roman" w:cs="Times New Roman"/>
          <w:i/>
          <w:color w:val="000000" w:themeColor="text1"/>
          <w:sz w:val="24"/>
          <w:szCs w:val="24"/>
        </w:rPr>
        <w:t>Statista</w:t>
      </w:r>
      <w:r w:rsidRPr="008A03BD">
        <w:rPr>
          <w:rFonts w:ascii="Times New Roman" w:eastAsia="Times New Roman" w:hAnsi="Times New Roman" w:cs="Times New Roman"/>
          <w:color w:val="000000" w:themeColor="text1"/>
          <w:sz w:val="24"/>
          <w:szCs w:val="24"/>
        </w:rPr>
        <w:t>. Available at: https://www.statista.com/topics/1880/hilton-worldwide/ (Accessed: 30 October 2023).</w:t>
      </w:r>
    </w:p>
    <w:p w14:paraId="0124FCB1" w14:textId="77777777" w:rsidR="00E259F2" w:rsidRPr="008A03BD" w:rsidRDefault="00000000" w:rsidP="002C2C5E">
      <w:pPr>
        <w:spacing w:line="480" w:lineRule="auto"/>
        <w:jc w:val="both"/>
        <w:rPr>
          <w:rFonts w:ascii="Times New Roman" w:hAnsi="Times New Roman" w:cs="Times New Roman"/>
          <w:color w:val="000000" w:themeColor="text1"/>
          <w:sz w:val="24"/>
          <w:szCs w:val="24"/>
          <w:highlight w:val="white"/>
          <w:u w:val="single"/>
        </w:rPr>
      </w:pPr>
      <w:r w:rsidRPr="008A03BD">
        <w:rPr>
          <w:rFonts w:ascii="Times New Roman" w:hAnsi="Times New Roman" w:cs="Times New Roman"/>
          <w:color w:val="000000" w:themeColor="text1"/>
          <w:sz w:val="24"/>
          <w:szCs w:val="24"/>
          <w:highlight w:val="white"/>
        </w:rPr>
        <w:t xml:space="preserve">Talonen, A., Jussila, I., Tuominen, P. and Ruuskanen, O.P., (2021) ‘Refining the economic dimension of carroll's CSR pyramid by taking organisation form into account', </w:t>
      </w:r>
      <w:r w:rsidRPr="008A03BD">
        <w:rPr>
          <w:rFonts w:ascii="Times New Roman" w:hAnsi="Times New Roman" w:cs="Times New Roman"/>
          <w:i/>
          <w:color w:val="000000" w:themeColor="text1"/>
          <w:sz w:val="24"/>
          <w:szCs w:val="24"/>
          <w:highlight w:val="white"/>
        </w:rPr>
        <w:t>Electronic Journal of Business Ethics and Organization Studies</w:t>
      </w:r>
      <w:r w:rsidRPr="008A03BD">
        <w:rPr>
          <w:rFonts w:ascii="Times New Roman" w:hAnsi="Times New Roman" w:cs="Times New Roman"/>
          <w:color w:val="000000" w:themeColor="text1"/>
          <w:sz w:val="24"/>
          <w:szCs w:val="24"/>
          <w:highlight w:val="white"/>
        </w:rPr>
        <w:t xml:space="preserve">, </w:t>
      </w:r>
      <w:r w:rsidRPr="008A03BD">
        <w:rPr>
          <w:rFonts w:ascii="Times New Roman" w:hAnsi="Times New Roman" w:cs="Times New Roman"/>
          <w:i/>
          <w:color w:val="000000" w:themeColor="text1"/>
          <w:sz w:val="24"/>
          <w:szCs w:val="24"/>
          <w:highlight w:val="white"/>
        </w:rPr>
        <w:t>26</w:t>
      </w:r>
      <w:r w:rsidRPr="008A03BD">
        <w:rPr>
          <w:rFonts w:ascii="Times New Roman" w:hAnsi="Times New Roman" w:cs="Times New Roman"/>
          <w:color w:val="000000" w:themeColor="text1"/>
          <w:sz w:val="24"/>
          <w:szCs w:val="24"/>
          <w:highlight w:val="white"/>
        </w:rPr>
        <w:t>(1), pp.45-67.</w:t>
      </w:r>
      <w:hyperlink r:id="rId15">
        <w:r w:rsidRPr="008A03BD">
          <w:rPr>
            <w:rFonts w:ascii="Times New Roman" w:hAnsi="Times New Roman" w:cs="Times New Roman"/>
            <w:color w:val="000000" w:themeColor="text1"/>
            <w:sz w:val="24"/>
            <w:szCs w:val="24"/>
            <w:highlight w:val="white"/>
          </w:rPr>
          <w:t xml:space="preserve"> </w:t>
        </w:r>
      </w:hyperlink>
      <w:r w:rsidR="00667109" w:rsidRPr="008A03BD">
        <w:rPr>
          <w:rFonts w:ascii="Times New Roman" w:hAnsi="Times New Roman" w:cs="Times New Roman"/>
          <w:color w:val="000000" w:themeColor="text1"/>
          <w:sz w:val="24"/>
          <w:szCs w:val="24"/>
          <w:highlight w:val="white"/>
          <w:u w:val="single"/>
        </w:rPr>
        <w:t xml:space="preserve"> </w:t>
      </w:r>
    </w:p>
    <w:p w14:paraId="02FEB8F8" w14:textId="77777777" w:rsidR="00F46FA9" w:rsidRPr="008A03BD" w:rsidRDefault="00F46FA9" w:rsidP="002C2C5E">
      <w:pPr>
        <w:spacing w:line="480" w:lineRule="auto"/>
        <w:jc w:val="both"/>
        <w:rPr>
          <w:rFonts w:ascii="Times New Roman" w:eastAsia="Times New Roman" w:hAnsi="Times New Roman" w:cs="Times New Roman"/>
          <w:color w:val="000000" w:themeColor="text1"/>
          <w:sz w:val="24"/>
          <w:szCs w:val="24"/>
        </w:rPr>
      </w:pPr>
    </w:p>
    <w:sectPr w:rsidR="00F46FA9" w:rsidRPr="008A03BD" w:rsidSect="00023FD9">
      <w:footerReference w:type="default" r:id="rId16"/>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3E996" w14:textId="77777777" w:rsidR="00803ACC" w:rsidRDefault="00803ACC">
      <w:pPr>
        <w:spacing w:line="240" w:lineRule="auto"/>
      </w:pPr>
      <w:r>
        <w:separator/>
      </w:r>
    </w:p>
  </w:endnote>
  <w:endnote w:type="continuationSeparator" w:id="0">
    <w:p w14:paraId="36CCFA3D" w14:textId="77777777" w:rsidR="00803ACC" w:rsidRDefault="00803A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631630"/>
      <w:docPartObj>
        <w:docPartGallery w:val="Page Numbers (Bottom of Page)"/>
        <w:docPartUnique/>
      </w:docPartObj>
    </w:sdtPr>
    <w:sdtEndPr>
      <w:rPr>
        <w:noProof/>
      </w:rPr>
    </w:sdtEndPr>
    <w:sdtContent>
      <w:p w14:paraId="1F0607A2" w14:textId="77777777" w:rsidR="008C6B7A" w:rsidRDefault="00000000">
        <w:pPr>
          <w:pStyle w:val="Footer"/>
          <w:jc w:val="right"/>
        </w:pPr>
        <w:r>
          <w:fldChar w:fldCharType="begin"/>
        </w:r>
        <w:r>
          <w:instrText xml:space="preserve"> PAGE   \* MERGEFORMAT </w:instrText>
        </w:r>
        <w:r>
          <w:fldChar w:fldCharType="separate"/>
        </w:r>
        <w:r w:rsidR="00625787">
          <w:rPr>
            <w:noProof/>
          </w:rPr>
          <w:t>13</w:t>
        </w:r>
        <w:r>
          <w:rPr>
            <w:noProof/>
          </w:rPr>
          <w:fldChar w:fldCharType="end"/>
        </w:r>
      </w:p>
    </w:sdtContent>
  </w:sdt>
  <w:p w14:paraId="455F8D45" w14:textId="77777777" w:rsidR="008C6B7A" w:rsidRDefault="008C6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9210B" w14:textId="77777777" w:rsidR="00803ACC" w:rsidRDefault="00803ACC">
      <w:pPr>
        <w:spacing w:line="240" w:lineRule="auto"/>
      </w:pPr>
      <w:r>
        <w:separator/>
      </w:r>
    </w:p>
  </w:footnote>
  <w:footnote w:type="continuationSeparator" w:id="0">
    <w:p w14:paraId="71B97C67" w14:textId="77777777" w:rsidR="00803ACC" w:rsidRDefault="00803A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FA9"/>
    <w:rsid w:val="00023FD9"/>
    <w:rsid w:val="00040B8D"/>
    <w:rsid w:val="00047C9D"/>
    <w:rsid w:val="0008496A"/>
    <w:rsid w:val="00114AC1"/>
    <w:rsid w:val="00131FEB"/>
    <w:rsid w:val="001508B0"/>
    <w:rsid w:val="00163483"/>
    <w:rsid w:val="002562FF"/>
    <w:rsid w:val="00291BFC"/>
    <w:rsid w:val="002C2C5E"/>
    <w:rsid w:val="002D7907"/>
    <w:rsid w:val="00327500"/>
    <w:rsid w:val="00341640"/>
    <w:rsid w:val="004A025D"/>
    <w:rsid w:val="004E3BEB"/>
    <w:rsid w:val="005417CE"/>
    <w:rsid w:val="005C1E87"/>
    <w:rsid w:val="005C756D"/>
    <w:rsid w:val="005F3AA0"/>
    <w:rsid w:val="005F4744"/>
    <w:rsid w:val="00625787"/>
    <w:rsid w:val="00667109"/>
    <w:rsid w:val="006A3D02"/>
    <w:rsid w:val="006E1AA9"/>
    <w:rsid w:val="00745508"/>
    <w:rsid w:val="007563A7"/>
    <w:rsid w:val="007874B0"/>
    <w:rsid w:val="007C5CD8"/>
    <w:rsid w:val="008031CA"/>
    <w:rsid w:val="00803ACC"/>
    <w:rsid w:val="00856CF3"/>
    <w:rsid w:val="008A03BD"/>
    <w:rsid w:val="008C6B7A"/>
    <w:rsid w:val="009067B2"/>
    <w:rsid w:val="00917E02"/>
    <w:rsid w:val="00A370F6"/>
    <w:rsid w:val="00B02E00"/>
    <w:rsid w:val="00B64A83"/>
    <w:rsid w:val="00B842BE"/>
    <w:rsid w:val="00C01F23"/>
    <w:rsid w:val="00C94CDE"/>
    <w:rsid w:val="00C9677F"/>
    <w:rsid w:val="00D708C4"/>
    <w:rsid w:val="00DA561A"/>
    <w:rsid w:val="00DC13FE"/>
    <w:rsid w:val="00DE52AB"/>
    <w:rsid w:val="00E019F7"/>
    <w:rsid w:val="00E13FA7"/>
    <w:rsid w:val="00E259F2"/>
    <w:rsid w:val="00F30824"/>
    <w:rsid w:val="00F45098"/>
    <w:rsid w:val="00F46FA9"/>
    <w:rsid w:val="00FD633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10143"/>
  <w15:docId w15:val="{16105138-04E3-4262-A1BC-EBDF076D8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01F23"/>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8C6B7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C6B7A"/>
    <w:pPr>
      <w:spacing w:after="100"/>
    </w:pPr>
  </w:style>
  <w:style w:type="character" w:styleId="Hyperlink">
    <w:name w:val="Hyperlink"/>
    <w:basedOn w:val="DefaultParagraphFont"/>
    <w:uiPriority w:val="99"/>
    <w:unhideWhenUsed/>
    <w:rsid w:val="008C6B7A"/>
    <w:rPr>
      <w:color w:val="0000FF" w:themeColor="hyperlink"/>
      <w:u w:val="single"/>
    </w:rPr>
  </w:style>
  <w:style w:type="paragraph" w:styleId="Header">
    <w:name w:val="header"/>
    <w:basedOn w:val="Normal"/>
    <w:link w:val="HeaderChar"/>
    <w:uiPriority w:val="99"/>
    <w:unhideWhenUsed/>
    <w:rsid w:val="008C6B7A"/>
    <w:pPr>
      <w:tabs>
        <w:tab w:val="center" w:pos="4513"/>
        <w:tab w:val="right" w:pos="9026"/>
      </w:tabs>
      <w:spacing w:line="240" w:lineRule="auto"/>
    </w:pPr>
  </w:style>
  <w:style w:type="character" w:customStyle="1" w:styleId="HeaderChar">
    <w:name w:val="Header Char"/>
    <w:basedOn w:val="DefaultParagraphFont"/>
    <w:link w:val="Header"/>
    <w:uiPriority w:val="99"/>
    <w:rsid w:val="008C6B7A"/>
  </w:style>
  <w:style w:type="paragraph" w:styleId="Footer">
    <w:name w:val="footer"/>
    <w:basedOn w:val="Normal"/>
    <w:link w:val="FooterChar"/>
    <w:uiPriority w:val="99"/>
    <w:unhideWhenUsed/>
    <w:rsid w:val="008C6B7A"/>
    <w:pPr>
      <w:tabs>
        <w:tab w:val="center" w:pos="4513"/>
        <w:tab w:val="right" w:pos="9026"/>
      </w:tabs>
      <w:spacing w:line="240" w:lineRule="auto"/>
    </w:pPr>
  </w:style>
  <w:style w:type="character" w:customStyle="1" w:styleId="FooterChar">
    <w:name w:val="Footer Char"/>
    <w:basedOn w:val="DefaultParagraphFont"/>
    <w:link w:val="Footer"/>
    <w:uiPriority w:val="99"/>
    <w:rsid w:val="008C6B7A"/>
  </w:style>
  <w:style w:type="paragraph" w:styleId="NoSpacing">
    <w:name w:val="No Spacing"/>
    <w:link w:val="NoSpacingChar"/>
    <w:uiPriority w:val="1"/>
    <w:qFormat/>
    <w:rsid w:val="00023FD9"/>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023FD9"/>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70274">
      <w:bodyDiv w:val="1"/>
      <w:marLeft w:val="0"/>
      <w:marRight w:val="0"/>
      <w:marTop w:val="0"/>
      <w:marBottom w:val="0"/>
      <w:divBdr>
        <w:top w:val="none" w:sz="0" w:space="0" w:color="auto"/>
        <w:left w:val="none" w:sz="0" w:space="0" w:color="auto"/>
        <w:bottom w:val="none" w:sz="0" w:space="0" w:color="auto"/>
        <w:right w:val="none" w:sz="0" w:space="0" w:color="auto"/>
      </w:divBdr>
    </w:div>
    <w:div w:id="36980382">
      <w:bodyDiv w:val="1"/>
      <w:marLeft w:val="0"/>
      <w:marRight w:val="0"/>
      <w:marTop w:val="0"/>
      <w:marBottom w:val="0"/>
      <w:divBdr>
        <w:top w:val="none" w:sz="0" w:space="0" w:color="auto"/>
        <w:left w:val="none" w:sz="0" w:space="0" w:color="auto"/>
        <w:bottom w:val="none" w:sz="0" w:space="0" w:color="auto"/>
        <w:right w:val="none" w:sz="0" w:space="0" w:color="auto"/>
      </w:divBdr>
    </w:div>
    <w:div w:id="604962885">
      <w:bodyDiv w:val="1"/>
      <w:marLeft w:val="0"/>
      <w:marRight w:val="0"/>
      <w:marTop w:val="0"/>
      <w:marBottom w:val="0"/>
      <w:divBdr>
        <w:top w:val="none" w:sz="0" w:space="0" w:color="auto"/>
        <w:left w:val="none" w:sz="0" w:space="0" w:color="auto"/>
        <w:bottom w:val="none" w:sz="0" w:space="0" w:color="auto"/>
        <w:right w:val="none" w:sz="0" w:space="0" w:color="auto"/>
      </w:divBdr>
    </w:div>
    <w:div w:id="2127693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ijhm.2019.10233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tourman.2018.12.00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IJCHM-03-2021-0323" TargetMode="External"/><Relationship Id="rId5" Type="http://schemas.openxmlformats.org/officeDocument/2006/relationships/footnotes" Target="footnotes.xml"/><Relationship Id="rId15" Type="http://schemas.openxmlformats.org/officeDocument/2006/relationships/hyperlink" Target="https://jyx.jyu.fi/bitstream/handle/123456789/76391/1/ejbo_vol26_no1_pages_17-29.pdf"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19368623.2019.1595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ACD2F-8AC4-42E3-8507-23F227975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16</Pages>
  <Words>3050</Words>
  <Characters>17391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STUDENT NAME AND NUMBER: MARCELA MANOLE  2111927 MODULE NAME AND CODE: MANAGEMENT AND ORGANISATIONAL BEHAVIOUR  BMIH5004</Company>
  <LinksUpToDate>false</LinksUpToDate>
  <CharactersWithSpaces>20401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creator/>
  <cp:lastModifiedBy>Marcela Manole (2111927)</cp:lastModifiedBy>
  <cp:revision>53</cp:revision>
  <dcterms:created xsi:type="dcterms:W3CDTF">2023-10-30T09:40:00Z</dcterms:created>
  <dcterms:modified xsi:type="dcterms:W3CDTF">2023-11-03T18:14:00Z</dcterms:modified>
</cp:coreProperties>
</file>