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http://schemas.openxmlformats.org/wordprocessingml/2006/main">
  <w:body>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pple-system"/>
          <w:color w:val="000000"/>
          <w:sz w:val="52"/>
          <w:lang w:val="en-US"/>
        </w:rPr>
      </w:pPr>
      <w:r>
        <w:fldChar w:fldCharType="begin"/>
      </w:r>
      <w:r>
        <w:instrText xml:space="preserve"> HYPERLINK "https://moodle.uwtsd.ac.uk/course/view.php?id=3808" </w:instrText>
      </w:r>
      <w:r>
        <w:fldChar w:fldCharType="separate"/>
      </w:r>
      <w:r>
        <w:rPr>
          <w:rFonts w:ascii="-apple-system"/>
          <w:color w:val="6d6d6d"/>
          <w:sz w:val="52"/>
          <w:u w:val="single"/>
          <w:rtl w:val="off"/>
          <w:lang w:val="en-US"/>
        </w:rPr>
        <w:t>Accounting Fundamentals (LCBB4001)</w:t>
      </w:r>
      <w:r>
        <w:fldChar w:fldCharType="end"/>
      </w:r>
    </w:p>
    <w:p>
      <w:pPr>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pple-system"/>
          <w:color w:val="000000"/>
          <w:sz w:val="22"/>
          <w:lang w:val="en-US"/>
        </w:rPr>
      </w:pPr>
      <w:r>
        <w:fldChar w:fldCharType="begin"/>
      </w:r>
      <w:r>
        <w:instrText xml:space="preserve"> HYPERLINK "https://moodle.uwtsd.ac.uk/course/view.php?id=3808" </w:instrText>
      </w:r>
      <w:r>
        <w:fldChar w:fldCharType="end"/>
      </w:r>
    </w:p>
    <w:p>
      <w:pPr>
        <w:rPr>
          <w:rFonts w:ascii="Verdana" w:hAnsi="Verdana"/>
          <w:b/>
        </w:rPr>
      </w:pPr>
    </w:p>
    <w:p>
      <w:pPr>
        <w:rPr>
          <w:rFonts w:ascii="Verdana" w:cs="Verdana-Bold" w:hAnsi="Verdana"/>
          <w:b/>
          <w:bCs/>
          <w:caps/>
          <w:sz w:val="24"/>
          <w:szCs w:val="24"/>
        </w:rPr>
      </w:pPr>
      <w:r>
        <w:rPr>
          <w:rFonts w:ascii="Verdana" w:cs="Verdana-Bold" w:hAnsi="Verdana"/>
          <w:b/>
          <w:bCs/>
          <w:caps/>
          <w:sz w:val="24"/>
          <w:szCs w:val="24"/>
        </w:rPr>
        <w:t>Learner Assessment Submission and Declaration</w:t>
      </w:r>
    </w:p>
    <w:p>
      <w:pPr>
        <w:rPr>
          <w:rFonts w:ascii="Verdana" w:cs="Verdana-Bold" w:hAnsi="Verdana"/>
          <w:b/>
          <w:bCs/>
        </w:rPr>
      </w:pPr>
    </w:p>
    <w:p>
      <w:pPr>
        <w:rPr>
          <w:rFonts w:ascii="Verdana" w:cs="Verdana-Bold" w:hAnsi="Verdana"/>
          <w:b/>
          <w:bCs/>
        </w:rPr>
      </w:pPr>
    </w:p>
    <w:p>
      <w:pPr>
        <w:rPr>
          <w:rFonts w:ascii="Verdana" w:cs="Verdana-Bold" w:hAnsi="Verdana"/>
          <w:b/>
          <w:bCs/>
        </w:rPr>
      </w:pPr>
      <w:r>
        <w:rPr>
          <w:rFonts w:ascii="Verdana" w:cs="Verdana-Bold" w:hAnsi="Verdana"/>
          <w:b/>
          <w:bCs/>
        </w:rP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 </w:t>
      </w:r>
    </w:p>
    <w:p>
      <w:pPr>
        <w:rPr>
          <w:rFonts w:ascii="Verdana" w:cs="Verdana-Bold" w:hAnsi="Verdana"/>
          <w:b/>
          <w:bCs/>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tblPr>
      <w:tblGrid>
        <w:gridCol w:w="3080"/>
        <w:gridCol w:w="1564"/>
        <w:gridCol w:w="1517"/>
        <w:gridCol w:w="3081"/>
      </w:tblGrid>
      <w:tr>
        <w:trPr/>
        <w:tc>
          <w:tcPr>
            <w:cnfStyle w:val="101000000000"/>
            <w:tcW w:w="4644" w:type="dxa"/>
            <w:gridSpan w:val="2"/>
          </w:tcPr>
          <w:p>
            <w:pPr>
              <w:rPr>
                <w:rFonts w:ascii="Verdana" w:cs="Verdana" w:hAnsi="Verdana"/>
              </w:rPr>
            </w:pPr>
            <w:r>
              <w:rPr>
                <w:rFonts w:ascii="Verdana" w:cs="Verdana" w:hAnsi="Verdana"/>
              </w:rPr>
              <w:t xml:space="preserve">Learner name: </w:t>
            </w:r>
            <w:r>
              <w:rPr>
                <w:rFonts w:ascii="Verdana" w:cs="Verdana" w:hAnsi="Verdana"/>
                <w:lang w:val="en-US"/>
              </w:rPr>
              <w:t>Petar Yanakiev</w:t>
            </w:r>
          </w:p>
          <w:p>
            <w:pPr>
              <w:rPr>
                <w:rFonts w:ascii="Verdana" w:cs="Verdana" w:hAnsi="Verdana"/>
              </w:rPr>
            </w:pPr>
            <w:r>
              <w:rPr>
                <w:rFonts w:ascii="Verdana" w:cs="Verdana" w:hAnsi="Verdana"/>
                <w:lang w:val="en-US"/>
              </w:rPr>
              <w:t>Student Number: 2008345</w:t>
            </w:r>
          </w:p>
          <w:p>
            <w:pPr>
              <w:rPr>
                <w:rFonts w:ascii="Verdana" w:cs="Verdana-Bold" w:hAnsi="Verdana"/>
                <w:b/>
                <w:bCs/>
              </w:rPr>
            </w:pPr>
          </w:p>
        </w:tc>
        <w:tc>
          <w:tcPr>
            <w:cnfStyle w:val="100000000000"/>
            <w:tcW w:w="4598" w:type="dxa"/>
            <w:gridSpan w:val="2"/>
          </w:tcPr>
          <w:p>
            <w:pPr>
              <w:rPr>
                <w:rFonts w:ascii="Verdana" w:cs="Verdana" w:hAnsi="Verdana"/>
              </w:rPr>
            </w:pPr>
            <w:r>
              <w:rPr>
                <w:rFonts w:ascii="Verdana" w:cs="Verdana" w:hAnsi="Verdana"/>
                <w:lang w:val="en-US"/>
              </w:rPr>
              <w:t>Internal Verifier</w:t>
            </w:r>
            <w:r>
              <w:rPr>
                <w:rFonts w:ascii="Verdana" w:cs="Verdana" w:hAnsi="Verdana"/>
              </w:rPr>
              <w:t xml:space="preserve">: </w:t>
            </w:r>
            <w:r>
              <w:rPr>
                <w:rFonts w:ascii="Verdana" w:cs="Verdana" w:hAnsi="Verdana"/>
                <w:lang w:val="en-US"/>
              </w:rPr>
              <w:t>Winifred Soribe</w:t>
            </w:r>
          </w:p>
          <w:p>
            <w:pPr>
              <w:rPr>
                <w:rFonts w:ascii="Verdana" w:cs="Verdana-Bold" w:hAnsi="Verdana"/>
                <w:b w:val="off"/>
                <w:bCs/>
              </w:rPr>
            </w:pPr>
            <w:r>
              <w:rPr>
                <w:rFonts w:ascii="Verdana" w:cs="Verdana-Bold" w:hAnsi="Verdana"/>
                <w:b w:val="off"/>
                <w:bCs/>
                <w:lang w:val="en-US"/>
              </w:rPr>
              <w:t>Lecture:Widin Bongasu Sha'ven</w:t>
            </w:r>
          </w:p>
        </w:tc>
      </w:tr>
      <w:tr>
        <w:trPr/>
        <w:tc>
          <w:tcPr>
            <w:cnfStyle w:val="001000100000"/>
            <w:tcW w:w="3080" w:type="dxa"/>
          </w:tcPr>
          <w:p>
            <w:pPr>
              <w:rPr>
                <w:rFonts w:ascii="Verdana" w:hAnsi="Verdana"/>
              </w:rPr>
            </w:pPr>
            <w:r>
              <w:rPr>
                <w:rFonts w:ascii="Verdana" w:hAnsi="Verdana"/>
                <w:lang w:val="en-US"/>
              </w:rPr>
              <w:t>Hand out date:</w:t>
            </w:r>
            <w:r>
              <w:rPr>
                <w:rFonts w:ascii="Verdana" w:hAnsi="Verdana"/>
              </w:rPr>
              <w:t xml:space="preserve"> </w:t>
            </w:r>
            <w:r>
              <w:rPr>
                <w:rFonts w:ascii="Verdana" w:hAnsi="Verdana"/>
                <w:lang w:val="en-US"/>
              </w:rPr>
              <w:t>Week 2 of term</w:t>
            </w:r>
          </w:p>
          <w:p>
            <w:pPr>
              <w:rPr>
                <w:rFonts w:ascii="Verdana" w:cs="Verdana-Bold" w:hAnsi="Verdana"/>
                <w:b/>
                <w:bCs/>
              </w:rPr>
            </w:pPr>
          </w:p>
        </w:tc>
        <w:tc>
          <w:tcPr>
            <w:cnfStyle w:val="000000100000"/>
            <w:tcW w:w="3081" w:type="dxa"/>
            <w:gridSpan w:val="2"/>
          </w:tcPr>
          <w:p>
            <w:pPr>
              <w:rPr>
                <w:rFonts w:ascii="Verdana" w:hAnsi="Verdana"/>
              </w:rPr>
            </w:pPr>
            <w:r>
              <w:rPr>
                <w:rFonts w:ascii="Verdana" w:hAnsi="Verdana"/>
                <w:lang w:val="en-US"/>
              </w:rPr>
              <w:t>S</w:t>
            </w:r>
            <w:r>
              <w:rPr>
                <w:rFonts w:ascii="Verdana" w:hAnsi="Verdana"/>
              </w:rPr>
              <w:t xml:space="preserve">ubmission </w:t>
            </w:r>
            <w:r>
              <w:rPr>
                <w:rFonts w:ascii="Verdana" w:hAnsi="Verdana"/>
                <w:lang w:val="en-US"/>
              </w:rPr>
              <w:t>d</w:t>
            </w:r>
            <w:r>
              <w:rPr>
                <w:rFonts w:ascii="Verdana" w:hAnsi="Verdana"/>
                <w:lang w:val="en-US"/>
              </w:rPr>
              <w:t xml:space="preserve">ead line </w:t>
            </w:r>
            <w:r>
              <w:rPr>
                <w:rFonts w:ascii="Verdana" w:hAnsi="Verdana"/>
              </w:rPr>
              <w:t>date:</w:t>
            </w:r>
            <w:r>
              <w:rPr>
                <w:rFonts w:ascii="Verdana" w:hAnsi="Verdana"/>
                <w:lang w:val="en-US"/>
              </w:rPr>
              <w:t>11/13/</w:t>
            </w:r>
            <w:r>
              <w:rPr>
                <w:rFonts w:ascii="Verdana" w:hAnsi="Verdana"/>
                <w:lang w:val="en-US"/>
              </w:rPr>
              <w:t>2020</w:t>
            </w:r>
          </w:p>
          <w:p>
            <w:pPr>
              <w:rPr>
                <w:rFonts w:ascii="Verdana" w:cs="Verdana-Bold" w:hAnsi="Verdana"/>
                <w:b/>
                <w:bCs/>
              </w:rPr>
            </w:pPr>
          </w:p>
        </w:tc>
        <w:tc>
          <w:tcPr>
            <w:cnfStyle w:val="000000100000"/>
            <w:tcW w:w="3081" w:type="dxa"/>
          </w:tcPr>
          <w:p>
            <w:pPr>
              <w:rPr>
                <w:rFonts w:ascii="Verdana" w:cs="Verdana" w:hAnsi="Verdana"/>
              </w:rPr>
            </w:pPr>
            <w:r>
              <w:rPr>
                <w:rFonts w:ascii="Verdana" w:cs="Verdana" w:hAnsi="Verdana"/>
                <w:lang w:val="en-US"/>
              </w:rPr>
              <w:t>S</w:t>
            </w:r>
            <w:r>
              <w:rPr>
                <w:rFonts w:ascii="Verdana" w:cs="Verdana" w:hAnsi="Verdana"/>
              </w:rPr>
              <w:t>ubmitted on:</w:t>
            </w:r>
            <w:r>
              <w:rPr>
                <w:rFonts w:ascii="Verdana" w:cs="Verdana" w:hAnsi="Verdana"/>
                <w:lang w:val="en-US"/>
              </w:rPr>
              <w:t>11/13/</w:t>
            </w:r>
            <w:r>
              <w:rPr>
                <w:rFonts w:ascii="Verdana" w:cs="Verdana" w:hAnsi="Verdana"/>
                <w:lang w:val="en-US"/>
              </w:rPr>
              <w:t>2020</w:t>
            </w:r>
          </w:p>
          <w:p>
            <w:pPr>
              <w:rPr>
                <w:rFonts w:ascii="Verdana" w:cs="Verdana-Bold" w:hAnsi="Verdana"/>
                <w:b/>
                <w:bCs/>
              </w:rPr>
            </w:pPr>
          </w:p>
        </w:tc>
      </w:tr>
      <w:tr>
        <w:trPr/>
        <w:tc>
          <w:tcPr>
            <w:cnfStyle w:val="001000010000"/>
            <w:tcW w:w="9242" w:type="dxa"/>
            <w:gridSpan w:val="4"/>
          </w:tcPr>
          <w:p>
            <w:pPr>
              <w:rPr>
                <w:rFonts w:ascii="Verdana" w:cs="Verdana-Bold" w:hAnsi="Verdana"/>
                <w:bCs/>
              </w:rPr>
            </w:pPr>
            <w:r>
              <w:rPr>
                <w:rFonts w:ascii="Verdana" w:cs="Verdana-Bold" w:hAnsi="Verdana"/>
                <w:bCs/>
              </w:rPr>
              <w:t>Programe</w:t>
            </w:r>
            <w:r>
              <w:rPr>
                <w:rFonts w:ascii="Verdana" w:cs="Verdana-Bold" w:hAnsi="Verdana"/>
                <w:bCs/>
                <w:lang w:val="en-US"/>
              </w:rPr>
              <w:t>: BA Business Management</w:t>
            </w:r>
          </w:p>
          <w:p>
            <w:pPr>
              <w:rPr>
                <w:rFonts w:ascii="Verdana" w:cs="Verdana-Bold" w:hAnsi="Verdana"/>
                <w:b/>
                <w:bCs/>
              </w:rPr>
            </w:pPr>
          </w:p>
        </w:tc>
      </w:tr>
      <w:tr>
        <w:trPr/>
        <w:tc>
          <w:tcPr>
            <w:cnfStyle w:val="001000100000"/>
            <w:tcW w:w="9242" w:type="dxa"/>
            <w:gridSpan w:val="4"/>
          </w:tcPr>
          <w:p>
            <w:pPr>
              <w:rPr>
                <w:rFonts w:ascii="Verdana" w:cs="Verdana" w:hAnsi="Verdana"/>
              </w:rPr>
            </w:pPr>
            <w:r>
              <w:rPr>
                <w:rFonts w:ascii="Verdana" w:cs="Verdana" w:hAnsi="Verdana"/>
              </w:rPr>
              <w:t xml:space="preserve">Unit: </w:t>
            </w:r>
            <w:r>
              <w:rPr>
                <w:rFonts w:ascii="Verdana" w:cs="Verdana" w:hAnsi="Verdana"/>
                <w:lang w:val="en-US"/>
              </w:rPr>
              <w:t>LCBB4001</w:t>
            </w:r>
          </w:p>
          <w:p>
            <w:pPr>
              <w:rPr>
                <w:rFonts w:ascii="Verdana" w:cs="Verdana" w:hAnsi="Verdana"/>
              </w:rPr>
            </w:pPr>
          </w:p>
        </w:tc>
      </w:tr>
      <w:tr>
        <w:trPr>
          <w:trHeight w:val="754"/>
        </w:trPr>
        <w:tc>
          <w:tcPr>
            <w:cnfStyle w:val="001000010000"/>
            <w:tcW w:w="9242" w:type="dxa"/>
            <w:gridSpan w:val="4"/>
          </w:tcPr>
          <w:p>
            <w:pPr>
              <w:rPr>
                <w:rFonts w:ascii="Verdana" w:cs="Verdana-Bold" w:hAnsi="Verdana"/>
                <w:b/>
                <w:bCs/>
                <w:sz w:val="24"/>
              </w:rPr>
            </w:pPr>
            <w:r>
              <w:rPr>
                <w:rFonts w:ascii="Verdana" w:cs="Verdana" w:hAnsi="Verdana"/>
              </w:rPr>
              <w:t>Assignment</w:t>
            </w:r>
            <w:r>
              <w:rPr>
                <w:rFonts w:ascii="Verdana" w:cs="Verdana" w:hAnsi="Verdana"/>
              </w:rPr>
              <w:t xml:space="preserve">  title:</w:t>
            </w:r>
            <w:r>
              <w:t xml:space="preserve"> </w:t>
            </w:r>
            <w:r>
              <w:rPr>
                <w:sz w:val="24"/>
                <w:lang w:val="en-US"/>
              </w:rPr>
              <w:t>Accounting Fundamentals Assessment 1</w:t>
            </w:r>
          </w:p>
        </w:tc>
      </w:tr>
    </w:tbl>
    <w:p>
      <w:pPr>
        <w:rPr>
          <w:rFonts w:ascii="Verdana" w:cs="Verdana-Bold" w:hAnsi="Verdana"/>
          <w:b/>
          <w:bCs/>
        </w:rPr>
      </w:pPr>
      <w:r>
        <w:rPr>
          <w:rFonts w:ascii="Verdana" w:cs="Verdana" w:hAnsi="Verdana"/>
        </w:rPr>
        <w:t xml:space="preserve"> </w:t>
      </w:r>
      <w:r>
        <w:rPr>
          <w:rFonts w:ascii="Verdana" w:cs="Verdana" w:hAnsi="Verdana"/>
        </w:rPr>
        <w:t xml:space="preserve"> </w:t>
      </w:r>
    </w:p>
    <w:p>
      <w:pPr>
        <w:rPr>
          <w:rFonts w:ascii="Verdana" w:cs="Verdana-Bold" w:hAnsi="Verdana"/>
          <w:b/>
          <w:bCs/>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tblPr>
      <w:tblGrid>
        <w:gridCol w:w="3080"/>
        <w:gridCol w:w="3081"/>
        <w:gridCol w:w="3081"/>
      </w:tblGrid>
      <w:tr>
        <w:trPr>
          <w:trHeight w:val="488" w:hRule="exact"/>
        </w:trPr>
        <w:tc>
          <w:tcPr>
            <w:cnfStyle w:val="101000000000"/>
            <w:tcW w:w="3080" w:type="dxa"/>
            <w:shd w:val="pct10" w:color="auto" w:fill="auto"/>
          </w:tcPr>
          <w:p>
            <w:pPr>
              <w:rPr>
                <w:rFonts w:ascii="Verdana" w:cs="Verdana-Bold" w:hAnsi="Verdana"/>
                <w:b/>
                <w:bCs/>
              </w:rPr>
            </w:pPr>
          </w:p>
        </w:tc>
        <w:tc>
          <w:tcPr>
            <w:cnfStyle w:val="100000000000"/>
            <w:tcW w:w="3081" w:type="dxa"/>
            <w:shd w:val="pct10" w:color="auto" w:fill="auto"/>
          </w:tcPr>
          <w:p>
            <w:pPr>
              <w:rPr>
                <w:rFonts w:ascii="Verdana" w:cs="Verdana-Bold" w:hAnsi="Verdana"/>
                <w:b/>
                <w:bCs/>
              </w:rPr>
            </w:pPr>
          </w:p>
        </w:tc>
        <w:tc>
          <w:tcPr>
            <w:cnfStyle w:val="100000000000"/>
            <w:tcW w:w="3081" w:type="dxa"/>
            <w:shd w:val="pct10" w:color="auto" w:fill="auto"/>
          </w:tcPr>
          <w:p>
            <w:pPr>
              <w:rPr>
                <w:rFonts w:ascii="Verdana" w:cs="Verdana-Bold" w:hAnsi="Verdana"/>
                <w:b/>
                <w:bCs/>
              </w:rPr>
            </w:pPr>
          </w:p>
        </w:tc>
      </w:tr>
      <w:tr>
        <w:trPr>
          <w:trHeight w:val="483"/>
        </w:trPr>
        <w:tc>
          <w:tcPr>
            <w:cnfStyle w:val="001000100000"/>
            <w:tcW w:w="3080" w:type="dxa"/>
          </w:tcPr>
          <w:p>
            <w:pPr>
              <w:rPr>
                <w:rFonts w:ascii="Verdana" w:cs="Verdana-Bold" w:hAnsi="Verdana"/>
                <w:b/>
                <w:bCs/>
              </w:rPr>
            </w:pPr>
          </w:p>
        </w:tc>
        <w:tc>
          <w:tcPr>
            <w:cnfStyle w:val="000000100000"/>
            <w:tcW w:w="3081" w:type="dxa"/>
          </w:tcPr>
          <w:p>
            <w:pPr>
              <w:rPr>
                <w:rFonts w:ascii="Verdana" w:cs="Verdana-Bold" w:hAnsi="Verdana"/>
                <w:b/>
                <w:bCs/>
              </w:rPr>
            </w:pPr>
          </w:p>
        </w:tc>
        <w:tc>
          <w:tcPr>
            <w:cnfStyle w:val="000000100000"/>
            <w:tcW w:w="3081" w:type="dxa"/>
          </w:tcPr>
          <w:p>
            <w:pPr>
              <w:rPr>
                <w:rFonts w:ascii="Verdana" w:cs="Verdana-Bold" w:hAnsi="Verdana"/>
                <w:b/>
                <w:bCs/>
              </w:rPr>
            </w:pPr>
          </w:p>
        </w:tc>
      </w:tr>
      <w:tr>
        <w:trPr>
          <w:trHeight w:val="561"/>
        </w:trPr>
        <w:tc>
          <w:tcPr>
            <w:cnfStyle w:val="001000010000"/>
            <w:tcW w:w="3080" w:type="dxa"/>
          </w:tcPr>
          <w:p>
            <w:pPr>
              <w:rPr>
                <w:rFonts w:ascii="Verdana" w:cs="Verdana-Bold" w:hAnsi="Verdana"/>
                <w:b/>
                <w:bCs/>
              </w:rPr>
            </w:pPr>
          </w:p>
        </w:tc>
        <w:tc>
          <w:tcPr>
            <w:cnfStyle w:val="000000010000"/>
            <w:tcW w:w="3081" w:type="dxa"/>
          </w:tcPr>
          <w:p>
            <w:pPr>
              <w:rPr>
                <w:rFonts w:ascii="Verdana" w:cs="Verdana-Bold" w:hAnsi="Verdana"/>
                <w:b/>
                <w:bCs/>
              </w:rPr>
            </w:pPr>
          </w:p>
        </w:tc>
        <w:tc>
          <w:tcPr>
            <w:cnfStyle w:val="000000010000"/>
            <w:tcW w:w="3081" w:type="dxa"/>
          </w:tcPr>
          <w:p>
            <w:pPr>
              <w:rPr>
                <w:rFonts w:ascii="Verdana" w:cs="Verdana-Bold" w:hAnsi="Verdana"/>
                <w:b/>
                <w:bCs/>
              </w:rPr>
            </w:pPr>
          </w:p>
        </w:tc>
      </w:tr>
      <w:tr>
        <w:trPr>
          <w:trHeight w:val="554"/>
        </w:trPr>
        <w:tc>
          <w:tcPr>
            <w:cnfStyle w:val="001000100000"/>
            <w:tcW w:w="3080" w:type="dxa"/>
          </w:tcPr>
          <w:p>
            <w:pPr>
              <w:rPr>
                <w:rFonts w:ascii="Verdana" w:cs="Verdana-Bold" w:hAnsi="Verdana"/>
                <w:b/>
                <w:bCs/>
              </w:rPr>
            </w:pPr>
          </w:p>
        </w:tc>
        <w:tc>
          <w:tcPr>
            <w:cnfStyle w:val="000000100000"/>
            <w:tcW w:w="3081" w:type="dxa"/>
          </w:tcPr>
          <w:p>
            <w:pPr>
              <w:rPr>
                <w:rFonts w:ascii="Verdana" w:cs="Verdana-Bold" w:hAnsi="Verdana"/>
                <w:b/>
                <w:bCs/>
              </w:rPr>
            </w:pPr>
          </w:p>
        </w:tc>
        <w:tc>
          <w:tcPr>
            <w:cnfStyle w:val="000000100000"/>
            <w:tcW w:w="3081" w:type="dxa"/>
          </w:tcPr>
          <w:p>
            <w:pPr>
              <w:rPr>
                <w:rFonts w:ascii="Verdana" w:cs="Verdana-Bold" w:hAnsi="Verdana"/>
                <w:b/>
                <w:bCs/>
              </w:rPr>
            </w:pPr>
          </w:p>
        </w:tc>
      </w:tr>
      <w:tr>
        <w:trPr>
          <w:trHeight w:val="549"/>
        </w:trPr>
        <w:tc>
          <w:tcPr>
            <w:cnfStyle w:val="001000010000"/>
            <w:tcW w:w="3080" w:type="dxa"/>
          </w:tcPr>
          <w:p>
            <w:pPr>
              <w:rPr>
                <w:rFonts w:ascii="Verdana" w:cs="Verdana-Bold" w:hAnsi="Verdana"/>
                <w:b/>
                <w:bCs/>
              </w:rPr>
            </w:pPr>
          </w:p>
        </w:tc>
        <w:tc>
          <w:tcPr>
            <w:cnfStyle w:val="000000010000"/>
            <w:tcW w:w="3081" w:type="dxa"/>
          </w:tcPr>
          <w:p>
            <w:pPr>
              <w:rPr>
                <w:rFonts w:ascii="Verdana" w:cs="Verdana-Bold" w:hAnsi="Verdana"/>
                <w:b/>
                <w:bCs/>
              </w:rPr>
            </w:pPr>
          </w:p>
        </w:tc>
        <w:tc>
          <w:tcPr>
            <w:cnfStyle w:val="000000010000"/>
            <w:tcW w:w="3081" w:type="dxa"/>
          </w:tcPr>
          <w:p>
            <w:pPr>
              <w:rPr>
                <w:rFonts w:ascii="Verdana" w:cs="Verdana-Bold" w:hAnsi="Verdana"/>
                <w:b/>
                <w:bCs/>
              </w:rPr>
            </w:pPr>
          </w:p>
        </w:tc>
      </w:tr>
      <w:tr>
        <w:trPr>
          <w:trHeight w:val="2014"/>
        </w:trPr>
        <w:tc>
          <w:tcPr>
            <w:cnfStyle w:val="001000100000"/>
            <w:tcW w:w="9242" w:type="dxa"/>
            <w:gridSpan w:val="3"/>
          </w:tcPr>
          <w:p>
            <w:pPr>
              <w:rPr>
                <w:rFonts w:ascii="Verdana" w:cs="Verdana" w:hAnsi="Verdana"/>
              </w:rPr>
            </w:pPr>
            <w:r>
              <w:rPr>
                <w:rFonts w:ascii="Verdana" w:cs="Verdana" w:hAnsi="Verdana"/>
              </w:rPr>
              <w:t>Additional comments to the</w:t>
            </w:r>
            <w:r>
              <w:rPr>
                <w:rFonts w:ascii="Verdana" w:cs="Verdana" w:hAnsi="Verdana"/>
              </w:rPr>
              <w:t xml:space="preserve"> Assessor:</w:t>
            </w:r>
            <w:r>
              <w:rPr>
                <w:rFonts w:ascii="Verdana" w:cs="Verdana" w:hAnsi="Verdana"/>
                <w:lang w:val="en-US"/>
              </w:rPr>
              <w:t>All of the evidence (referencing) are submitted on the back of this assignment.</w:t>
            </w:r>
          </w:p>
          <w:p>
            <w:pPr>
              <w:rPr>
                <w:rFonts w:ascii="Verdana" w:cs="Verdana-Bold" w:hAnsi="Verdana"/>
                <w:b/>
                <w:bCs/>
              </w:rPr>
            </w:pPr>
          </w:p>
        </w:tc>
      </w:tr>
    </w:tbl>
    <w:p>
      <w:pPr>
        <w:rPr>
          <w:rFonts w:ascii="Verdana" w:cs="Verdana" w:hAnsi="Verdana"/>
        </w:rPr>
      </w:pPr>
    </w:p>
    <w:p>
      <w:pPr>
        <w:rPr>
          <w:rFonts w:ascii="Verdana" w:cs="Verdana" w:hAnsi="Verdana"/>
        </w:rPr>
      </w:pPr>
    </w:p>
    <w:p>
      <w:pPr>
        <w:rPr>
          <w:rFonts w:ascii="Verdana" w:cs="Verdana-Bold" w:hAnsi="Verdana"/>
          <w:b/>
          <w:bCs/>
        </w:rPr>
      </w:pPr>
      <w:r>
        <w:rPr>
          <w:rFonts w:ascii="Verdana" w:cs="Verdana-Bold" w:hAnsi="Verdana"/>
          <w:b/>
          <w:bCs/>
        </w:rPr>
        <w:t>Learner declaration</w:t>
      </w:r>
    </w:p>
    <w:p>
      <w:pPr>
        <w:rPr>
          <w:rFonts w:ascii="Verdana" w:cs="Verdana-Bold" w:hAnsi="Verdana"/>
          <w:b/>
          <w:bCs/>
        </w:rPr>
      </w:pPr>
    </w:p>
    <w:p>
      <w:pPr>
        <w:rPr>
          <w:rFonts w:ascii="Verdana" w:cs="Verdana" w:hAnsi="Verdana"/>
        </w:rPr>
      </w:pPr>
      <w:r>
        <w:rPr>
          <w:rFonts w:ascii="Verdana" w:cs="Verdana" w:hAnsi="Verdana"/>
        </w:rPr>
        <w:t>I certify that the work submitted for this assig</w:t>
      </w:r>
      <w:r>
        <w:rPr>
          <w:rFonts w:ascii="Verdana" w:cs="Verdana" w:hAnsi="Verdana"/>
        </w:rPr>
        <w:t xml:space="preserve">nment is my own. I have clearly </w:t>
      </w:r>
      <w:r>
        <w:rPr>
          <w:rFonts w:ascii="Verdana" w:cs="Verdana" w:hAnsi="Verdana"/>
        </w:rPr>
        <w:t>referenced any sources used in the work. I understand t</w:t>
      </w:r>
      <w:r>
        <w:rPr>
          <w:rFonts w:ascii="Verdana" w:cs="Verdana" w:hAnsi="Verdana"/>
        </w:rPr>
        <w:t xml:space="preserve">hat false declaration is a form </w:t>
      </w:r>
      <w:r>
        <w:rPr>
          <w:rFonts w:ascii="Verdana" w:cs="Verdana" w:hAnsi="Verdana"/>
        </w:rPr>
        <w:t>of malpractice.</w:t>
      </w:r>
    </w:p>
    <w:p>
      <w:pPr>
        <w:rPr>
          <w:rFonts w:ascii="Verdana" w:cs="Verdana" w:hAnsi="Verdana"/>
        </w:rPr>
      </w:pPr>
    </w:p>
    <w:p>
      <w:pPr>
        <w:rPr>
          <w:rFonts w:ascii="Verdana" w:cs="Verdana" w:hAnsi="Verdana"/>
        </w:rPr>
      </w:pPr>
    </w:p>
    <w:p>
      <w:pPr>
        <w:rPr>
          <w:rFonts w:ascii="Verdana" w:cs="Verdana" w:hAnsi="Verdana"/>
        </w:rPr>
      </w:pPr>
      <w:r>
        <w:rPr>
          <w:rFonts w:ascii="Verdana" w:cs="Verdana" w:hAnsi="Verdana"/>
        </w:rPr>
        <w:t xml:space="preserve">Learner signature:    </w:t>
      </w:r>
      <w:r>
        <w:rPr>
          <w:rFonts w:ascii="Verdana" w:cs="Verdana" w:hAnsi="Verdana"/>
        </w:rPr>
        <w:drawing>
          <wp:inline>
            <wp:extent cx="853440" cy="877570"/>
            <wp:effectExtent l="0" t="0" r="0" b="0"/>
            <wp:docPr id="1" name="Picture 1"/>
            <wp:cNvGraphicFramePr>
              <a:graphicFrameLocks xmlns:a="http://schemas.openxmlformats.org/drawingml/2006/main" noChangeAspect="1"/>
            </wp:cNvGraphicFramePr>
            <a:graphic xmlns:a="http://schemas.openxmlformats.org/drawingml/2006/main">
              <a:graphicData a:uri="http://schemas.openxmlformats.org/drawingml/2006/picture">
                <pic:pic xmlns:pic="http://schemas.openxmlformats.org/drawingml/2006/picture">
                  <pic:nvPicPr>
                    <pic:cNvPr id="0" name="picture.jpg"/>
                    <pic:cNvPicPr/>
                  </pic:nvPicPr>
                  <pic:blipFill>
                    <a:blip r:embed="rId5"/>
                    <a:stretch>
                      <a:fillRect/>
                    </a:stretch>
                  </pic:blipFill>
                  <pic:spPr>
                    <a:xfrm rot="0">
                      <a:off x="0" y="0"/>
                      <a:ext cx="853440" cy="877570"/>
                    </a:xfrm>
                    <a:prstGeom prst="rect">
                      <a:avLst/>
                    </a:prstGeom>
                  </pic:spPr>
                </pic:pic>
              </a:graphicData>
            </a:graphic>
          </wp:inline>
        </w:drawing>
      </w:r>
      <w:r>
        <w:rPr>
          <w:rFonts w:ascii="Verdana" w:cs="Verdana" w:hAnsi="Verdana"/>
        </w:rPr>
        <w:t xml:space="preserve">                                                         Date:</w:t>
      </w:r>
      <w:r>
        <w:rPr>
          <w:rFonts w:ascii="Verdana" w:cs="Verdana" w:hAnsi="Verdana"/>
          <w:lang w:val="en-US"/>
        </w:rPr>
        <w:t>11</w:t>
      </w:r>
      <w:r>
        <w:rPr>
          <w:rFonts w:ascii="Verdana" w:cs="Verdana" w:hAnsi="Verdana"/>
          <w:lang w:val="en-US"/>
        </w:rPr>
        <w:t>/13/2020</w:t>
      </w:r>
    </w:p>
    <w:p>
      <w:pPr>
        <w:rPr>
          <w:sz w:val="22"/>
        </w:rPr>
      </w:pPr>
      <w:r>
        <w:rPr>
          <w:sz w:val="22"/>
        </w:rPr>
        <w:br w:type="page"/>
      </w:r>
    </w:p>
    <w:p>
      <w:pPr>
        <w:pStyle w:val="TOCHeading"/>
        <w:rPr>
          <w:b w:val="off"/>
          <w:color w:val="000000"/>
        </w:rPr>
      </w:pPr>
      <w:r>
        <w:rPr>
          <w:b/>
          <w:color w:val="17365d"/>
          <w:lang w:val="en-US"/>
        </w:rPr>
        <w:t>Contest</w:t>
      </w:r>
    </w:p>
    <w:p>
      <w:pPr>
        <w:pStyle w:val="Toc1"/>
        <w:tabs>
          <w:tab w:val="right" w:leader="dot" w:pos="9350"/>
        </w:tabs>
        <w:rPr>
          <w:rFonts w:ascii="Calibri" w:eastAsia="Calibri" w:hAnsi="Calibri"/>
          <w:sz w:val="24"/>
        </w:rPr>
      </w:pPr>
      <w:r>
        <w:fldChar w:fldCharType="begin"/>
      </w:r>
      <w:r>
        <w:instrText xml:space="preserve"> TOC \o "1-3" \h \z \u </w:instrText>
      </w:r>
      <w:r>
        <w:fldChar w:fldCharType="separate"/>
      </w:r>
      <w:r>
        <w:fldChar w:fldCharType="begin"/>
      </w:r>
      <w:r>
        <w:instrText xml:space="preserve">HYPERLINK \l "_Toc36063954" </w:instrText>
      </w:r>
      <w:r>
        <w:fldChar w:fldCharType="separate"/>
      </w:r>
      <w:r>
        <w:rPr>
          <w:rStyle w:val="Hyperlink"/>
          <w:lang w:val="en-GB"/>
        </w:rPr>
        <w:t xml:space="preserve">Introduction </w:t>
      </w:r>
      <w:r>
        <w:rPr>
          <w:rStyle w:val="Hyperlink"/>
          <w:lang w:val="en-US"/>
        </w:rPr>
        <w:t>:</w:t>
      </w:r>
      <w:r>
        <w:fldChar w:fldCharType="end"/>
      </w:r>
      <w:r>
        <w:rPr>
          <w:rFonts w:ascii="Calibri" w:eastAsia="Calibri" w:hAnsi="Calibri"/>
          <w:sz w:val="24"/>
          <w:lang w:val="en-US"/>
        </w:rPr>
        <w:t xml:space="preserve">.......................................................................................................Page 3-3 </w:t>
      </w:r>
    </w:p>
    <w:p>
      <w:pPr>
        <w:pStyle w:val="Toc1"/>
        <w:tabs>
          <w:tab w:val="right" w:leader="dot" w:pos="9350"/>
        </w:tabs>
        <w:rPr>
          <w:rFonts w:ascii="Calibri" w:eastAsia="Calibri" w:hAnsi="Calibri"/>
          <w:sz w:val="24"/>
        </w:rPr>
      </w:pPr>
      <w:r>
        <w:rPr>
          <w:sz w:val="24"/>
          <w:lang w:val="en-US"/>
        </w:rPr>
        <w:t>1 Question :........................................................................................................Page 4-8</w:t>
      </w:r>
    </w:p>
    <w:p>
      <w:pPr>
        <w:pStyle w:val="Toc2"/>
        <w:tabs>
          <w:tab w:val="right" w:leader="dot" w:pos="9350"/>
        </w:tabs>
        <w:ind w:left="0"/>
        <w:rPr>
          <w:rFonts w:ascii="Calibri" w:eastAsia="Calibri" w:hAnsi="Calibri"/>
          <w:sz w:val="22"/>
        </w:rPr>
      </w:pPr>
      <w:r>
        <w:rPr>
          <w:sz w:val="24"/>
          <w:lang w:val="en-US"/>
        </w:rPr>
        <w:t>2 Question :........................................................................................................Page 8-17</w:t>
      </w:r>
    </w:p>
    <w:p>
      <w:pPr>
        <w:pStyle w:val="Toc1"/>
        <w:tabs>
          <w:tab w:val="right" w:leader="dot" w:pos="9350"/>
        </w:tabs>
        <w:rPr>
          <w:rFonts w:ascii="Calibri" w:eastAsia="Calibri" w:hAnsi="Calibri"/>
          <w:sz w:val="24"/>
        </w:rPr>
      </w:pPr>
      <w:r>
        <w:fldChar w:fldCharType="begin"/>
      </w:r>
      <w:r>
        <w:instrText xml:space="preserve">HYPERLINK \l "_Toc36063959" </w:instrText>
      </w:r>
      <w:r>
        <w:fldChar w:fldCharType="separate"/>
      </w:r>
      <w:r>
        <w:rPr>
          <w:rStyle w:val="Hyperlink"/>
          <w:lang w:val="en-GB"/>
        </w:rPr>
        <w:t xml:space="preserve">Conclusion </w:t>
      </w:r>
      <w:r>
        <w:rPr>
          <w:rStyle w:val="Hyperlink"/>
          <w:lang w:val="en-US"/>
        </w:rPr>
        <w:t>:</w:t>
      </w:r>
      <w:r>
        <w:fldChar w:fldCharType="end"/>
      </w:r>
      <w:r>
        <w:rPr>
          <w:rFonts w:ascii="Calibri" w:eastAsia="Calibri" w:hAnsi="Calibri"/>
          <w:sz w:val="22"/>
          <w:lang w:val="en-US"/>
        </w:rPr>
        <w:t>...................................................................................................................</w:t>
      </w:r>
      <w:r>
        <w:rPr>
          <w:rFonts w:ascii="Calibri" w:eastAsia="Calibri" w:hAnsi="Calibri"/>
          <w:sz w:val="24"/>
          <w:lang w:val="en-US"/>
        </w:rPr>
        <w:t>Page 18-18</w:t>
      </w:r>
    </w:p>
    <w:p>
      <w:pPr>
        <w:pStyle w:val="Toc1"/>
        <w:tabs>
          <w:tab w:val="right" w:leader="dot" w:pos="9350"/>
        </w:tabs>
        <w:rPr>
          <w:rFonts w:ascii="Calibri" w:eastAsia="Calibri" w:hAnsi="Calibri"/>
          <w:sz w:val="24"/>
        </w:rPr>
      </w:pPr>
      <w:r>
        <w:fldChar w:fldCharType="begin"/>
      </w:r>
      <w:r>
        <w:instrText xml:space="preserve">HYPERLINK \l "_Toc36063960" </w:instrText>
      </w:r>
      <w:r>
        <w:fldChar w:fldCharType="separate"/>
      </w:r>
      <w:r>
        <w:rPr>
          <w:rStyle w:val="Hyperlink"/>
          <w:lang w:val="en-GB"/>
        </w:rPr>
        <w:t xml:space="preserve">References </w:t>
      </w:r>
      <w:r>
        <w:rPr>
          <w:rStyle w:val="Hyperlink"/>
          <w:lang w:val="en-US"/>
        </w:rPr>
        <w:t>:</w:t>
      </w:r>
      <w:r>
        <w:fldChar w:fldCharType="end"/>
      </w:r>
      <w:r>
        <w:rPr>
          <w:rFonts w:ascii="Calibri" w:eastAsia="Calibri" w:hAnsi="Calibri"/>
          <w:sz w:val="22"/>
          <w:lang w:val="en-US"/>
        </w:rPr>
        <w:t>...................................................................................................................</w:t>
      </w:r>
      <w:r>
        <w:rPr>
          <w:rFonts w:ascii="Calibri" w:eastAsia="Calibri" w:hAnsi="Calibri"/>
          <w:sz w:val="24"/>
          <w:lang w:val="en-US"/>
        </w:rPr>
        <w:t>Page  18-18</w:t>
      </w:r>
    </w:p>
    <w:p>
      <w:pPr>
        <w:rPr>
          <w:sz w:val="22"/>
        </w:rPr>
      </w:pPr>
      <w:r>
        <w:fldChar w:fldCharType="end"/>
      </w:r>
    </w:p>
    <w:p>
      <w:pPr>
        <w:rPr>
          <w:sz w:val="22"/>
        </w:rPr>
      </w:pPr>
    </w:p>
    <w:p>
      <w:pPr>
        <w:rPr>
          <w:sz w:val="22"/>
        </w:rPr>
      </w:pPr>
    </w:p>
    <w:p>
      <w:pPr>
        <w:rPr>
          <w:b w:val="off"/>
          <w:color w:val="17365d"/>
          <w:sz w:val="52"/>
          <w:lang w:val="en-US"/>
        </w:rPr>
      </w:pPr>
      <w:r>
        <w:rPr>
          <w:b w:val="off"/>
          <w:color w:val="17365d"/>
          <w:sz w:val="52"/>
          <w:lang w:val="en-US"/>
        </w:rPr>
        <w:t>Introduction</w:t>
      </w:r>
    </w:p>
    <w:p>
      <w:pPr>
        <w:rPr>
          <w:b w:val="off"/>
          <w:color w:val="17365d"/>
          <w:sz w:val="24"/>
          <w:lang w:val="en-US"/>
        </w:rPr>
      </w:pPr>
      <w:r>
        <w:rPr>
          <w:b w:val="off"/>
          <w:color w:val="000000"/>
          <w:sz w:val="24"/>
          <w:lang w:val="en-US"/>
        </w:rPr>
        <w:t xml:space="preserve">Accounting Fundamentals in Business and Management environment it is an process which </w:t>
      </w:r>
      <w:r>
        <w:rPr>
          <w:b w:val="off"/>
          <w:color w:val="17365d"/>
          <w:sz w:val="24"/>
          <w:lang w:val="en-US"/>
        </w:rPr>
        <w:t>is one of the important to develop organization to achieve goals.However it is an process lead from the beginning of the Accounting  in that stage,teaching to prepare financial report from in to end.In this assignment have an introduction and explanation of tables put in order and explanation to prepare a Balance sheet,Investment Ratio regarding the examples.Includes a two questions which have to be answer it,and explaining of those following  the descriptions.</w:t>
      </w:r>
    </w:p>
    <w:p>
      <w:pPr>
        <w:rPr>
          <w:sz w:val="4"/>
        </w:rPr>
      </w:pPr>
    </w:p>
    <w:p>
      <w:pPr>
        <w:rPr>
          <w:sz w:val="4"/>
        </w:rPr>
        <w:sectPr>
          <w:type w:val="nextPage"/>
        </w:sectPr>
      </w:pPr>
      <w:r>
        <w:rPr>
          <w:sz w:val="4"/>
        </w:rPr>
        <w:t>
</w:t>
      </w:r>
    </w:p>
    <w:p>
      <w:pPr>
        <w:spacing w:after="0" w:line="259" w:lineRule="auto"/>
        <w:ind w:left="0" w:right="0" w:firstLine="0"/>
        <w:jc w:val="left"/>
        <w:rPr/>
      </w:pPr>
      <w:r>
        <w:t xml:space="preserve"> </w:t>
      </w:r>
    </w:p>
    <w:p>
      <w:pPr>
        <w:pStyle w:val="Heading1"/>
        <w:spacing w:after="209" w:line="263" w:lineRule="auto"/>
        <w:ind w:left="-5"/>
        <w:rPr/>
      </w:pPr>
      <w:r>
        <w:rPr>
          <w:i/>
          <w:u w:val="single" w:color="000000"/>
          <w:lang w:val="en-US"/>
        </w:rPr>
        <w:t xml:space="preserve">                                                      1 Question</w:t>
      </w:r>
      <w:r>
        <w:rPr>
          <w:i/>
          <w:u w:val="single" w:color="000000"/>
        </w:rPr>
        <w:t xml:space="preserve"> </w:t>
      </w:r>
      <w:r>
        <w:rPr>
          <w:i/>
          <w:u w:val="single" w:color="000000"/>
          <w:lang w:val="en-US"/>
        </w:rPr>
        <w:t>...</w:t>
      </w:r>
    </w:p>
    <w:p>
      <w:pPr>
        <w:pStyle w:val="Normal"/>
        <w:spacing w:after="209" w:line="263" w:lineRule="auto"/>
        <w:ind w:left="-5"/>
        <w:rPr/>
      </w:pPr>
    </w:p>
    <w:p>
      <w:pPr>
        <w:ind w:right="5"/>
        <w:rPr/>
      </w:pPr>
      <w:r>
        <w:t xml:space="preserve">The following balances relate to Eccles plc for the year ended 31st December 2018 </w:t>
      </w:r>
    </w:p>
    <w:tbl>
      <w:tblPr>
        <w:tblStyle w:val="TableGrid"/>
        <w:tblW w:w="5523" w:type="dxa"/>
        <w:tblInd w:w="55" w:type="dxa"/>
        <w:tblCellMar>
          <w:top w:w="0" w:type="dxa"/>
          <w:left w:w="0" w:type="dxa"/>
          <w:bottom w:w="0" w:type="dxa"/>
          <w:right w:w="0" w:type="dxa"/>
        </w:tblCellMar>
        <w:tblLook w:val="04A0"/>
      </w:tblPr>
      <w:tblGrid>
        <w:gridCol w:w="3442"/>
        <w:gridCol w:w="1181"/>
        <w:gridCol w:w="900"/>
      </w:tblGrid>
      <w:tr>
        <w:trPr>
          <w:trHeight w:val="295"/>
        </w:trPr>
        <w:tc>
          <w:tcPr>
            <w:cnfStyle w:val="101000000000"/>
            <w:tcW w:w="3442" w:type="dxa"/>
            <w:tcBorders>
              <w:top w:val="nil" w:sz="4" w:space="0"/>
              <w:left w:val="nil" w:sz="4" w:space="0"/>
              <w:bottom w:val="nil" w:sz="4" w:space="0"/>
              <w:right w:val="nil" w:sz="4" w:space="0"/>
            </w:tcBorders>
          </w:tcPr>
          <w:p>
            <w:pPr>
              <w:spacing w:after="0" w:line="259" w:lineRule="auto"/>
              <w:ind w:left="0" w:right="0" w:firstLine="0"/>
              <w:jc w:val="left"/>
              <w:rPr/>
            </w:pPr>
            <w:r>
              <w:rPr>
                <w:b/>
              </w:rPr>
              <w:t xml:space="preserve">Balances for the year ended </w:t>
            </w:r>
          </w:p>
        </w:tc>
        <w:tc>
          <w:tcPr>
            <w:cnfStyle w:val="100000000000"/>
            <w:tcW w:w="2081" w:type="dxa"/>
            <w:gridSpan w:val="2"/>
            <w:tcBorders>
              <w:top w:val="nil" w:sz="4" w:space="0"/>
              <w:left w:val="nil" w:sz="4" w:space="0"/>
              <w:bottom w:val="nil" w:sz="4" w:space="0"/>
              <w:right w:val="nil" w:sz="4" w:space="0"/>
            </w:tcBorders>
          </w:tcPr>
          <w:p>
            <w:pPr>
              <w:tabs>
                <w:tab w:val="right" w:pos="2081"/>
              </w:tabs>
              <w:spacing w:after="0" w:line="259" w:lineRule="auto"/>
              <w:ind w:left="0" w:right="0" w:firstLine="0"/>
              <w:jc w:val="left"/>
              <w:rPr/>
            </w:pPr>
            <w:r>
              <w:rPr>
                <w:b/>
              </w:rPr>
              <w:t xml:space="preserve"> </w:t>
            </w:r>
            <w:r>
              <w:rPr>
                <w:b/>
              </w:rPr>
              <w:tab/>
              <w:t xml:space="preserve">31.12.2018 </w:t>
            </w:r>
          </w:p>
        </w:tc>
      </w:tr>
      <w:tr>
        <w:trPr>
          <w:trHeight w:val="278"/>
        </w:trPr>
        <w:tc>
          <w:tcPr>
            <w:cnfStyle w:val="0010001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 </w:t>
            </w:r>
          </w:p>
        </w:tc>
        <w:tc>
          <w:tcPr>
            <w:cnfStyle w:val="000000100000"/>
            <w:tcW w:w="2081" w:type="dxa"/>
            <w:gridSpan w:val="2"/>
            <w:tcBorders>
              <w:top w:val="nil" w:sz="4" w:space="0"/>
              <w:left w:val="nil" w:sz="4" w:space="0"/>
              <w:bottom w:val="nil" w:sz="4" w:space="0"/>
              <w:right w:val="nil" w:sz="4" w:space="0"/>
            </w:tcBorders>
          </w:tcPr>
          <w:p>
            <w:pPr>
              <w:spacing w:after="0" w:line="259" w:lineRule="auto"/>
              <w:ind w:left="0" w:right="0" w:firstLine="0"/>
              <w:jc w:val="left"/>
              <w:rPr/>
            </w:pPr>
            <w:r>
              <w:t xml:space="preserve"> </w:t>
            </w:r>
            <w:r>
              <w:tab/>
              <w:t xml:space="preserve"> </w:t>
            </w:r>
          </w:p>
        </w:tc>
      </w:tr>
      <w:tr>
        <w:trPr>
          <w:trHeight w:val="300"/>
        </w:trPr>
        <w:tc>
          <w:tcPr>
            <w:cnfStyle w:val="00100001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 </w:t>
            </w:r>
          </w:p>
        </w:tc>
        <w:tc>
          <w:tcPr>
            <w:cnfStyle w:val="000000010000"/>
            <w:tcW w:w="2081" w:type="dxa"/>
            <w:gridSpan w:val="2"/>
            <w:tcBorders>
              <w:top w:val="nil" w:sz="4" w:space="0"/>
              <w:left w:val="nil" w:sz="4" w:space="0"/>
              <w:bottom w:val="nil" w:sz="4" w:space="0"/>
              <w:right w:val="nil" w:sz="4" w:space="0"/>
            </w:tcBorders>
          </w:tcPr>
          <w:p>
            <w:pPr>
              <w:tabs>
                <w:tab w:val="center" w:pos="1023"/>
              </w:tabs>
              <w:spacing w:after="0" w:line="259" w:lineRule="auto"/>
              <w:ind w:left="0" w:right="0" w:firstLine="0"/>
              <w:jc w:val="left"/>
              <w:rPr/>
            </w:pPr>
            <w:r>
              <w:t xml:space="preserve">£ </w:t>
            </w:r>
            <w:r>
              <w:tab/>
              <w:t xml:space="preserve">£ </w:t>
            </w:r>
          </w:p>
        </w:tc>
      </w:tr>
      <w:tr>
        <w:trPr>
          <w:trHeight w:val="300"/>
        </w:trPr>
        <w:tc>
          <w:tcPr>
            <w:cnfStyle w:val="0010001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£1 ordinary shares </w:t>
            </w:r>
          </w:p>
        </w:tc>
        <w:tc>
          <w:tcPr>
            <w:cnfStyle w:val="000000100000"/>
            <w:tcW w:w="1181" w:type="dxa"/>
            <w:tcBorders>
              <w:top w:val="nil" w:sz="4" w:space="0"/>
              <w:left w:val="nil" w:sz="4" w:space="0"/>
              <w:bottom w:val="nil" w:sz="4" w:space="0"/>
              <w:right w:val="nil" w:sz="4" w:space="0"/>
            </w:tcBorders>
          </w:tcPr>
          <w:p>
            <w:pPr>
              <w:spacing w:after="0" w:line="259" w:lineRule="auto"/>
              <w:ind w:left="0" w:right="0" w:firstLine="0"/>
              <w:jc w:val="left"/>
              <w:rPr/>
            </w:pPr>
            <w:r>
              <w:t xml:space="preserve"> </w:t>
            </w:r>
          </w:p>
        </w:tc>
        <w:tc>
          <w:tcPr>
            <w:cnfStyle w:val="000000100000"/>
            <w:tcW w:w="900" w:type="dxa"/>
            <w:tcBorders>
              <w:top w:val="nil" w:sz="4" w:space="0"/>
              <w:left w:val="nil" w:sz="4" w:space="0"/>
              <w:bottom w:val="nil" w:sz="4" w:space="0"/>
              <w:right w:val="nil" w:sz="4" w:space="0"/>
            </w:tcBorders>
          </w:tcPr>
          <w:p>
            <w:pPr>
              <w:spacing w:after="0" w:line="259" w:lineRule="auto"/>
              <w:ind w:left="165" w:right="0" w:firstLine="0"/>
              <w:jc w:val="left"/>
              <w:rPr/>
            </w:pPr>
            <w:r>
              <w:t xml:space="preserve">310000 </w:t>
            </w:r>
          </w:p>
        </w:tc>
      </w:tr>
      <w:tr>
        <w:trPr>
          <w:trHeight w:val="300"/>
        </w:trPr>
        <w:tc>
          <w:tcPr>
            <w:cnfStyle w:val="00100001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10% £1 preference shares </w:t>
            </w:r>
          </w:p>
        </w:tc>
        <w:tc>
          <w:tcPr>
            <w:cnfStyle w:val="000000010000"/>
            <w:tcW w:w="1181" w:type="dxa"/>
            <w:tcBorders>
              <w:top w:val="nil" w:sz="4" w:space="0"/>
              <w:left w:val="nil" w:sz="4" w:space="0"/>
              <w:bottom w:val="nil" w:sz="4" w:space="0"/>
              <w:right w:val="nil" w:sz="4" w:space="0"/>
            </w:tcBorders>
          </w:tcPr>
          <w:p>
            <w:pPr>
              <w:spacing w:after="0" w:line="259" w:lineRule="auto"/>
              <w:ind w:left="0" w:right="0" w:firstLine="0"/>
              <w:jc w:val="left"/>
              <w:rPr/>
            </w:pPr>
            <w:r>
              <w:t xml:space="preserve"> </w:t>
            </w:r>
          </w:p>
        </w:tc>
        <w:tc>
          <w:tcPr>
            <w:cnfStyle w:val="000000010000"/>
            <w:tcW w:w="900" w:type="dxa"/>
            <w:tcBorders>
              <w:top w:val="nil" w:sz="4" w:space="0"/>
              <w:left w:val="nil" w:sz="4" w:space="0"/>
              <w:bottom w:val="nil" w:sz="4" w:space="0"/>
              <w:right w:val="nil" w:sz="4" w:space="0"/>
            </w:tcBorders>
          </w:tcPr>
          <w:p>
            <w:pPr>
              <w:spacing w:after="0" w:line="259" w:lineRule="auto"/>
              <w:ind w:left="165" w:right="0" w:firstLine="0"/>
              <w:jc w:val="left"/>
              <w:rPr/>
            </w:pPr>
            <w:r>
              <w:t xml:space="preserve">300000 </w:t>
            </w:r>
          </w:p>
        </w:tc>
      </w:tr>
      <w:tr>
        <w:trPr>
          <w:trHeight w:val="300"/>
        </w:trPr>
        <w:tc>
          <w:tcPr>
            <w:cnfStyle w:val="0010001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4% Debentures </w:t>
            </w:r>
          </w:p>
        </w:tc>
        <w:tc>
          <w:tcPr>
            <w:cnfStyle w:val="000000100000"/>
            <w:tcW w:w="1181" w:type="dxa"/>
            <w:tcBorders>
              <w:top w:val="nil" w:sz="4" w:space="0"/>
              <w:left w:val="nil" w:sz="4" w:space="0"/>
              <w:bottom w:val="nil" w:sz="4" w:space="0"/>
              <w:right w:val="nil" w:sz="4" w:space="0"/>
            </w:tcBorders>
          </w:tcPr>
          <w:p>
            <w:pPr>
              <w:spacing w:after="0" w:line="259" w:lineRule="auto"/>
              <w:ind w:left="0" w:right="0" w:firstLine="0"/>
              <w:jc w:val="left"/>
              <w:rPr/>
            </w:pPr>
            <w:r>
              <w:t xml:space="preserve"> </w:t>
            </w:r>
          </w:p>
        </w:tc>
        <w:tc>
          <w:tcPr>
            <w:cnfStyle w:val="000000100000"/>
            <w:tcW w:w="900" w:type="dxa"/>
            <w:tcBorders>
              <w:top w:val="nil" w:sz="4" w:space="0"/>
              <w:left w:val="nil" w:sz="4" w:space="0"/>
              <w:bottom w:val="nil" w:sz="4" w:space="0"/>
              <w:right w:val="nil" w:sz="4" w:space="0"/>
            </w:tcBorders>
          </w:tcPr>
          <w:p>
            <w:pPr>
              <w:spacing w:after="0" w:line="259" w:lineRule="auto"/>
              <w:ind w:left="165" w:right="0" w:firstLine="0"/>
              <w:jc w:val="left"/>
              <w:rPr/>
            </w:pPr>
            <w:r>
              <w:t xml:space="preserve">100000 </w:t>
            </w:r>
          </w:p>
        </w:tc>
      </w:tr>
      <w:tr>
        <w:trPr>
          <w:trHeight w:val="301"/>
        </w:trPr>
        <w:tc>
          <w:tcPr>
            <w:cnfStyle w:val="00100001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Plant and equipment </w:t>
            </w:r>
          </w:p>
        </w:tc>
        <w:tc>
          <w:tcPr>
            <w:cnfStyle w:val="000000010000"/>
            <w:tcW w:w="1181" w:type="dxa"/>
            <w:tcBorders>
              <w:top w:val="nil" w:sz="4" w:space="0"/>
              <w:left w:val="nil" w:sz="4" w:space="0"/>
              <w:bottom w:val="nil" w:sz="4" w:space="0"/>
              <w:right w:val="nil" w:sz="4" w:space="0"/>
            </w:tcBorders>
          </w:tcPr>
          <w:p>
            <w:pPr>
              <w:spacing w:after="0" w:line="259" w:lineRule="auto"/>
              <w:ind w:left="165" w:right="0" w:firstLine="0"/>
              <w:jc w:val="left"/>
              <w:rPr/>
            </w:pPr>
            <w:r>
              <w:t xml:space="preserve">632730  </w:t>
            </w:r>
          </w:p>
        </w:tc>
        <w:tc>
          <w:tcPr>
            <w:cnfStyle w:val="00000001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r>
        <w:trPr>
          <w:trHeight w:val="300"/>
        </w:trPr>
        <w:tc>
          <w:tcPr>
            <w:cnfStyle w:val="0010001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Stock at 31st December 2018 </w:t>
            </w:r>
          </w:p>
        </w:tc>
        <w:tc>
          <w:tcPr>
            <w:cnfStyle w:val="000000100000"/>
            <w:tcW w:w="1181" w:type="dxa"/>
            <w:tcBorders>
              <w:top w:val="nil" w:sz="4" w:space="0"/>
              <w:left w:val="nil" w:sz="4" w:space="0"/>
              <w:bottom w:val="nil" w:sz="4" w:space="0"/>
              <w:right w:val="nil" w:sz="4" w:space="0"/>
            </w:tcBorders>
          </w:tcPr>
          <w:p>
            <w:pPr>
              <w:spacing w:after="0" w:line="259" w:lineRule="auto"/>
              <w:ind w:left="165" w:right="0" w:firstLine="0"/>
              <w:jc w:val="left"/>
              <w:rPr/>
            </w:pPr>
            <w:r>
              <w:t xml:space="preserve">330600  </w:t>
            </w:r>
          </w:p>
        </w:tc>
        <w:tc>
          <w:tcPr>
            <w:cnfStyle w:val="00000010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r>
        <w:trPr>
          <w:trHeight w:val="300"/>
        </w:trPr>
        <w:tc>
          <w:tcPr>
            <w:cnfStyle w:val="00100001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Sales </w:t>
            </w:r>
          </w:p>
        </w:tc>
        <w:tc>
          <w:tcPr>
            <w:cnfStyle w:val="000000010000"/>
            <w:tcW w:w="1181" w:type="dxa"/>
            <w:tcBorders>
              <w:top w:val="nil" w:sz="4" w:space="0"/>
              <w:left w:val="nil" w:sz="4" w:space="0"/>
              <w:bottom w:val="nil" w:sz="4" w:space="0"/>
              <w:right w:val="nil" w:sz="4" w:space="0"/>
            </w:tcBorders>
          </w:tcPr>
          <w:p>
            <w:pPr>
              <w:spacing w:after="0" w:line="259" w:lineRule="auto"/>
              <w:ind w:left="0" w:right="0" w:firstLine="0"/>
              <w:jc w:val="left"/>
              <w:rPr/>
            </w:pPr>
            <w:r>
              <w:t xml:space="preserve"> </w:t>
            </w:r>
          </w:p>
        </w:tc>
        <w:tc>
          <w:tcPr>
            <w:cnfStyle w:val="000000010000"/>
            <w:tcW w:w="900" w:type="dxa"/>
            <w:tcBorders>
              <w:top w:val="nil" w:sz="4" w:space="0"/>
              <w:left w:val="nil" w:sz="4" w:space="0"/>
              <w:bottom w:val="nil" w:sz="4" w:space="0"/>
              <w:right w:val="nil" w:sz="4" w:space="0"/>
            </w:tcBorders>
          </w:tcPr>
          <w:p>
            <w:pPr>
              <w:spacing w:after="0" w:line="259" w:lineRule="auto"/>
              <w:ind w:left="165" w:right="0" w:firstLine="0"/>
              <w:jc w:val="left"/>
              <w:rPr/>
            </w:pPr>
            <w:r>
              <w:t xml:space="preserve">826650 </w:t>
            </w:r>
          </w:p>
        </w:tc>
      </w:tr>
      <w:tr>
        <w:trPr>
          <w:trHeight w:val="300"/>
        </w:trPr>
        <w:tc>
          <w:tcPr>
            <w:cnfStyle w:val="0010001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Cost of sales </w:t>
            </w:r>
          </w:p>
        </w:tc>
        <w:tc>
          <w:tcPr>
            <w:cnfStyle w:val="000000100000"/>
            <w:tcW w:w="1181" w:type="dxa"/>
            <w:tcBorders>
              <w:top w:val="nil" w:sz="4" w:space="0"/>
              <w:left w:val="nil" w:sz="4" w:space="0"/>
              <w:bottom w:val="nil" w:sz="4" w:space="0"/>
              <w:right w:val="nil" w:sz="4" w:space="0"/>
            </w:tcBorders>
          </w:tcPr>
          <w:p>
            <w:pPr>
              <w:spacing w:after="0" w:line="259" w:lineRule="auto"/>
              <w:ind w:left="165" w:right="0" w:firstLine="0"/>
              <w:jc w:val="left"/>
              <w:rPr/>
            </w:pPr>
            <w:r>
              <w:t xml:space="preserve">578650  </w:t>
            </w:r>
          </w:p>
        </w:tc>
        <w:tc>
          <w:tcPr>
            <w:cnfStyle w:val="00000010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r>
        <w:trPr>
          <w:trHeight w:val="300"/>
        </w:trPr>
        <w:tc>
          <w:tcPr>
            <w:cnfStyle w:val="00100001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Debtors </w:t>
            </w:r>
          </w:p>
        </w:tc>
        <w:tc>
          <w:tcPr>
            <w:cnfStyle w:val="000000010000"/>
            <w:tcW w:w="1181" w:type="dxa"/>
            <w:tcBorders>
              <w:top w:val="nil" w:sz="4" w:space="0"/>
              <w:left w:val="nil" w:sz="4" w:space="0"/>
              <w:bottom w:val="nil" w:sz="4" w:space="0"/>
              <w:right w:val="nil" w:sz="4" w:space="0"/>
            </w:tcBorders>
          </w:tcPr>
          <w:p>
            <w:pPr>
              <w:spacing w:after="0" w:line="259" w:lineRule="auto"/>
              <w:ind w:left="165" w:right="0" w:firstLine="0"/>
              <w:jc w:val="left"/>
              <w:rPr/>
            </w:pPr>
            <w:r>
              <w:t xml:space="preserve">170125  </w:t>
            </w:r>
          </w:p>
        </w:tc>
        <w:tc>
          <w:tcPr>
            <w:cnfStyle w:val="00000001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r>
        <w:trPr>
          <w:trHeight w:val="300"/>
        </w:trPr>
        <w:tc>
          <w:tcPr>
            <w:cnfStyle w:val="0010001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Trade creditors </w:t>
            </w:r>
          </w:p>
        </w:tc>
        <w:tc>
          <w:tcPr>
            <w:cnfStyle w:val="000000100000"/>
            <w:tcW w:w="1181" w:type="dxa"/>
            <w:tcBorders>
              <w:top w:val="nil" w:sz="4" w:space="0"/>
              <w:left w:val="nil" w:sz="4" w:space="0"/>
              <w:bottom w:val="nil" w:sz="4" w:space="0"/>
              <w:right w:val="nil" w:sz="4" w:space="0"/>
            </w:tcBorders>
          </w:tcPr>
          <w:p>
            <w:pPr>
              <w:spacing w:after="0" w:line="259" w:lineRule="auto"/>
              <w:ind w:left="0" w:right="0" w:firstLine="0"/>
              <w:jc w:val="left"/>
              <w:rPr/>
            </w:pPr>
            <w:r>
              <w:t xml:space="preserve"> </w:t>
            </w:r>
          </w:p>
        </w:tc>
        <w:tc>
          <w:tcPr>
            <w:cnfStyle w:val="000000100000"/>
            <w:tcW w:w="900" w:type="dxa"/>
            <w:tcBorders>
              <w:top w:val="nil" w:sz="4" w:space="0"/>
              <w:left w:val="nil" w:sz="4" w:space="0"/>
              <w:bottom w:val="nil" w:sz="4" w:space="0"/>
              <w:right w:val="nil" w:sz="4" w:space="0"/>
            </w:tcBorders>
          </w:tcPr>
          <w:p>
            <w:pPr>
              <w:spacing w:after="0" w:line="259" w:lineRule="auto"/>
              <w:ind w:left="165" w:right="0" w:firstLine="0"/>
              <w:jc w:val="left"/>
              <w:rPr/>
            </w:pPr>
            <w:r>
              <w:t xml:space="preserve">171355 </w:t>
            </w:r>
          </w:p>
        </w:tc>
      </w:tr>
      <w:tr>
        <w:trPr>
          <w:trHeight w:val="300"/>
        </w:trPr>
        <w:tc>
          <w:tcPr>
            <w:cnfStyle w:val="00100001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Cash and bank </w:t>
            </w:r>
          </w:p>
        </w:tc>
        <w:tc>
          <w:tcPr>
            <w:cnfStyle w:val="000000010000"/>
            <w:tcW w:w="1181" w:type="dxa"/>
            <w:tcBorders>
              <w:top w:val="nil" w:sz="4" w:space="0"/>
              <w:left w:val="nil" w:sz="4" w:space="0"/>
              <w:bottom w:val="nil" w:sz="4" w:space="0"/>
              <w:right w:val="nil" w:sz="4" w:space="0"/>
            </w:tcBorders>
          </w:tcPr>
          <w:p>
            <w:pPr>
              <w:spacing w:after="0" w:line="259" w:lineRule="auto"/>
              <w:ind w:left="0" w:right="80" w:firstLine="0"/>
              <w:jc w:val="center"/>
              <w:rPr/>
            </w:pPr>
            <w:r>
              <w:t xml:space="preserve">12900  </w:t>
            </w:r>
          </w:p>
        </w:tc>
        <w:tc>
          <w:tcPr>
            <w:cnfStyle w:val="00000001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r>
        <w:trPr>
          <w:trHeight w:val="300"/>
        </w:trPr>
        <w:tc>
          <w:tcPr>
            <w:cnfStyle w:val="0010001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Retained profits at 1st January 2018 </w:t>
            </w:r>
          </w:p>
        </w:tc>
        <w:tc>
          <w:tcPr>
            <w:cnfStyle w:val="000000100000"/>
            <w:tcW w:w="1181" w:type="dxa"/>
            <w:tcBorders>
              <w:top w:val="nil" w:sz="4" w:space="0"/>
              <w:left w:val="nil" w:sz="4" w:space="0"/>
              <w:bottom w:val="nil" w:sz="4" w:space="0"/>
              <w:right w:val="nil" w:sz="4" w:space="0"/>
            </w:tcBorders>
          </w:tcPr>
          <w:p>
            <w:pPr>
              <w:spacing w:after="0" w:line="259" w:lineRule="auto"/>
              <w:ind w:left="0" w:right="0" w:firstLine="0"/>
              <w:jc w:val="left"/>
              <w:rPr/>
            </w:pPr>
            <w:r>
              <w:t xml:space="preserve"> </w:t>
            </w:r>
          </w:p>
        </w:tc>
        <w:tc>
          <w:tcPr>
            <w:cnfStyle w:val="000000100000"/>
            <w:tcW w:w="900" w:type="dxa"/>
            <w:tcBorders>
              <w:top w:val="nil" w:sz="4" w:space="0"/>
              <w:left w:val="nil" w:sz="4" w:space="0"/>
              <w:bottom w:val="nil" w:sz="4" w:space="0"/>
              <w:right w:val="nil" w:sz="4" w:space="0"/>
            </w:tcBorders>
          </w:tcPr>
          <w:p>
            <w:pPr>
              <w:spacing w:after="0" w:line="259" w:lineRule="auto"/>
              <w:ind w:left="165" w:right="0" w:firstLine="0"/>
              <w:jc w:val="left"/>
              <w:rPr/>
            </w:pPr>
            <w:r>
              <w:t xml:space="preserve">132000 </w:t>
            </w:r>
          </w:p>
        </w:tc>
      </w:tr>
      <w:tr>
        <w:trPr>
          <w:trHeight w:val="300"/>
        </w:trPr>
        <w:tc>
          <w:tcPr>
            <w:cnfStyle w:val="00100001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Ordinary dividend paid </w:t>
            </w:r>
          </w:p>
        </w:tc>
        <w:tc>
          <w:tcPr>
            <w:cnfStyle w:val="000000010000"/>
            <w:tcW w:w="1181" w:type="dxa"/>
            <w:tcBorders>
              <w:top w:val="nil" w:sz="4" w:space="0"/>
              <w:left w:val="nil" w:sz="4" w:space="0"/>
              <w:bottom w:val="nil" w:sz="4" w:space="0"/>
              <w:right w:val="nil" w:sz="4" w:space="0"/>
            </w:tcBorders>
          </w:tcPr>
          <w:p>
            <w:pPr>
              <w:spacing w:after="0" w:line="259" w:lineRule="auto"/>
              <w:ind w:left="0" w:right="80" w:firstLine="0"/>
              <w:jc w:val="center"/>
              <w:rPr/>
            </w:pPr>
            <w:r>
              <w:t xml:space="preserve">20000  </w:t>
            </w:r>
          </w:p>
        </w:tc>
        <w:tc>
          <w:tcPr>
            <w:cnfStyle w:val="00000001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r>
        <w:trPr>
          <w:trHeight w:val="300"/>
        </w:trPr>
        <w:tc>
          <w:tcPr>
            <w:cnfStyle w:val="0010001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Preference dividend paid </w:t>
            </w:r>
          </w:p>
        </w:tc>
        <w:tc>
          <w:tcPr>
            <w:cnfStyle w:val="000000100000"/>
            <w:tcW w:w="1181" w:type="dxa"/>
            <w:tcBorders>
              <w:top w:val="nil" w:sz="4" w:space="0"/>
              <w:left w:val="nil" w:sz="4" w:space="0"/>
              <w:bottom w:val="nil" w:sz="4" w:space="0"/>
              <w:right w:val="nil" w:sz="4" w:space="0"/>
            </w:tcBorders>
          </w:tcPr>
          <w:p>
            <w:pPr>
              <w:spacing w:after="0" w:line="259" w:lineRule="auto"/>
              <w:ind w:left="0" w:right="80" w:firstLine="0"/>
              <w:jc w:val="center"/>
              <w:rPr/>
            </w:pPr>
            <w:r>
              <w:t xml:space="preserve">30000  </w:t>
            </w:r>
          </w:p>
        </w:tc>
        <w:tc>
          <w:tcPr>
            <w:cnfStyle w:val="00000010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bl>
    <w:p/>
    <w:tbl>
      <w:tblPr>
        <w:tblStyle w:val="TableGrid"/>
        <w:tblW w:w="5523" w:type="dxa"/>
        <w:tblInd w:w="55" w:type="dxa"/>
        <w:tblCellMar>
          <w:top w:w="0" w:type="dxa"/>
          <w:left w:w="0" w:type="dxa"/>
          <w:bottom w:w="0" w:type="dxa"/>
          <w:right w:w="0" w:type="dxa"/>
        </w:tblCellMar>
        <w:tblLook w:val="04A0"/>
      </w:tblPr>
      <w:tblGrid>
        <w:gridCol w:w="3442"/>
        <w:gridCol w:w="1181"/>
        <w:gridCol w:w="900"/>
      </w:tblGrid>
      <w:tr>
        <w:trPr>
          <w:trHeight w:val="300"/>
        </w:trPr>
        <w:tc>
          <w:tcPr>
            <w:cnfStyle w:val="1010000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Administrative expenses </w:t>
            </w:r>
          </w:p>
        </w:tc>
        <w:tc>
          <w:tcPr>
            <w:cnfStyle w:val="100000000000"/>
            <w:tcW w:w="1181" w:type="dxa"/>
            <w:tcBorders>
              <w:top w:val="nil" w:sz="4" w:space="0"/>
              <w:left w:val="nil" w:sz="4" w:space="0"/>
              <w:bottom w:val="nil" w:sz="4" w:space="0"/>
              <w:right w:val="nil" w:sz="4" w:space="0"/>
            </w:tcBorders>
          </w:tcPr>
          <w:p>
            <w:pPr>
              <w:spacing w:after="0" w:line="259" w:lineRule="auto"/>
              <w:ind w:left="0" w:right="80" w:firstLine="0"/>
              <w:jc w:val="center"/>
              <w:rPr/>
            </w:pPr>
            <w:r>
              <w:t xml:space="preserve">30000  </w:t>
            </w:r>
          </w:p>
        </w:tc>
        <w:tc>
          <w:tcPr>
            <w:cnfStyle w:val="10000000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r>
        <w:trPr>
          <w:trHeight w:val="300"/>
        </w:trPr>
        <w:tc>
          <w:tcPr>
            <w:cnfStyle w:val="0010001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Interest paid </w:t>
            </w:r>
          </w:p>
        </w:tc>
        <w:tc>
          <w:tcPr>
            <w:cnfStyle w:val="000000100000"/>
            <w:tcW w:w="1181" w:type="dxa"/>
            <w:tcBorders>
              <w:top w:val="nil" w:sz="4" w:space="0"/>
              <w:left w:val="nil" w:sz="4" w:space="0"/>
              <w:bottom w:val="nil" w:sz="4" w:space="0"/>
              <w:right w:val="nil" w:sz="4" w:space="0"/>
            </w:tcBorders>
          </w:tcPr>
          <w:p>
            <w:pPr>
              <w:spacing w:after="0" w:line="259" w:lineRule="auto"/>
              <w:ind w:left="385" w:right="0" w:firstLine="0"/>
              <w:jc w:val="left"/>
              <w:rPr/>
            </w:pPr>
            <w:r>
              <w:t xml:space="preserve">2000  </w:t>
            </w:r>
          </w:p>
        </w:tc>
        <w:tc>
          <w:tcPr>
            <w:cnfStyle w:val="00000010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r>
        <w:trPr>
          <w:trHeight w:val="300"/>
        </w:trPr>
        <w:tc>
          <w:tcPr>
            <w:cnfStyle w:val="00100001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Directors remuneration </w:t>
            </w:r>
          </w:p>
        </w:tc>
        <w:tc>
          <w:tcPr>
            <w:cnfStyle w:val="000000010000"/>
            <w:tcW w:w="1181" w:type="dxa"/>
            <w:tcBorders>
              <w:top w:val="nil" w:sz="4" w:space="0"/>
              <w:left w:val="nil" w:sz="4" w:space="0"/>
              <w:bottom w:val="nil" w:sz="4" w:space="0"/>
              <w:right w:val="nil" w:sz="4" w:space="0"/>
            </w:tcBorders>
          </w:tcPr>
          <w:p>
            <w:pPr>
              <w:spacing w:after="0" w:line="259" w:lineRule="auto"/>
              <w:ind w:left="385" w:right="0" w:firstLine="0"/>
              <w:jc w:val="left"/>
              <w:rPr/>
            </w:pPr>
            <w:r>
              <w:t xml:space="preserve">5000  </w:t>
            </w:r>
          </w:p>
        </w:tc>
        <w:tc>
          <w:tcPr>
            <w:cnfStyle w:val="00000001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r>
        <w:trPr>
          <w:trHeight w:val="323"/>
        </w:trPr>
        <w:tc>
          <w:tcPr>
            <w:cnfStyle w:val="00100010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Distribution costs </w:t>
            </w:r>
          </w:p>
        </w:tc>
        <w:tc>
          <w:tcPr>
            <w:cnfStyle w:val="000000100000"/>
            <w:tcW w:w="1181" w:type="dxa"/>
            <w:tcBorders>
              <w:top w:val="nil" w:sz="4" w:space="0"/>
              <w:left w:val="nil" w:sz="4" w:space="0"/>
              <w:bottom w:val="nil" w:sz="4" w:space="0"/>
              <w:right w:val="nil" w:sz="4" w:space="0"/>
            </w:tcBorders>
          </w:tcPr>
          <w:p>
            <w:pPr>
              <w:spacing w:after="0" w:line="259" w:lineRule="auto"/>
              <w:ind w:left="0" w:right="80" w:firstLine="0"/>
              <w:jc w:val="center"/>
              <w:rPr/>
            </w:pPr>
            <w:r>
              <w:t xml:space="preserve">28000  </w:t>
            </w:r>
          </w:p>
        </w:tc>
        <w:tc>
          <w:tcPr>
            <w:cnfStyle w:val="000000100000"/>
            <w:tcW w:w="900" w:type="dxa"/>
            <w:tcBorders>
              <w:top w:val="nil" w:sz="4" w:space="0"/>
              <w:left w:val="nil" w:sz="4" w:space="0"/>
              <w:bottom w:val="nil" w:sz="4" w:space="0"/>
              <w:right w:val="nil" w:sz="4" w:space="0"/>
            </w:tcBorders>
          </w:tcPr>
          <w:p>
            <w:pPr>
              <w:spacing w:after="160" w:line="259" w:lineRule="auto"/>
              <w:ind w:left="0" w:right="0" w:firstLine="0"/>
              <w:jc w:val="left"/>
              <w:rPr/>
            </w:pPr>
          </w:p>
        </w:tc>
      </w:tr>
      <w:tr>
        <w:trPr>
          <w:trHeight w:val="228"/>
        </w:trPr>
        <w:tc>
          <w:tcPr>
            <w:cnfStyle w:val="001000010000"/>
            <w:tcW w:w="3442" w:type="dxa"/>
            <w:tcBorders>
              <w:top w:val="nil" w:sz="4" w:space="0"/>
              <w:left w:val="nil" w:sz="4" w:space="0"/>
              <w:bottom w:val="nil" w:sz="4" w:space="0"/>
              <w:right w:val="nil" w:sz="4" w:space="0"/>
            </w:tcBorders>
          </w:tcPr>
          <w:p>
            <w:pPr>
              <w:spacing w:after="0" w:line="259" w:lineRule="auto"/>
              <w:ind w:left="0" w:right="0" w:firstLine="0"/>
              <w:jc w:val="left"/>
              <w:rPr/>
            </w:pPr>
            <w:r>
              <w:t xml:space="preserve"> </w:t>
            </w:r>
          </w:p>
        </w:tc>
        <w:tc>
          <w:tcPr>
            <w:cnfStyle w:val="000000010000"/>
            <w:tcW w:w="1181" w:type="dxa"/>
            <w:tcBorders>
              <w:top w:val="nil" w:sz="4" w:space="0"/>
              <w:left w:val="nil" w:sz="4" w:space="0"/>
              <w:bottom w:val="nil" w:sz="4" w:space="0"/>
              <w:right w:val="nil" w:sz="4" w:space="0"/>
            </w:tcBorders>
          </w:tcPr>
          <w:p>
            <w:pPr>
              <w:tabs>
                <w:tab w:val="right" w:pos="1181"/>
              </w:tabs>
              <w:spacing w:after="0" w:line="259" w:lineRule="auto"/>
              <w:ind w:left="-70" w:right="0" w:firstLine="0"/>
              <w:jc w:val="left"/>
              <w:rPr/>
            </w:pPr>
            <w:r>
              <w:rPr>
                <w:rFonts w:ascii="Calibri" w:cs="Calibri" w:eastAsia="Calibri" w:hAnsi="Calibri"/>
                <w:sz w:val="22"/>
              </w:rPr>
              <w:pict>
                <v:group id="66166EEA-C627-08FF-B9186BD295D2" coordsize="6226,63" style="width:49.03pt;height:0.5pt;mso-position-horizontal-relative:char;mso-position-vertical-relative:line;z-index:2;">
                  <v:shape id="2BC6D963-36AD-833C-2E65184ECF08" coordsize="616267,9144" style="position:absolute;width:6162;height:91;left:0;top:0;" fillcolor="#000000" stroked="f" strokeweight="0pt" path="m0,0 l616267,0 l616267,9144 l0,9144 l0,0">
                    <v:stroke color="#000000" joinstyle="miter" endcap="flat" opacity="0%" weight="0pt"/>
                    <v:fill color="#000000" focus="0%"/>
                    <o:lock/>
                  </v:shape>
                  <v:shape id="F3B41147-84DF-436B-226CFAA4B2F9" coordsize="9144,9144" style="position:absolute;width:91;height:91;left:6163;top:0;" fillcolor="#000000" stroked="f" strokeweight="0pt" path="m0,0 l9144,0 l9144,9144 l0,9144 l0,0">
                    <v:stroke color="#000000" joinstyle="miter" endcap="flat" opacity="0%" weight="0pt"/>
                    <v:fill color="#000000" focus="0%"/>
                    <o:lock/>
                  </v:shape>
                  <o:lock/>
                </v:group>
              </w:pict>
            </w:r>
            <w:r>
              <w:t xml:space="preserve"> </w:t>
            </w:r>
            <w:r>
              <w:tab/>
              <w:t xml:space="preserve"> </w:t>
            </w:r>
          </w:p>
        </w:tc>
        <w:tc>
          <w:tcPr>
            <w:cnfStyle w:val="000000010000"/>
            <w:tcW w:w="900" w:type="dxa"/>
            <w:tcBorders>
              <w:top w:val="nil" w:sz="4" w:space="0"/>
              <w:left w:val="nil" w:sz="4" w:space="0"/>
              <w:bottom w:val="nil" w:sz="4" w:space="0"/>
              <w:right w:val="nil" w:sz="4" w:space="0"/>
            </w:tcBorders>
            <w:vAlign w:val="bottom"/>
          </w:tcPr>
          <w:p>
            <w:pPr>
              <w:spacing w:after="0" w:line="259" w:lineRule="auto"/>
              <w:ind w:left="-270" w:right="0" w:firstLine="0"/>
              <w:jc w:val="left"/>
              <w:rPr/>
            </w:pPr>
            <w:r>
              <w:rPr>
                <w:rFonts w:ascii="Calibri" w:cs="Calibri" w:eastAsia="Calibri" w:hAnsi="Calibri"/>
                <w:sz w:val="22"/>
              </w:rPr>
              <w:pict>
                <v:group id="5DDDB29E-84E5-DF71-EEF47703ACA7" coordsize="7432,63" style="width:58.525pt;height:0.5pt;mso-position-horizontal-relative:char;mso-position-vertical-relative:line;z-index:3;">
                  <v:shape id="535891C4-141F-8DBF-852801AA543D" coordsize="743267,9144" style="position:absolute;width:7432;height:91;left:0;top:0;" fillcolor="#000000" stroked="f" strokeweight="0pt" path="m0,0 l743267,0 l743267,9144 l0,9144 l0,0">
                    <v:stroke color="#000000" joinstyle="miter" endcap="flat" opacity="0%" weight="0pt"/>
                    <v:fill color="#000000" focus="0%"/>
                    <o:lock/>
                  </v:shape>
                  <o:lock/>
                </v:group>
              </w:pict>
            </w:r>
          </w:p>
        </w:tc>
      </w:tr>
      <w:tr>
        <w:trPr>
          <w:trHeight w:val="348"/>
        </w:trPr>
        <w:tc>
          <w:tcPr>
            <w:cnfStyle w:val="001000100000"/>
            <w:tcW w:w="3442" w:type="dxa"/>
            <w:tcBorders>
              <w:top w:val="nil" w:sz="4" w:space="0"/>
              <w:left w:val="nil" w:sz="4" w:space="0"/>
              <w:bottom w:val="nil" w:sz="4" w:space="0"/>
              <w:right w:val="nil" w:sz="4" w:space="0"/>
            </w:tcBorders>
            <w:vAlign w:val="bottom"/>
          </w:tcPr>
          <w:p>
            <w:pPr>
              <w:spacing w:after="0" w:line="259" w:lineRule="auto"/>
              <w:ind w:left="0" w:right="0" w:firstLine="0"/>
              <w:jc w:val="left"/>
              <w:rPr/>
            </w:pPr>
            <w:r>
              <w:t xml:space="preserve"> </w:t>
            </w:r>
          </w:p>
        </w:tc>
        <w:tc>
          <w:tcPr>
            <w:cnfStyle w:val="000000100000"/>
            <w:tcW w:w="1181" w:type="dxa"/>
            <w:tcBorders>
              <w:top w:val="nil" w:sz="4" w:space="0"/>
              <w:left w:val="nil" w:sz="4" w:space="0"/>
              <w:bottom w:val="nil" w:sz="4" w:space="0"/>
              <w:right w:val="nil" w:sz="4" w:space="0"/>
            </w:tcBorders>
          </w:tcPr>
          <w:p>
            <w:pPr>
              <w:spacing w:after="0" w:line="259" w:lineRule="auto"/>
              <w:ind w:left="0" w:right="0" w:firstLine="0"/>
              <w:jc w:val="left"/>
              <w:rPr/>
            </w:pPr>
            <w:r>
              <w:rPr>
                <w:b/>
                <w:u w:val="single" w:color="000000"/>
              </w:rPr>
              <w:t xml:space="preserve">1840005 </w:t>
            </w:r>
          </w:p>
          <w:p>
            <w:pPr>
              <w:spacing w:after="0" w:line="259" w:lineRule="auto"/>
              <w:ind w:left="-85" w:right="0" w:firstLine="0"/>
              <w:jc w:val="left"/>
              <w:rPr/>
            </w:pPr>
            <w:r>
              <w:rPr>
                <w:rFonts w:ascii="Calibri" w:cs="Calibri" w:eastAsia="Calibri" w:hAnsi="Calibri"/>
                <w:sz w:val="22"/>
              </w:rPr>
              <w:pict>
                <v:group id="4CC72495-FC4B-299C-4DBA8501B7FB" coordsize="6449,95" style="width:50.78pt;height:0.75pt;mso-position-horizontal-relative:char;mso-position-vertical-relative:line;z-index:4;">
                  <v:shape id="CD2E09B0-CA27-8591-89F3BA579014" coordsize="625792,9525" style="position:absolute;width:6257;height:95;left:0;top:0;" fillcolor="#000000" stroked="f" strokeweight="0pt" path="m0,0 l625792,0 l625792,9525 l0,9525 l0,0">
                    <v:stroke color="#000000" joinstyle="miter" endcap="flat" opacity="0%" weight="0pt"/>
                    <v:fill color="#000000" focus="0%"/>
                    <o:lock/>
                  </v:shape>
                  <v:shape id="1FEE0065-126F-EE21-1013CBFDD903" coordsize="28575,9525" style="position:absolute;width:285;height:95;left:6163;top:0;" fillcolor="#000000" stroked="f" strokeweight="0pt" path="m0,0 l28575,0 l28575,9525 l0,9525 l0,0">
                    <v:stroke color="#000000" joinstyle="miter" endcap="flat" opacity="0%" weight="0pt"/>
                    <v:fill color="#000000" focus="0%"/>
                    <o:lock/>
                  </v:shape>
                  <o:lock/>
                </v:group>
              </w:pict>
            </w:r>
          </w:p>
        </w:tc>
        <w:tc>
          <w:tcPr>
            <w:cnfStyle w:val="000000100000"/>
            <w:tcW w:w="900" w:type="dxa"/>
            <w:tcBorders>
              <w:top w:val="nil" w:sz="4" w:space="0"/>
              <w:left w:val="nil" w:sz="4" w:space="0"/>
              <w:bottom w:val="nil" w:sz="4" w:space="0"/>
              <w:right w:val="nil" w:sz="4" w:space="0"/>
            </w:tcBorders>
          </w:tcPr>
          <w:p>
            <w:pPr>
              <w:spacing w:after="0" w:line="259" w:lineRule="auto"/>
              <w:ind w:left="0" w:right="0" w:firstLine="0"/>
              <w:rPr/>
            </w:pPr>
            <w:r>
              <w:rPr>
                <w:b/>
                <w:u w:val="single" w:color="000000"/>
              </w:rPr>
              <w:t xml:space="preserve">1840005 </w:t>
            </w:r>
          </w:p>
          <w:p>
            <w:pPr>
              <w:spacing w:after="0" w:line="259" w:lineRule="auto"/>
              <w:ind w:left="-250" w:right="0" w:firstLine="0"/>
              <w:jc w:val="left"/>
              <w:rPr/>
            </w:pPr>
            <w:r>
              <w:rPr>
                <w:rFonts w:ascii="Calibri" w:cs="Calibri" w:eastAsia="Calibri" w:hAnsi="Calibri"/>
                <w:sz w:val="22"/>
              </w:rPr>
              <w:pict>
                <v:group id="A017E77D-729C-DCF2-5C3E4AF729DE" coordsize="7305,95" style="width:57.525pt;height:0.75pt;mso-position-horizontal-relative:char;mso-position-vertical-relative:line;z-index:5;">
                  <v:shape id="C81A8347-B7CE-BDA2-C570FF6BB53A" coordsize="730567,9525" style="position:absolute;width:7305;height:95;left:0;top:0;" fillcolor="#000000" stroked="f" strokeweight="0pt" path="m0,0 l730567,0 l730567,9525 l0,9525 l0,0">
                    <v:stroke color="#000000" joinstyle="miter" endcap="flat" opacity="0%" weight="0pt"/>
                    <v:fill color="#000000" focus="0%"/>
                    <o:lock/>
                  </v:shape>
                  <o:lock/>
                </v:group>
              </w:pict>
            </w:r>
          </w:p>
        </w:tc>
      </w:tr>
    </w:tbl>
    <w:p>
      <w:pPr>
        <w:spacing w:after="0" w:line="259" w:lineRule="auto"/>
        <w:ind w:left="0" w:right="0" w:firstLine="0"/>
        <w:jc w:val="left"/>
        <w:rPr/>
      </w:pPr>
      <w:r>
        <w:t xml:space="preserve"> </w:t>
      </w:r>
    </w:p>
    <w:p>
      <w:pPr>
        <w:spacing w:after="0" w:line="259" w:lineRule="auto"/>
        <w:ind w:left="0" w:right="0" w:firstLine="0"/>
        <w:jc w:val="left"/>
        <w:rPr/>
      </w:pPr>
      <w:r>
        <w:rPr>
          <w:b/>
        </w:rPr>
        <w:t xml:space="preserve"> </w:t>
      </w:r>
    </w:p>
    <w:p>
      <w:pPr>
        <w:spacing w:after="10"/>
        <w:ind w:right="0"/>
        <w:jc w:val="left"/>
        <w:rPr/>
      </w:pPr>
      <w:r>
        <w:rPr>
          <w:b/>
        </w:rPr>
        <w:t xml:space="preserve">The following information is relevant:  </w:t>
      </w:r>
    </w:p>
    <w:p>
      <w:pPr>
        <w:numPr>
          <w:ilvl w:val="0"/>
          <w:numId w:val="1"/>
        </w:numPr>
        <w:ind w:right="5" w:hanging="195"/>
        <w:rPr/>
      </w:pPr>
      <w:r>
        <w:t xml:space="preserve">Corporation tax for the year is estimated at £68,000.  </w:t>
      </w:r>
    </w:p>
    <w:p>
      <w:pPr>
        <w:numPr>
          <w:ilvl w:val="0"/>
          <w:numId w:val="1"/>
        </w:numPr>
        <w:ind w:right="5" w:hanging="195"/>
        <w:rPr/>
      </w:pPr>
      <w:r>
        <w:t xml:space="preserve">Salesmen are owed commission of £3,000 in respect of December sales. It will be paid on 31st January 2019 and has not been recorded in the ledger accounts yet.  </w:t>
      </w:r>
    </w:p>
    <w:p>
      <w:pPr>
        <w:numPr>
          <w:ilvl w:val="0"/>
          <w:numId w:val="1"/>
        </w:numPr>
        <w:ind w:right="5" w:hanging="195"/>
        <w:rPr/>
      </w:pPr>
      <w:r>
        <w:t>Goods valued at £980 were sent to customers on 31st December 2018. Payment is due on 28 Februa</w:t>
      </w:r>
      <w:r>
        <w:t xml:space="preserve">ry 2019. This has not been recorded in the ledger accounts yet.  </w:t>
      </w:r>
    </w:p>
    <w:p>
      <w:pPr>
        <w:numPr>
          <w:ilvl w:val="0"/>
          <w:numId w:val="1"/>
        </w:numPr>
        <w:ind w:right="5" w:hanging="195"/>
        <w:rPr/>
      </w:pPr>
      <w:r>
        <w:t xml:space="preserve">The preference shares should be included within equity.  </w:t>
      </w:r>
    </w:p>
    <w:p>
      <w:pPr>
        <w:spacing w:after="0" w:line="259" w:lineRule="auto"/>
        <w:ind w:left="0" w:right="0" w:firstLine="0"/>
        <w:jc w:val="left"/>
        <w:rPr/>
      </w:pPr>
      <w:r>
        <w:rPr>
          <w:b/>
        </w:rPr>
        <w:t xml:space="preserve"> </w:t>
      </w:r>
    </w:p>
    <w:p>
      <w:pPr>
        <w:spacing w:after="0" w:line="259" w:lineRule="auto"/>
        <w:ind w:left="0" w:right="0" w:firstLine="0"/>
        <w:jc w:val="left"/>
        <w:rPr/>
      </w:pPr>
      <w:r>
        <w:rPr>
          <w:b/>
        </w:rPr>
        <w:t xml:space="preserve"> </w:t>
      </w:r>
    </w:p>
    <w:p>
      <w:pPr>
        <w:spacing w:after="10"/>
        <w:ind w:right="0"/>
        <w:jc w:val="left"/>
        <w:rPr/>
      </w:pPr>
      <w:r>
        <w:rPr>
          <w:b/>
        </w:rPr>
        <w:t xml:space="preserve">Required: </w:t>
      </w:r>
      <w:r>
        <w:t xml:space="preserve"> </w:t>
      </w:r>
    </w:p>
    <w:p>
      <w:pPr>
        <w:numPr>
          <w:ilvl w:val="0"/>
          <w:numId w:val="2"/>
        </w:numPr>
        <w:ind w:right="5" w:hanging="230"/>
        <w:rPr/>
      </w:pPr>
      <w:r>
        <w:t xml:space="preserve">Prepare an income statement for the year ended 31st December 2018 for Eccles plc and a statement of financial position as at that date. </w:t>
      </w:r>
      <w:r>
        <w:rPr>
          <w:b/>
        </w:rPr>
        <w:t xml:space="preserve">[40 marks] </w:t>
      </w:r>
      <w:r>
        <w:t xml:space="preserve"> </w:t>
      </w:r>
    </w:p>
    <w:p>
      <w:pPr>
        <w:numPr>
          <w:ilvl w:val="0"/>
          <w:numId w:val="2"/>
        </w:numPr>
        <w:ind w:right="5" w:hanging="230"/>
        <w:rPr/>
      </w:pPr>
      <w:r>
        <w:t xml:space="preserve">Explain why the statement of financial position balances. </w:t>
      </w:r>
      <w:r>
        <w:rPr>
          <w:b/>
        </w:rPr>
        <w:t xml:space="preserve">[10 marks] </w:t>
      </w:r>
    </w:p>
    <w:p>
      <w:pPr>
        <w:pStyle w:val="Heading1"/>
        <w:spacing w:after="312" w:line="263" w:lineRule="auto"/>
        <w:ind w:left="-5"/>
        <w:rPr/>
      </w:pPr>
      <w:r>
        <w:rPr>
          <w:lang w:val="en-US"/>
        </w:rPr>
        <w:t xml:space="preserve">                                             Answer of question 1...</w:t>
      </w:r>
    </w:p>
    <w:p>
      <w:pPr>
        <w:pBdr>
          <w:top w:val="single" w:color="000000" w:sz="8" w:space="0"/>
          <w:left w:val="single" w:color="000000" w:sz="8" w:space="0"/>
          <w:bottom w:val="single" w:color="000000" w:sz="8" w:space="0"/>
          <w:right w:val="single" w:color="000000" w:sz="8" w:space="0"/>
        </w:pBdr>
        <w:spacing w:after="88" w:line="259" w:lineRule="auto"/>
        <w:ind w:left="1021" w:right="0" w:firstLine="0"/>
        <w:jc w:val="left"/>
        <w:rPr>
          <w:color w:val="1f497d"/>
        </w:rPr>
      </w:pPr>
      <w:r>
        <w:rPr>
          <w:b/>
          <w:color w:val="1f497d"/>
        </w:rPr>
        <w:t xml:space="preserve">                I</w:t>
      </w:r>
      <w:r>
        <w:rPr>
          <w:b/>
          <w:color w:val="1f497d"/>
          <w:lang w:val="en-US"/>
        </w:rPr>
        <w:t xml:space="preserve">ncome Statement </w:t>
      </w:r>
      <w:r>
        <w:rPr>
          <w:b/>
          <w:color w:val="1f497d"/>
        </w:rPr>
        <w:t xml:space="preserve">for the period </w:t>
      </w:r>
      <w:r>
        <w:rPr>
          <w:b/>
          <w:color w:val="1f497d"/>
          <w:lang w:val="en-US"/>
        </w:rPr>
        <w:t xml:space="preserve">from </w:t>
      </w:r>
      <w:r>
        <w:rPr>
          <w:b/>
          <w:color w:val="1f497d"/>
        </w:rPr>
        <w:t xml:space="preserve"> 01/01/2018 </w:t>
      </w:r>
      <w:r>
        <w:rPr>
          <w:b/>
          <w:color w:val="1f497d"/>
          <w:lang w:val="en-US"/>
        </w:rPr>
        <w:t xml:space="preserve">to </w:t>
      </w:r>
      <w:r>
        <w:rPr>
          <w:b/>
          <w:color w:val="1f497d"/>
        </w:rPr>
        <w:t xml:space="preserve">31/12/2018 </w:t>
      </w:r>
    </w:p>
    <w:p>
      <w:pPr>
        <w:tabs>
          <w:tab w:val="center" w:pos="6451"/>
          <w:tab w:val="center" w:pos="7302"/>
        </w:tabs>
        <w:spacing w:after="81"/>
        <w:ind w:left="0" w:right="0" w:firstLine="0"/>
        <w:jc w:val="left"/>
        <w:rPr/>
      </w:pPr>
      <w:r>
        <w:t xml:space="preserve"> </w:t>
      </w:r>
      <w:r>
        <w:tab/>
      </w:r>
    </w:p>
    <w:p>
      <w:pPr>
        <w:tabs>
          <w:tab w:val="center" w:pos="6451"/>
          <w:tab w:val="center" w:pos="7302"/>
        </w:tabs>
        <w:spacing w:after="81"/>
        <w:ind w:left="0" w:right="0" w:firstLine="0"/>
        <w:jc w:val="left"/>
        <w:rPr/>
      </w:pPr>
    </w:p>
    <w:p>
      <w:pPr>
        <w:tabs>
          <w:tab w:val="center" w:pos="6451"/>
          <w:tab w:val="center" w:pos="7302"/>
        </w:tabs>
        <w:spacing w:after="81"/>
        <w:ind w:left="0" w:right="0" w:firstLine="0"/>
        <w:jc w:val="left"/>
        <w:rPr/>
      </w:pPr>
      <w:r>
        <w:tab/>
        <w:t xml:space="preserve">                  </w:t>
      </w:r>
      <w:r>
        <w:rPr>
          <w:lang w:val="en-US"/>
        </w:rPr>
        <w:t>Before      After</w:t>
      </w:r>
    </w:p>
    <w:p>
      <w:pPr>
        <w:tabs>
          <w:tab w:val="center" w:pos="6473"/>
          <w:tab w:val="center" w:pos="7323"/>
        </w:tabs>
        <w:spacing w:after="43"/>
        <w:ind w:left="0" w:right="0" w:firstLine="0"/>
        <w:jc w:val="left"/>
        <w:rPr/>
      </w:pPr>
      <w:r>
        <w:t xml:space="preserve">Revenue (amount of goods or services sold for the period) </w:t>
      </w:r>
      <w:r>
        <w:tab/>
        <w:t xml:space="preserve">826650 </w:t>
      </w:r>
      <w:r>
        <w:tab/>
        <w:t xml:space="preserve">827630 </w:t>
      </w:r>
    </w:p>
    <w:p>
      <w:pPr>
        <w:spacing w:after="48"/>
        <w:ind w:left="65" w:right="5"/>
        <w:rPr/>
      </w:pPr>
      <w:r>
        <w:rPr>
          <w:rFonts w:ascii="Calibri" w:cs="Calibri" w:eastAsia="Calibri" w:hAnsi="Calibri"/>
          <w:sz w:val="22"/>
        </w:rPr>
        <w:pict>
          <v:group id="39C0E0A3-F5F3-A49B-C9D5EA113868" coordsize="49200,3305" style="position:absolute;width:387.405pt;height:26.0283pt;margin-top:0pt;margin-left:0pt;mso-position-horizontal-relative:char;mso-position-vertical-relative:line;z-index:6;">
            <v:rect id="29014B71-683E-BBAC-5B3F501E5112" style="position:absolute;width:5580;height:1689;left:39100;top:0;" filled="f" stroked="f">
              <v:stroke joinstyle="miter"/>
              <v:textbox inset="0pt,0pt,0pt,0pt" style=";layout-flow:horizontal">
                <w:txbxContent>
                  <w:p>
                    <w:pPr>
                      <w:spacing w:before="0" w:after="160" w:line="259" w:lineRule="auto"/>
                      <w:ind w:left="0" w:right="0" w:firstLine="0"/>
                      <w:jc w:val="left"/>
                      <w:rPr/>
                    </w:pPr>
                    <w:r>
                      <w:t>578650</w:t>
                    </w:r>
                  </w:p>
                </w:txbxContent>
              </v:textbox>
              <o:lock/>
            </v:rect>
            <v:rect id="5CECDAD6-37B0-11E3-15C49A620E6D" style="position:absolute;width:371;height:1689;left:43325;top:0;"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57B093DB-E47A-AAC8-F8B62319A427" style="position:absolute;width:5580;height:1689;left:44500;top:0;" filled="f" stroked="f">
              <v:stroke joinstyle="miter"/>
              <v:textbox inset="0pt,0pt,0pt,0pt" style=";layout-flow:horizontal">
                <w:txbxContent>
                  <w:p>
                    <w:pPr>
                      <w:spacing w:before="0" w:after="160" w:line="259" w:lineRule="auto"/>
                      <w:ind w:left="0" w:right="0" w:firstLine="0"/>
                      <w:jc w:val="left"/>
                      <w:rPr/>
                    </w:pPr>
                    <w:r>
                      <w:t>578650</w:t>
                    </w:r>
                  </w:p>
                </w:txbxContent>
              </v:textbox>
              <o:lock/>
            </v:rect>
            <v:rect id="5E9456A3-A6C0-816F-BABD379B58CD" style="position:absolute;width:371;height:1689;left:48724;top:0;"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31447B28-95DC-7A52-23BA7C1AF2D3" style="position:absolute;width:6018;height:1689;left:38814;top:1968;"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248000</w:t>
                    </w:r>
                  </w:p>
                </w:txbxContent>
              </v:textbox>
              <o:lock/>
            </v:rect>
            <v:rect id="2B3BEA55-6D39-022F-3EE179FA4555" style="position:absolute;width:371;height:1689;left:43325;top:1968;"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 xml:space="preserve"> </w:t>
                    </w:r>
                  </w:p>
                </w:txbxContent>
              </v:textbox>
              <o:lock/>
            </v:rect>
            <v:rect id="9753C97F-FD95-001E-4014F6947C5A" style="position:absolute;width:6018;height:1689;left:44214;top:1968;"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248980</w:t>
                    </w:r>
                  </w:p>
                </w:txbxContent>
              </v:textbox>
              <o:lock/>
            </v:rect>
            <v:rect id="5A89A6E8-7468-0BDB-943D47B63A7F" style="position:absolute;width:371;height:1689;left:48724;top:1968;"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 xml:space="preserve"> </w:t>
                    </w:r>
                  </w:p>
                </w:txbxContent>
              </v:textbox>
              <o:lock/>
            </v:rect>
            <v:shape id="1F976B38-AE61-C99B-365E243327AB" coordsize="3837051,9144" style="position:absolute;width:38370;height:91;left:0;top:1273;" fillcolor="#000000" stroked="f" strokeweight="0pt" path="m0,0 l3837051,0 l3837051,9144 l0,9144 l0,0">
              <v:stroke color="#000000" joinstyle="miter" endcap="flat" opacity="0%" weight="0pt"/>
              <v:fill color="#000000" focus="0%"/>
              <o:lock/>
            </v:shape>
            <v:shape id="030A1D3B-C296-C617-48CB278BC975" coordsize="9144,9144" style="position:absolute;width:91;height:91;left:38369;top:1273;" fillcolor="#000000" stroked="f" strokeweight="0pt" path="m0,0 l9144,0 l9144,9144 l0,9144 l0,0">
              <v:stroke color="#000000" joinstyle="miter" endcap="flat" opacity="0%" weight="0pt"/>
              <v:fill color="#000000" focus="0%"/>
              <o:lock/>
            </v:shape>
            <v:shape id="A6943708-674F-E727-8707CB9D3240" coordsize="536892,9144" style="position:absolute;width:5368;height:91;left:38433;top:1273;" fillcolor="#000000" stroked="f" strokeweight="0pt" path="m0,0 l536892,0 l536892,9144 l0,9144 l0,0">
              <v:stroke color="#000000" joinstyle="miter" endcap="flat" opacity="0%" weight="0pt"/>
              <v:fill color="#000000" focus="0%"/>
              <o:lock/>
            </v:shape>
            <v:shape id="7287681D-C6DE-8859-A31943DA2B58" coordsize="9144,9144" style="position:absolute;width:91;height:91;left:43802;top:1273;" fillcolor="#000000" stroked="f" strokeweight="0pt" path="m0,0 l9144,0 l9144,9144 l0,9144 l0,0">
              <v:stroke color="#000000" joinstyle="miter" endcap="flat" opacity="0%" weight="0pt"/>
              <v:fill color="#000000" focus="0%"/>
              <o:lock/>
            </v:shape>
            <v:shape id="9DD54067-5F42-0D76-85BE05C16910" coordsize="533400,9144" style="position:absolute;width:5334;height:91;left:43866;top:1273;" fillcolor="#000000" stroked="f" strokeweight="0pt" path="m0,0 l533400,0 l533400,9144 l0,9144 l0,0">
              <v:stroke color="#000000" joinstyle="miter" endcap="flat" opacity="0%" weight="0pt"/>
              <v:fill color="#000000" focus="0%"/>
              <o:lock/>
            </v:shape>
            <v:shape id="94625684-75E4-FCBD-4D2C12A0024E" coordsize="3837051,9144" style="position:absolute;width:38370;height:91;left:0;top:3242;" fillcolor="#000000" stroked="f" strokeweight="0pt" path="m0,0 l3837051,0 l3837051,9144 l0,9144 l0,0">
              <v:stroke color="#000000" joinstyle="miter" endcap="flat" opacity="0%" weight="0pt"/>
              <v:fill color="#000000" focus="0%"/>
              <o:lock/>
            </v:shape>
            <v:shape id="EE07C1BA-D1D3-5783-E3E61B30F353" coordsize="9144,9144" style="position:absolute;width:91;height:91;left:38369;top:3242;" fillcolor="#000000" stroked="f" strokeweight="0pt" path="m0,0 l9144,0 l9144,9144 l0,9144 l0,0">
              <v:stroke color="#000000" joinstyle="miter" endcap="flat" opacity="0%" weight="0pt"/>
              <v:fill color="#000000" focus="0%"/>
              <o:lock/>
            </v:shape>
            <v:shape id="5652F09D-C4A3-4F3C-658D6B99668D" coordsize="536892,9144" style="position:absolute;width:5368;height:91;left:38433;top:3242;" fillcolor="#000000" stroked="f" strokeweight="0pt" path="m0,0 l536892,0 l536892,9144 l0,9144 l0,0">
              <v:stroke color="#000000" joinstyle="miter" endcap="flat" opacity="0%" weight="0pt"/>
              <v:fill color="#000000" focus="0%"/>
              <o:lock/>
            </v:shape>
            <v:shape id="32F25C5A-4112-1A5F-A0ADFC5DA944" coordsize="9144,9144" style="position:absolute;width:91;height:91;left:43802;top:3242;" fillcolor="#000000" stroked="f" strokeweight="0pt" path="m0,0 l9144,0 l9144,9144 l0,9144 l0,0">
              <v:stroke color="#000000" joinstyle="miter" endcap="flat" opacity="0%" weight="0pt"/>
              <v:fill color="#000000" focus="0%"/>
              <o:lock/>
            </v:shape>
            <v:shape id="01E4C074-9F06-7787-4E02D42813DC" coordsize="533400,9144" style="position:absolute;width:5334;height:91;left:43866;top:3242;" fillcolor="#000000" stroked="f" strokeweight="0pt" path="m0,0 l533400,0 l533400,9144 l0,9144 l0,0">
              <v:stroke color="#000000" joinstyle="miter" endcap="flat" opacity="0%" weight="0pt"/>
              <v:fill color="#000000" focus="0%"/>
              <o:lock/>
            </v:shape>
            <w10:wrap type="square"/>
            <o:lock/>
          </v:group>
        </w:pict>
      </w:r>
      <w:r>
        <w:t xml:space="preserve">Cost of sales </w:t>
      </w:r>
    </w:p>
    <w:p>
      <w:pPr>
        <w:pStyle w:val="Heading1"/>
        <w:ind w:left="65"/>
        <w:rPr/>
      </w:pPr>
      <w:r>
        <w:t>G</w:t>
      </w:r>
      <w:r>
        <w:rPr>
          <w:lang w:val="en-US"/>
        </w:rPr>
        <w:t>ross Profit</w:t>
      </w:r>
      <w:r>
        <w:t xml:space="preserve"> </w:t>
      </w:r>
    </w:p>
    <w:tbl>
      <w:tblPr>
        <w:tblStyle w:val="TableGrid"/>
        <w:tblW w:w="7647" w:type="dxa"/>
        <w:tblInd w:w="55" w:type="dxa"/>
        <w:tblCellMar>
          <w:top w:w="0" w:type="dxa"/>
          <w:left w:w="0" w:type="dxa"/>
          <w:bottom w:w="0" w:type="dxa"/>
          <w:right w:w="0" w:type="dxa"/>
        </w:tblCellMar>
        <w:tblLook w:val="04A0"/>
      </w:tblPr>
      <w:tblGrid>
        <w:gridCol w:w="5423"/>
        <w:gridCol w:w="1625"/>
        <w:gridCol w:w="599"/>
      </w:tblGrid>
      <w:tr>
        <w:trPr>
          <w:trHeight w:val="460" w:hRule="exact"/>
        </w:trPr>
        <w:tc>
          <w:tcPr>
            <w:cnfStyle w:val="101000000000"/>
            <w:tcW w:w="5423" w:type="dxa"/>
            <w:tcBorders>
              <w:top w:val="nil" w:sz="4" w:space="0"/>
              <w:left w:val="nil" w:sz="4" w:space="0"/>
              <w:bottom w:val="nil" w:sz="4" w:space="0"/>
              <w:right w:val="nil" w:sz="4" w:space="0"/>
            </w:tcBorders>
          </w:tcPr>
          <w:p>
            <w:pPr>
              <w:spacing w:after="0" w:line="259" w:lineRule="auto"/>
              <w:ind w:left="0" w:right="0" w:firstLine="0"/>
              <w:jc w:val="left"/>
              <w:rPr/>
            </w:pPr>
            <w:r>
              <w:t xml:space="preserve">Distribution costs </w:t>
            </w:r>
          </w:p>
        </w:tc>
        <w:tc>
          <w:tcPr>
            <w:cnfStyle w:val="100000000000"/>
            <w:tcW w:w="1625" w:type="dxa"/>
            <w:tcBorders>
              <w:top w:val="nil" w:sz="4" w:space="0"/>
              <w:left w:val="nil" w:sz="4" w:space="0"/>
              <w:bottom w:val="nil" w:sz="4" w:space="0"/>
              <w:right w:val="nil" w:sz="4" w:space="0"/>
            </w:tcBorders>
          </w:tcPr>
          <w:p>
            <w:pPr>
              <w:spacing w:after="0" w:line="259" w:lineRule="auto"/>
              <w:ind w:left="775" w:right="0" w:firstLine="0"/>
              <w:jc w:val="left"/>
              <w:rPr/>
            </w:pPr>
            <w:r>
              <w:t xml:space="preserve">28000 </w:t>
            </w:r>
          </w:p>
        </w:tc>
        <w:tc>
          <w:tcPr>
            <w:cnfStyle w:val="100000000000"/>
            <w:tcW w:w="599" w:type="dxa"/>
            <w:tcBorders>
              <w:top w:val="nil" w:sz="4" w:space="0"/>
              <w:left w:val="nil" w:sz="4" w:space="0"/>
              <w:bottom w:val="nil" w:sz="4" w:space="0"/>
              <w:right w:val="nil" w:sz="4" w:space="0"/>
            </w:tcBorders>
          </w:tcPr>
          <w:p>
            <w:pPr>
              <w:spacing w:after="0" w:line="259" w:lineRule="auto"/>
              <w:ind w:left="0" w:right="0" w:firstLine="0"/>
              <w:rPr/>
            </w:pPr>
            <w:r>
              <w:t xml:space="preserve">31000 </w:t>
            </w:r>
          </w:p>
        </w:tc>
      </w:tr>
      <w:tr>
        <w:trPr>
          <w:trHeight w:val="519" w:hRule="exact"/>
        </w:trPr>
        <w:tc>
          <w:tcPr>
            <w:cnfStyle w:val="001000100000"/>
            <w:tcW w:w="5423" w:type="dxa"/>
            <w:tcBorders>
              <w:top w:val="nil" w:sz="4" w:space="0"/>
              <w:left w:val="nil" w:sz="4" w:space="0"/>
              <w:bottom w:val="nil" w:sz="4" w:space="0"/>
              <w:right w:val="nil" w:sz="4" w:space="0"/>
            </w:tcBorders>
          </w:tcPr>
          <w:p>
            <w:pPr>
              <w:spacing w:after="0" w:line="259" w:lineRule="auto"/>
              <w:ind w:left="0" w:right="0" w:firstLine="0"/>
              <w:jc w:val="left"/>
              <w:rPr/>
            </w:pPr>
            <w:r>
              <w:t xml:space="preserve">Administration expenses </w:t>
            </w:r>
          </w:p>
        </w:tc>
        <w:tc>
          <w:tcPr>
            <w:cnfStyle w:val="000000100000"/>
            <w:tcW w:w="1625" w:type="dxa"/>
            <w:tcBorders>
              <w:top w:val="nil" w:sz="4" w:space="0"/>
              <w:left w:val="nil" w:sz="4" w:space="0"/>
              <w:bottom w:val="nil" w:sz="4" w:space="0"/>
              <w:right w:val="nil" w:sz="4" w:space="0"/>
            </w:tcBorders>
          </w:tcPr>
          <w:p>
            <w:pPr>
              <w:spacing w:after="0" w:line="259" w:lineRule="auto"/>
              <w:ind w:left="775" w:right="0" w:firstLine="0"/>
              <w:jc w:val="left"/>
              <w:rPr/>
            </w:pPr>
            <w:r>
              <w:t xml:space="preserve">85000 </w:t>
            </w:r>
          </w:p>
        </w:tc>
        <w:tc>
          <w:tcPr>
            <w:cnfStyle w:val="000000100000"/>
            <w:tcW w:w="599" w:type="dxa"/>
            <w:tcBorders>
              <w:top w:val="nil" w:sz="4" w:space="0"/>
              <w:left w:val="nil" w:sz="4" w:space="0"/>
              <w:bottom w:val="nil" w:sz="4" w:space="0"/>
              <w:right w:val="nil" w:sz="4" w:space="0"/>
            </w:tcBorders>
          </w:tcPr>
          <w:p>
            <w:pPr>
              <w:spacing w:after="0" w:line="259" w:lineRule="auto"/>
              <w:ind w:left="0" w:right="0" w:firstLine="0"/>
              <w:rPr/>
            </w:pPr>
            <w:r>
              <w:t xml:space="preserve">85000 </w:t>
            </w:r>
          </w:p>
        </w:tc>
      </w:tr>
    </w:tbl>
    <w:p>
      <w:pPr>
        <w:spacing w:after="48"/>
        <w:ind w:left="65" w:right="5"/>
        <w:rPr/>
      </w:pPr>
      <w:r>
        <w:rPr>
          <w:rFonts w:ascii="Calibri" w:cs="Calibri" w:eastAsia="Calibri" w:hAnsi="Calibri"/>
          <w:sz w:val="22"/>
        </w:rPr>
        <w:pict>
          <v:group id="3A5B80E9-09EC-2E93-031EC1514600" coordsize="49200,3305" style="position:absolute;width:387.405pt;height:26.0283pt;margin-top:0pt;margin-left:0pt;mso-position-horizontal-relative:char;mso-position-vertical-relative:line;z-index:7;">
            <v:rect id="AAC537B6-4F7A-ADB9-F4DB12182F66" style="position:absolute;width:935;height:1689;left:42626;top:0;" filled="f" stroked="f">
              <v:stroke joinstyle="miter"/>
              <v:textbox inset="0pt,0pt,0pt,0pt" style=";layout-flow:horizontal">
                <w:txbxContent>
                  <w:p>
                    <w:pPr>
                      <w:spacing w:before="0" w:after="160" w:line="259" w:lineRule="auto"/>
                      <w:ind w:left="0" w:right="0" w:firstLine="0"/>
                      <w:jc w:val="left"/>
                      <w:rPr/>
                    </w:pPr>
                    <w:r>
                      <w:t>0</w:t>
                    </w:r>
                  </w:p>
                </w:txbxContent>
              </v:textbox>
              <o:lock/>
            </v:rect>
            <v:rect id="D8844107-45E6-69DA-615D72935F03" style="position:absolute;width:371;height:1689;left:43325;top:0;"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8CA961AD-D72B-4A38-F298707DDEEC" style="position:absolute;width:935;height:1689;left:48024;top:0;" filled="f" stroked="f">
              <v:stroke joinstyle="miter"/>
              <v:textbox inset="0pt,0pt,0pt,0pt" style=";layout-flow:horizontal">
                <w:txbxContent>
                  <w:p>
                    <w:pPr>
                      <w:spacing w:before="0" w:after="160" w:line="259" w:lineRule="auto"/>
                      <w:ind w:left="0" w:right="0" w:firstLine="0"/>
                      <w:jc w:val="left"/>
                      <w:rPr/>
                    </w:pPr>
                    <w:r>
                      <w:t>0</w:t>
                    </w:r>
                  </w:p>
                </w:txbxContent>
              </v:textbox>
              <o:lock/>
            </v:rect>
            <v:rect id="8E5C40C2-F71D-A131-290A5A398DC2" style="position:absolute;width:371;height:1689;left:48724;top:0;"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01AF5159-7B52-CE68-EF296F7E1C53" style="position:absolute;width:6018;height:1689;left:38814;top:1968;"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135000</w:t>
                    </w:r>
                  </w:p>
                </w:txbxContent>
              </v:textbox>
              <o:lock/>
            </v:rect>
            <v:rect id="1767C20C-D0EE-77B3-8F02BFC1CC0B" style="position:absolute;width:371;height:1689;left:43325;top:1968;"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 xml:space="preserve"> </w:t>
                    </w:r>
                  </w:p>
                </w:txbxContent>
              </v:textbox>
              <o:lock/>
            </v:rect>
            <v:rect id="88312DF2-20D5-6C08-F1F81702BCEA" style="position:absolute;width:6018;height:1689;left:44214;top:1968;"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132980</w:t>
                    </w:r>
                  </w:p>
                </w:txbxContent>
              </v:textbox>
              <o:lock/>
            </v:rect>
            <v:rect id="FB73F672-8877-BC1C-807844B08A10" style="position:absolute;width:371;height:1689;left:48724;top:1968;"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 xml:space="preserve"> </w:t>
                    </w:r>
                  </w:p>
                </w:txbxContent>
              </v:textbox>
              <o:lock/>
            </v:rect>
            <v:shape id="39178E4C-C23B-727D-4F58A1DFCB3A" coordsize="3837051,9144" style="position:absolute;width:38370;height:91;left:0;top:1273;" fillcolor="#000000" stroked="f" strokeweight="0pt" path="m0,0 l3837051,0 l3837051,9144 l0,9144 l0,0">
              <v:stroke color="#000000" joinstyle="miter" endcap="flat" opacity="0%" weight="0pt"/>
              <v:fill color="#000000" focus="0%"/>
              <o:lock/>
            </v:shape>
            <v:shape id="C7FE839E-359A-4663-99E019F1AC5C" coordsize="9144,9144" style="position:absolute;width:91;height:91;left:38369;top:1273;" fillcolor="#000000" stroked="f" strokeweight="0pt" path="m0,0 l9144,0 l9144,9144 l0,9144 l0,0">
              <v:stroke color="#000000" joinstyle="miter" endcap="flat" opacity="0%" weight="0pt"/>
              <v:fill color="#000000" focus="0%"/>
              <o:lock/>
            </v:shape>
            <v:shape id="B2293BA9-D7BA-E28B-1028D344C756" coordsize="536892,9144" style="position:absolute;width:5368;height:91;left:38433;top:1273;" fillcolor="#000000" stroked="f" strokeweight="0pt" path="m0,0 l536892,0 l536892,9144 l0,9144 l0,0">
              <v:stroke color="#000000" joinstyle="miter" endcap="flat" opacity="0%" weight="0pt"/>
              <v:fill color="#000000" focus="0%"/>
              <o:lock/>
            </v:shape>
            <v:shape id="76CA7A68-3DE2-2D5E-F3D9E9684EC4" coordsize="9144,9144" style="position:absolute;width:91;height:91;left:43802;top:1273;" fillcolor="#000000" stroked="f" strokeweight="0pt" path="m0,0 l9144,0 l9144,9144 l0,9144 l0,0">
              <v:stroke color="#000000" joinstyle="miter" endcap="flat" opacity="0%" weight="0pt"/>
              <v:fill color="#000000" focus="0%"/>
              <o:lock/>
            </v:shape>
            <v:shape id="0AC888C1-98DF-ACA2-ACE302318DA3" coordsize="533400,9144" style="position:absolute;width:5334;height:91;left:43866;top:1273;" fillcolor="#000000" stroked="f" strokeweight="0pt" path="m0,0 l533400,0 l533400,9144 l0,9144 l0,0">
              <v:stroke color="#000000" joinstyle="miter" endcap="flat" opacity="0%" weight="0pt"/>
              <v:fill color="#000000" focus="0%"/>
              <o:lock/>
            </v:shape>
            <v:shape id="5C35B48B-C14A-9803-274D2A240253" coordsize="3837051,9144" style="position:absolute;width:38370;height:91;left:0;top:3242;" fillcolor="#000000" stroked="f" strokeweight="0pt" path="m0,0 l3837051,0 l3837051,9144 l0,9144 l0,0">
              <v:stroke color="#000000" joinstyle="miter" endcap="flat" opacity="0%" weight="0pt"/>
              <v:fill color="#000000" focus="0%"/>
              <o:lock/>
            </v:shape>
            <v:shape id="08F25FBB-11BB-EEF0-7A6B0CF207DE" coordsize="9144,9144" style="position:absolute;width:91;height:91;left:38369;top:3242;" fillcolor="#000000" stroked="f" strokeweight="0pt" path="m0,0 l9144,0 l9144,9144 l0,9144 l0,0">
              <v:stroke color="#000000" joinstyle="miter" endcap="flat" opacity="0%" weight="0pt"/>
              <v:fill color="#000000" focus="0%"/>
              <o:lock/>
            </v:shape>
            <v:shape id="C0E6B5A8-CE38-A295-8190DBE5D089" coordsize="536892,9144" style="position:absolute;width:5368;height:91;left:38433;top:3242;" fillcolor="#000000" stroked="f" strokeweight="0pt" path="m0,0 l536892,0 l536892,9144 l0,9144 l0,0">
              <v:stroke color="#000000" joinstyle="miter" endcap="flat" opacity="0%" weight="0pt"/>
              <v:fill color="#000000" focus="0%"/>
              <o:lock/>
            </v:shape>
            <v:shape id="2F281935-C386-5E83-3C46AF47CE03" coordsize="9144,9144" style="position:absolute;width:91;height:91;left:43802;top:3242;" fillcolor="#000000" stroked="f" strokeweight="0pt" path="m0,0 l9144,0 l9144,9144 l0,9144 l0,0">
              <v:stroke color="#000000" joinstyle="miter" endcap="flat" opacity="0%" weight="0pt"/>
              <v:fill color="#000000" focus="0%"/>
              <o:lock/>
            </v:shape>
            <v:shape id="AAF96B73-C81E-0BC3-3D711AF0102C" coordsize="533400,9144" style="position:absolute;width:5334;height:91;left:43866;top:3242;" fillcolor="#000000" stroked="f" strokeweight="0pt" path="m0,0 l533400,0 l533400,9144 l0,9144 l0,0">
              <v:stroke color="#000000" joinstyle="miter" endcap="flat" opacity="0%" weight="0pt"/>
              <v:fill color="#000000" focus="0%"/>
              <o:lock/>
            </v:shape>
            <w10:wrap type="square"/>
            <o:lock/>
          </v:group>
        </w:pict>
      </w:r>
      <w:r>
        <w:t xml:space="preserve">Other income </w:t>
      </w:r>
    </w:p>
    <w:p>
      <w:pPr>
        <w:pStyle w:val="Heading1"/>
        <w:ind w:left="65"/>
        <w:rPr>
          <w:b w:val="off"/>
          <w:color w:val="17365d"/>
          <w:sz w:val="26"/>
        </w:rPr>
      </w:pPr>
      <w:r>
        <w:t xml:space="preserve">                                                O</w:t>
      </w:r>
      <w:r>
        <w:rPr>
          <w:lang w:val="en-US"/>
        </w:rPr>
        <w:t>peration Profit</w:t>
      </w:r>
      <w:r>
        <w:rPr>
          <w:rFonts w:ascii="Calibri" w:cs="Calibri" w:eastAsia="Calibri" w:hAnsi="Calibri"/>
          <w:sz w:val="22"/>
        </w:rPr>
        <w:pict>
          <v:group id="A90AA14C-F6F1-B51D-6821CB55B971" coordsize="49295,9150" style="width:388.15pt;height:72pt;margin-top:0pt;margin-left:0pt;mso-position-horizontal-relative:char;mso-position-vertical-relative:line;z-index:8;">
            <v:rect id="5003DED3-59FC-804B-A66B7773D1BF" style="position:absolute;width:18488;height:1689;left:539;top:0;" filled="f" stroked="f">
              <v:stroke joinstyle="miter"/>
              <v:textbox inset="0pt,0pt,0pt,0pt" style=";layout-flow:horizontal">
                <w:txbxContent>
                  <w:p>
                    <w:pPr>
                      <w:spacing w:before="0" w:after="160" w:line="259" w:lineRule="auto"/>
                      <w:ind w:left="0" w:right="0" w:firstLine="0"/>
                      <w:jc w:val="left"/>
                      <w:rPr/>
                    </w:pPr>
                    <w:r>
                      <w:t>Income from investments</w:t>
                    </w:r>
                  </w:p>
                </w:txbxContent>
              </v:textbox>
              <o:lock/>
            </v:rect>
            <v:rect id="170458E9-12AA-F152-6626D64CF8C7" style="position:absolute;width:371;height:1689;left:14421;top:0;"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F0DCA497-9EA1-06A3-FDDCE65091D0" style="position:absolute;width:935;height:1689;left:42722;top:0;" filled="f" stroked="f">
              <v:stroke joinstyle="miter"/>
              <v:textbox inset="0pt,0pt,0pt,0pt" style=";layout-flow:horizontal">
                <w:txbxContent>
                  <w:p>
                    <w:pPr>
                      <w:spacing w:before="0" w:after="160" w:line="259" w:lineRule="auto"/>
                      <w:ind w:left="0" w:right="0" w:firstLine="0"/>
                      <w:jc w:val="left"/>
                      <w:rPr/>
                    </w:pPr>
                    <w:r>
                      <w:t>0</w:t>
                    </w:r>
                  </w:p>
                </w:txbxContent>
              </v:textbox>
              <o:lock/>
            </v:rect>
            <v:rect id="67A17721-40E9-01C9-F64DFC135300" style="position:absolute;width:371;height:1689;left:43420;top:0;"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0A14EEA2-2864-39B5-1BFC05C27FCA" style="position:absolute;width:935;height:1689;left:48119;top:0;" filled="f" stroked="f">
              <v:stroke joinstyle="miter"/>
              <v:textbox inset="0pt,0pt,0pt,0pt" style=";layout-flow:horizontal">
                <w:txbxContent>
                  <w:p>
                    <w:pPr>
                      <w:spacing w:before="0" w:after="160" w:line="259" w:lineRule="auto"/>
                      <w:ind w:left="0" w:right="0" w:firstLine="0"/>
                      <w:jc w:val="left"/>
                      <w:rPr/>
                    </w:pPr>
                    <w:r>
                      <w:t>0</w:t>
                    </w:r>
                  </w:p>
                </w:txbxContent>
              </v:textbox>
              <o:lock/>
            </v:rect>
            <v:rect id="450634CF-9F4C-FFE7-1A3990D3B0CB" style="position:absolute;width:371;height:1689;left:48819;top:0;"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DBC9A424-1A48-989D-716A6594272A" style="position:absolute;width:9710;height:1689;left:539;top:1905;" filled="f" stroked="f">
              <v:stroke joinstyle="miter"/>
              <v:textbox inset="0pt,0pt,0pt,0pt" style=";layout-flow:horizontal">
                <w:txbxContent>
                  <w:p>
                    <w:pPr>
                      <w:spacing w:before="0" w:after="160" w:line="259" w:lineRule="auto"/>
                      <w:ind w:left="0" w:right="0" w:firstLine="0"/>
                      <w:jc w:val="left"/>
                      <w:rPr/>
                    </w:pPr>
                    <w:r>
                      <w:t>Finance costs</w:t>
                    </w:r>
                  </w:p>
                </w:txbxContent>
              </v:textbox>
              <o:lock/>
            </v:rect>
            <v:rect id="1CDC20D4-E50F-774A-091DD3EE8F87" style="position:absolute;width:371;height:1689;left:7813;top:1905;"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790BBE74-7C77-7DDB-79243E8BE4DC" style="position:absolute;width:3722;height:1689;left:40592;top:1905;" filled="f" stroked="f">
              <v:stroke joinstyle="miter"/>
              <v:textbox inset="0pt,0pt,0pt,0pt" style=";layout-flow:horizontal">
                <w:txbxContent>
                  <w:p>
                    <w:pPr>
                      <w:spacing w:before="0" w:after="160" w:line="259" w:lineRule="auto"/>
                      <w:ind w:left="0" w:right="0" w:firstLine="0"/>
                      <w:jc w:val="left"/>
                      <w:rPr/>
                    </w:pPr>
                    <w:r>
                      <w:t>2000</w:t>
                    </w:r>
                  </w:p>
                </w:txbxContent>
              </v:textbox>
              <o:lock/>
            </v:rect>
            <v:rect id="CF409934-9A2A-4FD6-677219DE95C9" style="position:absolute;width:371;height:1689;left:43420;top:1905;"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9C28D5CC-9FD6-33F5-66BC57BEBD1E" style="position:absolute;width:3722;height:1689;left:45992;top:1905;" filled="f" stroked="f">
              <v:stroke joinstyle="miter"/>
              <v:textbox inset="0pt,0pt,0pt,0pt" style=";layout-flow:horizontal">
                <w:txbxContent>
                  <w:p>
                    <w:pPr>
                      <w:spacing w:before="0" w:after="160" w:line="259" w:lineRule="auto"/>
                      <w:ind w:left="0" w:right="0" w:firstLine="0"/>
                      <w:jc w:val="left"/>
                      <w:rPr/>
                    </w:pPr>
                    <w:r>
                      <w:t>2000</w:t>
                    </w:r>
                  </w:p>
                </w:txbxContent>
              </v:textbox>
              <o:lock/>
            </v:rect>
            <v:rect id="1B181A0C-34CA-97A4-026820224C0F" style="position:absolute;width:371;height:1689;left:48819;top:1905;"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71F3BA1E-B070-69B1-44B50332B73D" style="position:absolute;width:6018;height:1689;left:38909;top:3873;"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133000</w:t>
                    </w:r>
                  </w:p>
                </w:txbxContent>
              </v:textbox>
              <o:lock/>
            </v:rect>
            <v:rect id="1898F78B-2731-E9E5-7E59465431BC" style="position:absolute;width:371;height:1689;left:43420;top:3873;"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 xml:space="preserve"> </w:t>
                    </w:r>
                  </w:p>
                </w:txbxContent>
              </v:textbox>
              <o:lock/>
            </v:rect>
            <v:rect id="C3FFB941-B354-3F29-148D85CF5732" style="position:absolute;width:6018;height:1689;left:44309;top:3873;"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130980</w:t>
                    </w:r>
                  </w:p>
                </w:txbxContent>
              </v:textbox>
              <o:lock/>
            </v:rect>
            <v:rect id="DFB1D58A-C661-47AE-97616D3C83EB" style="position:absolute;width:371;height:1689;left:48819;top:3873;"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 xml:space="preserve"> </w:t>
                    </w:r>
                  </w:p>
                </w:txbxContent>
              </v:textbox>
              <o:lock/>
            </v:rect>
            <v:shape id="3FBB916F-02FA-B740-FE14CB9936A8" coordsize="3837051,9144" style="position:absolute;width:38370;height:91;left:95;top:3178;" fillcolor="#000000" stroked="f" strokeweight="0pt" path="m0,0 l3837051,0 l3837051,9144 l0,9144 l0,0">
              <v:stroke color="#000000" joinstyle="miter" endcap="flat" opacity="0%" weight="0pt"/>
              <v:fill color="#000000" focus="0%"/>
              <o:lock/>
            </v:shape>
            <v:shape id="AEC772BA-CF28-FA6F-FD26E13C244A" coordsize="9144,9144" style="position:absolute;width:91;height:91;left:38465;top:3178;" fillcolor="#000000" stroked="f" strokeweight="0pt" path="m0,0 l9144,0 l9144,9144 l0,9144 l0,0">
              <v:stroke color="#000000" joinstyle="miter" endcap="flat" opacity="0%" weight="0pt"/>
              <v:fill color="#000000" focus="0%"/>
              <o:lock/>
            </v:shape>
            <v:shape id="804F1DAA-EDAB-66B4-5B6B08B0D9C6" coordsize="536892,9144" style="position:absolute;width:5368;height:91;left:38528;top:3178;" fillcolor="#000000" stroked="f" strokeweight="0pt" path="m0,0 l536892,0 l536892,9144 l0,9144 l0,0">
              <v:stroke color="#000000" joinstyle="miter" endcap="flat" opacity="0%" weight="0pt"/>
              <v:fill color="#000000" focus="0%"/>
              <o:lock/>
            </v:shape>
            <v:shape id="BBF97B92-E47D-852C-FFA575CDA71C" coordsize="9144,9144" style="position:absolute;width:91;height:91;left:43898;top:3178;" fillcolor="#000000" stroked="f" strokeweight="0pt" path="m0,0 l9144,0 l9144,9144 l0,9144 l0,0">
              <v:stroke color="#000000" joinstyle="miter" endcap="flat" opacity="0%" weight="0pt"/>
              <v:fill color="#000000" focus="0%"/>
              <o:lock/>
            </v:shape>
            <v:shape id="A3650F54-8BC0-E21C-2B4F8B41CDEC" coordsize="533400,9144" style="position:absolute;width:5334;height:91;left:43961;top:3178;" fillcolor="#000000" stroked="f" strokeweight="0pt" path="m0,0 l533400,0 l533400,9144 l0,9144 l0,0">
              <v:stroke color="#000000" joinstyle="miter" endcap="flat" opacity="0%" weight="0pt"/>
              <v:fill color="#000000" focus="0%"/>
              <o:lock/>
            </v:shape>
            <v:rect id="1871A9C5-7FC7-A5F5-332D151589CF" style="position:absolute;width:6383;height:1689;left:539;top:5840;" filled="f" stroked="f">
              <v:stroke joinstyle="miter"/>
              <v:textbox inset="0pt,0pt,0pt,0pt" style=";layout-flow:horizontal">
                <w:txbxContent>
                  <w:p>
                    <w:pPr>
                      <w:spacing w:before="0" w:after="160" w:line="259" w:lineRule="auto"/>
                      <w:ind w:left="0" w:right="0" w:firstLine="0"/>
                      <w:jc w:val="left"/>
                      <w:rPr/>
                    </w:pPr>
                    <w:r>
                      <w:t>Taxation</w:t>
                    </w:r>
                  </w:p>
                </w:txbxContent>
              </v:textbox>
              <o:lock/>
            </v:rect>
            <v:rect id="3CBE9C45-F9A4-B614-DF52950EC11D" style="position:absolute;width:371;height:1689;left:5305;top:5840;"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73BB2206-737F-C8F3-4C41636D25DB" style="position:absolute;width:4651;height:1689;left:39893;top:5840;" filled="f" stroked="f">
              <v:stroke joinstyle="miter"/>
              <v:textbox inset="0pt,0pt,0pt,0pt" style=";layout-flow:horizontal">
                <w:txbxContent>
                  <w:p>
                    <w:pPr>
                      <w:spacing w:before="0" w:after="160" w:line="259" w:lineRule="auto"/>
                      <w:ind w:left="0" w:right="0" w:firstLine="0"/>
                      <w:jc w:val="left"/>
                      <w:rPr/>
                    </w:pPr>
                    <w:r>
                      <w:t>68000</w:t>
                    </w:r>
                  </w:p>
                </w:txbxContent>
              </v:textbox>
              <o:lock/>
            </v:rect>
            <v:rect id="B13E9205-A9A0-7DA5-1FFC8478511D" style="position:absolute;width:371;height:1689;left:43420;top:5840;"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rect id="F87D8585-D72D-A334-3722BF8306B1" style="position:absolute;width:4651;height:1689;left:45293;top:5840;" filled="f" stroked="f">
              <v:stroke joinstyle="miter"/>
              <v:textbox inset="0pt,0pt,0pt,0pt" style=";layout-flow:horizontal">
                <w:txbxContent>
                  <w:p>
                    <w:pPr>
                      <w:spacing w:before="0" w:after="160" w:line="259" w:lineRule="auto"/>
                      <w:ind w:left="0" w:right="0" w:firstLine="0"/>
                      <w:jc w:val="left"/>
                      <w:rPr/>
                    </w:pPr>
                    <w:r>
                      <w:t>68000</w:t>
                    </w:r>
                  </w:p>
                </w:txbxContent>
              </v:textbox>
              <o:lock/>
            </v:rect>
            <v:rect id="26BAD8D6-F0B7-D0C6-ED1358A56F0D" style="position:absolute;width:371;height:1689;left:48819;top:5840;" filled="f" stroked="f">
              <v:stroke joinstyle="miter"/>
              <v:textbox inset="0pt,0pt,0pt,0pt" style=";layout-flow:horizontal">
                <w:txbxContent>
                  <w:p>
                    <w:pPr>
                      <w:spacing w:before="0" w:after="160" w:line="259" w:lineRule="auto"/>
                      <w:ind w:left="0" w:right="0" w:firstLine="0"/>
                      <w:jc w:val="left"/>
                      <w:rPr/>
                    </w:pPr>
                    <w:r>
                      <w:t xml:space="preserve"> </w:t>
                    </w:r>
                  </w:p>
                </w:txbxContent>
              </v:textbox>
              <o:lock/>
            </v:rect>
            <v:shape id="87C247E5-CE7D-8861-97C4909CBA28" coordsize="3837051,9144" style="position:absolute;width:38370;height:91;left:95;top:5147;" fillcolor="#000000" stroked="f" strokeweight="0pt" path="m0,0 l3837051,0 l3837051,9144 l0,9144 l0,0">
              <v:stroke color="#000000" joinstyle="miter" endcap="flat" opacity="0%" weight="0pt"/>
              <v:fill color="#000000" focus="0%"/>
              <o:lock/>
            </v:shape>
            <v:shape id="6A20987F-1FBC-0857-5C40A351A91C" coordsize="9144,9144" style="position:absolute;width:91;height:91;left:38465;top:5147;" fillcolor="#000000" stroked="f" strokeweight="0pt" path="m0,0 l9144,0 l9144,9144 l0,9144 l0,0">
              <v:stroke color="#000000" joinstyle="miter" endcap="flat" opacity="0%" weight="0pt"/>
              <v:fill color="#000000" focus="0%"/>
              <o:lock/>
            </v:shape>
            <v:shape id="D26EEE4F-8DF0-56A0-45C23A3B05E6" coordsize="536892,9144" style="position:absolute;width:5368;height:91;left:38528;top:5147;" fillcolor="#000000" stroked="f" strokeweight="0pt" path="m0,0 l536892,0 l536892,9144 l0,9144 l0,0">
              <v:stroke color="#000000" joinstyle="miter" endcap="flat" opacity="0%" weight="0pt"/>
              <v:fill color="#000000" focus="0%"/>
              <o:lock/>
            </v:shape>
            <v:shape id="C303B8D0-8A3F-D328-6BD4124225F1" coordsize="9144,9144" style="position:absolute;width:91;height:91;left:43898;top:5147;" fillcolor="#000000" stroked="f" strokeweight="0pt" path="m0,0 l9144,0 l9144,9144 l0,9144 l0,0">
              <v:stroke color="#000000" joinstyle="miter" endcap="flat" opacity="0%" weight="0pt"/>
              <v:fill color="#000000" focus="0%"/>
              <o:lock/>
            </v:shape>
            <v:shape id="A391A9E5-01C0-E83F-EF549B3E5891" coordsize="533400,9144" style="position:absolute;width:5334;height:91;left:43961;top:5147;" fillcolor="#000000" stroked="f" strokeweight="0pt" path="m0,0 l533400,0 l533400,9144 l0,9144 l0,0">
              <v:stroke color="#000000" joinstyle="miter" endcap="flat" opacity="0%" weight="0pt"/>
              <v:fill color="#000000" focus="0%"/>
              <o:lock/>
            </v:shape>
            <v:rect id="7FB635DC-FBD9-31E4-4485DCAB2291" style="position:absolute;width:28866;height:1689;left:539;top:7813;"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PROFIT FOR THE PERIOD (Net profit)</w:t>
                    </w:r>
                  </w:p>
                </w:txbxContent>
              </v:textbox>
              <o:lock/>
            </v:rect>
            <v:rect id="15258602-4ECA-31DD-5B3101A8629D" style="position:absolute;width:371;height:1689;left:22234;top:7813;"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 xml:space="preserve"> </w:t>
                    </w:r>
                  </w:p>
                </w:txbxContent>
              </v:textbox>
              <o:lock/>
            </v:rect>
            <v:rect id="1F7BACEC-4F8B-02C9-A8FEBF781DDF" style="position:absolute;width:5006;height:1689;left:39671;top:7813;"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65000</w:t>
                    </w:r>
                  </w:p>
                </w:txbxContent>
              </v:textbox>
              <o:lock/>
            </v:rect>
            <v:rect id="0B00F2F5-5F99-6678-4C9D26C304EA" style="position:absolute;width:371;height:1689;left:43420;top:7813;"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 xml:space="preserve"> </w:t>
                    </w:r>
                  </w:p>
                </w:txbxContent>
              </v:textbox>
              <o:lock/>
            </v:rect>
            <v:rect id="0944D86F-2990-36B8-53B3D8E3EE99" style="position:absolute;width:5006;height:1689;left:45072;top:7813;"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62980</w:t>
                    </w:r>
                  </w:p>
                </w:txbxContent>
              </v:textbox>
              <o:lock/>
            </v:rect>
            <v:rect id="FE65D476-5458-0C55-33E7990706D6" style="position:absolute;width:371;height:1689;left:48819;top:7813;" filled="f" stroked="f">
              <v:stroke joinstyle="miter"/>
              <v:textbox inset="0pt,0pt,0pt,0pt" style=";layout-flow:horizontal">
                <w:txbxContent>
                  <w:p>
                    <w:pPr>
                      <w:spacing w:before="0" w:after="160" w:line="259" w:lineRule="auto"/>
                      <w:ind w:left="0" w:right="0" w:firstLine="0"/>
                      <w:jc w:val="left"/>
                      <w:rPr/>
                    </w:pPr>
                    <w:r>
                      <w:rPr>
                        <w:rFonts w:ascii="Cambria" w:cs="Cambria" w:eastAsia="Cambria" w:hAnsi="Cambria"/>
                        <w:b/>
                      </w:rPr>
                      <w:t xml:space="preserve"> </w:t>
                    </w:r>
                  </w:p>
                </w:txbxContent>
              </v:textbox>
              <o:lock/>
            </v:rect>
            <v:shape id="DEE34BAC-C67E-E79D-7416A1DBFCB4" coordsize="3837051,9144" style="position:absolute;width:38370;height:91;left:95;top:7118;" fillcolor="#000000" stroked="f" strokeweight="0pt" path="m0,0 l3837051,0 l3837051,9144 l0,9144 l0,0">
              <v:stroke color="#000000" joinstyle="miter" endcap="flat" opacity="0%" weight="0pt"/>
              <v:fill color="#000000" focus="0%"/>
              <o:lock/>
            </v:shape>
            <v:shape id="9332872F-ED3A-30F7-148D9891CBFE" coordsize="9144,9144" style="position:absolute;width:91;height:91;left:38465;top:7118;" fillcolor="#000000" stroked="f" strokeweight="0pt" path="m0,0 l9144,0 l9144,9144 l0,9144 l0,0">
              <v:stroke color="#000000" joinstyle="miter" endcap="flat" opacity="0%" weight="0pt"/>
              <v:fill color="#000000" focus="0%"/>
              <o:lock/>
            </v:shape>
            <v:shape id="969AADB8-F6D4-145B-CF29C1AE1B18" coordsize="536892,9144" style="position:absolute;width:5368;height:91;left:38528;top:7118;" fillcolor="#000000" stroked="f" strokeweight="0pt" path="m0,0 l536892,0 l536892,9144 l0,9144 l0,0">
              <v:stroke color="#000000" joinstyle="miter" endcap="flat" opacity="0%" weight="0pt"/>
              <v:fill color="#000000" focus="0%"/>
              <o:lock/>
            </v:shape>
            <v:shape id="055464D3-C415-69D9-5E9360834BFC" coordsize="9144,9144" style="position:absolute;width:91;height:91;left:43898;top:7118;" fillcolor="#000000" stroked="f" strokeweight="0pt" path="m0,0 l9144,0 l9144,9144 l0,9144 l0,0">
              <v:stroke color="#000000" joinstyle="miter" endcap="flat" opacity="0%" weight="0pt"/>
              <v:fill color="#000000" focus="0%"/>
              <o:lock/>
            </v:shape>
            <v:shape id="5BBE0A09-DAEE-10E2-558BF53BDB93" coordsize="533400,9144" style="position:absolute;width:5334;height:91;left:43961;top:7118;" fillcolor="#000000" stroked="f" strokeweight="0pt" path="m0,0 l533400,0 l533400,9144 l0,9144 l0,0">
              <v:stroke color="#000000" joinstyle="miter" endcap="flat" opacity="0%" weight="0pt"/>
              <v:fill color="#000000" focus="0%"/>
              <o:lock/>
            </v:shape>
            <v:shape id="67A1F43E-8541-3907-CBFEF8630DEE" coordsize="3846576,9144" style="position:absolute;width:38465;height:91;left:0;top:9086;" fillcolor="#000000" stroked="f" strokeweight="0pt" path="m0,0 l3846576,0 l3846576,9144 l0,9144 l0,0">
              <v:stroke color="#000000" joinstyle="miter" endcap="flat" opacity="0%" weight="0pt"/>
              <v:fill color="#000000" focus="0%"/>
              <o:lock/>
            </v:shape>
            <v:shape id="F93450D7-2A65-A0B4-98FDB2533933" coordsize="9144,9144" style="position:absolute;width:91;height:91;left:38369;top:9086;" fillcolor="#000000" stroked="f" strokeweight="0pt" path="m0,0 l9144,0 l9144,9144 l0,9144 l0,0">
              <v:stroke color="#000000" joinstyle="miter" endcap="flat" opacity="0%" weight="0pt"/>
              <v:fill color="#000000" focus="0%"/>
              <o:lock/>
            </v:shape>
            <v:shape id="CB459840-24CE-BA73-9C20AF795DBF" coordsize="546417,9144" style="position:absolute;width:5464;height:91;left:38433;top:9086;" fillcolor="#000000" stroked="f" strokeweight="0pt" path="m0,0 l546417,0 l546417,9144 l0,9144 l0,0">
              <v:stroke color="#000000" joinstyle="miter" endcap="flat" opacity="0%" weight="0pt"/>
              <v:fill color="#000000" focus="0%"/>
              <o:lock/>
            </v:shape>
            <v:shape id="F8C8E995-2342-AA28-81A92B261079" coordsize="9144,9144" style="position:absolute;width:91;height:91;left:43802;top:9086;" fillcolor="#000000" stroked="f" strokeweight="0pt" path="m0,0 l9144,0 l9144,9144 l0,9144 l0,0">
              <v:stroke color="#000000" joinstyle="miter" endcap="flat" opacity="0%" weight="0pt"/>
              <v:fill color="#000000" focus="0%"/>
              <o:lock/>
            </v:shape>
            <v:shape id="2766ECD9-BA37-623D-80987DA156B0" coordsize="542925,9144" style="position:absolute;width:5429;height:91;left:43866;top:9086;" fillcolor="#000000" stroked="f" strokeweight="0pt" path="m0,0 l542925,0 l542925,9144 l0,9144 l0,0">
              <v:stroke color="#000000" joinstyle="miter" endcap="flat" opacity="0%" weight="0pt"/>
              <v:fill color="#000000" focus="0%"/>
              <o:lock/>
            </v:shape>
            <o:lock/>
          </v:group>
        </w:pict>
      </w:r>
      <w:r>
        <w:t xml:space="preserve">         </w:t>
      </w:r>
    </w:p>
    <w:p>
      <w:pPr>
        <w:pStyle w:val="Normal"/>
        <w:ind w:left="65"/>
        <w:rPr/>
      </w:pPr>
    </w:p>
    <w:p>
      <w:pPr>
        <w:pStyle w:val="Normal"/>
        <w:ind w:left="65"/>
        <w:rPr>
          <w:color w:val="1f497d"/>
          <w:sz w:val="42"/>
        </w:rPr>
      </w:pPr>
      <w:r>
        <w:rPr>
          <w:color w:val="1f497d"/>
          <w:sz w:val="42"/>
          <w:lang w:val="en-US"/>
        </w:rPr>
        <w:t xml:space="preserve">                               Profit Before Tax</w:t>
      </w:r>
    </w:p>
    <w:p>
      <w:pPr>
        <w:spacing w:after="0" w:line="259" w:lineRule="auto"/>
        <w:ind w:left="0" w:right="0" w:firstLine="0"/>
        <w:jc w:val="left"/>
        <w:rPr/>
      </w:pPr>
      <w:r>
        <w:t xml:space="preserve"> </w:t>
      </w:r>
    </w:p>
    <w:tbl>
      <w:tblPr>
        <w:tblStyle w:val="TableGrid"/>
        <w:tblW w:w="9958" w:type="dxa"/>
        <w:tblInd w:w="-155" w:type="dxa"/>
        <w:tblLayout w:type="fixed"/>
        <w:tblCellMar>
          <w:top w:w="0" w:type="dxa"/>
          <w:left w:w="0" w:type="dxa"/>
          <w:bottom w:w="0" w:type="dxa"/>
          <w:right w:w="1" w:type="dxa"/>
        </w:tblCellMar>
        <w:tblLook w:val="04A0"/>
      </w:tblPr>
      <w:tblGrid>
        <w:gridCol w:w="2955"/>
        <w:gridCol w:w="968"/>
        <w:gridCol w:w="899"/>
        <w:gridCol w:w="2426"/>
        <w:gridCol w:w="1791"/>
        <w:gridCol w:w="939"/>
      </w:tblGrid>
      <w:tr>
        <w:trPr>
          <w:trHeight w:val="335"/>
        </w:trPr>
        <w:tc>
          <w:tcPr>
            <w:cnfStyle w:val="101000000000"/>
            <w:tcW w:w="2955" w:type="dxa"/>
            <w:tcBorders>
              <w:top w:val="single" w:color="000000" w:sz="8" w:space="0"/>
              <w:left w:val="single" w:color="000000" w:sz="8" w:space="0"/>
              <w:bottom w:val="single" w:color="auto" w:sz="4" w:space="0"/>
              <w:right w:val="nil" w:sz="4" w:space="0"/>
            </w:tcBorders>
          </w:tcPr>
          <w:p>
            <w:pPr>
              <w:spacing w:after="160" w:line="259" w:lineRule="auto"/>
              <w:ind w:left="0" w:right="0" w:firstLine="0"/>
              <w:jc w:val="left"/>
              <w:rPr>
                <w:color w:val="000000"/>
                <w:highlight w:val="cyan"/>
              </w:rPr>
            </w:pPr>
          </w:p>
        </w:tc>
        <w:tc>
          <w:tcPr>
            <w:cnfStyle w:val="100000000000"/>
            <w:tcW w:w="4293" w:type="dxa"/>
            <w:gridSpan w:val="3"/>
            <w:tcBorders>
              <w:top w:val="single" w:color="000000" w:sz="8" w:space="0"/>
              <w:left w:val="nil" w:sz="4" w:space="0"/>
              <w:bottom w:val="single" w:color="auto" w:sz="4" w:space="0"/>
              <w:right w:val="nil" w:sz="4" w:space="0"/>
            </w:tcBorders>
            <w:vAlign w:val="bottom"/>
          </w:tcPr>
          <w:p>
            <w:pPr>
              <w:spacing w:after="0" w:line="259" w:lineRule="auto"/>
              <w:ind w:left="0" w:right="90" w:firstLine="0"/>
              <w:jc w:val="center"/>
              <w:rPr>
                <w:color w:val="000000"/>
                <w:highlight w:val="lightGray"/>
              </w:rPr>
            </w:pPr>
            <w:r>
              <w:rPr>
                <w:b/>
                <w:color w:val="000000"/>
                <w:highlight w:val="lightGray"/>
              </w:rPr>
              <w:t xml:space="preserve">BALANCE </w:t>
            </w:r>
            <w:r>
              <w:rPr>
                <w:b/>
                <w:color w:val="000000"/>
                <w:highlight w:val="lightGray"/>
              </w:rPr>
              <w:t>SHEET</w:t>
            </w:r>
            <w:r>
              <w:rPr>
                <w:b/>
                <w:color w:val="000000"/>
                <w:highlight w:val="lightGray"/>
              </w:rPr>
              <w:t xml:space="preserve"> </w:t>
            </w:r>
            <w:r>
              <w:rPr>
                <w:b/>
                <w:color w:val="000000"/>
                <w:highlight w:val="lightGray"/>
              </w:rPr>
              <w:t>AS AT 31/12/201</w:t>
            </w:r>
            <w:r>
              <w:rPr>
                <w:b/>
                <w:color w:val="000000"/>
                <w:highlight w:val="lightGray"/>
              </w:rPr>
              <w:t xml:space="preserve">8 </w:t>
            </w:r>
          </w:p>
        </w:tc>
        <w:tc>
          <w:tcPr>
            <w:cnfStyle w:val="100000000000"/>
            <w:tcW w:w="2730" w:type="dxa"/>
            <w:gridSpan w:val="2"/>
            <w:tcBorders>
              <w:top w:val="single" w:color="000000" w:sz="8" w:space="0"/>
              <w:left w:val="nil" w:sz="4" w:space="0"/>
              <w:bottom w:val="single" w:color="auto" w:sz="4" w:space="0"/>
              <w:right w:val="single" w:color="000000" w:sz="8" w:space="0"/>
            </w:tcBorders>
          </w:tcPr>
          <w:p>
            <w:pPr>
              <w:spacing w:after="160" w:line="259" w:lineRule="auto"/>
              <w:ind w:left="0" w:right="0" w:firstLine="0"/>
              <w:jc w:val="left"/>
              <w:rPr>
                <w:color w:val="000000"/>
                <w:highlight w:val="cyan"/>
              </w:rPr>
            </w:pPr>
          </w:p>
        </w:tc>
      </w:tr>
      <w:tr>
        <w:trPr>
          <w:trHeight w:val="315"/>
        </w:trPr>
        <w:tc>
          <w:tcPr>
            <w:cnfStyle w:val="001000100000"/>
            <w:tcW w:w="2955"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70" w:right="0" w:firstLine="0"/>
              <w:jc w:val="left"/>
              <w:rPr>
                <w:color w:val="000000"/>
                <w:highlight w:val="lightGray"/>
              </w:rPr>
            </w:pPr>
          </w:p>
        </w:tc>
        <w:tc>
          <w:tcPr>
            <w:cnfStyle w:val="000000100000"/>
            <w:tcW w:w="968"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135" w:right="0" w:firstLine="0"/>
              <w:jc w:val="left"/>
              <w:rPr>
                <w:color w:val="000000"/>
                <w:highlight w:val="lightGray"/>
              </w:rPr>
            </w:pPr>
          </w:p>
        </w:tc>
        <w:tc>
          <w:tcPr>
            <w:cnfStyle w:val="000000100000"/>
            <w:tcW w:w="899"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0" w:right="72" w:firstLine="0"/>
              <w:jc w:val="center"/>
              <w:rPr>
                <w:color w:val="000000"/>
                <w:highlight w:val="lightGray"/>
              </w:rPr>
            </w:pPr>
            <w:r>
              <w:rPr>
                <w:color w:val="000000"/>
                <w:highlight w:val="lightGray"/>
              </w:rPr>
              <w:t xml:space="preserve">after </w:t>
            </w:r>
          </w:p>
        </w:tc>
        <w:tc>
          <w:tcPr>
            <w:cnfStyle w:val="000000100000"/>
            <w:tcW w:w="2426" w:type="dxa"/>
            <w:tcBorders>
              <w:top w:val="single" w:color="000000" w:sz="8" w:space="0"/>
              <w:left w:val="single" w:color="auto" w:sz="4" w:space="0"/>
              <w:bottom w:val="single" w:color="auto" w:sz="4" w:space="0"/>
              <w:right w:val="single" w:color="auto" w:sz="4" w:space="0"/>
            </w:tcBorders>
            <w:vAlign w:val="bottom"/>
          </w:tcPr>
          <w:p>
            <w:pPr>
              <w:spacing w:after="0" w:line="259" w:lineRule="auto"/>
              <w:ind w:left="70" w:right="0" w:firstLine="0"/>
              <w:jc w:val="left"/>
              <w:rPr>
                <w:color w:val="000000"/>
                <w:highlight w:val="lightGray"/>
              </w:rPr>
            </w:pPr>
          </w:p>
          <w:p>
            <w:pPr>
              <w:spacing w:after="0" w:line="259" w:lineRule="auto"/>
              <w:ind w:left="70" w:right="0" w:firstLine="0"/>
              <w:jc w:val="left"/>
              <w:rPr>
                <w:color w:val="000000"/>
                <w:highlight w:val="lightGray"/>
              </w:rPr>
            </w:pPr>
            <w:r>
              <w:rPr>
                <w:color w:val="000000"/>
                <w:highlight w:val="lightGray"/>
              </w:rPr>
              <w:t xml:space="preserve">  </w:t>
            </w:r>
          </w:p>
        </w:tc>
        <w:tc>
          <w:tcPr>
            <w:cnfStyle w:val="000000100000"/>
            <w:tcW w:w="1791" w:type="dxa"/>
            <w:tcBorders>
              <w:top w:val="single" w:color="000000" w:sz="8" w:space="0"/>
              <w:left w:val="single" w:color="auto" w:sz="4" w:space="0"/>
              <w:bottom w:val="single" w:color="auto" w:sz="4" w:space="0"/>
              <w:right w:val="single" w:color="auto" w:sz="4" w:space="0"/>
            </w:tcBorders>
            <w:vAlign w:val="bottom"/>
          </w:tcPr>
          <w:p>
            <w:pPr>
              <w:spacing w:after="0" w:line="259" w:lineRule="auto"/>
              <w:ind w:left="880" w:right="0" w:firstLine="0"/>
              <w:jc w:val="left"/>
              <w:rPr>
                <w:color w:val="000000"/>
                <w:highlight w:val="lightGray"/>
              </w:rPr>
            </w:pPr>
            <w:r>
              <w:rPr>
                <w:color w:val="000000"/>
                <w:highlight w:val="lightGray"/>
              </w:rPr>
              <w:t xml:space="preserve">before </w:t>
            </w:r>
          </w:p>
        </w:tc>
        <w:tc>
          <w:tcPr>
            <w:cnfStyle w:val="000000100000"/>
            <w:tcW w:w="939" w:type="dxa"/>
            <w:tcBorders>
              <w:top w:val="single" w:color="000000" w:sz="8" w:space="0"/>
              <w:left w:val="single" w:color="auto" w:sz="4" w:space="0"/>
              <w:bottom w:val="single" w:color="auto" w:sz="4" w:space="0"/>
              <w:right w:val="nil" w:sz="4" w:space="0"/>
            </w:tcBorders>
            <w:vAlign w:val="bottom"/>
          </w:tcPr>
          <w:p>
            <w:pPr>
              <w:spacing w:after="0" w:line="259" w:lineRule="auto"/>
              <w:ind w:left="0" w:right="71" w:firstLine="0"/>
              <w:jc w:val="center"/>
              <w:rPr>
                <w:color w:val="000000"/>
                <w:highlight w:val="lightGray"/>
              </w:rPr>
            </w:pPr>
            <w:r>
              <w:rPr>
                <w:color w:val="000000"/>
                <w:highlight w:val="lightGray"/>
              </w:rPr>
              <w:t xml:space="preserve">after </w:t>
            </w:r>
          </w:p>
        </w:tc>
      </w:tr>
      <w:tr>
        <w:trPr>
          <w:trHeight w:val="480"/>
        </w:trPr>
        <w:tc>
          <w:tcPr>
            <w:cnfStyle w:val="001000010000"/>
            <w:tcW w:w="2955"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70" w:right="0" w:firstLine="0"/>
              <w:jc w:val="left"/>
              <w:rPr>
                <w:color w:val="000000"/>
                <w:highlight w:val="lightGray"/>
              </w:rPr>
            </w:pPr>
            <w:r>
              <w:rPr>
                <w:color w:val="000000"/>
                <w:highlight w:val="lightGray"/>
              </w:rPr>
              <w:t xml:space="preserve">ASSETS </w:t>
            </w:r>
          </w:p>
        </w:tc>
        <w:tc>
          <w:tcPr>
            <w:cnfStyle w:val="000000010000"/>
            <w:tcW w:w="968"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70" w:right="0" w:firstLine="0"/>
              <w:jc w:val="left"/>
              <w:rPr>
                <w:color w:val="000000"/>
                <w:highlight w:val="lightGray"/>
              </w:rPr>
            </w:pPr>
            <w:r>
              <w:rPr>
                <w:color w:val="000000"/>
                <w:highlight w:val="lightGray"/>
              </w:rPr>
              <w:t xml:space="preserve">1146355 </w:t>
            </w:r>
          </w:p>
        </w:tc>
        <w:tc>
          <w:tcPr>
            <w:cnfStyle w:val="000000010000"/>
            <w:tcW w:w="899"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0" w:right="0" w:firstLine="0"/>
              <w:rPr>
                <w:color w:val="000000"/>
                <w:highlight w:val="lightGray"/>
              </w:rPr>
            </w:pPr>
            <w:r>
              <w:rPr>
                <w:b/>
                <w:color w:val="000000"/>
                <w:highlight w:val="lightGray"/>
              </w:rPr>
              <w:t>1147335</w:t>
            </w:r>
            <w:r>
              <w:rPr>
                <w:b/>
                <w:color w:val="000000"/>
                <w:highlight w:val="lightGray"/>
              </w:rPr>
              <w:t xml:space="preserve"> </w:t>
            </w:r>
          </w:p>
        </w:tc>
        <w:tc>
          <w:tcPr>
            <w:cnfStyle w:val="000000010000"/>
            <w:tcW w:w="2426"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color w:val="000000"/>
                <w:highlight w:val="lightGray"/>
              </w:rPr>
            </w:pPr>
            <w:r>
              <w:rPr>
                <w:b/>
                <w:color w:val="000000"/>
                <w:highlight w:val="lightGray"/>
              </w:rPr>
              <w:t xml:space="preserve">LIABILITIES &amp; </w:t>
            </w:r>
          </w:p>
          <w:p>
            <w:pPr>
              <w:spacing w:after="0" w:line="259" w:lineRule="auto"/>
              <w:ind w:left="70" w:right="0" w:firstLine="0"/>
              <w:rPr>
                <w:color w:val="000000"/>
                <w:highlight w:val="lightGray"/>
              </w:rPr>
            </w:pPr>
            <w:r>
              <w:rPr>
                <w:b/>
                <w:color w:val="000000"/>
                <w:highlight w:val="lightGray"/>
              </w:rPr>
              <w:t xml:space="preserve">SHAREHOLDER'S EQUITY </w:t>
            </w:r>
          </w:p>
        </w:tc>
        <w:tc>
          <w:tcPr>
            <w:cnfStyle w:val="000000010000"/>
            <w:tcW w:w="1791"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0" w:right="137" w:firstLine="0"/>
              <w:jc w:val="right"/>
              <w:rPr>
                <w:color w:val="000000"/>
                <w:highlight w:val="lightGray"/>
              </w:rPr>
            </w:pPr>
            <w:r>
              <w:rPr>
                <w:b/>
                <w:color w:val="000000"/>
                <w:highlight w:val="lightGray"/>
              </w:rPr>
              <w:t xml:space="preserve">1146355 </w:t>
            </w:r>
          </w:p>
        </w:tc>
        <w:tc>
          <w:tcPr>
            <w:cnfStyle w:val="000000010000"/>
            <w:tcW w:w="939"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0" w:right="0" w:firstLine="0"/>
              <w:rPr>
                <w:color w:val="000000"/>
                <w:highlight w:val="lightGray"/>
              </w:rPr>
            </w:pPr>
            <w:r>
              <w:rPr>
                <w:b/>
                <w:color w:val="000000"/>
                <w:highlight w:val="lightGray"/>
              </w:rPr>
              <w:t xml:space="preserve">1147335 </w:t>
            </w:r>
          </w:p>
        </w:tc>
      </w:tr>
      <w:tr>
        <w:trPr>
          <w:trHeight w:val="634" w:hRule="exact"/>
        </w:trPr>
        <w:tc>
          <w:tcPr>
            <w:cnfStyle w:val="001000100000"/>
            <w:tcW w:w="2955"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color w:val="000000"/>
                <w:highlight w:val="lightGray"/>
              </w:rPr>
            </w:pPr>
            <w:r>
              <w:rPr>
                <w:color w:val="000000"/>
                <w:highlight w:val="lightGray"/>
              </w:rPr>
              <w:t xml:space="preserve">Non-current assets </w:t>
            </w:r>
          </w:p>
        </w:tc>
        <w:tc>
          <w:tcPr>
            <w:cnfStyle w:val="000000100000"/>
            <w:tcW w:w="968"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0" w:right="0" w:firstLine="0"/>
              <w:jc w:val="left"/>
              <w:rPr>
                <w:color w:val="000000"/>
                <w:highlight w:val="lightGray"/>
              </w:rPr>
            </w:pPr>
            <w:r>
              <w:rPr>
                <w:color w:val="000000"/>
                <w:highlight w:val="lightGray"/>
              </w:rPr>
              <w:t xml:space="preserve"> </w:t>
            </w:r>
          </w:p>
        </w:tc>
        <w:tc>
          <w:tcPr>
            <w:cnfStyle w:val="000000100000"/>
            <w:tcW w:w="899"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0" w:right="0" w:firstLine="0"/>
              <w:jc w:val="left"/>
              <w:rPr>
                <w:color w:val="000000"/>
                <w:highlight w:val="lightGray"/>
              </w:rPr>
            </w:pPr>
            <w:r>
              <w:rPr>
                <w:color w:val="000000"/>
                <w:highlight w:val="lightGray"/>
              </w:rPr>
              <w:t xml:space="preserve"> </w:t>
            </w:r>
          </w:p>
        </w:tc>
        <w:tc>
          <w:tcPr>
            <w:cnfStyle w:val="000000100000"/>
            <w:tcW w:w="2426"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color w:val="000000"/>
                <w:highlight w:val="lightGray"/>
              </w:rPr>
            </w:pPr>
            <w:r>
              <w:rPr>
                <w:color w:val="000000"/>
                <w:highlight w:val="lightGray"/>
              </w:rPr>
              <w:t xml:space="preserve">Current liabilities </w:t>
            </w:r>
          </w:p>
        </w:tc>
        <w:tc>
          <w:tcPr>
            <w:cnfStyle w:val="000000100000"/>
            <w:tcW w:w="1791" w:type="dxa"/>
            <w:tcBorders>
              <w:top w:val="single" w:color="auto" w:sz="4" w:space="0"/>
              <w:left w:val="single" w:color="auto" w:sz="4" w:space="0"/>
              <w:bottom w:val="single" w:color="auto" w:sz="4" w:space="0"/>
              <w:right w:val="single" w:color="auto" w:sz="4" w:space="0"/>
            </w:tcBorders>
          </w:tcPr>
          <w:p>
            <w:pPr>
              <w:spacing w:after="0" w:line="259" w:lineRule="auto"/>
              <w:ind w:left="0" w:right="143" w:firstLine="0"/>
              <w:jc w:val="right"/>
              <w:rPr>
                <w:color w:val="000000"/>
                <w:highlight w:val="lightGray"/>
              </w:rPr>
            </w:pPr>
            <w:r>
              <w:rPr>
                <w:color w:val="000000"/>
                <w:highlight w:val="lightGray"/>
              </w:rPr>
              <w:t xml:space="preserve">171355 </w:t>
            </w:r>
          </w:p>
        </w:tc>
        <w:tc>
          <w:tcPr>
            <w:cnfStyle w:val="000000100000"/>
            <w:tcW w:w="939" w:type="dxa"/>
            <w:tcBorders>
              <w:top w:val="single" w:color="auto" w:sz="4" w:space="0"/>
              <w:left w:val="single" w:color="auto" w:sz="4" w:space="0"/>
              <w:bottom w:val="single" w:color="auto" w:sz="4" w:space="0"/>
              <w:right w:val="single" w:color="auto" w:sz="4" w:space="0"/>
            </w:tcBorders>
          </w:tcPr>
          <w:p>
            <w:pPr>
              <w:spacing w:after="0" w:line="259" w:lineRule="auto"/>
              <w:ind w:left="166" w:right="0" w:firstLine="0"/>
              <w:jc w:val="left"/>
              <w:rPr>
                <w:color w:val="000000"/>
                <w:highlight w:val="lightGray"/>
              </w:rPr>
            </w:pPr>
            <w:r>
              <w:rPr>
                <w:color w:val="000000"/>
                <w:highlight w:val="lightGray"/>
              </w:rPr>
              <w:t xml:space="preserve">174355 </w:t>
            </w:r>
          </w:p>
        </w:tc>
      </w:tr>
      <w:tr>
        <w:trPr>
          <w:trHeight w:val="300"/>
        </w:trPr>
        <w:tc>
          <w:tcPr>
            <w:cnfStyle w:val="001000010000"/>
            <w:tcW w:w="2955"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 Property, plants, equipment </w:t>
            </w:r>
          </w:p>
        </w:tc>
        <w:tc>
          <w:tcPr>
            <w:cnfStyle w:val="000000010000"/>
            <w:tcW w:w="968" w:type="dxa"/>
            <w:tcBorders>
              <w:top w:val="single" w:color="auto" w:sz="4" w:space="0"/>
              <w:left w:val="single" w:color="auto" w:sz="4" w:space="0"/>
              <w:bottom w:val="single" w:color="auto" w:sz="4" w:space="0"/>
              <w:right w:val="single" w:color="auto" w:sz="4" w:space="0"/>
            </w:tcBorders>
          </w:tcPr>
          <w:p>
            <w:pPr>
              <w:spacing w:after="0" w:line="259" w:lineRule="auto"/>
              <w:ind w:left="165" w:right="0" w:firstLine="0"/>
              <w:jc w:val="left"/>
              <w:rPr>
                <w:highlight w:val="lightGray"/>
              </w:rPr>
            </w:pPr>
            <w:r>
              <w:rPr>
                <w:highlight w:val="lightGray"/>
              </w:rPr>
              <w:t xml:space="preserve">632730 </w:t>
            </w:r>
          </w:p>
        </w:tc>
        <w:tc>
          <w:tcPr>
            <w:cnfStyle w:val="000000010000"/>
            <w:tcW w:w="899" w:type="dxa"/>
            <w:tcBorders>
              <w:top w:val="single" w:color="auto" w:sz="4" w:space="0"/>
              <w:left w:val="single" w:color="auto" w:sz="4" w:space="0"/>
              <w:bottom w:val="single" w:color="auto" w:sz="4" w:space="0"/>
              <w:right w:val="single" w:color="auto" w:sz="4" w:space="0"/>
            </w:tcBorders>
          </w:tcPr>
          <w:p>
            <w:pPr>
              <w:spacing w:after="0" w:line="259" w:lineRule="auto"/>
              <w:ind w:left="165" w:right="0" w:firstLine="0"/>
              <w:jc w:val="left"/>
              <w:rPr>
                <w:highlight w:val="lightGray"/>
              </w:rPr>
            </w:pPr>
            <w:r>
              <w:rPr>
                <w:highlight w:val="lightGray"/>
              </w:rPr>
              <w:t xml:space="preserve">632730 </w:t>
            </w:r>
          </w:p>
        </w:tc>
        <w:tc>
          <w:tcPr>
            <w:cnfStyle w:val="000000010000"/>
            <w:tcW w:w="2426"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Non-current liabilities </w:t>
            </w:r>
          </w:p>
        </w:tc>
        <w:tc>
          <w:tcPr>
            <w:cnfStyle w:val="000000010000"/>
            <w:tcW w:w="1791" w:type="dxa"/>
            <w:tcBorders>
              <w:top w:val="single" w:color="auto" w:sz="4" w:space="0"/>
              <w:left w:val="single" w:color="auto" w:sz="4" w:space="0"/>
              <w:bottom w:val="single" w:color="auto" w:sz="4" w:space="0"/>
              <w:right w:val="single" w:color="auto" w:sz="4" w:space="0"/>
            </w:tcBorders>
          </w:tcPr>
          <w:p>
            <w:pPr>
              <w:spacing w:after="0" w:line="259" w:lineRule="auto"/>
              <w:ind w:left="0" w:right="143" w:firstLine="0"/>
              <w:jc w:val="right"/>
              <w:rPr>
                <w:highlight w:val="lightGray"/>
              </w:rPr>
            </w:pPr>
            <w:r>
              <w:rPr>
                <w:highlight w:val="lightGray"/>
              </w:rPr>
              <w:t xml:space="preserve">100000 </w:t>
            </w:r>
          </w:p>
        </w:tc>
        <w:tc>
          <w:tcPr>
            <w:cnfStyle w:val="000000010000"/>
            <w:tcW w:w="939" w:type="dxa"/>
            <w:tcBorders>
              <w:top w:val="single" w:color="auto" w:sz="4" w:space="0"/>
              <w:left w:val="single" w:color="auto" w:sz="4" w:space="0"/>
              <w:bottom w:val="single" w:color="auto" w:sz="4" w:space="0"/>
              <w:right w:val="single" w:color="auto" w:sz="4" w:space="0"/>
            </w:tcBorders>
          </w:tcPr>
          <w:p>
            <w:pPr>
              <w:spacing w:after="0" w:line="259" w:lineRule="auto"/>
              <w:ind w:left="166" w:right="0" w:firstLine="0"/>
              <w:jc w:val="left"/>
              <w:rPr>
                <w:highlight w:val="lightGray"/>
              </w:rPr>
            </w:pPr>
            <w:r>
              <w:rPr>
                <w:highlight w:val="lightGray"/>
              </w:rPr>
              <w:t xml:space="preserve">100000 </w:t>
            </w:r>
          </w:p>
        </w:tc>
      </w:tr>
      <w:tr>
        <w:trPr>
          <w:trHeight w:val="300"/>
        </w:trPr>
        <w:tc>
          <w:tcPr>
            <w:cnfStyle w:val="001000100000"/>
            <w:tcW w:w="2955"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 Intangible assets </w:t>
            </w:r>
          </w:p>
        </w:tc>
        <w:tc>
          <w:tcPr>
            <w:cnfStyle w:val="000000100000"/>
            <w:tcW w:w="968" w:type="dxa"/>
            <w:tcBorders>
              <w:top w:val="single" w:color="auto" w:sz="4" w:space="0"/>
              <w:left w:val="single" w:color="auto" w:sz="4" w:space="0"/>
              <w:bottom w:val="single" w:color="auto" w:sz="4" w:space="0"/>
              <w:right w:val="single" w:color="auto" w:sz="4" w:space="0"/>
            </w:tcBorders>
          </w:tcPr>
          <w:p>
            <w:pPr>
              <w:spacing w:after="0" w:line="259" w:lineRule="auto"/>
              <w:ind w:left="0" w:right="138" w:firstLine="0"/>
              <w:jc w:val="right"/>
              <w:rPr>
                <w:highlight w:val="lightGray"/>
              </w:rPr>
            </w:pPr>
            <w:r>
              <w:rPr>
                <w:highlight w:val="lightGray"/>
              </w:rPr>
              <w:t xml:space="preserve">0 </w:t>
            </w:r>
          </w:p>
        </w:tc>
        <w:tc>
          <w:tcPr>
            <w:cnfStyle w:val="000000100000"/>
            <w:tcW w:w="899" w:type="dxa"/>
            <w:tcBorders>
              <w:top w:val="single" w:color="auto" w:sz="4" w:space="0"/>
              <w:left w:val="single" w:color="auto" w:sz="4" w:space="0"/>
              <w:bottom w:val="single" w:color="auto" w:sz="4" w:space="0"/>
              <w:right w:val="single" w:color="auto" w:sz="4" w:space="0"/>
            </w:tcBorders>
          </w:tcPr>
          <w:p>
            <w:pPr>
              <w:spacing w:after="0" w:line="259" w:lineRule="auto"/>
              <w:ind w:left="0" w:right="68" w:firstLine="0"/>
              <w:jc w:val="right"/>
              <w:rPr>
                <w:highlight w:val="lightGray"/>
              </w:rPr>
            </w:pPr>
            <w:r>
              <w:rPr>
                <w:highlight w:val="lightGray"/>
              </w:rPr>
              <w:t xml:space="preserve">0 </w:t>
            </w:r>
          </w:p>
        </w:tc>
        <w:tc>
          <w:tcPr>
            <w:cnfStyle w:val="000000100000"/>
            <w:tcW w:w="2426"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  </w:t>
            </w:r>
          </w:p>
        </w:tc>
        <w:tc>
          <w:tcPr>
            <w:cnfStyle w:val="000000100000"/>
            <w:tcW w:w="1791" w:type="dxa"/>
            <w:tcBorders>
              <w:top w:val="single" w:color="auto" w:sz="4" w:space="0"/>
              <w:left w:val="single" w:color="auto" w:sz="4" w:space="0"/>
              <w:bottom w:val="single" w:color="auto" w:sz="4" w:space="0"/>
              <w:right w:val="single" w:color="auto" w:sz="4" w:space="0"/>
            </w:tcBorders>
          </w:tcPr>
          <w:p>
            <w:pPr>
              <w:spacing w:after="0" w:line="259" w:lineRule="auto"/>
              <w:ind w:left="660" w:right="0" w:firstLine="0"/>
              <w:jc w:val="left"/>
              <w:rPr>
                <w:highlight w:val="lightGray"/>
              </w:rPr>
            </w:pPr>
            <w:r>
              <w:rPr>
                <w:highlight w:val="lightGray"/>
              </w:rPr>
              <w:t xml:space="preserve"> </w:t>
            </w:r>
          </w:p>
        </w:tc>
        <w:tc>
          <w:tcPr>
            <w:cnfStyle w:val="000000100000"/>
            <w:tcW w:w="939" w:type="dxa"/>
            <w:tcBorders>
              <w:top w:val="single" w:color="auto" w:sz="4" w:space="0"/>
              <w:left w:val="single" w:color="auto" w:sz="4" w:space="0"/>
              <w:bottom w:val="single" w:color="auto" w:sz="4" w:space="0"/>
              <w:right w:val="single" w:color="auto" w:sz="4" w:space="0"/>
            </w:tcBorders>
          </w:tcPr>
          <w:p>
            <w:pPr>
              <w:spacing w:after="0" w:line="259" w:lineRule="auto"/>
              <w:ind w:left="0" w:right="0" w:firstLine="0"/>
              <w:jc w:val="left"/>
              <w:rPr>
                <w:highlight w:val="lightGray"/>
              </w:rPr>
            </w:pPr>
            <w:r>
              <w:rPr>
                <w:highlight w:val="lightGray"/>
              </w:rPr>
              <w:t xml:space="preserve"> </w:t>
            </w:r>
          </w:p>
        </w:tc>
      </w:tr>
      <w:tr>
        <w:trPr>
          <w:trHeight w:val="450"/>
        </w:trPr>
        <w:tc>
          <w:tcPr>
            <w:cnfStyle w:val="001000010000"/>
            <w:tcW w:w="2955"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b/>
                <w:highlight w:val="lightGray"/>
              </w:rPr>
              <w:t xml:space="preserve">Total of Non-current assets </w:t>
            </w:r>
          </w:p>
        </w:tc>
        <w:tc>
          <w:tcPr>
            <w:cnfStyle w:val="000000010000"/>
            <w:tcW w:w="968" w:type="dxa"/>
            <w:tcBorders>
              <w:top w:val="single" w:color="auto" w:sz="4" w:space="0"/>
              <w:left w:val="single" w:color="auto" w:sz="4" w:space="0"/>
              <w:bottom w:val="single" w:color="auto" w:sz="4" w:space="0"/>
              <w:right w:val="single" w:color="auto" w:sz="4" w:space="0"/>
            </w:tcBorders>
          </w:tcPr>
          <w:p>
            <w:pPr>
              <w:spacing w:after="0" w:line="259" w:lineRule="auto"/>
              <w:ind w:left="120" w:right="0" w:firstLine="0"/>
              <w:jc w:val="left"/>
              <w:rPr>
                <w:highlight w:val="lightGray"/>
              </w:rPr>
            </w:pPr>
            <w:r>
              <w:rPr>
                <w:b/>
                <w:highlight w:val="lightGray"/>
              </w:rPr>
              <w:t xml:space="preserve">632730 </w:t>
            </w:r>
          </w:p>
        </w:tc>
        <w:tc>
          <w:tcPr>
            <w:cnfStyle w:val="000000010000"/>
            <w:tcW w:w="899" w:type="dxa"/>
            <w:tcBorders>
              <w:top w:val="single" w:color="auto" w:sz="4" w:space="0"/>
              <w:left w:val="single" w:color="auto" w:sz="4" w:space="0"/>
              <w:bottom w:val="single" w:color="auto" w:sz="4" w:space="0"/>
              <w:right w:val="single" w:color="auto" w:sz="4" w:space="0"/>
            </w:tcBorders>
          </w:tcPr>
          <w:p>
            <w:pPr>
              <w:spacing w:after="0" w:line="259" w:lineRule="auto"/>
              <w:ind w:left="120" w:right="0" w:firstLine="0"/>
              <w:jc w:val="left"/>
              <w:rPr>
                <w:highlight w:val="lightGray"/>
              </w:rPr>
            </w:pPr>
            <w:r>
              <w:rPr>
                <w:b/>
                <w:highlight w:val="lightGray"/>
              </w:rPr>
              <w:t xml:space="preserve">632730 </w:t>
            </w:r>
          </w:p>
        </w:tc>
        <w:tc>
          <w:tcPr>
            <w:cnfStyle w:val="000000010000"/>
            <w:tcW w:w="2426" w:type="dxa"/>
            <w:tcBorders>
              <w:top w:val="single" w:color="auto" w:sz="4" w:space="0"/>
              <w:left w:val="single" w:color="auto" w:sz="4" w:space="0"/>
              <w:bottom w:val="single" w:color="auto" w:sz="4" w:space="0"/>
              <w:right w:val="single" w:color="auto" w:sz="4" w:space="0"/>
            </w:tcBorders>
            <w:vAlign w:val="bottom"/>
          </w:tcPr>
          <w:p>
            <w:pPr>
              <w:spacing w:after="45" w:line="259" w:lineRule="auto"/>
              <w:ind w:left="70" w:right="0" w:firstLine="0"/>
              <w:jc w:val="left"/>
              <w:rPr>
                <w:highlight w:val="lightGray"/>
              </w:rPr>
            </w:pPr>
            <w:r>
              <w:rPr>
                <w:b/>
                <w:highlight w:val="lightGray"/>
              </w:rPr>
              <w:t xml:space="preserve">LIABILITIES </w:t>
            </w:r>
          </w:p>
          <w:p>
            <w:pPr>
              <w:spacing w:after="0" w:line="259" w:lineRule="auto"/>
              <w:ind w:left="70" w:right="0" w:firstLine="0"/>
              <w:jc w:val="left"/>
              <w:rPr>
                <w:highlight w:val="lightGray"/>
              </w:rPr>
            </w:pPr>
            <w:r>
              <w:rPr>
                <w:highlight w:val="lightGray"/>
              </w:rPr>
              <w:t xml:space="preserve">  </w:t>
            </w:r>
          </w:p>
        </w:tc>
        <w:tc>
          <w:tcPr>
            <w:cnfStyle w:val="000000010000"/>
            <w:tcW w:w="1791" w:type="dxa"/>
            <w:tcBorders>
              <w:top w:val="single" w:color="auto" w:sz="4" w:space="0"/>
              <w:left w:val="single" w:color="auto" w:sz="4" w:space="0"/>
              <w:bottom w:val="single" w:color="auto" w:sz="4" w:space="0"/>
              <w:right w:val="single" w:color="auto" w:sz="4" w:space="0"/>
            </w:tcBorders>
          </w:tcPr>
          <w:p>
            <w:pPr>
              <w:spacing w:after="0" w:line="259" w:lineRule="auto"/>
              <w:ind w:left="0" w:right="136" w:firstLine="0"/>
              <w:jc w:val="right"/>
              <w:rPr>
                <w:highlight w:val="lightGray"/>
              </w:rPr>
            </w:pPr>
            <w:r>
              <w:rPr>
                <w:b/>
                <w:highlight w:val="lightGray"/>
              </w:rPr>
              <w:t xml:space="preserve">271355 </w:t>
            </w:r>
          </w:p>
        </w:tc>
        <w:tc>
          <w:tcPr>
            <w:cnfStyle w:val="000000010000"/>
            <w:tcW w:w="939" w:type="dxa"/>
            <w:tcBorders>
              <w:top w:val="single" w:color="auto" w:sz="4" w:space="0"/>
              <w:left w:val="single" w:color="auto" w:sz="4" w:space="0"/>
              <w:bottom w:val="single" w:color="auto" w:sz="4" w:space="0"/>
              <w:right w:val="single" w:color="auto" w:sz="4" w:space="0"/>
            </w:tcBorders>
          </w:tcPr>
          <w:p>
            <w:pPr>
              <w:spacing w:after="0" w:line="259" w:lineRule="auto"/>
              <w:ind w:left="121" w:right="0" w:firstLine="0"/>
              <w:jc w:val="left"/>
              <w:rPr>
                <w:highlight w:val="lightGray"/>
              </w:rPr>
            </w:pPr>
            <w:r>
              <w:rPr>
                <w:b/>
                <w:highlight w:val="lightGray"/>
              </w:rPr>
              <w:t xml:space="preserve">274355 </w:t>
            </w:r>
          </w:p>
        </w:tc>
      </w:tr>
      <w:tr>
        <w:trPr>
          <w:trHeight w:val="450"/>
        </w:trPr>
        <w:tc>
          <w:tcPr>
            <w:cnfStyle w:val="001000100000"/>
            <w:tcW w:w="2955"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 </w:t>
            </w:r>
          </w:p>
          <w:p>
            <w:pPr>
              <w:spacing w:after="0" w:line="259" w:lineRule="auto"/>
              <w:ind w:left="70" w:right="0" w:firstLine="0"/>
              <w:jc w:val="left"/>
              <w:rPr>
                <w:highlight w:val="lightGray"/>
              </w:rPr>
            </w:pPr>
            <w:r>
              <w:rPr>
                <w:highlight w:val="lightGray"/>
              </w:rPr>
              <w:t xml:space="preserve">Current assets </w:t>
            </w:r>
          </w:p>
        </w:tc>
        <w:tc>
          <w:tcPr>
            <w:cnfStyle w:val="000000100000"/>
            <w:tcW w:w="968" w:type="dxa"/>
            <w:tcBorders>
              <w:top w:val="single" w:color="auto" w:sz="4" w:space="0"/>
              <w:left w:val="single" w:color="auto" w:sz="4" w:space="0"/>
              <w:bottom w:val="single" w:color="auto" w:sz="4" w:space="0"/>
              <w:right w:val="single" w:color="auto" w:sz="4" w:space="0"/>
            </w:tcBorders>
          </w:tcPr>
          <w:p>
            <w:pPr>
              <w:spacing w:after="45" w:line="259" w:lineRule="auto"/>
              <w:ind w:left="0" w:right="0" w:firstLine="0"/>
              <w:jc w:val="left"/>
              <w:rPr>
                <w:highlight w:val="lightGray"/>
              </w:rPr>
            </w:pPr>
            <w:r>
              <w:rPr>
                <w:highlight w:val="lightGray"/>
              </w:rPr>
              <w:t xml:space="preserve"> </w:t>
            </w:r>
          </w:p>
          <w:p>
            <w:pPr>
              <w:spacing w:after="0" w:line="259" w:lineRule="auto"/>
              <w:ind w:left="0" w:right="0" w:firstLine="0"/>
              <w:jc w:val="left"/>
              <w:rPr>
                <w:highlight w:val="lightGray"/>
              </w:rPr>
            </w:pPr>
            <w:r>
              <w:rPr>
                <w:highlight w:val="lightGray"/>
              </w:rPr>
              <w:t xml:space="preserve"> </w:t>
            </w:r>
          </w:p>
        </w:tc>
        <w:tc>
          <w:tcPr>
            <w:cnfStyle w:val="000000100000"/>
            <w:tcW w:w="899" w:type="dxa"/>
            <w:tcBorders>
              <w:top w:val="single" w:color="auto" w:sz="4" w:space="0"/>
              <w:left w:val="single" w:color="auto" w:sz="4" w:space="0"/>
              <w:bottom w:val="single" w:color="auto" w:sz="4" w:space="0"/>
              <w:right w:val="single" w:color="auto" w:sz="4" w:space="0"/>
            </w:tcBorders>
          </w:tcPr>
          <w:p>
            <w:pPr>
              <w:spacing w:after="45" w:line="259" w:lineRule="auto"/>
              <w:ind w:left="0" w:right="0" w:firstLine="0"/>
              <w:jc w:val="left"/>
              <w:rPr>
                <w:highlight w:val="lightGray"/>
              </w:rPr>
            </w:pPr>
            <w:r>
              <w:rPr>
                <w:highlight w:val="lightGray"/>
              </w:rPr>
              <w:t xml:space="preserve"> </w:t>
            </w:r>
          </w:p>
          <w:p>
            <w:pPr>
              <w:spacing w:after="0" w:line="259" w:lineRule="auto"/>
              <w:ind w:left="0" w:right="0" w:firstLine="0"/>
              <w:jc w:val="left"/>
              <w:rPr>
                <w:highlight w:val="lightGray"/>
              </w:rPr>
            </w:pPr>
            <w:r>
              <w:rPr>
                <w:highlight w:val="lightGray"/>
              </w:rPr>
              <w:t xml:space="preserve"> </w:t>
            </w:r>
          </w:p>
        </w:tc>
        <w:tc>
          <w:tcPr>
            <w:cnfStyle w:val="000000100000"/>
            <w:tcW w:w="2426" w:type="dxa"/>
            <w:tcBorders>
              <w:top w:val="single" w:color="auto" w:sz="4" w:space="0"/>
              <w:left w:val="single" w:color="auto" w:sz="4" w:space="0"/>
              <w:bottom w:val="single" w:color="auto" w:sz="4" w:space="0"/>
              <w:right w:val="single" w:color="auto" w:sz="4" w:space="0"/>
            </w:tcBorders>
            <w:vAlign w:val="bottom"/>
          </w:tcPr>
          <w:p>
            <w:pPr>
              <w:spacing w:after="0" w:line="259" w:lineRule="auto"/>
              <w:ind w:left="70" w:right="0" w:firstLine="0"/>
              <w:jc w:val="left"/>
              <w:rPr>
                <w:highlight w:val="lightGray"/>
              </w:rPr>
            </w:pPr>
            <w:r>
              <w:rPr>
                <w:highlight w:val="lightGray"/>
              </w:rPr>
              <w:t xml:space="preserve">Share capital </w:t>
            </w:r>
          </w:p>
        </w:tc>
        <w:tc>
          <w:tcPr>
            <w:cnfStyle w:val="000000100000"/>
            <w:tcW w:w="1791" w:type="dxa"/>
            <w:tcBorders>
              <w:top w:val="single" w:color="auto" w:sz="4" w:space="0"/>
              <w:left w:val="single" w:color="auto" w:sz="4" w:space="0"/>
              <w:bottom w:val="single" w:color="auto" w:sz="4" w:space="0"/>
              <w:right w:val="single" w:color="auto" w:sz="4" w:space="0"/>
            </w:tcBorders>
          </w:tcPr>
          <w:p>
            <w:pPr>
              <w:spacing w:after="0" w:line="259" w:lineRule="auto"/>
              <w:ind w:left="660" w:right="0" w:firstLine="0"/>
              <w:jc w:val="left"/>
              <w:rPr>
                <w:highlight w:val="lightGray"/>
              </w:rPr>
            </w:pPr>
            <w:r>
              <w:rPr>
                <w:highlight w:val="lightGray"/>
              </w:rPr>
              <w:t xml:space="preserve"> </w:t>
            </w:r>
          </w:p>
          <w:p>
            <w:pPr>
              <w:spacing w:after="0" w:line="259" w:lineRule="auto"/>
              <w:ind w:left="0" w:right="143" w:firstLine="0"/>
              <w:jc w:val="right"/>
              <w:rPr>
                <w:highlight w:val="lightGray"/>
              </w:rPr>
            </w:pPr>
            <w:r>
              <w:rPr>
                <w:highlight w:val="lightGray"/>
              </w:rPr>
              <w:t xml:space="preserve">310000 </w:t>
            </w:r>
          </w:p>
        </w:tc>
        <w:tc>
          <w:tcPr>
            <w:cnfStyle w:val="000000100000"/>
            <w:tcW w:w="939" w:type="dxa"/>
            <w:tcBorders>
              <w:top w:val="single" w:color="auto" w:sz="4" w:space="0"/>
              <w:left w:val="single" w:color="auto" w:sz="4" w:space="0"/>
              <w:bottom w:val="single" w:color="auto" w:sz="4" w:space="0"/>
              <w:right w:val="single" w:color="auto" w:sz="4" w:space="0"/>
            </w:tcBorders>
          </w:tcPr>
          <w:p>
            <w:pPr>
              <w:spacing w:after="0" w:line="259" w:lineRule="auto"/>
              <w:ind w:left="0" w:right="0" w:firstLine="0"/>
              <w:jc w:val="left"/>
              <w:rPr>
                <w:highlight w:val="lightGray"/>
              </w:rPr>
            </w:pPr>
            <w:r>
              <w:rPr>
                <w:highlight w:val="lightGray"/>
              </w:rPr>
              <w:t xml:space="preserve"> </w:t>
            </w:r>
          </w:p>
          <w:p>
            <w:pPr>
              <w:spacing w:after="0" w:line="259" w:lineRule="auto"/>
              <w:ind w:left="166" w:right="0" w:firstLine="0"/>
              <w:jc w:val="left"/>
              <w:rPr>
                <w:highlight w:val="lightGray"/>
              </w:rPr>
            </w:pPr>
            <w:r>
              <w:rPr>
                <w:highlight w:val="lightGray"/>
              </w:rPr>
              <w:t xml:space="preserve">310000 </w:t>
            </w:r>
          </w:p>
        </w:tc>
      </w:tr>
      <w:tr>
        <w:trPr>
          <w:trHeight w:val="300"/>
        </w:trPr>
        <w:tc>
          <w:tcPr>
            <w:cnfStyle w:val="001000010000"/>
            <w:tcW w:w="2955"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 </w:t>
            </w:r>
            <w:r>
              <w:rPr>
                <w:highlight w:val="lightGray"/>
              </w:rPr>
              <w:t>Invenoties</w:t>
            </w:r>
            <w:r>
              <w:rPr>
                <w:highlight w:val="lightGray"/>
              </w:rPr>
              <w:t xml:space="preserve"> </w:t>
            </w:r>
          </w:p>
        </w:tc>
        <w:tc>
          <w:tcPr>
            <w:cnfStyle w:val="000000010000"/>
            <w:tcW w:w="968" w:type="dxa"/>
            <w:tcBorders>
              <w:top w:val="single" w:color="auto" w:sz="4" w:space="0"/>
              <w:left w:val="single" w:color="auto" w:sz="4" w:space="0"/>
              <w:bottom w:val="single" w:color="auto" w:sz="4" w:space="0"/>
              <w:right w:val="single" w:color="auto" w:sz="4" w:space="0"/>
            </w:tcBorders>
          </w:tcPr>
          <w:p>
            <w:pPr>
              <w:spacing w:after="0" w:line="259" w:lineRule="auto"/>
              <w:ind w:left="165" w:right="0" w:firstLine="0"/>
              <w:jc w:val="left"/>
              <w:rPr>
                <w:highlight w:val="lightGray"/>
              </w:rPr>
            </w:pPr>
            <w:r>
              <w:rPr>
                <w:highlight w:val="lightGray"/>
              </w:rPr>
              <w:t xml:space="preserve">330600 </w:t>
            </w:r>
          </w:p>
        </w:tc>
        <w:tc>
          <w:tcPr>
            <w:cnfStyle w:val="000000010000"/>
            <w:tcW w:w="899" w:type="dxa"/>
            <w:tcBorders>
              <w:top w:val="single" w:color="auto" w:sz="4" w:space="0"/>
              <w:left w:val="single" w:color="auto" w:sz="4" w:space="0"/>
              <w:bottom w:val="single" w:color="auto" w:sz="4" w:space="0"/>
              <w:right w:val="single" w:color="auto" w:sz="4" w:space="0"/>
            </w:tcBorders>
          </w:tcPr>
          <w:p>
            <w:pPr>
              <w:spacing w:after="0" w:line="259" w:lineRule="auto"/>
              <w:ind w:left="165" w:right="0" w:firstLine="0"/>
              <w:jc w:val="left"/>
              <w:rPr>
                <w:highlight w:val="lightGray"/>
              </w:rPr>
            </w:pPr>
            <w:r>
              <w:rPr>
                <w:highlight w:val="lightGray"/>
              </w:rPr>
              <w:t xml:space="preserve">330600 </w:t>
            </w:r>
          </w:p>
        </w:tc>
        <w:tc>
          <w:tcPr>
            <w:cnfStyle w:val="000000010000"/>
            <w:tcW w:w="2426"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Share premium </w:t>
            </w:r>
          </w:p>
        </w:tc>
        <w:tc>
          <w:tcPr>
            <w:cnfStyle w:val="000000010000"/>
            <w:tcW w:w="1791" w:type="dxa"/>
            <w:tcBorders>
              <w:top w:val="single" w:color="auto" w:sz="4" w:space="0"/>
              <w:left w:val="single" w:color="auto" w:sz="4" w:space="0"/>
              <w:bottom w:val="single" w:color="auto" w:sz="4" w:space="0"/>
              <w:right w:val="single" w:color="auto" w:sz="4" w:space="0"/>
            </w:tcBorders>
          </w:tcPr>
          <w:p>
            <w:pPr>
              <w:spacing w:after="0" w:line="259" w:lineRule="auto"/>
              <w:ind w:left="0" w:right="143" w:firstLine="0"/>
              <w:jc w:val="right"/>
              <w:rPr>
                <w:highlight w:val="lightGray"/>
              </w:rPr>
            </w:pPr>
            <w:r>
              <w:rPr>
                <w:highlight w:val="lightGray"/>
              </w:rPr>
              <w:t xml:space="preserve">300000 </w:t>
            </w:r>
          </w:p>
        </w:tc>
        <w:tc>
          <w:tcPr>
            <w:cnfStyle w:val="000000010000"/>
            <w:tcW w:w="939" w:type="dxa"/>
            <w:tcBorders>
              <w:top w:val="single" w:color="auto" w:sz="4" w:space="0"/>
              <w:left w:val="single" w:color="auto" w:sz="4" w:space="0"/>
              <w:bottom w:val="single" w:color="auto" w:sz="4" w:space="0"/>
              <w:right w:val="single" w:color="auto" w:sz="4" w:space="0"/>
            </w:tcBorders>
          </w:tcPr>
          <w:p>
            <w:pPr>
              <w:spacing w:after="0" w:line="259" w:lineRule="auto"/>
              <w:ind w:left="166" w:right="0" w:firstLine="0"/>
              <w:jc w:val="left"/>
              <w:rPr>
                <w:highlight w:val="lightGray"/>
              </w:rPr>
            </w:pPr>
            <w:r>
              <w:rPr>
                <w:highlight w:val="lightGray"/>
              </w:rPr>
              <w:t xml:space="preserve">300000 </w:t>
            </w:r>
          </w:p>
        </w:tc>
      </w:tr>
      <w:tr>
        <w:trPr>
          <w:trHeight w:val="300"/>
        </w:trPr>
        <w:tc>
          <w:tcPr>
            <w:cnfStyle w:val="001000100000"/>
            <w:tcW w:w="2955"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 Trade receivables </w:t>
            </w:r>
          </w:p>
        </w:tc>
        <w:tc>
          <w:tcPr>
            <w:cnfStyle w:val="000000100000"/>
            <w:tcW w:w="968" w:type="dxa"/>
            <w:tcBorders>
              <w:top w:val="single" w:color="auto" w:sz="4" w:space="0"/>
              <w:left w:val="single" w:color="auto" w:sz="4" w:space="0"/>
              <w:bottom w:val="single" w:color="auto" w:sz="4" w:space="0"/>
              <w:right w:val="single" w:color="auto" w:sz="4" w:space="0"/>
            </w:tcBorders>
          </w:tcPr>
          <w:p>
            <w:pPr>
              <w:spacing w:after="0" w:line="259" w:lineRule="auto"/>
              <w:ind w:left="165" w:right="0" w:firstLine="0"/>
              <w:jc w:val="left"/>
              <w:rPr>
                <w:highlight w:val="lightGray"/>
              </w:rPr>
            </w:pPr>
            <w:r>
              <w:rPr>
                <w:highlight w:val="lightGray"/>
              </w:rPr>
              <w:t xml:space="preserve">170125 </w:t>
            </w:r>
          </w:p>
        </w:tc>
        <w:tc>
          <w:tcPr>
            <w:cnfStyle w:val="000000100000"/>
            <w:tcW w:w="899" w:type="dxa"/>
            <w:tcBorders>
              <w:top w:val="single" w:color="auto" w:sz="4" w:space="0"/>
              <w:left w:val="single" w:color="auto" w:sz="4" w:space="0"/>
              <w:bottom w:val="single" w:color="auto" w:sz="4" w:space="0"/>
              <w:right w:val="single" w:color="auto" w:sz="4" w:space="0"/>
            </w:tcBorders>
          </w:tcPr>
          <w:p>
            <w:pPr>
              <w:spacing w:after="0" w:line="259" w:lineRule="auto"/>
              <w:ind w:left="165" w:right="0" w:firstLine="0"/>
              <w:jc w:val="left"/>
              <w:rPr>
                <w:highlight w:val="lightGray"/>
              </w:rPr>
            </w:pPr>
            <w:r>
              <w:rPr>
                <w:highlight w:val="lightGray"/>
              </w:rPr>
              <w:t xml:space="preserve">171105 </w:t>
            </w:r>
          </w:p>
        </w:tc>
        <w:tc>
          <w:tcPr>
            <w:cnfStyle w:val="000000100000"/>
            <w:tcW w:w="2426"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Other reserves </w:t>
            </w:r>
          </w:p>
        </w:tc>
        <w:tc>
          <w:tcPr>
            <w:cnfStyle w:val="000000100000"/>
            <w:tcW w:w="1791" w:type="dxa"/>
            <w:tcBorders>
              <w:top w:val="single" w:color="auto" w:sz="4" w:space="0"/>
              <w:left w:val="single" w:color="auto" w:sz="4" w:space="0"/>
              <w:bottom w:val="single" w:color="auto" w:sz="4" w:space="0"/>
              <w:right w:val="single" w:color="auto" w:sz="4" w:space="0"/>
            </w:tcBorders>
          </w:tcPr>
          <w:p>
            <w:pPr>
              <w:spacing w:after="0" w:line="259" w:lineRule="auto"/>
              <w:ind w:left="0" w:right="138" w:firstLine="0"/>
              <w:jc w:val="right"/>
              <w:rPr>
                <w:highlight w:val="lightGray"/>
              </w:rPr>
            </w:pPr>
            <w:r>
              <w:rPr>
                <w:highlight w:val="lightGray"/>
              </w:rPr>
              <w:t xml:space="preserve">0 </w:t>
            </w:r>
          </w:p>
        </w:tc>
        <w:tc>
          <w:tcPr>
            <w:cnfStyle w:val="000000100000"/>
            <w:tcW w:w="939" w:type="dxa"/>
            <w:tcBorders>
              <w:top w:val="single" w:color="auto" w:sz="4" w:space="0"/>
              <w:left w:val="single" w:color="auto" w:sz="4" w:space="0"/>
              <w:bottom w:val="single" w:color="auto" w:sz="4" w:space="0"/>
              <w:right w:val="single" w:color="auto" w:sz="4" w:space="0"/>
            </w:tcBorders>
          </w:tcPr>
          <w:p>
            <w:pPr>
              <w:spacing w:after="0" w:line="259" w:lineRule="auto"/>
              <w:ind w:left="0" w:right="68" w:firstLine="0"/>
              <w:jc w:val="right"/>
              <w:rPr>
                <w:highlight w:val="lightGray"/>
              </w:rPr>
            </w:pPr>
            <w:r>
              <w:rPr>
                <w:highlight w:val="lightGray"/>
              </w:rPr>
              <w:t xml:space="preserve">0 </w:t>
            </w:r>
          </w:p>
        </w:tc>
      </w:tr>
      <w:tr>
        <w:trPr>
          <w:trHeight w:val="300"/>
        </w:trPr>
        <w:tc>
          <w:tcPr>
            <w:cnfStyle w:val="001000010000"/>
            <w:tcW w:w="2955"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 Cash </w:t>
            </w:r>
          </w:p>
        </w:tc>
        <w:tc>
          <w:tcPr>
            <w:cnfStyle w:val="000000010000"/>
            <w:tcW w:w="968" w:type="dxa"/>
            <w:tcBorders>
              <w:top w:val="single" w:color="auto" w:sz="4" w:space="0"/>
              <w:left w:val="single" w:color="auto" w:sz="4" w:space="0"/>
              <w:bottom w:val="single" w:color="auto" w:sz="4" w:space="0"/>
              <w:right w:val="single" w:color="auto" w:sz="4" w:space="0"/>
            </w:tcBorders>
          </w:tcPr>
          <w:p>
            <w:pPr>
              <w:spacing w:after="0" w:line="259" w:lineRule="auto"/>
              <w:ind w:left="0" w:right="143" w:firstLine="0"/>
              <w:jc w:val="right"/>
              <w:rPr>
                <w:highlight w:val="lightGray"/>
              </w:rPr>
            </w:pPr>
            <w:r>
              <w:rPr>
                <w:highlight w:val="lightGray"/>
              </w:rPr>
              <w:t xml:space="preserve">12900 </w:t>
            </w:r>
          </w:p>
        </w:tc>
        <w:tc>
          <w:tcPr>
            <w:cnfStyle w:val="000000010000"/>
            <w:tcW w:w="899" w:type="dxa"/>
            <w:tcBorders>
              <w:top w:val="single" w:color="auto" w:sz="4" w:space="0"/>
              <w:left w:val="single" w:color="auto" w:sz="4" w:space="0"/>
              <w:bottom w:val="single" w:color="auto" w:sz="4" w:space="0"/>
              <w:right w:val="single" w:color="auto" w:sz="4" w:space="0"/>
            </w:tcBorders>
          </w:tcPr>
          <w:p>
            <w:pPr>
              <w:spacing w:after="0" w:line="259" w:lineRule="auto"/>
              <w:ind w:left="0" w:right="74" w:firstLine="0"/>
              <w:jc w:val="right"/>
              <w:rPr>
                <w:highlight w:val="lightGray"/>
              </w:rPr>
            </w:pPr>
            <w:r>
              <w:rPr>
                <w:highlight w:val="lightGray"/>
              </w:rPr>
              <w:t xml:space="preserve">12900 </w:t>
            </w:r>
          </w:p>
        </w:tc>
        <w:tc>
          <w:tcPr>
            <w:cnfStyle w:val="000000010000"/>
            <w:tcW w:w="2426"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Retained earnings </w:t>
            </w:r>
          </w:p>
        </w:tc>
        <w:tc>
          <w:tcPr>
            <w:cnfStyle w:val="000000010000"/>
            <w:tcW w:w="1791" w:type="dxa"/>
            <w:tcBorders>
              <w:top w:val="single" w:color="auto" w:sz="4" w:space="0"/>
              <w:left w:val="single" w:color="auto" w:sz="4" w:space="0"/>
              <w:bottom w:val="single" w:color="auto" w:sz="4" w:space="0"/>
              <w:right w:val="single" w:color="auto" w:sz="4" w:space="0"/>
            </w:tcBorders>
          </w:tcPr>
          <w:p>
            <w:pPr>
              <w:spacing w:after="0" w:line="259" w:lineRule="auto"/>
              <w:ind w:left="0" w:right="143" w:firstLine="0"/>
              <w:jc w:val="right"/>
              <w:rPr>
                <w:highlight w:val="lightGray"/>
              </w:rPr>
            </w:pPr>
            <w:r>
              <w:rPr>
                <w:highlight w:val="lightGray"/>
              </w:rPr>
              <w:t xml:space="preserve">132000 </w:t>
            </w:r>
          </w:p>
        </w:tc>
        <w:tc>
          <w:tcPr>
            <w:cnfStyle w:val="000000010000"/>
            <w:tcW w:w="939" w:type="dxa"/>
            <w:tcBorders>
              <w:top w:val="single" w:color="auto" w:sz="4" w:space="0"/>
              <w:left w:val="single" w:color="auto" w:sz="4" w:space="0"/>
              <w:bottom w:val="single" w:color="auto" w:sz="4" w:space="0"/>
              <w:right w:val="single" w:color="auto" w:sz="4" w:space="0"/>
            </w:tcBorders>
          </w:tcPr>
          <w:p>
            <w:pPr>
              <w:spacing w:after="0" w:line="259" w:lineRule="auto"/>
              <w:ind w:left="166" w:right="0" w:firstLine="0"/>
              <w:jc w:val="left"/>
              <w:rPr>
                <w:highlight w:val="lightGray"/>
              </w:rPr>
            </w:pPr>
            <w:r>
              <w:rPr>
                <w:highlight w:val="lightGray"/>
              </w:rPr>
              <w:t xml:space="preserve">132000 </w:t>
            </w:r>
          </w:p>
        </w:tc>
      </w:tr>
      <w:tr>
        <w:trPr>
          <w:trHeight w:val="300"/>
        </w:trPr>
        <w:tc>
          <w:tcPr>
            <w:cnfStyle w:val="001000100000"/>
            <w:tcW w:w="2955"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 </w:t>
            </w:r>
          </w:p>
        </w:tc>
        <w:tc>
          <w:tcPr>
            <w:cnfStyle w:val="000000100000"/>
            <w:tcW w:w="968" w:type="dxa"/>
            <w:tcBorders>
              <w:top w:val="single" w:color="auto" w:sz="4" w:space="0"/>
              <w:left w:val="single" w:color="auto" w:sz="4" w:space="0"/>
              <w:bottom w:val="single" w:color="auto" w:sz="4" w:space="0"/>
              <w:right w:val="single" w:color="auto" w:sz="4" w:space="0"/>
            </w:tcBorders>
          </w:tcPr>
          <w:p>
            <w:pPr>
              <w:spacing w:after="0" w:line="259" w:lineRule="auto"/>
              <w:ind w:left="0" w:right="0" w:firstLine="0"/>
              <w:jc w:val="left"/>
              <w:rPr>
                <w:highlight w:val="lightGray"/>
              </w:rPr>
            </w:pPr>
            <w:r>
              <w:rPr>
                <w:highlight w:val="lightGray"/>
              </w:rPr>
              <w:t xml:space="preserve"> </w:t>
            </w:r>
          </w:p>
        </w:tc>
        <w:tc>
          <w:tcPr>
            <w:cnfStyle w:val="000000100000"/>
            <w:tcW w:w="899" w:type="dxa"/>
            <w:tcBorders>
              <w:top w:val="single" w:color="auto" w:sz="4" w:space="0"/>
              <w:left w:val="single" w:color="auto" w:sz="4" w:space="0"/>
              <w:bottom w:val="single" w:color="auto" w:sz="4" w:space="0"/>
              <w:right w:val="single" w:color="auto" w:sz="4" w:space="0"/>
            </w:tcBorders>
          </w:tcPr>
          <w:p>
            <w:pPr>
              <w:spacing w:after="0" w:line="259" w:lineRule="auto"/>
              <w:ind w:left="0" w:right="0" w:firstLine="0"/>
              <w:jc w:val="left"/>
              <w:rPr>
                <w:highlight w:val="lightGray"/>
              </w:rPr>
            </w:pPr>
            <w:r>
              <w:rPr>
                <w:highlight w:val="lightGray"/>
              </w:rPr>
              <w:t xml:space="preserve"> </w:t>
            </w:r>
          </w:p>
        </w:tc>
        <w:tc>
          <w:tcPr>
            <w:cnfStyle w:val="000000100000"/>
            <w:tcW w:w="2426"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highlight w:val="lightGray"/>
              </w:rPr>
              <w:t xml:space="preserve">PROFIT BEFORE TAX </w:t>
            </w:r>
          </w:p>
        </w:tc>
        <w:tc>
          <w:tcPr>
            <w:cnfStyle w:val="000000100000"/>
            <w:tcW w:w="1791" w:type="dxa"/>
            <w:tcBorders>
              <w:top w:val="single" w:color="auto" w:sz="4" w:space="0"/>
              <w:left w:val="single" w:color="auto" w:sz="4" w:space="0"/>
              <w:bottom w:val="single" w:color="auto" w:sz="4" w:space="0"/>
              <w:right w:val="single" w:color="auto" w:sz="4" w:space="0"/>
            </w:tcBorders>
          </w:tcPr>
          <w:p>
            <w:pPr>
              <w:spacing w:after="0" w:line="259" w:lineRule="auto"/>
              <w:ind w:left="0" w:right="143" w:firstLine="0"/>
              <w:jc w:val="right"/>
              <w:rPr>
                <w:highlight w:val="lightGray"/>
              </w:rPr>
            </w:pPr>
            <w:r>
              <w:rPr>
                <w:highlight w:val="lightGray"/>
              </w:rPr>
              <w:t xml:space="preserve">133000 </w:t>
            </w:r>
          </w:p>
        </w:tc>
        <w:tc>
          <w:tcPr>
            <w:cnfStyle w:val="000000100000"/>
            <w:tcW w:w="939" w:type="dxa"/>
            <w:tcBorders>
              <w:top w:val="single" w:color="auto" w:sz="4" w:space="0"/>
              <w:left w:val="single" w:color="auto" w:sz="4" w:space="0"/>
              <w:bottom w:val="single" w:color="auto" w:sz="4" w:space="0"/>
              <w:right w:val="single" w:color="auto" w:sz="4" w:space="0"/>
            </w:tcBorders>
          </w:tcPr>
          <w:p>
            <w:pPr>
              <w:spacing w:after="0" w:line="259" w:lineRule="auto"/>
              <w:ind w:left="166" w:right="0" w:firstLine="0"/>
              <w:jc w:val="left"/>
              <w:rPr>
                <w:highlight w:val="lightGray"/>
              </w:rPr>
            </w:pPr>
            <w:r>
              <w:rPr>
                <w:highlight w:val="lightGray"/>
              </w:rPr>
              <w:t xml:space="preserve">130980 </w:t>
            </w:r>
          </w:p>
        </w:tc>
      </w:tr>
      <w:tr>
        <w:trPr>
          <w:trHeight w:val="250"/>
        </w:trPr>
        <w:tc>
          <w:tcPr>
            <w:cnfStyle w:val="001000010000"/>
            <w:tcW w:w="2955"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b/>
                <w:highlight w:val="lightGray"/>
              </w:rPr>
              <w:t xml:space="preserve">Total of Current assets </w:t>
            </w:r>
          </w:p>
        </w:tc>
        <w:tc>
          <w:tcPr>
            <w:cnfStyle w:val="000000010000"/>
            <w:tcW w:w="968" w:type="dxa"/>
            <w:tcBorders>
              <w:top w:val="single" w:color="auto" w:sz="4" w:space="0"/>
              <w:left w:val="single" w:color="auto" w:sz="4" w:space="0"/>
              <w:bottom w:val="single" w:color="auto" w:sz="4" w:space="0"/>
              <w:right w:val="single" w:color="auto" w:sz="4" w:space="0"/>
            </w:tcBorders>
          </w:tcPr>
          <w:p>
            <w:pPr>
              <w:spacing w:after="0" w:line="259" w:lineRule="auto"/>
              <w:ind w:left="120" w:right="0" w:firstLine="0"/>
              <w:jc w:val="left"/>
              <w:rPr>
                <w:highlight w:val="lightGray"/>
              </w:rPr>
            </w:pPr>
            <w:r>
              <w:rPr>
                <w:b/>
                <w:highlight w:val="lightGray"/>
              </w:rPr>
              <w:t xml:space="preserve">513625 </w:t>
            </w:r>
          </w:p>
        </w:tc>
        <w:tc>
          <w:tcPr>
            <w:cnfStyle w:val="000000010000"/>
            <w:tcW w:w="899" w:type="dxa"/>
            <w:tcBorders>
              <w:top w:val="single" w:color="auto" w:sz="4" w:space="0"/>
              <w:left w:val="single" w:color="auto" w:sz="4" w:space="0"/>
              <w:bottom w:val="single" w:color="auto" w:sz="4" w:space="0"/>
              <w:right w:val="single" w:color="auto" w:sz="4" w:space="0"/>
            </w:tcBorders>
          </w:tcPr>
          <w:p>
            <w:pPr>
              <w:spacing w:after="0" w:line="259" w:lineRule="auto"/>
              <w:ind w:left="120" w:right="0" w:firstLine="0"/>
              <w:jc w:val="left"/>
              <w:rPr>
                <w:highlight w:val="lightGray"/>
              </w:rPr>
            </w:pPr>
            <w:r>
              <w:rPr>
                <w:b/>
                <w:highlight w:val="lightGray"/>
              </w:rPr>
              <w:t xml:space="preserve">514605 </w:t>
            </w:r>
          </w:p>
        </w:tc>
        <w:tc>
          <w:tcPr>
            <w:cnfStyle w:val="000000010000"/>
            <w:tcW w:w="2426" w:type="dxa"/>
            <w:tcBorders>
              <w:top w:val="single" w:color="auto" w:sz="4" w:space="0"/>
              <w:left w:val="single" w:color="auto" w:sz="4" w:space="0"/>
              <w:bottom w:val="single" w:color="auto" w:sz="4" w:space="0"/>
              <w:right w:val="single" w:color="auto" w:sz="4" w:space="0"/>
            </w:tcBorders>
          </w:tcPr>
          <w:p>
            <w:pPr>
              <w:spacing w:after="0" w:line="259" w:lineRule="auto"/>
              <w:ind w:left="70" w:right="0" w:firstLine="0"/>
              <w:jc w:val="left"/>
              <w:rPr>
                <w:highlight w:val="lightGray"/>
              </w:rPr>
            </w:pPr>
            <w:r>
              <w:rPr>
                <w:b/>
                <w:highlight w:val="lightGray"/>
              </w:rPr>
              <w:t xml:space="preserve">EQUITY/CAPITAL </w:t>
            </w:r>
          </w:p>
        </w:tc>
        <w:tc>
          <w:tcPr>
            <w:cnfStyle w:val="000000010000"/>
            <w:tcW w:w="1791" w:type="dxa"/>
            <w:tcBorders>
              <w:top w:val="single" w:color="auto" w:sz="4" w:space="0"/>
              <w:left w:val="single" w:color="auto" w:sz="4" w:space="0"/>
              <w:bottom w:val="single" w:color="auto" w:sz="4" w:space="0"/>
              <w:right w:val="single" w:color="auto" w:sz="4" w:space="0"/>
            </w:tcBorders>
          </w:tcPr>
          <w:p>
            <w:pPr>
              <w:spacing w:after="0" w:line="259" w:lineRule="auto"/>
              <w:ind w:left="0" w:right="136" w:firstLine="0"/>
              <w:jc w:val="right"/>
              <w:rPr>
                <w:highlight w:val="lightGray"/>
              </w:rPr>
            </w:pPr>
            <w:r>
              <w:rPr>
                <w:b/>
                <w:highlight w:val="lightGray"/>
              </w:rPr>
              <w:t xml:space="preserve">875000 </w:t>
            </w:r>
          </w:p>
        </w:tc>
        <w:tc>
          <w:tcPr>
            <w:cnfStyle w:val="000000010000"/>
            <w:tcW w:w="939" w:type="dxa"/>
            <w:tcBorders>
              <w:top w:val="single" w:color="auto" w:sz="4" w:space="0"/>
              <w:left w:val="single" w:color="auto" w:sz="4" w:space="0"/>
              <w:bottom w:val="single" w:color="auto" w:sz="4" w:space="0"/>
              <w:right w:val="single" w:color="auto" w:sz="4" w:space="0"/>
            </w:tcBorders>
          </w:tcPr>
          <w:p>
            <w:pPr>
              <w:spacing w:after="0" w:line="259" w:lineRule="auto"/>
              <w:ind w:left="121" w:right="0" w:firstLine="0"/>
              <w:jc w:val="left"/>
              <w:rPr>
                <w:highlight w:val="lightGray"/>
              </w:rPr>
            </w:pPr>
            <w:r>
              <w:rPr>
                <w:b/>
                <w:highlight w:val="lightGray"/>
              </w:rPr>
              <w:t xml:space="preserve">872980 </w:t>
            </w:r>
          </w:p>
        </w:tc>
      </w:tr>
    </w:tbl>
    <w:p>
      <w:pPr>
        <w:spacing w:after="206"/>
        <w:ind w:right="5"/>
        <w:rPr/>
      </w:pPr>
    </w:p>
    <w:p>
      <w:pPr>
        <w:spacing w:after="206"/>
        <w:ind w:right="5"/>
        <w:rPr/>
      </w:pPr>
    </w:p>
    <w:p>
      <w:pPr>
        <w:spacing w:after="206"/>
        <w:ind w:right="5"/>
        <w:rPr/>
      </w:pPr>
      <w:r>
        <w:rPr>
          <w:lang w:val="en-US"/>
        </w:rPr>
        <w:t>For that task,I had prepared an income statement for  the following period (01/01/2018) till (31/12/2018) it is explaining after and before.It also has been prepared for the Balance sheet the same thing for the following date 31/12/2018.</w:t>
      </w:r>
    </w:p>
    <w:p>
      <w:pPr>
        <w:pStyle w:val="Heading2"/>
        <w:spacing w:after="209" w:line="263" w:lineRule="auto"/>
        <w:ind w:left="-5"/>
        <w:rPr/>
      </w:pPr>
      <w:r>
        <w:rPr>
          <w:i/>
          <w:u w:val="single" w:color="000000"/>
        </w:rPr>
        <w:t xml:space="preserve">               I</w:t>
      </w:r>
      <w:r>
        <w:rPr>
          <w:i/>
          <w:u w:val="single" w:color="000000"/>
          <w:lang w:val="en-US"/>
        </w:rPr>
        <w:t>ncome</w:t>
      </w:r>
      <w:r>
        <w:rPr>
          <w:i/>
          <w:u w:val="single" w:color="000000"/>
        </w:rPr>
        <w:t xml:space="preserve"> S</w:t>
      </w:r>
      <w:r>
        <w:rPr>
          <w:i/>
          <w:u w:val="single" w:color="000000"/>
          <w:lang w:val="en-US"/>
        </w:rPr>
        <w:t>tatement</w:t>
      </w:r>
      <w:r>
        <w:rPr>
          <w:i/>
          <w:u w:val="single" w:color="000000"/>
        </w:rPr>
        <w:t xml:space="preserve"> for the period from 01/01/2018 </w:t>
      </w:r>
      <w:r>
        <w:rPr>
          <w:i/>
          <w:u w:val="single" w:color="000000"/>
          <w:lang w:val="en-US"/>
        </w:rPr>
        <w:t xml:space="preserve">to </w:t>
      </w:r>
      <w:r>
        <w:rPr>
          <w:i/>
          <w:u w:val="single" w:color="000000"/>
        </w:rPr>
        <w:t>31/12/2018</w:t>
      </w:r>
      <w:r>
        <w:rPr>
          <w:i/>
        </w:rPr>
        <w:t xml:space="preserve"> </w:t>
      </w:r>
    </w:p>
    <w:p>
      <w:pPr>
        <w:ind w:right="5"/>
        <w:rPr/>
      </w:pPr>
      <w:r>
        <w:rPr>
          <w:b/>
        </w:rPr>
        <w:t>Revenue</w:t>
      </w:r>
      <w:r>
        <w:t xml:space="preserve"> is the amount from </w:t>
      </w:r>
      <w:r>
        <w:rPr>
          <w:b/>
        </w:rPr>
        <w:t>Sales</w:t>
      </w:r>
      <w:r>
        <w:t xml:space="preserve"> which is £826650. Goods valued of £980 were sent to customers on 31</w:t>
      </w:r>
      <w:r>
        <w:rPr>
          <w:vertAlign w:val="superscript"/>
        </w:rPr>
        <w:t>st</w:t>
      </w:r>
      <w:r>
        <w:t xml:space="preserve"> of </w:t>
      </w:r>
    </w:p>
    <w:p>
      <w:pPr>
        <w:spacing w:after="207"/>
        <w:ind w:right="5"/>
        <w:rPr/>
      </w:pPr>
      <w:r>
        <w:t>December. That is why I increase the amount of Revenue with £980. After th</w:t>
      </w:r>
      <w:r>
        <w:t>e transaction the final amount for the Revenue is £827630 (=£826650+£980). As the amount of the sent goods is due by 28</w:t>
      </w:r>
      <w:r>
        <w:rPr>
          <w:vertAlign w:val="superscript"/>
        </w:rPr>
        <w:t xml:space="preserve"> </w:t>
      </w:r>
      <w:r>
        <w:t xml:space="preserve">February 2019 at the balance sheet the same amount is included as Trade receivables </w:t>
      </w:r>
      <w:r>
        <w:rPr>
          <w:highlight w:val="darkBlue"/>
        </w:rPr>
        <w:t>(£170125+£980=£171105).</w:t>
      </w:r>
      <w:r>
        <w:t xml:space="preserve"> </w:t>
      </w:r>
    </w:p>
    <w:p>
      <w:pPr>
        <w:ind w:right="5"/>
        <w:rPr/>
      </w:pPr>
      <w:r>
        <w:rPr>
          <w:b/>
        </w:rPr>
        <w:t xml:space="preserve">Cost of sales </w:t>
      </w:r>
      <w:r>
        <w:t>for the amoun</w:t>
      </w:r>
      <w:r>
        <w:t xml:space="preserve">t of £578650 is shown at the Income statement. There is no change after the additional information given. </w:t>
      </w:r>
    </w:p>
    <w:p>
      <w:pPr>
        <w:spacing w:after="214"/>
        <w:ind w:left="-5" w:right="1"/>
        <w:rPr/>
      </w:pPr>
      <w:r>
        <w:rPr>
          <w:b/>
          <w:color w:val="111111"/>
          <w:u w:val="single" w:color="111111"/>
        </w:rPr>
        <w:t>Gross profit</w:t>
      </w:r>
      <w:r>
        <w:rPr>
          <w:color w:val="111111"/>
        </w:rPr>
        <w:t xml:space="preserve"> </w:t>
      </w:r>
      <w:r>
        <w:rPr>
          <w:color w:val="111111"/>
        </w:rPr>
        <w:t xml:space="preserve">is the profit a company makes after deducting the costs associated with making and selling its products, or the costs associated with providing its services. Gross profit will appear on a company's income statement and can be calculated by subtracting the </w:t>
      </w:r>
      <w:r>
        <w:rPr>
          <w:color w:val="111111"/>
        </w:rPr>
        <w:t xml:space="preserve">cost of goods sold from revenue (sales).  </w:t>
      </w:r>
    </w:p>
    <w:p>
      <w:pPr>
        <w:tabs>
          <w:tab w:val="center" w:pos="2126"/>
          <w:tab w:val="center" w:pos="4440"/>
        </w:tabs>
        <w:spacing w:after="219" w:line="259" w:lineRule="auto"/>
        <w:ind w:left="0" w:right="0" w:firstLine="0"/>
        <w:jc w:val="left"/>
        <w:rPr/>
      </w:pPr>
      <w:r>
        <w:rPr>
          <w:b/>
          <w:color w:val="111111"/>
        </w:rPr>
        <w:t xml:space="preserve">GROSS PROFIT =  </w:t>
      </w:r>
      <w:r>
        <w:rPr>
          <w:b/>
          <w:color w:val="111111"/>
        </w:rPr>
        <w:tab/>
        <w:t xml:space="preserve"> </w:t>
      </w:r>
      <w:r>
        <w:rPr>
          <w:b/>
          <w:color w:val="111111"/>
        </w:rPr>
        <w:tab/>
        <w:t xml:space="preserve">REVENUE (SALES) – COST OF SALES </w:t>
      </w:r>
    </w:p>
    <w:p>
      <w:pPr>
        <w:tabs>
          <w:tab w:val="center" w:pos="2126"/>
          <w:tab w:val="center" w:pos="4440"/>
        </w:tabs>
        <w:spacing w:after="219" w:line="259" w:lineRule="auto"/>
        <w:ind w:left="0" w:right="0" w:firstLine="0"/>
        <w:jc w:val="left"/>
        <w:rPr/>
      </w:pPr>
    </w:p>
    <w:p>
      <w:pPr>
        <w:ind w:right="5"/>
        <w:rPr/>
      </w:pPr>
      <w:r>
        <w:rPr>
          <w:b/>
        </w:rPr>
        <w:t>Distribution costs</w:t>
      </w:r>
      <w:r>
        <w:t xml:space="preserve"> are £28000. We have the information that salesmen are owed commission of £3000 in respect of </w:t>
      </w:r>
    </w:p>
    <w:p>
      <w:pPr>
        <w:spacing w:after="206"/>
        <w:ind w:right="5"/>
        <w:rPr/>
      </w:pPr>
      <w:r>
        <w:t>December sales. It will be paid on 31st Januar</w:t>
      </w:r>
      <w:r>
        <w:t xml:space="preserve">y 2019. The amount for distribution costs increase with £3000. At the Balance sheet the same amount is included in Current liabilities (the amount for Trade creditors + owed commission = £171355 + £3000 = £174355). </w:t>
      </w:r>
    </w:p>
    <w:p>
      <w:pPr>
        <w:spacing w:after="206"/>
        <w:ind w:right="5"/>
        <w:rPr/>
      </w:pPr>
      <w:r>
        <w:rPr>
          <w:b/>
        </w:rPr>
        <w:t>Administration expenses/ Operating expen</w:t>
      </w:r>
      <w:r>
        <w:rPr>
          <w:b/>
        </w:rPr>
        <w:t>ses</w:t>
      </w:r>
      <w:r>
        <w:t xml:space="preserve"> are represented as a sum of Ordinary dividend paid + Preference dividend paid + Administrative expenses + Directors remuneration (£20000+£30000+£30000+£5000=£85000).  </w:t>
      </w:r>
    </w:p>
    <w:p>
      <w:pPr>
        <w:spacing w:after="0"/>
        <w:ind w:left="-5" w:right="1"/>
        <w:rPr/>
      </w:pPr>
      <w:r>
        <w:rPr>
          <w:b/>
          <w:color w:val="111111"/>
          <w:u w:val="single" w:color="111111"/>
        </w:rPr>
        <w:t>Operating profit</w:t>
      </w:r>
      <w:r>
        <w:rPr>
          <w:b/>
          <w:color w:val="111111"/>
        </w:rPr>
        <w:t xml:space="preserve"> </w:t>
      </w:r>
      <w:r>
        <w:rPr>
          <w:color w:val="111111"/>
        </w:rPr>
        <w:t xml:space="preserve">or Earnings before Interest and Taxes (EBIT) </w:t>
      </w:r>
    </w:p>
    <w:p>
      <w:pPr>
        <w:spacing w:after="0" w:line="239" w:lineRule="auto"/>
        <w:ind w:left="0" w:right="3" w:firstLine="0"/>
        <w:rPr/>
      </w:pPr>
      <w:r>
        <w:rPr>
          <w:color w:val="222222"/>
        </w:rPr>
        <w:t>Operating profit is t</w:t>
      </w:r>
      <w:r>
        <w:rPr>
          <w:color w:val="222222"/>
        </w:rPr>
        <w:t>he profitability of the business, before taking into account interest and taxes. To determine operating profit, operating expenses are subtracted from gross profit. Operating profit is a key number for managers to watch as it reflects the revenue and expen</w:t>
      </w:r>
      <w:r>
        <w:rPr>
          <w:color w:val="222222"/>
        </w:rPr>
        <w:t>ses that they can control.</w:t>
      </w:r>
      <w:r>
        <w:rPr>
          <w:color w:val="111111"/>
        </w:rPr>
        <w:t xml:space="preserve">  Operating profit can be calculated using the following formula: </w:t>
      </w:r>
    </w:p>
    <w:p>
      <w:pPr>
        <w:spacing w:after="0" w:line="259" w:lineRule="auto"/>
        <w:ind w:left="0" w:right="0" w:firstLine="0"/>
        <w:jc w:val="left"/>
        <w:rPr/>
      </w:pPr>
      <w:r>
        <w:rPr>
          <w:color w:val="111111"/>
        </w:rPr>
        <w:t xml:space="preserve"> </w:t>
      </w:r>
    </w:p>
    <w:p>
      <w:pPr>
        <w:spacing w:after="232" w:line="247" w:lineRule="auto"/>
        <w:ind w:left="2831" w:right="-9" w:hanging="2846"/>
        <w:jc w:val="left"/>
        <w:rPr/>
      </w:pPr>
      <w:r>
        <w:rPr>
          <w:b/>
          <w:color w:val="111111"/>
        </w:rPr>
        <w:t xml:space="preserve">OPERATING PROFIT =  </w:t>
      </w:r>
      <w:r>
        <w:rPr>
          <w:b/>
          <w:color w:val="111111"/>
        </w:rPr>
        <w:tab/>
        <w:t xml:space="preserve">REVENUE (SALES) – COST OF SALES – </w:t>
      </w:r>
      <w:r>
        <w:rPr>
          <w:b/>
        </w:rPr>
        <w:t xml:space="preserve">OPERATING EXPENSES </w:t>
      </w:r>
      <w:r>
        <w:t xml:space="preserve">(which are represented </w:t>
      </w:r>
      <w:r>
        <w:tab/>
        <w:t xml:space="preserve">as </w:t>
      </w:r>
      <w:r>
        <w:tab/>
        <w:t xml:space="preserve">a </w:t>
      </w:r>
      <w:r>
        <w:tab/>
        <w:t xml:space="preserve">sum </w:t>
      </w:r>
      <w:r>
        <w:tab/>
        <w:t xml:space="preserve">of </w:t>
      </w:r>
      <w:r>
        <w:tab/>
        <w:t xml:space="preserve">distribution </w:t>
      </w:r>
      <w:r>
        <w:tab/>
        <w:t xml:space="preserve">costs </w:t>
      </w:r>
      <w:r>
        <w:tab/>
        <w:t xml:space="preserve">+ </w:t>
      </w:r>
      <w:r>
        <w:tab/>
        <w:t xml:space="preserve">administration </w:t>
      </w:r>
      <w:r>
        <w:tab/>
        <w:t>costs)</w:t>
      </w:r>
      <w:r>
        <w:rPr>
          <w:b/>
          <w:color w:val="111111"/>
        </w:rPr>
        <w:t xml:space="preserve"> </w:t>
      </w:r>
      <w:r>
        <w:rPr>
          <w:b/>
          <w:color w:val="111111"/>
        </w:rPr>
        <w:t xml:space="preserve">– </w:t>
      </w:r>
      <w:r>
        <w:rPr>
          <w:b/>
        </w:rPr>
        <w:t xml:space="preserve">DEPRECIATION – AMORTIZATION </w:t>
      </w:r>
    </w:p>
    <w:p>
      <w:pPr>
        <w:spacing w:after="217"/>
        <w:ind w:right="5"/>
        <w:rPr/>
      </w:pPr>
      <w:r>
        <w:rPr>
          <w:b/>
          <w:u w:val="single" w:color="000000"/>
        </w:rPr>
        <w:t>Net profit</w:t>
      </w:r>
      <w:r>
        <w:t xml:space="preserve"> is the measurement of a company's profit once operating costs, taxes, interest and depreciation have all been subtracted from its total revenues. The term is often referred to as a company's 'bottom line' and may a</w:t>
      </w:r>
      <w:r>
        <w:t xml:space="preserve">lso be described as 'net earnings' or 'net income'. </w:t>
      </w:r>
    </w:p>
    <w:p>
      <w:pPr>
        <w:pStyle w:val="Heading1"/>
        <w:spacing w:after="207"/>
        <w:ind w:left="2836" w:hanging="2836"/>
        <w:rPr/>
      </w:pPr>
      <w:r>
        <w:t xml:space="preserve">NET PROFIT =  REVENUE (SALES) </w:t>
      </w:r>
      <w:r>
        <w:t>–</w:t>
      </w:r>
      <w:r>
        <w:t xml:space="preserve"> COST OF SALES </w:t>
      </w:r>
      <w:r>
        <w:t>–</w:t>
      </w:r>
      <w:r>
        <w:t xml:space="preserve"> OPERATING EXPENSES </w:t>
      </w:r>
      <w:r>
        <w:t>–</w:t>
      </w:r>
      <w:r>
        <w:t xml:space="preserve"> INTEREST PAID </w:t>
      </w:r>
      <w:r>
        <w:t>–</w:t>
      </w:r>
      <w:r>
        <w:t xml:space="preserve"> TAXATION </w:t>
      </w:r>
    </w:p>
    <w:p>
      <w:pPr>
        <w:spacing w:after="215" w:line="259" w:lineRule="auto"/>
        <w:ind w:left="0" w:right="0" w:firstLine="0"/>
        <w:jc w:val="left"/>
        <w:rPr/>
      </w:pPr>
      <w:r>
        <w:t xml:space="preserve"> </w:t>
      </w:r>
    </w:p>
    <w:p>
      <w:pPr>
        <w:pStyle w:val="Heading2"/>
        <w:spacing w:after="209" w:line="263" w:lineRule="auto"/>
        <w:ind w:left="-5"/>
        <w:rPr>
          <w:i/>
          <w:u w:val="single" w:color="000000"/>
        </w:rPr>
      </w:pPr>
      <w:r>
        <w:rPr>
          <w:i/>
          <w:u w:val="single" w:color="000000"/>
        </w:rPr>
        <w:t xml:space="preserve">                                           B</w:t>
      </w:r>
      <w:r>
        <w:rPr>
          <w:i/>
          <w:u w:val="single" w:color="000000"/>
          <w:lang w:val="en-US"/>
        </w:rPr>
        <w:t>alance Sheet</w:t>
      </w:r>
      <w:r>
        <w:rPr>
          <w:i/>
          <w:u w:val="single" w:color="000000"/>
        </w:rPr>
        <w:t xml:space="preserve"> </w:t>
      </w:r>
      <w:r>
        <w:rPr>
          <w:i/>
          <w:u w:val="single" w:color="000000"/>
          <w:lang w:val="en-US"/>
        </w:rPr>
        <w:t>for the</w:t>
      </w:r>
      <w:r>
        <w:rPr>
          <w:i/>
          <w:u w:val="single" w:color="000000"/>
        </w:rPr>
        <w:t xml:space="preserve"> 31/12/2018</w:t>
      </w:r>
    </w:p>
    <w:p>
      <w:pPr>
        <w:pStyle w:val="Heading2"/>
        <w:spacing w:after="209" w:line="263" w:lineRule="auto"/>
        <w:ind w:left="-5"/>
        <w:rPr/>
      </w:pPr>
      <w:r>
        <w:rPr>
          <w:i/>
        </w:rPr>
        <w:t xml:space="preserve"> </w:t>
      </w:r>
    </w:p>
    <w:p>
      <w:pPr>
        <w:spacing w:after="206"/>
        <w:ind w:right="5"/>
        <w:rPr/>
      </w:pPr>
      <w:r>
        <w:rPr>
          <w:b/>
        </w:rPr>
        <w:t>Definition</w:t>
      </w:r>
      <w:r>
        <w:t xml:space="preserve">: </w:t>
      </w:r>
      <w:r>
        <w:rPr>
          <w:lang w:val="en-US"/>
        </w:rPr>
        <w:t>Balance sheet it is a report (statement) of your (balance of money</w:t>
      </w:r>
      <w:r>
        <w:t xml:space="preserve"> </w:t>
      </w:r>
      <w:r>
        <w:rPr>
          <w:lang w:val="en-US"/>
        </w:rPr>
        <w:t>)</w:t>
      </w:r>
      <w:r>
        <w:rPr>
          <w:lang w:val="en-US"/>
        </w:rPr>
        <w:t>in your company or business which includes liabilities also assets at some exact time.It might be on every six months or at the end of the ,depending on your position in the market.It shows what to do ,can you invest more or less.At some point in some places balance sheet "they call" like net review.</w:t>
      </w:r>
    </w:p>
    <w:p>
      <w:pPr>
        <w:spacing w:after="206"/>
        <w:ind w:right="5"/>
        <w:rPr/>
      </w:pPr>
      <w:r>
        <w:rPr>
          <w:lang w:val="en-US"/>
        </w:rPr>
        <w:t>T</w:t>
      </w:r>
      <w:r>
        <w:rPr>
          <w:lang w:val="en-US"/>
        </w:rPr>
        <w:t>he Balance sheet is use it as well for calculating financial ratios,it can be use it for different kinds of statements.</w:t>
      </w:r>
    </w:p>
    <w:p>
      <w:pPr>
        <w:spacing w:after="206"/>
        <w:ind w:right="5"/>
        <w:rPr/>
      </w:pPr>
    </w:p>
    <w:p>
      <w:pPr>
        <w:spacing w:after="209"/>
        <w:ind w:right="5"/>
        <w:rPr/>
      </w:pPr>
      <w:r>
        <w:t xml:space="preserve">The amount of </w:t>
      </w:r>
      <w:r>
        <w:t>‘</w:t>
      </w:r>
      <w:r>
        <w:t xml:space="preserve">Plant </w:t>
      </w:r>
      <w:r>
        <w:t xml:space="preserve">and equipment’ is shown as </w:t>
      </w:r>
      <w:r>
        <w:rPr>
          <w:b/>
        </w:rPr>
        <w:t xml:space="preserve">Non-current assets </w:t>
      </w:r>
      <w:r>
        <w:t xml:space="preserve">in the Balance sheet. </w:t>
      </w:r>
    </w:p>
    <w:p>
      <w:pPr>
        <w:tabs>
          <w:tab w:val="center" w:pos="2126"/>
          <w:tab w:val="center" w:pos="4440"/>
        </w:tabs>
        <w:spacing w:after="219" w:line="259" w:lineRule="auto"/>
        <w:ind w:left="0" w:right="0" w:firstLine="0"/>
        <w:jc w:val="left"/>
        <w:rPr/>
      </w:pPr>
      <w:r>
        <w:rPr>
          <w:b/>
        </w:rPr>
        <w:t>Current assets</w:t>
      </w:r>
      <w:r>
        <w:t xml:space="preserve"> is shown as a sum of Stock at 31st December 2018 (Inventory) + Trade creditors (Trade</w:t>
      </w:r>
    </w:p>
    <w:p>
      <w:pPr>
        <w:spacing w:after="207"/>
        <w:ind w:right="5"/>
        <w:rPr/>
      </w:pPr>
      <w:r>
        <w:t>receivables) +</w:t>
      </w:r>
      <w:r>
        <w:t xml:space="preserve"> Cash and bank (£330600 + £170125 + £12900 = £513625).  </w:t>
      </w:r>
    </w:p>
    <w:p>
      <w:pPr>
        <w:spacing w:after="206"/>
        <w:ind w:right="5"/>
        <w:rPr/>
      </w:pPr>
      <w:r>
        <w:t xml:space="preserve">After I reflect the receivables from customers for the good sold for the amount £980 the final amount of Current assets will be £514605 (= £330600 + £171105 + £12900) </w:t>
      </w:r>
    </w:p>
    <w:p>
      <w:pPr>
        <w:spacing w:after="215" w:line="259" w:lineRule="auto"/>
        <w:ind w:left="0" w:right="0" w:firstLine="0"/>
        <w:jc w:val="left"/>
        <w:rPr/>
      </w:pPr>
      <w:r>
        <w:t xml:space="preserve"> </w:t>
      </w:r>
    </w:p>
    <w:p>
      <w:pPr>
        <w:ind w:right="5"/>
        <w:rPr/>
      </w:pPr>
      <w:r>
        <w:t>The amount for the Ordinary (</w:t>
      </w:r>
      <w:r>
        <w:t xml:space="preserve">£310`000) and Preference shares (£300`000) are shown in the Balance sheet as a part of the </w:t>
      </w:r>
      <w:r>
        <w:rPr>
          <w:b/>
        </w:rPr>
        <w:t>Equity</w:t>
      </w:r>
      <w:r>
        <w:t xml:space="preserve">.  </w:t>
      </w:r>
    </w:p>
    <w:p>
      <w:pPr>
        <w:spacing w:after="206"/>
        <w:ind w:right="5"/>
        <w:rPr/>
      </w:pPr>
      <w:r>
        <w:t>I a</w:t>
      </w:r>
      <w:r>
        <w:rPr>
          <w:lang w:val="en-US"/>
        </w:rPr>
        <w:t>gree</w:t>
      </w:r>
      <w:r>
        <w:t xml:space="preserve"> that the issued the Debentures from the Company are to be redeemed after one year. They are shown under </w:t>
      </w:r>
      <w:r>
        <w:rPr>
          <w:b/>
        </w:rPr>
        <w:t>Non-Current Liabilities</w:t>
      </w:r>
      <w:r>
        <w:t xml:space="preserve"> in the Balance She</w:t>
      </w:r>
      <w:r>
        <w:t xml:space="preserve">et.  </w:t>
      </w:r>
    </w:p>
    <w:p>
      <w:pPr>
        <w:spacing w:after="206"/>
        <w:ind w:right="5"/>
        <w:rPr/>
      </w:pPr>
      <w:r>
        <w:t xml:space="preserve">The amount for Trade creditors is shown at the balance sheet as </w:t>
      </w:r>
      <w:r>
        <w:rPr>
          <w:b/>
        </w:rPr>
        <w:t>Current liabilities</w:t>
      </w:r>
      <w:r>
        <w:t>. There is a commission of £3000 owed to the salesmen in respect of December sales. It will be paid on 31st January 2019. That is why I increase the amount for Trade c</w:t>
      </w:r>
      <w:r>
        <w:t xml:space="preserve">reditors from £171355 to £174355 (=£171355 + £3000) </w:t>
      </w:r>
    </w:p>
    <w:p>
      <w:pPr>
        <w:spacing w:after="206"/>
        <w:ind w:right="5"/>
        <w:rPr/>
      </w:pPr>
      <w:r>
        <w:rPr>
          <w:b/>
        </w:rPr>
        <w:t>Definition for Equity:</w:t>
      </w:r>
      <w:r>
        <w:t xml:space="preserve"> </w:t>
      </w:r>
      <w:r>
        <w:rPr>
          <w:lang w:val="en-US"/>
        </w:rPr>
        <w:t>In accounting and finance ,equity is the value attributable to the owners of business.In accounting,equity is always listed like a book value.Book  value is value that accountants determine by by preparing the financial statement and balance sheet as well which includes assets =liabilities+equity.</w:t>
      </w:r>
    </w:p>
    <w:p>
      <w:pPr>
        <w:spacing w:after="207"/>
        <w:ind w:right="5"/>
        <w:rPr/>
      </w:pPr>
      <w:r>
        <w:t xml:space="preserve">The Equity/Capital of a company represents the amount of shares (ordinary and preference), other reserves, and the retained earnings from previous years and current profit before taxation. </w:t>
      </w:r>
    </w:p>
    <w:p>
      <w:pPr>
        <w:spacing w:after="206"/>
        <w:ind w:right="5"/>
        <w:rPr/>
      </w:pPr>
      <w:r>
        <w:t>The Balance sheet is bala</w:t>
      </w:r>
      <w:r>
        <w:t xml:space="preserve">nced after we calculate the Profit before taxation which amount should be included in the total amount of equity. </w:t>
      </w:r>
    </w:p>
    <w:p>
      <w:pPr>
        <w:tabs>
          <w:tab w:val="center" w:pos="2126"/>
          <w:tab w:val="center" w:pos="4440"/>
        </w:tabs>
        <w:spacing w:after="219" w:line="259" w:lineRule="auto"/>
        <w:ind w:left="0" w:right="0" w:firstLine="0"/>
        <w:jc w:val="left"/>
        <w:rPr/>
      </w:pPr>
    </w:p>
    <w:p>
      <w:pPr>
        <w:spacing w:after="0" w:line="259" w:lineRule="auto"/>
        <w:ind w:left="0" w:right="0" w:firstLine="0"/>
        <w:jc w:val="left"/>
        <w:rPr/>
      </w:pPr>
      <w:r>
        <w:t xml:space="preserve"> </w:t>
      </w:r>
    </w:p>
    <w:p>
      <w:pPr>
        <w:pStyle w:val="Heading2"/>
        <w:spacing w:after="209" w:line="263" w:lineRule="auto"/>
        <w:ind w:left="-5"/>
        <w:rPr/>
      </w:pPr>
      <w:r>
        <w:rPr>
          <w:lang w:val="en-US"/>
        </w:rPr>
        <w:t xml:space="preserve">                                                        2 Question...</w:t>
      </w:r>
    </w:p>
    <w:p>
      <w:pPr>
        <w:spacing w:after="206"/>
        <w:ind w:right="5"/>
        <w:rPr/>
      </w:pPr>
      <w:r>
        <w:t>Chocco</w:t>
      </w:r>
      <w:r>
        <w:t xml:space="preserve"> plc is a long-</w:t>
      </w:r>
      <w:r>
        <w:t xml:space="preserve">established chocolate and confectionery manufacturer. All products are manufactured in the UK, but sales are made worldwide. It is a growing but competitive market. Given below are extracts from their financial statements. </w:t>
      </w:r>
    </w:p>
    <w:p/>
    <w:tbl>
      <w:tblPr>
        <w:tblStyle w:val="TableGrid"/>
        <w:tblW w:w="7083" w:type="dxa"/>
        <w:tblInd w:w="-15" w:type="dxa"/>
        <w:tblLayout w:type="fixed"/>
        <w:tblCellMar>
          <w:top w:w="50" w:type="dxa"/>
          <w:left w:w="0" w:type="dxa"/>
          <w:bottom w:w="0" w:type="dxa"/>
          <w:right w:w="26" w:type="dxa"/>
        </w:tblCellMar>
        <w:tblLook w:val="04A0"/>
      </w:tblPr>
      <w:tblGrid>
        <w:gridCol w:w="5398"/>
        <w:gridCol w:w="960"/>
        <w:gridCol w:w="725"/>
      </w:tblGrid>
      <w:tr>
        <w:trPr>
          <w:trHeight w:val="339"/>
        </w:trPr>
        <w:tc>
          <w:tcPr>
            <w:cnfStyle w:val="101000000000"/>
            <w:tcW w:w="5398" w:type="dxa"/>
            <w:tcBorders>
              <w:top w:val="single" w:color="000000" w:sz="4" w:space="0"/>
              <w:left w:val="nil" w:sz="4" w:space="0"/>
              <w:bottom w:val="single" w:color="000000" w:sz="6" w:space="0"/>
              <w:right w:val="nil" w:sz="4" w:space="0"/>
            </w:tcBorders>
            <w:shd w:val="clear" w:color="auto" w:fill="c4bd97"/>
          </w:tcPr>
          <w:p>
            <w:pPr>
              <w:spacing w:after="0" w:line="259" w:lineRule="auto"/>
              <w:ind w:left="70" w:right="0" w:firstLine="0"/>
              <w:jc w:val="left"/>
              <w:rPr>
                <w:highlight w:val="darkBlue"/>
              </w:rPr>
            </w:pPr>
            <w:r>
              <w:rPr>
                <w:b/>
                <w:highlight w:val="darkBlue"/>
                <w:u w:val="single" w:color="000000"/>
              </w:rPr>
              <w:t>Income</w:t>
            </w:r>
            <w:r>
              <w:rPr>
                <w:b/>
                <w:highlight w:val="darkBlue"/>
                <w:u w:val="single" w:color="000000"/>
              </w:rPr>
              <w:t xml:space="preserve"> </w:t>
            </w:r>
            <w:r>
              <w:rPr>
                <w:b/>
                <w:highlight w:val="darkBlue"/>
                <w:u w:val="single" w:color="000000"/>
              </w:rPr>
              <w:t>statement</w:t>
            </w:r>
            <w:r>
              <w:rPr>
                <w:b/>
                <w:highlight w:val="darkBlue"/>
                <w:u w:val="single" w:color="000000"/>
              </w:rPr>
              <w:t xml:space="preserve"> for the year ended 31st December </w:t>
            </w:r>
          </w:p>
        </w:tc>
        <w:tc>
          <w:tcPr>
            <w:cnfStyle w:val="100000000000"/>
            <w:tcW w:w="960" w:type="dxa"/>
            <w:tcBorders>
              <w:top w:val="single" w:color="000000" w:sz="4" w:space="0"/>
              <w:left w:val="nil" w:sz="4" w:space="0"/>
              <w:bottom w:val="single" w:color="000000" w:sz="6" w:space="0"/>
              <w:right w:val="nil" w:sz="4" w:space="0"/>
            </w:tcBorders>
            <w:shd w:val="clear" w:color="auto" w:fill="c4bd97"/>
          </w:tcPr>
          <w:p>
            <w:pPr>
              <w:spacing w:after="0" w:line="259" w:lineRule="auto"/>
              <w:ind w:left="160" w:right="0" w:firstLine="0"/>
              <w:jc w:val="left"/>
              <w:rPr>
                <w:highlight w:val="darkBlue"/>
              </w:rPr>
            </w:pPr>
            <w:r>
              <w:rPr>
                <w:b/>
                <w:highlight w:val="darkBlue"/>
                <w:u w:val="single" w:color="000000"/>
              </w:rPr>
              <w:t xml:space="preserve">2019 </w:t>
            </w:r>
          </w:p>
        </w:tc>
        <w:tc>
          <w:tcPr>
            <w:cnfStyle w:val="100000000000"/>
            <w:tcW w:w="725" w:type="dxa"/>
            <w:tcBorders>
              <w:top w:val="single" w:color="000000" w:sz="4" w:space="0"/>
              <w:left w:val="nil" w:sz="4" w:space="0"/>
              <w:bottom w:val="single" w:color="000000" w:sz="6" w:space="0"/>
              <w:right w:val="nil" w:sz="4" w:space="0"/>
            </w:tcBorders>
            <w:shd w:val="clear" w:color="auto" w:fill="c4bd97"/>
          </w:tcPr>
          <w:p>
            <w:pPr>
              <w:spacing w:after="0" w:line="259" w:lineRule="auto"/>
              <w:ind w:left="160" w:right="0" w:firstLine="0"/>
              <w:jc w:val="left"/>
              <w:rPr>
                <w:highlight w:val="darkBlue"/>
              </w:rPr>
            </w:pPr>
            <w:r>
              <w:rPr>
                <w:b/>
                <w:highlight w:val="darkBlue"/>
                <w:u w:val="single" w:color="000000"/>
              </w:rPr>
              <w:t xml:space="preserve">2018 </w:t>
            </w:r>
          </w:p>
        </w:tc>
      </w:tr>
      <w:tr>
        <w:trPr>
          <w:trHeight w:val="411" w:hRule="exact"/>
        </w:trPr>
        <w:tc>
          <w:tcPr>
            <w:cnfStyle w:val="001000100000"/>
            <w:tcW w:w="5398" w:type="dxa"/>
            <w:tcBorders>
              <w:top w:val="single" w:color="000000" w:sz="6" w:space="0"/>
              <w:left w:val="nil" w:sz="4" w:space="0"/>
              <w:bottom w:val="nil" w:sz="4" w:space="0"/>
              <w:right w:val="nil" w:sz="4" w:space="0"/>
            </w:tcBorders>
            <w:vAlign w:val="bottom"/>
          </w:tcPr>
          <w:p>
            <w:pPr>
              <w:spacing w:after="0" w:line="259" w:lineRule="auto"/>
              <w:ind w:left="70" w:right="0" w:firstLine="0"/>
              <w:jc w:val="left"/>
              <w:rPr/>
            </w:pPr>
            <w:r>
              <w:t xml:space="preserve"> </w:t>
            </w:r>
          </w:p>
        </w:tc>
        <w:tc>
          <w:tcPr>
            <w:cnfStyle w:val="000000100000"/>
            <w:tcW w:w="960" w:type="dxa"/>
            <w:tcBorders>
              <w:top w:val="single" w:color="000000" w:sz="6" w:space="0"/>
              <w:left w:val="nil" w:sz="4" w:space="0"/>
              <w:bottom w:val="nil" w:sz="4" w:space="0"/>
              <w:right w:val="nil" w:sz="4" w:space="0"/>
            </w:tcBorders>
          </w:tcPr>
          <w:p>
            <w:pPr>
              <w:spacing w:after="0" w:line="259" w:lineRule="auto"/>
              <w:ind w:left="67" w:right="0" w:firstLine="0"/>
              <w:jc w:val="center"/>
              <w:rPr/>
            </w:pPr>
            <w:r>
              <w:t xml:space="preserve">£m </w:t>
            </w:r>
          </w:p>
        </w:tc>
        <w:tc>
          <w:tcPr>
            <w:cnfStyle w:val="000000100000"/>
            <w:tcW w:w="725" w:type="dxa"/>
            <w:tcBorders>
              <w:top w:val="single" w:color="000000" w:sz="6" w:space="0"/>
              <w:left w:val="nil" w:sz="4" w:space="0"/>
              <w:bottom w:val="nil" w:sz="4" w:space="0"/>
              <w:right w:val="nil" w:sz="4" w:space="0"/>
            </w:tcBorders>
          </w:tcPr>
          <w:p>
            <w:pPr>
              <w:spacing w:after="0" w:line="259" w:lineRule="auto"/>
              <w:ind w:left="0" w:right="43" w:firstLine="0"/>
              <w:jc w:val="right"/>
              <w:rPr/>
            </w:pPr>
            <w:r>
              <w:t xml:space="preserve">£m </w:t>
            </w:r>
          </w:p>
        </w:tc>
      </w:tr>
      <w:tr>
        <w:trPr>
          <w:trHeight w:val="300"/>
        </w:trPr>
        <w:tc>
          <w:tcPr>
            <w:cnfStyle w:val="001000010000"/>
            <w:tcW w:w="5398" w:type="dxa"/>
            <w:tcBorders>
              <w:top w:val="nil" w:sz="4" w:space="0"/>
              <w:left w:val="nil" w:sz="4" w:space="0"/>
              <w:bottom w:val="nil" w:sz="4" w:space="0"/>
              <w:right w:val="nil" w:sz="4" w:space="0"/>
            </w:tcBorders>
          </w:tcPr>
          <w:p>
            <w:pPr>
              <w:spacing w:after="0" w:line="259" w:lineRule="auto"/>
              <w:ind w:left="70" w:right="0" w:firstLine="0"/>
              <w:jc w:val="left"/>
              <w:rPr/>
            </w:pPr>
            <w:r>
              <w:t xml:space="preserve">Revenue </w:t>
            </w:r>
          </w:p>
        </w:tc>
        <w:tc>
          <w:tcPr>
            <w:cnfStyle w:val="000000010000"/>
            <w:tcW w:w="960" w:type="dxa"/>
            <w:tcBorders>
              <w:top w:val="nil" w:sz="4" w:space="0"/>
              <w:left w:val="nil" w:sz="4" w:space="0"/>
              <w:bottom w:val="nil" w:sz="4" w:space="0"/>
              <w:right w:val="nil" w:sz="4" w:space="0"/>
            </w:tcBorders>
          </w:tcPr>
          <w:p>
            <w:pPr>
              <w:spacing w:after="0" w:line="259" w:lineRule="auto"/>
              <w:ind w:left="190" w:right="0" w:firstLine="0"/>
              <w:jc w:val="left"/>
              <w:rPr/>
            </w:pPr>
            <w:r>
              <w:t xml:space="preserve">6738 </w:t>
            </w:r>
          </w:p>
        </w:tc>
        <w:tc>
          <w:tcPr>
            <w:cnfStyle w:val="000000010000"/>
            <w:tcW w:w="725" w:type="dxa"/>
            <w:tcBorders>
              <w:top w:val="nil" w:sz="4" w:space="0"/>
              <w:left w:val="nil" w:sz="4" w:space="0"/>
              <w:bottom w:val="nil" w:sz="4" w:space="0"/>
              <w:right w:val="nil" w:sz="4" w:space="0"/>
            </w:tcBorders>
          </w:tcPr>
          <w:p>
            <w:pPr>
              <w:spacing w:after="0" w:line="259" w:lineRule="auto"/>
              <w:ind w:left="190" w:right="0" w:firstLine="0"/>
              <w:jc w:val="left"/>
              <w:rPr/>
            </w:pPr>
            <w:r>
              <w:t xml:space="preserve">6441 </w:t>
            </w:r>
          </w:p>
        </w:tc>
      </w:tr>
      <w:tr>
        <w:trPr>
          <w:trHeight w:val="305"/>
        </w:trPr>
        <w:tc>
          <w:tcPr>
            <w:cnfStyle w:val="001000100000"/>
            <w:tcW w:w="5398" w:type="dxa"/>
            <w:tcBorders>
              <w:top w:val="nil" w:sz="4" w:space="0"/>
              <w:left w:val="nil" w:sz="4" w:space="0"/>
              <w:bottom w:val="nil" w:sz="4" w:space="0"/>
              <w:right w:val="nil" w:sz="4" w:space="0"/>
            </w:tcBorders>
          </w:tcPr>
          <w:p>
            <w:pPr>
              <w:spacing w:after="0" w:line="259" w:lineRule="auto"/>
              <w:ind w:left="70" w:right="0" w:firstLine="0"/>
              <w:jc w:val="left"/>
              <w:rPr/>
            </w:pPr>
            <w:r>
              <w:rPr>
                <w:u w:val="single" w:color="000000"/>
              </w:rPr>
              <w:t xml:space="preserve">Cost of sales </w:t>
            </w:r>
          </w:p>
        </w:tc>
        <w:tc>
          <w:tcPr>
            <w:cnfStyle w:val="000000100000"/>
            <w:tcW w:w="960" w:type="dxa"/>
            <w:tcBorders>
              <w:top w:val="nil" w:sz="4" w:space="0"/>
              <w:left w:val="nil" w:sz="4" w:space="0"/>
              <w:bottom w:val="nil" w:sz="4" w:space="0"/>
              <w:right w:val="nil" w:sz="4" w:space="0"/>
            </w:tcBorders>
          </w:tcPr>
          <w:p>
            <w:pPr>
              <w:spacing w:after="0" w:line="259" w:lineRule="auto"/>
              <w:ind w:left="40" w:right="0" w:firstLine="0"/>
              <w:jc w:val="left"/>
              <w:rPr/>
            </w:pPr>
            <w:r>
              <w:rPr>
                <w:u w:val="single" w:color="000000"/>
              </w:rPr>
              <w:t xml:space="preserve">(3235) </w:t>
            </w:r>
          </w:p>
        </w:tc>
        <w:tc>
          <w:tcPr>
            <w:cnfStyle w:val="000000100000"/>
            <w:tcW w:w="725" w:type="dxa"/>
            <w:tcBorders>
              <w:top w:val="nil" w:sz="4" w:space="0"/>
              <w:left w:val="nil" w:sz="4" w:space="0"/>
              <w:bottom w:val="nil" w:sz="4" w:space="0"/>
              <w:right w:val="nil" w:sz="4" w:space="0"/>
            </w:tcBorders>
          </w:tcPr>
          <w:p>
            <w:pPr>
              <w:spacing w:after="0" w:line="259" w:lineRule="auto"/>
              <w:ind w:left="40" w:right="0" w:firstLine="0"/>
              <w:rPr/>
            </w:pPr>
            <w:r>
              <w:rPr>
                <w:u w:val="single" w:color="000000"/>
              </w:rPr>
              <w:t xml:space="preserve">(3096) </w:t>
            </w:r>
          </w:p>
        </w:tc>
      </w:tr>
      <w:tr>
        <w:trPr>
          <w:trHeight w:val="310"/>
        </w:trPr>
        <w:tc>
          <w:tcPr>
            <w:cnfStyle w:val="001000010000"/>
            <w:tcW w:w="5398" w:type="dxa"/>
            <w:tcBorders>
              <w:top w:val="nil" w:sz="4" w:space="0"/>
              <w:left w:val="nil" w:sz="4" w:space="0"/>
              <w:bottom w:val="nil" w:sz="4" w:space="0"/>
              <w:right w:val="nil" w:sz="4" w:space="0"/>
            </w:tcBorders>
          </w:tcPr>
          <w:p>
            <w:pPr>
              <w:spacing w:after="0" w:line="259" w:lineRule="auto"/>
              <w:ind w:left="70" w:right="0" w:firstLine="0"/>
              <w:jc w:val="left"/>
              <w:rPr>
                <w:highlight w:val="darkBlue"/>
              </w:rPr>
            </w:pPr>
            <w:r>
              <w:rPr>
                <w:b/>
                <w:highlight w:val="darkBlue"/>
                <w:u w:val="single" w:color="000000"/>
              </w:rPr>
              <w:t xml:space="preserve">Gross profit </w:t>
            </w:r>
          </w:p>
        </w:tc>
        <w:tc>
          <w:tcPr>
            <w:cnfStyle w:val="000000010000"/>
            <w:tcW w:w="960" w:type="dxa"/>
            <w:tcBorders>
              <w:top w:val="nil" w:sz="4" w:space="0"/>
              <w:left w:val="nil" w:sz="4" w:space="0"/>
              <w:bottom w:val="nil" w:sz="4" w:space="0"/>
              <w:right w:val="nil" w:sz="4" w:space="0"/>
            </w:tcBorders>
          </w:tcPr>
          <w:p>
            <w:pPr>
              <w:spacing w:after="0" w:line="259" w:lineRule="auto"/>
              <w:ind w:left="160" w:right="0" w:firstLine="0"/>
              <w:jc w:val="left"/>
              <w:rPr>
                <w:highlight w:val="darkBlue"/>
              </w:rPr>
            </w:pPr>
            <w:r>
              <w:rPr>
                <w:b/>
                <w:highlight w:val="darkBlue"/>
                <w:u w:val="single" w:color="000000"/>
              </w:rPr>
              <w:t xml:space="preserve">3503 </w:t>
            </w:r>
          </w:p>
        </w:tc>
        <w:tc>
          <w:tcPr>
            <w:cnfStyle w:val="000000010000"/>
            <w:tcW w:w="725" w:type="dxa"/>
            <w:tcBorders>
              <w:top w:val="nil" w:sz="4" w:space="0"/>
              <w:left w:val="nil" w:sz="4" w:space="0"/>
              <w:bottom w:val="nil" w:sz="4" w:space="0"/>
              <w:right w:val="nil" w:sz="4" w:space="0"/>
            </w:tcBorders>
          </w:tcPr>
          <w:p>
            <w:pPr>
              <w:spacing w:after="0" w:line="259" w:lineRule="auto"/>
              <w:ind w:left="160" w:right="0" w:firstLine="0"/>
              <w:jc w:val="left"/>
              <w:rPr>
                <w:highlight w:val="darkBlue"/>
              </w:rPr>
            </w:pPr>
            <w:r>
              <w:rPr>
                <w:b/>
                <w:highlight w:val="darkBlue"/>
                <w:u w:val="single" w:color="000000"/>
              </w:rPr>
              <w:t xml:space="preserve">3345 </w:t>
            </w:r>
          </w:p>
        </w:tc>
      </w:tr>
      <w:tr>
        <w:trPr>
          <w:trHeight w:val="305"/>
        </w:trPr>
        <w:tc>
          <w:tcPr>
            <w:cnfStyle w:val="001000100000"/>
            <w:tcW w:w="5398" w:type="dxa"/>
            <w:tcBorders>
              <w:top w:val="nil" w:sz="4" w:space="0"/>
              <w:left w:val="nil" w:sz="4" w:space="0"/>
              <w:bottom w:val="nil" w:sz="4" w:space="0"/>
              <w:right w:val="nil" w:sz="4" w:space="0"/>
            </w:tcBorders>
          </w:tcPr>
          <w:p>
            <w:pPr>
              <w:spacing w:after="0" w:line="259" w:lineRule="auto"/>
              <w:ind w:left="70" w:right="0" w:firstLine="0"/>
              <w:jc w:val="left"/>
              <w:rPr/>
            </w:pPr>
            <w:r>
              <w:t xml:space="preserve">Distribution costs </w:t>
            </w:r>
          </w:p>
        </w:tc>
        <w:tc>
          <w:tcPr>
            <w:cnfStyle w:val="000000100000"/>
            <w:tcW w:w="960" w:type="dxa"/>
            <w:tcBorders>
              <w:top w:val="nil" w:sz="4" w:space="0"/>
              <w:left w:val="nil" w:sz="4" w:space="0"/>
              <w:bottom w:val="nil" w:sz="4" w:space="0"/>
              <w:right w:val="nil" w:sz="4" w:space="0"/>
            </w:tcBorders>
          </w:tcPr>
          <w:p>
            <w:pPr>
              <w:spacing w:after="0" w:line="259" w:lineRule="auto"/>
              <w:ind w:left="150" w:right="0" w:firstLine="0"/>
              <w:jc w:val="left"/>
              <w:rPr/>
            </w:pPr>
            <w:r>
              <w:t xml:space="preserve">(437) </w:t>
            </w:r>
          </w:p>
        </w:tc>
        <w:tc>
          <w:tcPr>
            <w:cnfStyle w:val="000000100000"/>
            <w:tcW w:w="725" w:type="dxa"/>
            <w:tcBorders>
              <w:top w:val="nil" w:sz="4" w:space="0"/>
              <w:left w:val="nil" w:sz="4" w:space="0"/>
              <w:bottom w:val="nil" w:sz="4" w:space="0"/>
              <w:right w:val="nil" w:sz="4" w:space="0"/>
            </w:tcBorders>
          </w:tcPr>
          <w:p>
            <w:pPr>
              <w:spacing w:after="0" w:line="259" w:lineRule="auto"/>
              <w:ind w:left="150" w:right="0" w:firstLine="0"/>
              <w:jc w:val="left"/>
              <w:rPr/>
            </w:pPr>
            <w:r>
              <w:t xml:space="preserve">(422) </w:t>
            </w:r>
          </w:p>
        </w:tc>
      </w:tr>
      <w:tr>
        <w:trPr>
          <w:trHeight w:val="300"/>
        </w:trPr>
        <w:tc>
          <w:tcPr>
            <w:cnfStyle w:val="001000010000"/>
            <w:tcW w:w="5398" w:type="dxa"/>
            <w:tcBorders>
              <w:top w:val="nil" w:sz="4" w:space="0"/>
              <w:left w:val="nil" w:sz="4" w:space="0"/>
              <w:bottom w:val="nil" w:sz="4" w:space="0"/>
              <w:right w:val="nil" w:sz="4" w:space="0"/>
            </w:tcBorders>
          </w:tcPr>
          <w:p>
            <w:pPr>
              <w:spacing w:after="0" w:line="259" w:lineRule="auto"/>
              <w:ind w:left="70" w:right="0" w:firstLine="0"/>
              <w:jc w:val="left"/>
              <w:rPr/>
            </w:pPr>
            <w:r>
              <w:t xml:space="preserve">Marketing and selling costs </w:t>
            </w:r>
          </w:p>
        </w:tc>
        <w:tc>
          <w:tcPr>
            <w:cnfStyle w:val="000000010000"/>
            <w:tcW w:w="960" w:type="dxa"/>
            <w:tcBorders>
              <w:top w:val="nil" w:sz="4" w:space="0"/>
              <w:left w:val="nil" w:sz="4" w:space="0"/>
              <w:bottom w:val="nil" w:sz="4" w:space="0"/>
              <w:right w:val="nil" w:sz="4" w:space="0"/>
            </w:tcBorders>
          </w:tcPr>
          <w:p>
            <w:pPr>
              <w:spacing w:after="0" w:line="259" w:lineRule="auto"/>
              <w:ind w:left="40" w:right="0" w:firstLine="0"/>
              <w:jc w:val="left"/>
              <w:rPr/>
            </w:pPr>
            <w:r>
              <w:t xml:space="preserve">(1324) </w:t>
            </w:r>
          </w:p>
        </w:tc>
        <w:tc>
          <w:tcPr>
            <w:cnfStyle w:val="000000010000"/>
            <w:tcW w:w="725" w:type="dxa"/>
            <w:tcBorders>
              <w:top w:val="nil" w:sz="4" w:space="0"/>
              <w:left w:val="nil" w:sz="4" w:space="0"/>
              <w:bottom w:val="nil" w:sz="4" w:space="0"/>
              <w:right w:val="nil" w:sz="4" w:space="0"/>
            </w:tcBorders>
          </w:tcPr>
          <w:p>
            <w:pPr>
              <w:spacing w:after="0" w:line="259" w:lineRule="auto"/>
              <w:ind w:left="40" w:right="0" w:firstLine="0"/>
              <w:rPr/>
            </w:pPr>
            <w:r>
              <w:t xml:space="preserve">(1274) </w:t>
            </w:r>
          </w:p>
        </w:tc>
      </w:tr>
      <w:tr>
        <w:trPr>
          <w:trHeight w:val="305"/>
        </w:trPr>
        <w:tc>
          <w:tcPr>
            <w:cnfStyle w:val="001000100000"/>
            <w:tcW w:w="5398" w:type="dxa"/>
            <w:tcBorders>
              <w:top w:val="nil" w:sz="4" w:space="0"/>
              <w:left w:val="nil" w:sz="4" w:space="0"/>
              <w:bottom w:val="nil" w:sz="4" w:space="0"/>
              <w:right w:val="nil" w:sz="4" w:space="0"/>
            </w:tcBorders>
          </w:tcPr>
          <w:p>
            <w:pPr>
              <w:spacing w:after="0" w:line="259" w:lineRule="auto"/>
              <w:ind w:left="70" w:right="0" w:firstLine="0"/>
              <w:jc w:val="left"/>
              <w:rPr/>
            </w:pPr>
            <w:r>
              <w:rPr>
                <w:u w:val="single" w:color="000000"/>
              </w:rPr>
              <w:t xml:space="preserve">Administrative expenses </w:t>
            </w:r>
          </w:p>
        </w:tc>
        <w:tc>
          <w:tcPr>
            <w:cnfStyle w:val="000000100000"/>
            <w:tcW w:w="960" w:type="dxa"/>
            <w:tcBorders>
              <w:top w:val="nil" w:sz="4" w:space="0"/>
              <w:left w:val="nil" w:sz="4" w:space="0"/>
              <w:bottom w:val="nil" w:sz="4" w:space="0"/>
              <w:right w:val="nil" w:sz="4" w:space="0"/>
            </w:tcBorders>
          </w:tcPr>
          <w:p>
            <w:pPr>
              <w:spacing w:after="0" w:line="259" w:lineRule="auto"/>
              <w:ind w:left="150" w:right="0" w:firstLine="0"/>
              <w:jc w:val="left"/>
              <w:rPr/>
            </w:pPr>
            <w:r>
              <w:rPr>
                <w:u w:val="single" w:color="000000"/>
              </w:rPr>
              <w:t xml:space="preserve">(937) </w:t>
            </w:r>
          </w:p>
        </w:tc>
        <w:tc>
          <w:tcPr>
            <w:cnfStyle w:val="000000100000"/>
            <w:tcW w:w="725" w:type="dxa"/>
            <w:tcBorders>
              <w:top w:val="nil" w:sz="4" w:space="0"/>
              <w:left w:val="nil" w:sz="4" w:space="0"/>
              <w:bottom w:val="nil" w:sz="4" w:space="0"/>
              <w:right w:val="nil" w:sz="4" w:space="0"/>
            </w:tcBorders>
          </w:tcPr>
          <w:p>
            <w:pPr>
              <w:spacing w:after="0" w:line="259" w:lineRule="auto"/>
              <w:ind w:left="150" w:right="0" w:firstLine="0"/>
              <w:jc w:val="left"/>
              <w:rPr/>
            </w:pPr>
            <w:r>
              <w:rPr>
                <w:u w:val="single" w:color="000000"/>
              </w:rPr>
              <w:t xml:space="preserve">(950) </w:t>
            </w:r>
          </w:p>
        </w:tc>
      </w:tr>
      <w:tr>
        <w:trPr>
          <w:trHeight w:val="310"/>
        </w:trPr>
        <w:tc>
          <w:tcPr>
            <w:cnfStyle w:val="001000010000"/>
            <w:tcW w:w="5398" w:type="dxa"/>
            <w:tcBorders>
              <w:top w:val="nil" w:sz="4" w:space="0"/>
              <w:left w:val="nil" w:sz="4" w:space="0"/>
              <w:bottom w:val="nil" w:sz="4" w:space="0"/>
              <w:right w:val="nil" w:sz="4" w:space="0"/>
            </w:tcBorders>
          </w:tcPr>
          <w:p>
            <w:pPr>
              <w:spacing w:after="0" w:line="259" w:lineRule="auto"/>
              <w:ind w:left="70" w:right="0" w:firstLine="0"/>
              <w:jc w:val="left"/>
              <w:rPr>
                <w:highlight w:val="darkBlue"/>
              </w:rPr>
            </w:pPr>
            <w:r>
              <w:rPr>
                <w:b/>
                <w:highlight w:val="darkBlue"/>
                <w:u w:val="single" w:color="000000"/>
              </w:rPr>
              <w:t xml:space="preserve">Operating profit </w:t>
            </w:r>
          </w:p>
        </w:tc>
        <w:tc>
          <w:tcPr>
            <w:cnfStyle w:val="000000010000"/>
            <w:tcW w:w="960" w:type="dxa"/>
            <w:tcBorders>
              <w:top w:val="nil" w:sz="4" w:space="0"/>
              <w:left w:val="nil" w:sz="4" w:space="0"/>
              <w:bottom w:val="nil" w:sz="4" w:space="0"/>
              <w:right w:val="nil" w:sz="4" w:space="0"/>
            </w:tcBorders>
          </w:tcPr>
          <w:p>
            <w:pPr>
              <w:spacing w:after="0" w:line="259" w:lineRule="auto"/>
              <w:ind w:left="0" w:right="16" w:firstLine="0"/>
              <w:jc w:val="center"/>
              <w:rPr>
                <w:highlight w:val="darkBlue"/>
              </w:rPr>
            </w:pPr>
            <w:r>
              <w:rPr>
                <w:b/>
                <w:highlight w:val="darkBlue"/>
                <w:u w:val="single" w:color="000000"/>
              </w:rPr>
              <w:t xml:space="preserve">805 </w:t>
            </w:r>
          </w:p>
        </w:tc>
        <w:tc>
          <w:tcPr>
            <w:cnfStyle w:val="000000010000"/>
            <w:tcW w:w="725" w:type="dxa"/>
            <w:tcBorders>
              <w:top w:val="nil" w:sz="4" w:space="0"/>
              <w:left w:val="nil" w:sz="4" w:space="0"/>
              <w:bottom w:val="nil" w:sz="4" w:space="0"/>
              <w:right w:val="nil" w:sz="4" w:space="0"/>
            </w:tcBorders>
          </w:tcPr>
          <w:p>
            <w:pPr>
              <w:spacing w:after="0" w:line="259" w:lineRule="auto"/>
              <w:ind w:left="0" w:right="41" w:firstLine="0"/>
              <w:jc w:val="right"/>
              <w:rPr>
                <w:highlight w:val="darkBlue"/>
              </w:rPr>
            </w:pPr>
            <w:r>
              <w:rPr>
                <w:b/>
                <w:highlight w:val="darkBlue"/>
                <w:u w:val="single" w:color="000000"/>
              </w:rPr>
              <w:t xml:space="preserve">699 </w:t>
            </w:r>
          </w:p>
        </w:tc>
      </w:tr>
      <w:tr>
        <w:trPr>
          <w:trHeight w:val="305"/>
        </w:trPr>
        <w:tc>
          <w:tcPr>
            <w:cnfStyle w:val="001000100000"/>
            <w:tcW w:w="5398" w:type="dxa"/>
            <w:tcBorders>
              <w:top w:val="nil" w:sz="4" w:space="0"/>
              <w:left w:val="nil" w:sz="4" w:space="0"/>
              <w:bottom w:val="nil" w:sz="4" w:space="0"/>
              <w:right w:val="nil" w:sz="4" w:space="0"/>
            </w:tcBorders>
          </w:tcPr>
          <w:p>
            <w:pPr>
              <w:spacing w:after="0" w:line="259" w:lineRule="auto"/>
              <w:ind w:left="70" w:right="0" w:firstLine="0"/>
              <w:jc w:val="left"/>
              <w:rPr/>
            </w:pPr>
            <w:r>
              <w:t xml:space="preserve">Profit/loss on sale of fixed assets </w:t>
            </w:r>
          </w:p>
        </w:tc>
        <w:tc>
          <w:tcPr>
            <w:cnfStyle w:val="000000100000"/>
            <w:tcW w:w="960" w:type="dxa"/>
            <w:tcBorders>
              <w:top w:val="nil" w:sz="4" w:space="0"/>
              <w:left w:val="nil" w:sz="4" w:space="0"/>
              <w:bottom w:val="nil" w:sz="4" w:space="0"/>
              <w:right w:val="nil" w:sz="4" w:space="0"/>
            </w:tcBorders>
          </w:tcPr>
          <w:p>
            <w:pPr>
              <w:spacing w:after="0" w:line="259" w:lineRule="auto"/>
              <w:ind w:left="117" w:right="0" w:firstLine="0"/>
              <w:jc w:val="center"/>
              <w:rPr/>
            </w:pPr>
            <w:r>
              <w:t xml:space="preserve">19 </w:t>
            </w:r>
          </w:p>
        </w:tc>
        <w:tc>
          <w:tcPr>
            <w:cnfStyle w:val="000000100000"/>
            <w:tcW w:w="725" w:type="dxa"/>
            <w:tcBorders>
              <w:top w:val="nil" w:sz="4" w:space="0"/>
              <w:left w:val="nil" w:sz="4" w:space="0"/>
              <w:bottom w:val="nil" w:sz="4" w:space="0"/>
              <w:right w:val="nil" w:sz="4" w:space="0"/>
            </w:tcBorders>
          </w:tcPr>
          <w:p>
            <w:pPr>
              <w:spacing w:after="0" w:line="259" w:lineRule="auto"/>
              <w:ind w:left="0" w:right="48" w:firstLine="0"/>
              <w:jc w:val="right"/>
              <w:rPr/>
            </w:pPr>
            <w:r>
              <w:t xml:space="preserve">(5) </w:t>
            </w:r>
          </w:p>
        </w:tc>
      </w:tr>
      <w:tr>
        <w:trPr>
          <w:trHeight w:val="300"/>
        </w:trPr>
        <w:tc>
          <w:tcPr>
            <w:cnfStyle w:val="001000010000"/>
            <w:tcW w:w="5398" w:type="dxa"/>
            <w:tcBorders>
              <w:top w:val="nil" w:sz="4" w:space="0"/>
              <w:left w:val="nil" w:sz="4" w:space="0"/>
              <w:bottom w:val="nil" w:sz="4" w:space="0"/>
              <w:right w:val="nil" w:sz="4" w:space="0"/>
            </w:tcBorders>
          </w:tcPr>
          <w:p>
            <w:pPr>
              <w:spacing w:after="0" w:line="259" w:lineRule="auto"/>
              <w:ind w:left="70" w:right="0" w:firstLine="0"/>
              <w:jc w:val="left"/>
              <w:rPr/>
            </w:pPr>
            <w:r>
              <w:t xml:space="preserve">Investment income </w:t>
            </w:r>
          </w:p>
        </w:tc>
        <w:tc>
          <w:tcPr>
            <w:cnfStyle w:val="000000010000"/>
            <w:tcW w:w="960" w:type="dxa"/>
            <w:tcBorders>
              <w:top w:val="nil" w:sz="4" w:space="0"/>
              <w:left w:val="nil" w:sz="4" w:space="0"/>
              <w:bottom w:val="nil" w:sz="4" w:space="0"/>
              <w:right w:val="nil" w:sz="4" w:space="0"/>
            </w:tcBorders>
          </w:tcPr>
          <w:p>
            <w:pPr>
              <w:spacing w:after="0" w:line="259" w:lineRule="auto"/>
              <w:ind w:left="117" w:right="0" w:firstLine="0"/>
              <w:jc w:val="center"/>
              <w:rPr/>
            </w:pPr>
            <w:r>
              <w:t xml:space="preserve">22 </w:t>
            </w:r>
          </w:p>
        </w:tc>
        <w:tc>
          <w:tcPr>
            <w:cnfStyle w:val="000000010000"/>
            <w:tcW w:w="725" w:type="dxa"/>
            <w:tcBorders>
              <w:top w:val="nil" w:sz="4" w:space="0"/>
              <w:left w:val="nil" w:sz="4" w:space="0"/>
              <w:bottom w:val="nil" w:sz="4" w:space="0"/>
              <w:right w:val="nil" w:sz="4" w:space="0"/>
            </w:tcBorders>
          </w:tcPr>
          <w:p>
            <w:pPr>
              <w:spacing w:after="0" w:line="259" w:lineRule="auto"/>
              <w:ind w:left="0" w:right="43" w:firstLine="0"/>
              <w:jc w:val="right"/>
              <w:rPr/>
            </w:pPr>
            <w:r>
              <w:t xml:space="preserve">26 </w:t>
            </w:r>
          </w:p>
        </w:tc>
      </w:tr>
      <w:tr>
        <w:trPr>
          <w:trHeight w:val="305"/>
        </w:trPr>
        <w:tc>
          <w:tcPr>
            <w:cnfStyle w:val="001000100000"/>
            <w:tcW w:w="5398" w:type="dxa"/>
            <w:tcBorders>
              <w:top w:val="nil" w:sz="4" w:space="0"/>
              <w:left w:val="nil" w:sz="4" w:space="0"/>
              <w:bottom w:val="nil" w:sz="4" w:space="0"/>
              <w:right w:val="nil" w:sz="4" w:space="0"/>
            </w:tcBorders>
          </w:tcPr>
          <w:p>
            <w:pPr>
              <w:spacing w:after="0" w:line="259" w:lineRule="auto"/>
              <w:ind w:left="70" w:right="0" w:firstLine="0"/>
              <w:jc w:val="left"/>
              <w:rPr/>
            </w:pPr>
            <w:r>
              <w:rPr>
                <w:u w:val="single" w:color="000000"/>
              </w:rPr>
              <w:t xml:space="preserve">Interest payable </w:t>
            </w:r>
          </w:p>
        </w:tc>
        <w:tc>
          <w:tcPr>
            <w:cnfStyle w:val="000000100000"/>
            <w:tcW w:w="960" w:type="dxa"/>
            <w:tcBorders>
              <w:top w:val="nil" w:sz="4" w:space="0"/>
              <w:left w:val="nil" w:sz="4" w:space="0"/>
              <w:bottom w:val="nil" w:sz="4" w:space="0"/>
              <w:right w:val="nil" w:sz="4" w:space="0"/>
            </w:tcBorders>
          </w:tcPr>
          <w:p>
            <w:pPr>
              <w:spacing w:after="0" w:line="259" w:lineRule="auto"/>
              <w:ind w:left="150" w:right="0" w:firstLine="0"/>
              <w:jc w:val="left"/>
              <w:rPr/>
            </w:pPr>
            <w:r>
              <w:rPr>
                <w:u w:val="single" w:color="000000"/>
              </w:rPr>
              <w:t xml:space="preserve">(226) </w:t>
            </w:r>
          </w:p>
        </w:tc>
        <w:tc>
          <w:tcPr>
            <w:cnfStyle w:val="000000100000"/>
            <w:tcW w:w="725" w:type="dxa"/>
            <w:tcBorders>
              <w:top w:val="nil" w:sz="4" w:space="0"/>
              <w:left w:val="nil" w:sz="4" w:space="0"/>
              <w:bottom w:val="nil" w:sz="4" w:space="0"/>
              <w:right w:val="nil" w:sz="4" w:space="0"/>
            </w:tcBorders>
          </w:tcPr>
          <w:p>
            <w:pPr>
              <w:spacing w:after="0" w:line="259" w:lineRule="auto"/>
              <w:ind w:left="150" w:right="0" w:firstLine="0"/>
              <w:jc w:val="left"/>
              <w:rPr/>
            </w:pPr>
            <w:r>
              <w:rPr>
                <w:u w:val="single" w:color="000000"/>
              </w:rPr>
              <w:t xml:space="preserve">(181) </w:t>
            </w:r>
          </w:p>
        </w:tc>
      </w:tr>
      <w:tr>
        <w:trPr>
          <w:trHeight w:val="318"/>
        </w:trPr>
        <w:tc>
          <w:tcPr>
            <w:cnfStyle w:val="001000010000"/>
            <w:tcW w:w="5398" w:type="dxa"/>
            <w:tcBorders>
              <w:top w:val="nil" w:sz="4" w:space="0"/>
              <w:left w:val="nil" w:sz="4" w:space="0"/>
              <w:bottom w:val="nil" w:sz="4" w:space="0"/>
              <w:right w:val="nil" w:sz="4" w:space="0"/>
            </w:tcBorders>
          </w:tcPr>
          <w:p>
            <w:pPr>
              <w:spacing w:after="0" w:line="259" w:lineRule="auto"/>
              <w:ind w:left="70" w:right="0" w:firstLine="0"/>
              <w:jc w:val="left"/>
              <w:rPr>
                <w:highlight w:val="darkBlue"/>
              </w:rPr>
            </w:pPr>
            <w:r>
              <w:rPr>
                <w:b/>
                <w:highlight w:val="darkBlue"/>
                <w:u w:val="single" w:color="000000"/>
              </w:rPr>
              <w:t xml:space="preserve">Profit/(loss) before taxation </w:t>
            </w:r>
          </w:p>
        </w:tc>
        <w:tc>
          <w:tcPr>
            <w:cnfStyle w:val="000000010000"/>
            <w:tcW w:w="960" w:type="dxa"/>
            <w:tcBorders>
              <w:top w:val="nil" w:sz="4" w:space="0"/>
              <w:left w:val="nil" w:sz="4" w:space="0"/>
              <w:bottom w:val="nil" w:sz="4" w:space="0"/>
              <w:right w:val="nil" w:sz="4" w:space="0"/>
            </w:tcBorders>
          </w:tcPr>
          <w:p>
            <w:pPr>
              <w:spacing w:after="0" w:line="259" w:lineRule="auto"/>
              <w:ind w:left="0" w:right="16" w:firstLine="0"/>
              <w:jc w:val="center"/>
              <w:rPr>
                <w:highlight w:val="darkBlue"/>
              </w:rPr>
            </w:pPr>
            <w:r>
              <w:rPr>
                <w:b/>
                <w:highlight w:val="darkBlue"/>
                <w:u w:val="single" w:color="000000"/>
              </w:rPr>
              <w:t xml:space="preserve">620 </w:t>
            </w:r>
          </w:p>
        </w:tc>
        <w:tc>
          <w:tcPr>
            <w:cnfStyle w:val="000000010000"/>
            <w:tcW w:w="725" w:type="dxa"/>
            <w:tcBorders>
              <w:top w:val="nil" w:sz="4" w:space="0"/>
              <w:left w:val="nil" w:sz="4" w:space="0"/>
              <w:bottom w:val="nil" w:sz="4" w:space="0"/>
              <w:right w:val="nil" w:sz="4" w:space="0"/>
            </w:tcBorders>
          </w:tcPr>
          <w:p>
            <w:pPr>
              <w:spacing w:after="0" w:line="259" w:lineRule="auto"/>
              <w:ind w:left="0" w:right="41" w:firstLine="0"/>
              <w:jc w:val="right"/>
              <w:rPr>
                <w:highlight w:val="darkBlue"/>
              </w:rPr>
            </w:pPr>
            <w:r>
              <w:rPr>
                <w:b/>
                <w:highlight w:val="darkBlue"/>
                <w:u w:val="single" w:color="000000"/>
              </w:rPr>
              <w:t xml:space="preserve">539 </w:t>
            </w:r>
          </w:p>
        </w:tc>
      </w:tr>
      <w:tr>
        <w:trPr>
          <w:trHeight w:val="302"/>
        </w:trPr>
        <w:tc>
          <w:tcPr>
            <w:cnfStyle w:val="001000100000"/>
            <w:tcW w:w="5398" w:type="dxa"/>
            <w:tcBorders>
              <w:top w:val="nil" w:sz="4" w:space="0"/>
              <w:left w:val="nil" w:sz="4" w:space="0"/>
              <w:bottom w:val="single" w:color="000000" w:sz="6" w:space="0"/>
              <w:right w:val="nil" w:sz="4" w:space="0"/>
            </w:tcBorders>
          </w:tcPr>
          <w:p>
            <w:pPr>
              <w:spacing w:after="0" w:line="259" w:lineRule="auto"/>
              <w:ind w:left="70" w:right="0" w:firstLine="0"/>
              <w:jc w:val="left"/>
              <w:rPr/>
            </w:pPr>
            <w:r>
              <w:rPr>
                <w:u w:val="single" w:color="000000"/>
              </w:rPr>
              <w:t xml:space="preserve">Taxation </w:t>
            </w:r>
          </w:p>
        </w:tc>
        <w:tc>
          <w:tcPr>
            <w:cnfStyle w:val="000000100000"/>
            <w:tcW w:w="960" w:type="dxa"/>
            <w:tcBorders>
              <w:top w:val="nil" w:sz="4" w:space="0"/>
              <w:left w:val="nil" w:sz="4" w:space="0"/>
              <w:bottom w:val="single" w:color="000000" w:sz="6" w:space="0"/>
              <w:right w:val="nil" w:sz="4" w:space="0"/>
            </w:tcBorders>
          </w:tcPr>
          <w:p>
            <w:pPr>
              <w:spacing w:after="0" w:line="259" w:lineRule="auto"/>
              <w:ind w:left="150" w:right="0" w:firstLine="0"/>
              <w:jc w:val="left"/>
              <w:rPr/>
            </w:pPr>
            <w:r>
              <w:rPr>
                <w:u w:val="single" w:color="000000"/>
              </w:rPr>
              <w:t xml:space="preserve">(189) </w:t>
            </w:r>
          </w:p>
        </w:tc>
        <w:tc>
          <w:tcPr>
            <w:cnfStyle w:val="000000100000"/>
            <w:tcW w:w="725" w:type="dxa"/>
            <w:tcBorders>
              <w:top w:val="nil" w:sz="4" w:space="0"/>
              <w:left w:val="nil" w:sz="4" w:space="0"/>
              <w:bottom w:val="single" w:color="000000" w:sz="6" w:space="0"/>
              <w:right w:val="nil" w:sz="4" w:space="0"/>
            </w:tcBorders>
          </w:tcPr>
          <w:p>
            <w:pPr>
              <w:spacing w:after="0" w:line="259" w:lineRule="auto"/>
              <w:ind w:left="150" w:right="0" w:firstLine="0"/>
              <w:jc w:val="left"/>
              <w:rPr/>
            </w:pPr>
            <w:r>
              <w:rPr>
                <w:u w:val="single" w:color="000000"/>
              </w:rPr>
              <w:t xml:space="preserve">(173) </w:t>
            </w:r>
          </w:p>
        </w:tc>
      </w:tr>
      <w:tr>
        <w:trPr>
          <w:trHeight w:val="357"/>
        </w:trPr>
        <w:tc>
          <w:tcPr>
            <w:cnfStyle w:val="001000010000"/>
            <w:tcW w:w="5398" w:type="dxa"/>
            <w:tcBorders>
              <w:top w:val="single" w:color="000000" w:sz="6" w:space="0"/>
              <w:left w:val="nil" w:sz="4" w:space="0"/>
              <w:bottom w:val="single" w:color="000000" w:sz="6" w:space="0"/>
              <w:right w:val="nil" w:sz="4" w:space="0"/>
            </w:tcBorders>
            <w:shd w:val="clear" w:color="auto" w:fill="bfbfbf"/>
            <w:vAlign w:val="bottom"/>
          </w:tcPr>
          <w:p>
            <w:pPr>
              <w:spacing w:after="0" w:line="259" w:lineRule="auto"/>
              <w:ind w:left="70" w:right="0" w:firstLine="0"/>
              <w:jc w:val="left"/>
              <w:rPr>
                <w:highlight w:val="darkBlue"/>
              </w:rPr>
            </w:pPr>
            <w:r>
              <w:rPr>
                <w:b/>
                <w:highlight w:val="darkBlue"/>
                <w:u w:val="single" w:color="000000"/>
              </w:rPr>
              <w:t xml:space="preserve">Profit for the year </w:t>
            </w:r>
          </w:p>
        </w:tc>
        <w:tc>
          <w:tcPr>
            <w:cnfStyle w:val="000000010000"/>
            <w:tcW w:w="960" w:type="dxa"/>
            <w:tcBorders>
              <w:top w:val="single" w:color="000000" w:sz="6" w:space="0"/>
              <w:left w:val="nil" w:sz="4" w:space="0"/>
              <w:bottom w:val="single" w:color="000000" w:sz="6" w:space="0"/>
              <w:right w:val="nil" w:sz="4" w:space="0"/>
            </w:tcBorders>
            <w:shd w:val="clear" w:color="auto" w:fill="bfbfbf"/>
            <w:vAlign w:val="bottom"/>
          </w:tcPr>
          <w:p>
            <w:pPr>
              <w:spacing w:after="0" w:line="259" w:lineRule="auto"/>
              <w:ind w:left="0" w:right="16" w:firstLine="0"/>
              <w:jc w:val="center"/>
              <w:rPr>
                <w:highlight w:val="darkBlue"/>
              </w:rPr>
            </w:pPr>
            <w:r>
              <w:rPr>
                <w:b/>
                <w:highlight w:val="darkBlue"/>
                <w:u w:val="single" w:color="000000"/>
              </w:rPr>
              <w:t xml:space="preserve">431 </w:t>
            </w:r>
          </w:p>
        </w:tc>
        <w:tc>
          <w:tcPr>
            <w:cnfStyle w:val="000000010000"/>
            <w:tcW w:w="725" w:type="dxa"/>
            <w:tcBorders>
              <w:top w:val="single" w:color="000000" w:sz="6" w:space="0"/>
              <w:left w:val="nil" w:sz="4" w:space="0"/>
              <w:bottom w:val="single" w:color="000000" w:sz="6" w:space="0"/>
              <w:right w:val="nil" w:sz="4" w:space="0"/>
            </w:tcBorders>
            <w:shd w:val="clear" w:color="auto" w:fill="bfbfbf"/>
            <w:vAlign w:val="bottom"/>
          </w:tcPr>
          <w:p>
            <w:pPr>
              <w:spacing w:after="0" w:line="259" w:lineRule="auto"/>
              <w:ind w:left="0" w:right="41" w:firstLine="0"/>
              <w:jc w:val="right"/>
              <w:rPr>
                <w:highlight w:val="darkBlue"/>
              </w:rPr>
            </w:pPr>
            <w:r>
              <w:rPr>
                <w:b/>
                <w:highlight w:val="darkBlue"/>
                <w:u w:val="single" w:color="000000"/>
              </w:rPr>
              <w:t xml:space="preserve">366 </w:t>
            </w:r>
          </w:p>
        </w:tc>
      </w:tr>
    </w:tbl>
    <w:p>
      <w:pPr>
        <w:tabs>
          <w:tab w:val="center" w:pos="2126"/>
          <w:tab w:val="center" w:pos="4440"/>
        </w:tabs>
        <w:spacing w:after="219" w:line="259" w:lineRule="auto"/>
        <w:ind w:left="0" w:right="0" w:firstLine="0"/>
        <w:jc w:val="left"/>
        <w:rPr/>
      </w:pPr>
    </w:p>
    <w:p/>
    <w:tbl>
      <w:tblPr>
        <w:tblStyle w:val="TableGrid"/>
        <w:tblW w:w="7063" w:type="dxa"/>
        <w:tblInd w:w="-65" w:type="dxa"/>
        <w:tblLayout w:type="fixed"/>
        <w:tblCellMar>
          <w:top w:w="50" w:type="dxa"/>
          <w:left w:w="0" w:type="dxa"/>
          <w:bottom w:w="0" w:type="dxa"/>
          <w:right w:w="26" w:type="dxa"/>
        </w:tblCellMar>
        <w:tblLook w:val="04A0"/>
      </w:tblPr>
      <w:tblGrid>
        <w:gridCol w:w="5448"/>
        <w:gridCol w:w="960"/>
        <w:gridCol w:w="705"/>
      </w:tblGrid>
      <w:tr>
        <w:trPr>
          <w:trHeight w:val="339"/>
        </w:trPr>
        <w:tc>
          <w:tcPr>
            <w:cnfStyle w:val="101000000000"/>
            <w:tcW w:w="5448" w:type="dxa"/>
            <w:tcBorders>
              <w:top w:val="single" w:color="000000" w:sz="4" w:space="0"/>
              <w:left w:val="nil" w:sz="4" w:space="0"/>
              <w:bottom w:val="single" w:color="000000" w:sz="6" w:space="0"/>
              <w:right w:val="nil" w:sz="4" w:space="0"/>
            </w:tcBorders>
            <w:shd w:val="clear" w:color="auto" w:fill="c4bd97"/>
          </w:tcPr>
          <w:p>
            <w:pPr>
              <w:spacing w:after="0" w:line="259" w:lineRule="auto"/>
              <w:ind w:left="70" w:right="0" w:firstLine="0"/>
              <w:jc w:val="left"/>
              <w:rPr>
                <w:highlight w:val="darkBlue"/>
              </w:rPr>
            </w:pPr>
            <w:r>
              <w:rPr>
                <w:b/>
                <w:highlight w:val="darkBlue"/>
                <w:u w:val="single" w:color="000000"/>
              </w:rPr>
              <w:t xml:space="preserve">Statement of Financial Position as at 31st December </w:t>
            </w:r>
          </w:p>
        </w:tc>
        <w:tc>
          <w:tcPr>
            <w:cnfStyle w:val="100000000000"/>
            <w:tcW w:w="960" w:type="dxa"/>
            <w:tcBorders>
              <w:top w:val="single" w:color="000000" w:sz="4" w:space="0"/>
              <w:left w:val="nil" w:sz="4" w:space="0"/>
              <w:bottom w:val="single" w:color="000000" w:sz="6" w:space="0"/>
              <w:right w:val="nil" w:sz="4" w:space="0"/>
            </w:tcBorders>
            <w:shd w:val="clear" w:color="auto" w:fill="c4bd97"/>
          </w:tcPr>
          <w:p>
            <w:pPr>
              <w:spacing w:after="0" w:line="259" w:lineRule="auto"/>
              <w:ind w:left="160" w:right="0" w:firstLine="0"/>
              <w:jc w:val="left"/>
              <w:rPr>
                <w:highlight w:val="darkBlue"/>
              </w:rPr>
            </w:pPr>
            <w:r>
              <w:rPr>
                <w:b/>
                <w:highlight w:val="darkBlue"/>
                <w:u w:val="single" w:color="000000"/>
              </w:rPr>
              <w:t xml:space="preserve">2019 </w:t>
            </w:r>
          </w:p>
        </w:tc>
        <w:tc>
          <w:tcPr>
            <w:cnfStyle w:val="100000000000"/>
            <w:tcW w:w="705" w:type="dxa"/>
            <w:tcBorders>
              <w:top w:val="single" w:color="000000" w:sz="4" w:space="0"/>
              <w:left w:val="nil" w:sz="4" w:space="0"/>
              <w:bottom w:val="single" w:color="000000" w:sz="6" w:space="0"/>
              <w:right w:val="nil" w:sz="4" w:space="0"/>
            </w:tcBorders>
            <w:shd w:val="clear" w:color="auto" w:fill="c4bd97"/>
          </w:tcPr>
          <w:p>
            <w:pPr>
              <w:spacing w:after="0" w:line="259" w:lineRule="auto"/>
              <w:ind w:left="160" w:right="0" w:firstLine="0"/>
              <w:jc w:val="left"/>
              <w:rPr>
                <w:highlight w:val="darkBlue"/>
              </w:rPr>
            </w:pPr>
            <w:r>
              <w:rPr>
                <w:b/>
                <w:highlight w:val="darkBlue"/>
                <w:u w:val="single" w:color="000000"/>
              </w:rPr>
              <w:t xml:space="preserve">2018 </w:t>
            </w:r>
          </w:p>
        </w:tc>
      </w:tr>
      <w:tr>
        <w:trPr>
          <w:trHeight w:val="389"/>
        </w:trPr>
        <w:tc>
          <w:tcPr>
            <w:cnfStyle w:val="001000100000"/>
            <w:tcW w:w="5448" w:type="dxa"/>
            <w:tcBorders>
              <w:top w:val="single" w:color="000000" w:sz="6" w:space="0"/>
              <w:left w:val="nil" w:sz="4" w:space="0"/>
              <w:bottom w:val="nil" w:sz="4" w:space="0"/>
              <w:right w:val="nil" w:sz="4" w:space="0"/>
            </w:tcBorders>
            <w:vAlign w:val="bottom"/>
          </w:tcPr>
          <w:p>
            <w:pPr>
              <w:spacing w:after="0" w:line="259" w:lineRule="auto"/>
              <w:ind w:left="70" w:right="0" w:firstLine="0"/>
              <w:jc w:val="left"/>
              <w:rPr/>
            </w:pPr>
            <w:r>
              <w:t xml:space="preserve"> </w:t>
            </w:r>
          </w:p>
        </w:tc>
        <w:tc>
          <w:tcPr>
            <w:cnfStyle w:val="000000100000"/>
            <w:tcW w:w="960" w:type="dxa"/>
            <w:tcBorders>
              <w:top w:val="single" w:color="000000" w:sz="6" w:space="0"/>
              <w:left w:val="nil" w:sz="4" w:space="0"/>
              <w:bottom w:val="nil" w:sz="4" w:space="0"/>
              <w:right w:val="nil" w:sz="4" w:space="0"/>
            </w:tcBorders>
          </w:tcPr>
          <w:p>
            <w:pPr>
              <w:spacing w:after="0" w:line="259" w:lineRule="auto"/>
              <w:ind w:left="67" w:right="0" w:firstLine="0"/>
              <w:jc w:val="center"/>
              <w:rPr/>
            </w:pPr>
            <w:r>
              <w:t xml:space="preserve">£m </w:t>
            </w:r>
          </w:p>
        </w:tc>
        <w:tc>
          <w:tcPr>
            <w:cnfStyle w:val="000000100000"/>
            <w:tcW w:w="705" w:type="dxa"/>
            <w:tcBorders>
              <w:top w:val="single" w:color="000000" w:sz="6" w:space="0"/>
              <w:left w:val="nil" w:sz="4" w:space="0"/>
              <w:bottom w:val="nil" w:sz="4" w:space="0"/>
              <w:right w:val="nil" w:sz="4" w:space="0"/>
            </w:tcBorders>
          </w:tcPr>
          <w:p>
            <w:pPr>
              <w:spacing w:after="0" w:line="259" w:lineRule="auto"/>
              <w:ind w:left="0" w:right="43" w:firstLine="0"/>
              <w:jc w:val="right"/>
              <w:rPr/>
            </w:pPr>
            <w:r>
              <w:t xml:space="preserve">£m </w:t>
            </w:r>
          </w:p>
        </w:tc>
      </w:tr>
      <w:tr>
        <w:trPr>
          <w:trHeight w:val="600"/>
        </w:trPr>
        <w:tc>
          <w:tcPr>
            <w:cnfStyle w:val="001000010000"/>
            <w:tcW w:w="5448" w:type="dxa"/>
            <w:tcBorders>
              <w:top w:val="nil" w:sz="4" w:space="0"/>
              <w:left w:val="nil" w:sz="4" w:space="0"/>
              <w:bottom w:val="nil" w:sz="4" w:space="0"/>
              <w:right w:val="nil" w:sz="4" w:space="0"/>
            </w:tcBorders>
          </w:tcPr>
          <w:p>
            <w:pPr>
              <w:tabs>
                <w:tab w:val="center" w:pos="5212"/>
              </w:tabs>
              <w:spacing w:after="82" w:line="259" w:lineRule="auto"/>
              <w:ind w:left="0" w:right="0" w:firstLine="0"/>
              <w:jc w:val="left"/>
              <w:rPr/>
            </w:pPr>
            <w:r>
              <w:t xml:space="preserve">Non- Current assets </w:t>
            </w:r>
            <w:r>
              <w:tab/>
              <w:t xml:space="preserve"> </w:t>
            </w:r>
          </w:p>
          <w:p>
            <w:pPr>
              <w:spacing w:after="0" w:line="259" w:lineRule="auto"/>
              <w:ind w:left="70" w:right="0" w:firstLine="0"/>
              <w:jc w:val="left"/>
              <w:rPr/>
            </w:pPr>
            <w:r>
              <w:t xml:space="preserve">Intangible assets </w:t>
            </w:r>
          </w:p>
        </w:tc>
        <w:tc>
          <w:tcPr>
            <w:cnfStyle w:val="000000010000"/>
            <w:tcW w:w="960" w:type="dxa"/>
            <w:tcBorders>
              <w:top w:val="nil" w:sz="4" w:space="0"/>
              <w:left w:val="nil" w:sz="4" w:space="0"/>
              <w:bottom w:val="nil" w:sz="4" w:space="0"/>
              <w:right w:val="nil" w:sz="4" w:space="0"/>
            </w:tcBorders>
          </w:tcPr>
          <w:p>
            <w:pPr>
              <w:spacing w:after="0" w:line="259" w:lineRule="auto"/>
              <w:ind w:left="0" w:right="115" w:firstLine="0"/>
              <w:jc w:val="right"/>
              <w:rPr/>
            </w:pPr>
            <w:r>
              <w:t xml:space="preserve"> </w:t>
            </w:r>
          </w:p>
          <w:p>
            <w:pPr>
              <w:spacing w:after="0" w:line="259" w:lineRule="auto"/>
              <w:ind w:left="190" w:right="0" w:firstLine="0"/>
              <w:jc w:val="left"/>
              <w:rPr/>
            </w:pPr>
            <w:r>
              <w:t xml:space="preserve">5485 </w:t>
            </w:r>
          </w:p>
        </w:tc>
        <w:tc>
          <w:tcPr>
            <w:cnfStyle w:val="000000010000"/>
            <w:tcW w:w="705" w:type="dxa"/>
            <w:tcBorders>
              <w:top w:val="nil" w:sz="4" w:space="0"/>
              <w:left w:val="nil" w:sz="4" w:space="0"/>
              <w:bottom w:val="nil" w:sz="4" w:space="0"/>
              <w:right w:val="nil" w:sz="4" w:space="0"/>
            </w:tcBorders>
            <w:vAlign w:val="bottom"/>
          </w:tcPr>
          <w:p>
            <w:pPr>
              <w:spacing w:after="0" w:line="259" w:lineRule="auto"/>
              <w:ind w:left="190" w:right="0" w:firstLine="0"/>
              <w:jc w:val="left"/>
              <w:rPr/>
            </w:pPr>
            <w:r>
              <w:t xml:space="preserve">5809 </w:t>
            </w:r>
          </w:p>
        </w:tc>
      </w:tr>
      <w:tr>
        <w:trPr>
          <w:trHeight w:val="300"/>
        </w:trPr>
        <w:tc>
          <w:tcPr>
            <w:cnfStyle w:val="001000100000"/>
            <w:tcW w:w="5448" w:type="dxa"/>
            <w:tcBorders>
              <w:top w:val="nil" w:sz="4" w:space="0"/>
              <w:left w:val="nil" w:sz="4" w:space="0"/>
              <w:bottom w:val="nil" w:sz="4" w:space="0"/>
              <w:right w:val="nil" w:sz="4" w:space="0"/>
            </w:tcBorders>
          </w:tcPr>
          <w:p>
            <w:pPr>
              <w:spacing w:after="0" w:line="259" w:lineRule="auto"/>
              <w:ind w:left="70" w:right="0" w:firstLine="0"/>
              <w:jc w:val="left"/>
              <w:rPr/>
            </w:pPr>
            <w:r>
              <w:t xml:space="preserve">Property, plant and equipment </w:t>
            </w:r>
          </w:p>
        </w:tc>
        <w:tc>
          <w:tcPr>
            <w:cnfStyle w:val="000000100000"/>
            <w:tcW w:w="960" w:type="dxa"/>
            <w:tcBorders>
              <w:top w:val="nil" w:sz="4" w:space="0"/>
              <w:left w:val="nil" w:sz="4" w:space="0"/>
              <w:bottom w:val="nil" w:sz="4" w:space="0"/>
              <w:right w:val="nil" w:sz="4" w:space="0"/>
            </w:tcBorders>
          </w:tcPr>
          <w:p>
            <w:pPr>
              <w:spacing w:after="0" w:line="259" w:lineRule="auto"/>
              <w:ind w:left="190" w:right="0" w:firstLine="0"/>
              <w:jc w:val="left"/>
              <w:rPr/>
            </w:pPr>
            <w:r>
              <w:t xml:space="preserve">1613 </w:t>
            </w:r>
          </w:p>
        </w:tc>
        <w:tc>
          <w:tcPr>
            <w:cnfStyle w:val="000000100000"/>
            <w:tcW w:w="705" w:type="dxa"/>
            <w:tcBorders>
              <w:top w:val="nil" w:sz="4" w:space="0"/>
              <w:left w:val="nil" w:sz="4" w:space="0"/>
              <w:bottom w:val="nil" w:sz="4" w:space="0"/>
              <w:right w:val="nil" w:sz="4" w:space="0"/>
            </w:tcBorders>
          </w:tcPr>
          <w:p>
            <w:pPr>
              <w:spacing w:after="0" w:line="259" w:lineRule="auto"/>
              <w:ind w:left="190" w:right="0" w:firstLine="0"/>
              <w:jc w:val="left"/>
              <w:rPr/>
            </w:pPr>
            <w:r>
              <w:t xml:space="preserve">1605 </w:t>
            </w:r>
          </w:p>
        </w:tc>
      </w:tr>
      <w:tr>
        <w:trPr>
          <w:trHeight w:val="261"/>
        </w:trPr>
        <w:tc>
          <w:tcPr>
            <w:cnfStyle w:val="001000010000"/>
            <w:tcW w:w="5448" w:type="dxa"/>
            <w:tcBorders>
              <w:top w:val="nil" w:sz="4" w:space="0"/>
              <w:left w:val="nil" w:sz="4" w:space="0"/>
              <w:bottom w:val="nil" w:sz="4" w:space="0"/>
              <w:right w:val="nil" w:sz="4" w:space="0"/>
            </w:tcBorders>
          </w:tcPr>
          <w:p>
            <w:pPr>
              <w:spacing w:after="0" w:line="259" w:lineRule="auto"/>
              <w:ind w:left="70" w:right="0" w:firstLine="0"/>
              <w:jc w:val="left"/>
              <w:rPr/>
            </w:pPr>
            <w:r>
              <w:rPr>
                <w:u w:val="single" w:color="000000"/>
              </w:rPr>
              <w:t xml:space="preserve">Investments </w:t>
            </w:r>
          </w:p>
        </w:tc>
        <w:tc>
          <w:tcPr>
            <w:cnfStyle w:val="000000010000"/>
            <w:tcW w:w="960" w:type="dxa"/>
            <w:tcBorders>
              <w:top w:val="nil" w:sz="4" w:space="0"/>
              <w:left w:val="nil" w:sz="4" w:space="0"/>
              <w:bottom w:val="nil" w:sz="4" w:space="0"/>
              <w:right w:val="nil" w:sz="4" w:space="0"/>
            </w:tcBorders>
          </w:tcPr>
          <w:p>
            <w:pPr>
              <w:spacing w:after="0" w:line="259" w:lineRule="auto"/>
              <w:ind w:left="7" w:right="0" w:firstLine="0"/>
              <w:jc w:val="center"/>
              <w:rPr/>
            </w:pPr>
            <w:r>
              <w:rPr>
                <w:u w:val="single" w:color="000000"/>
              </w:rPr>
              <w:t xml:space="preserve">335 </w:t>
            </w:r>
          </w:p>
        </w:tc>
        <w:tc>
          <w:tcPr>
            <w:cnfStyle w:val="000000010000"/>
            <w:tcW w:w="705" w:type="dxa"/>
            <w:tcBorders>
              <w:top w:val="nil" w:sz="4" w:space="0"/>
              <w:left w:val="nil" w:sz="4" w:space="0"/>
              <w:bottom w:val="nil" w:sz="4" w:space="0"/>
              <w:right w:val="nil" w:sz="4" w:space="0"/>
            </w:tcBorders>
          </w:tcPr>
          <w:p>
            <w:pPr>
              <w:spacing w:after="0" w:line="259" w:lineRule="auto"/>
              <w:ind w:left="0" w:right="43" w:firstLine="0"/>
              <w:jc w:val="right"/>
              <w:rPr/>
            </w:pPr>
            <w:r>
              <w:rPr>
                <w:u w:val="single" w:color="000000"/>
              </w:rPr>
              <w:t xml:space="preserve">318 </w:t>
            </w:r>
          </w:p>
        </w:tc>
      </w:tr>
      <w:tr>
        <w:trPr>
          <w:trHeight w:val="300"/>
        </w:trPr>
        <w:tc>
          <w:tcPr>
            <w:cnfStyle w:val="001000100000"/>
            <w:tcW w:w="5448" w:type="dxa"/>
            <w:tcBorders>
              <w:top w:val="nil" w:sz="4" w:space="0"/>
              <w:left w:val="nil" w:sz="4" w:space="0"/>
              <w:bottom w:val="nil" w:sz="4" w:space="0"/>
              <w:right w:val="nil" w:sz="4" w:space="0"/>
            </w:tcBorders>
            <w:shd w:val="clear" w:color="auto" w:fill="bfbfbf"/>
          </w:tcPr>
          <w:p>
            <w:pPr>
              <w:spacing w:after="0" w:line="259" w:lineRule="auto"/>
              <w:ind w:left="70" w:right="0" w:firstLine="0"/>
              <w:jc w:val="left"/>
              <w:rPr>
                <w:highlight w:val="darkBlue"/>
              </w:rPr>
            </w:pPr>
            <w:r>
              <w:rPr>
                <w:b/>
                <w:highlight w:val="darkBlue"/>
                <w:u w:val="single" w:color="000000"/>
              </w:rPr>
              <w:t xml:space="preserve">Total Non-current assets </w:t>
            </w:r>
          </w:p>
        </w:tc>
        <w:tc>
          <w:tcPr>
            <w:cnfStyle w:val="000000100000"/>
            <w:tcW w:w="960" w:type="dxa"/>
            <w:tcBorders>
              <w:top w:val="nil" w:sz="4" w:space="0"/>
              <w:left w:val="nil" w:sz="4" w:space="0"/>
              <w:bottom w:val="nil" w:sz="4" w:space="0"/>
              <w:right w:val="nil" w:sz="4" w:space="0"/>
            </w:tcBorders>
            <w:shd w:val="clear" w:color="auto" w:fill="bfbfbf"/>
          </w:tcPr>
          <w:p>
            <w:pPr>
              <w:spacing w:after="0" w:line="259" w:lineRule="auto"/>
              <w:ind w:left="160" w:right="0" w:firstLine="0"/>
              <w:jc w:val="left"/>
              <w:rPr>
                <w:highlight w:val="darkBlue"/>
              </w:rPr>
            </w:pPr>
            <w:r>
              <w:rPr>
                <w:b/>
                <w:highlight w:val="darkBlue"/>
                <w:u w:val="single" w:color="000000"/>
              </w:rPr>
              <w:t xml:space="preserve">7433 </w:t>
            </w:r>
          </w:p>
        </w:tc>
        <w:tc>
          <w:tcPr>
            <w:cnfStyle w:val="000000100000"/>
            <w:tcW w:w="705" w:type="dxa"/>
            <w:tcBorders>
              <w:top w:val="nil" w:sz="4" w:space="0"/>
              <w:left w:val="nil" w:sz="4" w:space="0"/>
              <w:bottom w:val="nil" w:sz="4" w:space="0"/>
              <w:right w:val="nil" w:sz="4" w:space="0"/>
            </w:tcBorders>
            <w:shd w:val="clear" w:color="auto" w:fill="bfbfbf"/>
          </w:tcPr>
          <w:p>
            <w:pPr>
              <w:spacing w:after="0" w:line="259" w:lineRule="auto"/>
              <w:ind w:left="160" w:right="0" w:firstLine="0"/>
              <w:jc w:val="left"/>
              <w:rPr>
                <w:highlight w:val="darkBlue"/>
              </w:rPr>
            </w:pPr>
            <w:r>
              <w:rPr>
                <w:b/>
                <w:highlight w:val="darkBlue"/>
                <w:u w:val="single" w:color="000000"/>
              </w:rPr>
              <w:t xml:space="preserve">7732 </w:t>
            </w:r>
          </w:p>
        </w:tc>
      </w:tr>
      <w:tr>
        <w:trPr>
          <w:trHeight w:val="960"/>
        </w:trPr>
        <w:tc>
          <w:tcPr>
            <w:cnfStyle w:val="001000010000"/>
            <w:tcW w:w="5448" w:type="dxa"/>
            <w:tcBorders>
              <w:top w:val="nil" w:sz="4" w:space="0"/>
              <w:left w:val="nil" w:sz="4" w:space="0"/>
              <w:bottom w:val="nil" w:sz="4" w:space="0"/>
              <w:right w:val="nil" w:sz="4" w:space="0"/>
            </w:tcBorders>
            <w:vAlign w:val="bottom"/>
          </w:tcPr>
          <w:p>
            <w:pPr>
              <w:spacing w:after="25" w:line="259" w:lineRule="auto"/>
              <w:ind w:left="70" w:right="0" w:firstLine="0"/>
              <w:jc w:val="left"/>
              <w:rPr/>
            </w:pPr>
            <w:r>
              <w:t xml:space="preserve"> </w:t>
            </w:r>
            <w:r>
              <w:tab/>
              <w:t xml:space="preserve"> </w:t>
            </w:r>
          </w:p>
          <w:p>
            <w:pPr>
              <w:tabs>
                <w:tab w:val="center" w:pos="5212"/>
              </w:tabs>
              <w:spacing w:after="77" w:line="259" w:lineRule="auto"/>
              <w:ind w:left="0" w:right="0" w:firstLine="0"/>
              <w:jc w:val="left"/>
              <w:rPr/>
            </w:pPr>
            <w:r>
              <w:t xml:space="preserve">Current assets </w:t>
            </w:r>
            <w:r>
              <w:tab/>
              <w:t xml:space="preserve"> </w:t>
            </w:r>
          </w:p>
          <w:p>
            <w:pPr>
              <w:spacing w:after="0" w:line="259" w:lineRule="auto"/>
              <w:ind w:left="70" w:right="0" w:firstLine="0"/>
              <w:jc w:val="left"/>
              <w:rPr/>
            </w:pPr>
            <w:r>
              <w:t xml:space="preserve">Inventory </w:t>
            </w:r>
          </w:p>
        </w:tc>
        <w:tc>
          <w:tcPr>
            <w:cnfStyle w:val="000000010000"/>
            <w:tcW w:w="960" w:type="dxa"/>
            <w:tcBorders>
              <w:top w:val="nil" w:sz="4" w:space="0"/>
              <w:left w:val="nil" w:sz="4" w:space="0"/>
              <w:bottom w:val="nil" w:sz="4" w:space="0"/>
              <w:right w:val="nil" w:sz="4" w:space="0"/>
            </w:tcBorders>
            <w:vAlign w:val="bottom"/>
          </w:tcPr>
          <w:p>
            <w:pPr>
              <w:spacing w:after="45" w:line="259" w:lineRule="auto"/>
              <w:ind w:left="0" w:right="115" w:firstLine="0"/>
              <w:jc w:val="right"/>
              <w:rPr/>
            </w:pPr>
            <w:r>
              <w:t xml:space="preserve"> </w:t>
            </w:r>
          </w:p>
          <w:p>
            <w:pPr>
              <w:spacing w:after="0" w:line="259" w:lineRule="auto"/>
              <w:ind w:left="0" w:right="115" w:firstLine="0"/>
              <w:jc w:val="right"/>
              <w:rPr/>
            </w:pPr>
            <w:r>
              <w:t xml:space="preserve"> </w:t>
            </w:r>
          </w:p>
          <w:p>
            <w:pPr>
              <w:spacing w:after="0" w:line="259" w:lineRule="auto"/>
              <w:ind w:left="7" w:right="0" w:firstLine="0"/>
              <w:jc w:val="center"/>
              <w:rPr/>
            </w:pPr>
            <w:r>
              <w:t xml:space="preserve">708 </w:t>
            </w:r>
          </w:p>
        </w:tc>
        <w:tc>
          <w:tcPr>
            <w:cnfStyle w:val="000000010000"/>
            <w:tcW w:w="705" w:type="dxa"/>
            <w:tcBorders>
              <w:top w:val="nil" w:sz="4" w:space="0"/>
              <w:left w:val="nil" w:sz="4" w:space="0"/>
              <w:bottom w:val="nil" w:sz="4" w:space="0"/>
              <w:right w:val="nil" w:sz="4" w:space="0"/>
            </w:tcBorders>
            <w:vAlign w:val="bottom"/>
          </w:tcPr>
          <w:p>
            <w:pPr>
              <w:spacing w:after="0" w:line="259" w:lineRule="auto"/>
              <w:ind w:left="0" w:right="43" w:firstLine="0"/>
              <w:jc w:val="right"/>
              <w:rPr/>
            </w:pPr>
            <w:r>
              <w:t xml:space="preserve">659 </w:t>
            </w:r>
          </w:p>
        </w:tc>
      </w:tr>
      <w:tr>
        <w:trPr>
          <w:trHeight w:val="300"/>
        </w:trPr>
        <w:tc>
          <w:tcPr>
            <w:cnfStyle w:val="001000100000"/>
            <w:tcW w:w="5448" w:type="dxa"/>
            <w:tcBorders>
              <w:top w:val="nil" w:sz="4" w:space="0"/>
              <w:left w:val="nil" w:sz="4" w:space="0"/>
              <w:bottom w:val="nil" w:sz="4" w:space="0"/>
              <w:right w:val="nil" w:sz="4" w:space="0"/>
            </w:tcBorders>
          </w:tcPr>
          <w:p>
            <w:pPr>
              <w:spacing w:after="0" w:line="259" w:lineRule="auto"/>
              <w:ind w:left="70" w:right="0" w:firstLine="0"/>
              <w:jc w:val="left"/>
              <w:rPr/>
            </w:pPr>
            <w:r>
              <w:t xml:space="preserve">Trade receivables </w:t>
            </w:r>
          </w:p>
        </w:tc>
        <w:tc>
          <w:tcPr>
            <w:cnfStyle w:val="000000100000"/>
            <w:tcW w:w="960" w:type="dxa"/>
            <w:tcBorders>
              <w:top w:val="nil" w:sz="4" w:space="0"/>
              <w:left w:val="nil" w:sz="4" w:space="0"/>
              <w:bottom w:val="nil" w:sz="4" w:space="0"/>
              <w:right w:val="nil" w:sz="4" w:space="0"/>
            </w:tcBorders>
          </w:tcPr>
          <w:p>
            <w:pPr>
              <w:spacing w:after="0" w:line="259" w:lineRule="auto"/>
              <w:ind w:left="190" w:right="0" w:firstLine="0"/>
              <w:jc w:val="left"/>
              <w:rPr/>
            </w:pPr>
            <w:r>
              <w:t xml:space="preserve">1249 </w:t>
            </w:r>
          </w:p>
        </w:tc>
        <w:tc>
          <w:tcPr>
            <w:cnfStyle w:val="000000100000"/>
            <w:tcW w:w="705" w:type="dxa"/>
            <w:tcBorders>
              <w:top w:val="nil" w:sz="4" w:space="0"/>
              <w:left w:val="nil" w:sz="4" w:space="0"/>
              <w:bottom w:val="nil" w:sz="4" w:space="0"/>
              <w:right w:val="nil" w:sz="4" w:space="0"/>
            </w:tcBorders>
          </w:tcPr>
          <w:p>
            <w:pPr>
              <w:spacing w:after="0" w:line="259" w:lineRule="auto"/>
              <w:ind w:left="190" w:right="0" w:firstLine="0"/>
              <w:jc w:val="left"/>
              <w:rPr/>
            </w:pPr>
            <w:r>
              <w:t xml:space="preserve">1287 </w:t>
            </w:r>
          </w:p>
        </w:tc>
      </w:tr>
    </w:tbl>
    <w:p/>
    <w:tbl>
      <w:tblPr>
        <w:tblStyle w:val="TableGrid"/>
        <w:tblW w:w="7063" w:type="dxa"/>
        <w:tblInd w:w="-15" w:type="dxa"/>
        <w:tblCellMar>
          <w:top w:w="50" w:type="dxa"/>
          <w:left w:w="0" w:type="dxa"/>
          <w:bottom w:w="0" w:type="dxa"/>
          <w:right w:w="26" w:type="dxa"/>
        </w:tblCellMar>
        <w:tblLook w:val="04A0"/>
      </w:tblPr>
      <w:tblGrid>
        <w:gridCol w:w="5398"/>
        <w:gridCol w:w="960"/>
        <w:gridCol w:w="705"/>
      </w:tblGrid>
      <w:tr>
        <w:trPr>
          <w:trHeight w:val="300"/>
        </w:trPr>
        <w:tc>
          <w:tcPr>
            <w:cnfStyle w:val="101000000000"/>
            <w:tcW w:w="5398" w:type="dxa"/>
            <w:tcBorders>
              <w:top w:val="nil" w:sz="4" w:space="0"/>
              <w:left w:val="nil" w:sz="4" w:space="0"/>
              <w:bottom w:val="nil" w:sz="4" w:space="0"/>
              <w:right w:val="nil" w:sz="4" w:space="0"/>
            </w:tcBorders>
          </w:tcPr>
          <w:p>
            <w:pPr>
              <w:spacing w:after="0" w:line="259" w:lineRule="auto"/>
              <w:ind w:left="70" w:right="0" w:firstLine="0"/>
              <w:jc w:val="left"/>
              <w:rPr/>
            </w:pPr>
            <w:r>
              <w:t xml:space="preserve">Investments </w:t>
            </w:r>
          </w:p>
        </w:tc>
        <w:tc>
          <w:tcPr>
            <w:cnfStyle w:val="100000000000"/>
            <w:tcW w:w="960" w:type="dxa"/>
            <w:tcBorders>
              <w:top w:val="nil" w:sz="4" w:space="0"/>
              <w:left w:val="nil" w:sz="4" w:space="0"/>
              <w:bottom w:val="nil" w:sz="4" w:space="0"/>
              <w:right w:val="nil" w:sz="4" w:space="0"/>
            </w:tcBorders>
          </w:tcPr>
          <w:p>
            <w:pPr>
              <w:spacing w:after="0" w:line="259" w:lineRule="auto"/>
              <w:ind w:left="7" w:right="0" w:firstLine="0"/>
              <w:jc w:val="center"/>
              <w:rPr/>
            </w:pPr>
            <w:r>
              <w:t xml:space="preserve">145 </w:t>
            </w:r>
          </w:p>
        </w:tc>
        <w:tc>
          <w:tcPr>
            <w:cnfStyle w:val="100000000000"/>
            <w:tcW w:w="705" w:type="dxa"/>
            <w:tcBorders>
              <w:top w:val="nil" w:sz="4" w:space="0"/>
              <w:left w:val="nil" w:sz="4" w:space="0"/>
              <w:bottom w:val="nil" w:sz="4" w:space="0"/>
              <w:right w:val="nil" w:sz="4" w:space="0"/>
            </w:tcBorders>
          </w:tcPr>
          <w:p>
            <w:pPr>
              <w:spacing w:after="0" w:line="259" w:lineRule="auto"/>
              <w:ind w:left="0" w:right="43" w:firstLine="0"/>
              <w:jc w:val="right"/>
              <w:rPr/>
            </w:pPr>
            <w:r>
              <w:t xml:space="preserve">232 </w:t>
            </w:r>
          </w:p>
        </w:tc>
      </w:tr>
      <w:tr>
        <w:trPr>
          <w:trHeight w:val="261"/>
        </w:trPr>
        <w:tc>
          <w:tcPr>
            <w:cnfStyle w:val="001000100000"/>
            <w:tcW w:w="5398" w:type="dxa"/>
            <w:tcBorders>
              <w:top w:val="nil" w:sz="4" w:space="0"/>
              <w:left w:val="nil" w:sz="4" w:space="0"/>
              <w:bottom w:val="nil" w:sz="4" w:space="0"/>
              <w:right w:val="nil" w:sz="4" w:space="0"/>
            </w:tcBorders>
          </w:tcPr>
          <w:p>
            <w:pPr>
              <w:spacing w:after="0" w:line="259" w:lineRule="auto"/>
              <w:ind w:left="70" w:right="0" w:firstLine="0"/>
              <w:jc w:val="left"/>
              <w:rPr/>
            </w:pPr>
            <w:r>
              <w:rPr>
                <w:u w:val="single" w:color="000000"/>
              </w:rPr>
              <w:t xml:space="preserve">Cash </w:t>
            </w:r>
          </w:p>
        </w:tc>
        <w:tc>
          <w:tcPr>
            <w:cnfStyle w:val="000000100000"/>
            <w:tcW w:w="960" w:type="dxa"/>
            <w:tcBorders>
              <w:top w:val="nil" w:sz="4" w:space="0"/>
              <w:left w:val="nil" w:sz="4" w:space="0"/>
              <w:bottom w:val="nil" w:sz="4" w:space="0"/>
              <w:right w:val="nil" w:sz="4" w:space="0"/>
            </w:tcBorders>
          </w:tcPr>
          <w:p>
            <w:pPr>
              <w:spacing w:after="0" w:line="259" w:lineRule="auto"/>
              <w:ind w:left="7" w:right="0" w:firstLine="0"/>
              <w:jc w:val="center"/>
              <w:rPr/>
            </w:pPr>
            <w:r>
              <w:rPr>
                <w:u w:val="single" w:color="000000"/>
              </w:rPr>
              <w:t xml:space="preserve">201 </w:t>
            </w:r>
          </w:p>
        </w:tc>
        <w:tc>
          <w:tcPr>
            <w:cnfStyle w:val="000000100000"/>
            <w:tcW w:w="705" w:type="dxa"/>
            <w:tcBorders>
              <w:top w:val="nil" w:sz="4" w:space="0"/>
              <w:left w:val="nil" w:sz="4" w:space="0"/>
              <w:bottom w:val="nil" w:sz="4" w:space="0"/>
              <w:right w:val="nil" w:sz="4" w:space="0"/>
            </w:tcBorders>
          </w:tcPr>
          <w:p>
            <w:pPr>
              <w:spacing w:after="0" w:line="259" w:lineRule="auto"/>
              <w:ind w:left="0" w:right="43" w:firstLine="0"/>
              <w:jc w:val="right"/>
              <w:rPr/>
            </w:pPr>
            <w:r>
              <w:rPr>
                <w:u w:val="single" w:color="000000"/>
              </w:rPr>
              <w:t xml:space="preserve">177 </w:t>
            </w:r>
          </w:p>
        </w:tc>
      </w:tr>
      <w:tr>
        <w:trPr>
          <w:trHeight w:val="301"/>
        </w:trPr>
        <w:tc>
          <w:tcPr>
            <w:cnfStyle w:val="001000010000"/>
            <w:tcW w:w="5398" w:type="dxa"/>
            <w:tcBorders>
              <w:top w:val="nil" w:sz="4" w:space="0"/>
              <w:left w:val="nil" w:sz="4" w:space="0"/>
              <w:bottom w:val="nil" w:sz="4" w:space="0"/>
              <w:right w:val="nil" w:sz="4" w:space="0"/>
            </w:tcBorders>
            <w:shd w:val="clear" w:color="auto" w:fill="bfbfbf"/>
          </w:tcPr>
          <w:p>
            <w:pPr>
              <w:spacing w:after="0" w:line="259" w:lineRule="auto"/>
              <w:ind w:left="70" w:right="0" w:firstLine="0"/>
              <w:jc w:val="left"/>
              <w:rPr>
                <w:highlight w:val="darkBlue"/>
              </w:rPr>
            </w:pPr>
            <w:r>
              <w:rPr>
                <w:b/>
                <w:highlight w:val="darkBlue"/>
                <w:u w:val="single" w:color="000000"/>
              </w:rPr>
              <w:t xml:space="preserve">Total current assets </w:t>
            </w:r>
          </w:p>
        </w:tc>
        <w:tc>
          <w:tcPr>
            <w:cnfStyle w:val="000000010000"/>
            <w:tcW w:w="960" w:type="dxa"/>
            <w:tcBorders>
              <w:top w:val="nil" w:sz="4" w:space="0"/>
              <w:left w:val="nil" w:sz="4" w:space="0"/>
              <w:bottom w:val="nil" w:sz="4" w:space="0"/>
              <w:right w:val="nil" w:sz="4" w:space="0"/>
            </w:tcBorders>
            <w:shd w:val="clear" w:color="auto" w:fill="bfbfbf"/>
          </w:tcPr>
          <w:p>
            <w:pPr>
              <w:spacing w:after="0" w:line="259" w:lineRule="auto"/>
              <w:ind w:left="160" w:right="0" w:firstLine="0"/>
              <w:jc w:val="left"/>
              <w:rPr>
                <w:highlight w:val="darkBlue"/>
              </w:rPr>
            </w:pPr>
            <w:r>
              <w:rPr>
                <w:b/>
                <w:highlight w:val="darkBlue"/>
                <w:u w:val="single" w:color="000000"/>
              </w:rPr>
              <w:t xml:space="preserve">2303 </w:t>
            </w:r>
          </w:p>
        </w:tc>
        <w:tc>
          <w:tcPr>
            <w:cnfStyle w:val="000000010000"/>
            <w:tcW w:w="705" w:type="dxa"/>
            <w:tcBorders>
              <w:top w:val="nil" w:sz="4" w:space="0"/>
              <w:left w:val="nil" w:sz="4" w:space="0"/>
              <w:bottom w:val="nil" w:sz="4" w:space="0"/>
              <w:right w:val="nil" w:sz="4" w:space="0"/>
            </w:tcBorders>
            <w:shd w:val="clear" w:color="auto" w:fill="bfbfbf"/>
          </w:tcPr>
          <w:p>
            <w:pPr>
              <w:spacing w:after="0" w:line="259" w:lineRule="auto"/>
              <w:ind w:left="160" w:right="0" w:firstLine="0"/>
              <w:jc w:val="left"/>
              <w:rPr>
                <w:highlight w:val="darkBlue"/>
              </w:rPr>
            </w:pPr>
            <w:r>
              <w:rPr>
                <w:b/>
                <w:highlight w:val="darkBlue"/>
                <w:u w:val="single" w:color="000000"/>
              </w:rPr>
              <w:t xml:space="preserve">2355 </w:t>
            </w:r>
          </w:p>
        </w:tc>
      </w:tr>
      <w:tr>
        <w:trPr>
          <w:trHeight w:val="349"/>
        </w:trPr>
        <w:tc>
          <w:tcPr>
            <w:cnfStyle w:val="001000100000"/>
            <w:tcW w:w="5398" w:type="dxa"/>
            <w:tcBorders>
              <w:top w:val="nil" w:sz="4" w:space="0"/>
              <w:left w:val="nil" w:sz="4" w:space="0"/>
              <w:bottom w:val="double" w:color="000000" w:sz="6" w:space="0"/>
              <w:right w:val="nil" w:sz="4" w:space="0"/>
            </w:tcBorders>
            <w:vAlign w:val="bottom"/>
          </w:tcPr>
          <w:p>
            <w:pPr>
              <w:spacing w:after="0" w:line="259" w:lineRule="auto"/>
              <w:ind w:left="70" w:right="0" w:firstLine="0"/>
              <w:jc w:val="left"/>
              <w:rPr/>
            </w:pPr>
            <w:r>
              <w:rPr>
                <w:b/>
                <w:i/>
              </w:rPr>
              <w:t xml:space="preserve"> </w:t>
            </w:r>
            <w:r>
              <w:rPr>
                <w:b/>
                <w:i/>
              </w:rPr>
              <w:tab/>
              <w:t xml:space="preserve"> </w:t>
            </w:r>
          </w:p>
        </w:tc>
        <w:tc>
          <w:tcPr>
            <w:cnfStyle w:val="000000100000"/>
            <w:tcW w:w="960" w:type="dxa"/>
            <w:tcBorders>
              <w:top w:val="nil" w:sz="4" w:space="0"/>
              <w:left w:val="nil" w:sz="4" w:space="0"/>
              <w:bottom w:val="double" w:color="000000" w:sz="6" w:space="0"/>
              <w:right w:val="nil" w:sz="4" w:space="0"/>
            </w:tcBorders>
            <w:vAlign w:val="bottom"/>
          </w:tcPr>
          <w:p>
            <w:pPr>
              <w:spacing w:after="0" w:line="259" w:lineRule="auto"/>
              <w:ind w:left="0" w:right="115" w:firstLine="0"/>
              <w:jc w:val="right"/>
              <w:rPr/>
            </w:pPr>
            <w:r>
              <w:rPr>
                <w:b/>
                <w:i/>
              </w:rPr>
              <w:t xml:space="preserve"> </w:t>
            </w:r>
          </w:p>
        </w:tc>
        <w:tc>
          <w:tcPr>
            <w:cnfStyle w:val="000000100000"/>
            <w:tcW w:w="705" w:type="dxa"/>
            <w:tcBorders>
              <w:top w:val="nil" w:sz="4" w:space="0"/>
              <w:left w:val="nil" w:sz="4" w:space="0"/>
              <w:bottom w:val="double" w:color="000000" w:sz="6" w:space="0"/>
              <w:right w:val="nil" w:sz="4" w:space="0"/>
            </w:tcBorders>
          </w:tcPr>
          <w:p>
            <w:pPr>
              <w:spacing w:after="160" w:line="259" w:lineRule="auto"/>
              <w:ind w:left="0" w:right="0" w:firstLine="0"/>
              <w:jc w:val="left"/>
              <w:rPr/>
            </w:pPr>
          </w:p>
        </w:tc>
      </w:tr>
      <w:tr>
        <w:trPr>
          <w:trHeight w:val="386"/>
        </w:trPr>
        <w:tc>
          <w:tcPr>
            <w:cnfStyle w:val="001000010000"/>
            <w:tcW w:w="5398" w:type="dxa"/>
            <w:tcBorders>
              <w:top w:val="double" w:color="000000" w:sz="6" w:space="0"/>
              <w:left w:val="nil" w:sz="4" w:space="0"/>
              <w:bottom w:val="single" w:color="000000" w:sz="6" w:space="0"/>
              <w:right w:val="nil" w:sz="4" w:space="0"/>
            </w:tcBorders>
            <w:shd w:val="clear" w:color="auto" w:fill="808080"/>
            <w:vAlign w:val="bottom"/>
          </w:tcPr>
          <w:p>
            <w:pPr>
              <w:spacing w:after="0" w:line="259" w:lineRule="auto"/>
              <w:ind w:left="70" w:right="0" w:firstLine="0"/>
              <w:jc w:val="left"/>
              <w:rPr>
                <w:highlight w:val="darkBlue"/>
              </w:rPr>
            </w:pPr>
            <w:r>
              <w:rPr>
                <w:b/>
                <w:i/>
                <w:highlight w:val="darkBlue"/>
                <w:u w:val="single" w:color="000000"/>
              </w:rPr>
              <w:t xml:space="preserve">Total assets </w:t>
            </w:r>
          </w:p>
        </w:tc>
        <w:tc>
          <w:tcPr>
            <w:cnfStyle w:val="000000010000"/>
            <w:tcW w:w="960" w:type="dxa"/>
            <w:tcBorders>
              <w:top w:val="double" w:color="000000" w:sz="6" w:space="0"/>
              <w:left w:val="nil" w:sz="4" w:space="0"/>
              <w:bottom w:val="single" w:color="000000" w:sz="6" w:space="0"/>
              <w:right w:val="nil" w:sz="4" w:space="0"/>
            </w:tcBorders>
            <w:shd w:val="clear" w:color="auto" w:fill="808080"/>
            <w:vAlign w:val="bottom"/>
          </w:tcPr>
          <w:p>
            <w:pPr>
              <w:spacing w:after="0" w:line="259" w:lineRule="auto"/>
              <w:ind w:left="175" w:right="0" w:firstLine="0"/>
              <w:jc w:val="left"/>
              <w:rPr>
                <w:highlight w:val="darkBlue"/>
              </w:rPr>
            </w:pPr>
            <w:r>
              <w:rPr>
                <w:b/>
                <w:i/>
                <w:highlight w:val="darkBlue"/>
                <w:u w:val="single" w:color="000000"/>
              </w:rPr>
              <w:t xml:space="preserve">9736 </w:t>
            </w:r>
          </w:p>
        </w:tc>
        <w:tc>
          <w:tcPr>
            <w:cnfStyle w:val="000000010000"/>
            <w:tcW w:w="705" w:type="dxa"/>
            <w:tcBorders>
              <w:top w:val="double" w:color="000000" w:sz="6" w:space="0"/>
              <w:left w:val="nil" w:sz="4" w:space="0"/>
              <w:bottom w:val="single" w:color="000000" w:sz="6" w:space="0"/>
              <w:right w:val="nil" w:sz="4" w:space="0"/>
            </w:tcBorders>
            <w:shd w:val="clear" w:color="auto" w:fill="808080"/>
            <w:vAlign w:val="bottom"/>
          </w:tcPr>
          <w:p>
            <w:pPr>
              <w:spacing w:after="0" w:line="259" w:lineRule="auto"/>
              <w:ind w:left="60" w:right="0" w:firstLine="0"/>
              <w:rPr>
                <w:highlight w:val="darkBlue"/>
              </w:rPr>
            </w:pPr>
            <w:r>
              <w:rPr>
                <w:b/>
                <w:i/>
                <w:highlight w:val="darkBlue"/>
                <w:u w:val="single" w:color="000000"/>
              </w:rPr>
              <w:t xml:space="preserve">10087 </w:t>
            </w:r>
          </w:p>
        </w:tc>
      </w:tr>
      <w:tr>
        <w:trPr>
          <w:trHeight w:val="989"/>
        </w:trPr>
        <w:tc>
          <w:tcPr>
            <w:cnfStyle w:val="001000100000"/>
            <w:tcW w:w="5398" w:type="dxa"/>
            <w:tcBorders>
              <w:top w:val="single" w:color="000000" w:sz="6" w:space="0"/>
              <w:left w:val="nil" w:sz="4" w:space="0"/>
              <w:bottom w:val="nil" w:sz="4" w:space="0"/>
              <w:right w:val="nil" w:sz="4" w:space="0"/>
            </w:tcBorders>
            <w:vAlign w:val="bottom"/>
          </w:tcPr>
          <w:p>
            <w:pPr>
              <w:spacing w:after="24" w:line="259" w:lineRule="auto"/>
              <w:ind w:left="70" w:right="0" w:firstLine="0"/>
              <w:jc w:val="left"/>
              <w:rPr/>
            </w:pPr>
            <w:r>
              <w:t xml:space="preserve"> </w:t>
            </w:r>
            <w:r>
              <w:tab/>
              <w:t xml:space="preserve"> </w:t>
            </w:r>
          </w:p>
          <w:p>
            <w:pPr>
              <w:tabs>
                <w:tab w:val="center" w:pos="5212"/>
              </w:tabs>
              <w:spacing w:after="77" w:line="259" w:lineRule="auto"/>
              <w:ind w:left="0" w:right="0" w:firstLine="0"/>
              <w:jc w:val="left"/>
              <w:rPr/>
            </w:pPr>
            <w:r>
              <w:t xml:space="preserve">Current liabilities </w:t>
            </w:r>
            <w:r>
              <w:tab/>
              <w:t xml:space="preserve"> </w:t>
            </w:r>
          </w:p>
          <w:p>
            <w:pPr>
              <w:spacing w:after="0" w:line="259" w:lineRule="auto"/>
              <w:ind w:left="70" w:right="0" w:firstLine="0"/>
              <w:jc w:val="left"/>
              <w:rPr/>
            </w:pPr>
            <w:r>
              <w:t xml:space="preserve">Trade payables </w:t>
            </w:r>
          </w:p>
        </w:tc>
        <w:tc>
          <w:tcPr>
            <w:cnfStyle w:val="000000100000"/>
            <w:tcW w:w="960" w:type="dxa"/>
            <w:tcBorders>
              <w:top w:val="single" w:color="000000" w:sz="6" w:space="0"/>
              <w:left w:val="nil" w:sz="4" w:space="0"/>
              <w:bottom w:val="nil" w:sz="4" w:space="0"/>
              <w:right w:val="nil" w:sz="4" w:space="0"/>
            </w:tcBorders>
            <w:vAlign w:val="bottom"/>
          </w:tcPr>
          <w:p>
            <w:pPr>
              <w:spacing w:after="45" w:line="259" w:lineRule="auto"/>
              <w:ind w:left="0" w:right="115" w:firstLine="0"/>
              <w:jc w:val="right"/>
              <w:rPr/>
            </w:pPr>
            <w:r>
              <w:t xml:space="preserve"> </w:t>
            </w:r>
          </w:p>
          <w:p>
            <w:pPr>
              <w:spacing w:after="0" w:line="259" w:lineRule="auto"/>
              <w:ind w:left="0" w:right="115" w:firstLine="0"/>
              <w:jc w:val="right"/>
              <w:rPr/>
            </w:pPr>
            <w:r>
              <w:t xml:space="preserve"> </w:t>
            </w:r>
          </w:p>
          <w:p>
            <w:pPr>
              <w:spacing w:after="0" w:line="259" w:lineRule="auto"/>
              <w:ind w:left="150" w:right="0" w:firstLine="0"/>
              <w:jc w:val="left"/>
              <w:rPr/>
            </w:pPr>
            <w:r>
              <w:t xml:space="preserve">(583) </w:t>
            </w:r>
          </w:p>
        </w:tc>
        <w:tc>
          <w:tcPr>
            <w:cnfStyle w:val="000000100000"/>
            <w:tcW w:w="705" w:type="dxa"/>
            <w:tcBorders>
              <w:top w:val="single" w:color="000000" w:sz="6" w:space="0"/>
              <w:left w:val="nil" w:sz="4" w:space="0"/>
              <w:bottom w:val="nil" w:sz="4" w:space="0"/>
              <w:right w:val="nil" w:sz="4" w:space="0"/>
            </w:tcBorders>
            <w:vAlign w:val="bottom"/>
          </w:tcPr>
          <w:p>
            <w:pPr>
              <w:spacing w:after="0" w:line="259" w:lineRule="auto"/>
              <w:ind w:left="150" w:right="0" w:firstLine="0"/>
              <w:jc w:val="left"/>
              <w:rPr/>
            </w:pPr>
            <w:r>
              <w:t xml:space="preserve">(655) </w:t>
            </w:r>
          </w:p>
        </w:tc>
      </w:tr>
      <w:tr>
        <w:trPr>
          <w:trHeight w:val="261"/>
        </w:trPr>
        <w:tc>
          <w:tcPr>
            <w:cnfStyle w:val="001000010000"/>
            <w:tcW w:w="5398" w:type="dxa"/>
            <w:tcBorders>
              <w:top w:val="nil" w:sz="4" w:space="0"/>
              <w:left w:val="nil" w:sz="4" w:space="0"/>
              <w:bottom w:val="nil" w:sz="4" w:space="0"/>
              <w:right w:val="nil" w:sz="4" w:space="0"/>
            </w:tcBorders>
          </w:tcPr>
          <w:p>
            <w:pPr>
              <w:spacing w:after="0" w:line="259" w:lineRule="auto"/>
              <w:ind w:left="70" w:right="0" w:firstLine="0"/>
              <w:jc w:val="left"/>
              <w:rPr/>
            </w:pPr>
            <w:r>
              <w:rPr>
                <w:u w:val="single" w:color="000000"/>
              </w:rPr>
              <w:t xml:space="preserve">Other creditors </w:t>
            </w:r>
          </w:p>
        </w:tc>
        <w:tc>
          <w:tcPr>
            <w:cnfStyle w:val="000000010000"/>
            <w:tcW w:w="960" w:type="dxa"/>
            <w:tcBorders>
              <w:top w:val="nil" w:sz="4" w:space="0"/>
              <w:left w:val="nil" w:sz="4" w:space="0"/>
              <w:bottom w:val="nil" w:sz="4" w:space="0"/>
              <w:right w:val="nil" w:sz="4" w:space="0"/>
            </w:tcBorders>
          </w:tcPr>
          <w:p>
            <w:pPr>
              <w:spacing w:after="0" w:line="259" w:lineRule="auto"/>
              <w:ind w:left="40" w:right="0" w:firstLine="0"/>
              <w:jc w:val="left"/>
              <w:rPr/>
            </w:pPr>
            <w:r>
              <w:rPr>
                <w:u w:val="single" w:color="000000"/>
              </w:rPr>
              <w:t xml:space="preserve">(1928) </w:t>
            </w:r>
          </w:p>
        </w:tc>
        <w:tc>
          <w:tcPr>
            <w:cnfStyle w:val="000000010000"/>
            <w:tcW w:w="705" w:type="dxa"/>
            <w:tcBorders>
              <w:top w:val="nil" w:sz="4" w:space="0"/>
              <w:left w:val="nil" w:sz="4" w:space="0"/>
              <w:bottom w:val="nil" w:sz="4" w:space="0"/>
              <w:right w:val="nil" w:sz="4" w:space="0"/>
            </w:tcBorders>
          </w:tcPr>
          <w:p>
            <w:pPr>
              <w:spacing w:after="0" w:line="259" w:lineRule="auto"/>
              <w:ind w:left="40" w:right="0" w:firstLine="0"/>
              <w:rPr/>
            </w:pPr>
            <w:r>
              <w:rPr>
                <w:u w:val="single" w:color="000000"/>
              </w:rPr>
              <w:t xml:space="preserve">(2391) </w:t>
            </w:r>
          </w:p>
        </w:tc>
      </w:tr>
      <w:tr>
        <w:trPr>
          <w:trHeight w:val="300"/>
        </w:trPr>
        <w:tc>
          <w:tcPr>
            <w:cnfStyle w:val="001000100000"/>
            <w:tcW w:w="5398" w:type="dxa"/>
            <w:tcBorders>
              <w:top w:val="nil" w:sz="4" w:space="0"/>
              <w:left w:val="nil" w:sz="4" w:space="0"/>
              <w:bottom w:val="nil" w:sz="4" w:space="0"/>
              <w:right w:val="nil" w:sz="4" w:space="0"/>
            </w:tcBorders>
            <w:shd w:val="clear" w:color="auto" w:fill="bfbfbf"/>
          </w:tcPr>
          <w:p>
            <w:pPr>
              <w:spacing w:after="0" w:line="259" w:lineRule="auto"/>
              <w:ind w:left="70" w:right="0" w:firstLine="0"/>
              <w:jc w:val="left"/>
              <w:rPr>
                <w:highlight w:val="darkBlue"/>
              </w:rPr>
            </w:pPr>
            <w:r>
              <w:rPr>
                <w:b/>
                <w:highlight w:val="darkBlue"/>
                <w:u w:val="single" w:color="000000"/>
              </w:rPr>
              <w:t xml:space="preserve">Total current liabilities </w:t>
            </w:r>
          </w:p>
        </w:tc>
        <w:tc>
          <w:tcPr>
            <w:cnfStyle w:val="000000100000"/>
            <w:tcW w:w="960" w:type="dxa"/>
            <w:tcBorders>
              <w:top w:val="nil" w:sz="4" w:space="0"/>
              <w:left w:val="nil" w:sz="4" w:space="0"/>
              <w:bottom w:val="nil" w:sz="4" w:space="0"/>
              <w:right w:val="nil" w:sz="4" w:space="0"/>
            </w:tcBorders>
            <w:shd w:val="clear" w:color="auto" w:fill="bfbfbf"/>
          </w:tcPr>
          <w:p>
            <w:pPr>
              <w:spacing w:after="0" w:line="259" w:lineRule="auto"/>
              <w:ind w:left="0" w:right="0" w:firstLine="0"/>
              <w:jc w:val="left"/>
              <w:rPr>
                <w:highlight w:val="darkBlue"/>
              </w:rPr>
            </w:pPr>
            <w:r>
              <w:rPr>
                <w:b/>
                <w:highlight w:val="darkBlue"/>
                <w:u w:val="single" w:color="000000"/>
              </w:rPr>
              <w:t xml:space="preserve">(2511) </w:t>
            </w:r>
          </w:p>
        </w:tc>
        <w:tc>
          <w:tcPr>
            <w:cnfStyle w:val="000000100000"/>
            <w:tcW w:w="705" w:type="dxa"/>
            <w:tcBorders>
              <w:top w:val="nil" w:sz="4" w:space="0"/>
              <w:left w:val="nil" w:sz="4" w:space="0"/>
              <w:bottom w:val="nil" w:sz="4" w:space="0"/>
              <w:right w:val="nil" w:sz="4" w:space="0"/>
            </w:tcBorders>
            <w:shd w:val="clear" w:color="auto" w:fill="bfbfbf"/>
          </w:tcPr>
          <w:p>
            <w:pPr>
              <w:spacing w:after="0" w:line="259" w:lineRule="auto"/>
              <w:ind w:left="0" w:right="0" w:firstLine="0"/>
              <w:rPr>
                <w:highlight w:val="darkBlue"/>
              </w:rPr>
            </w:pPr>
            <w:r>
              <w:rPr>
                <w:b/>
                <w:highlight w:val="darkBlue"/>
                <w:u w:val="single" w:color="000000"/>
              </w:rPr>
              <w:t xml:space="preserve">(3046) </w:t>
            </w:r>
          </w:p>
        </w:tc>
      </w:tr>
    </w:tbl>
    <w:p/>
    <w:tbl>
      <w:tblPr>
        <w:tblStyle w:val="TableGrid"/>
        <w:tblW w:w="7063" w:type="dxa"/>
        <w:tblInd w:w="-15" w:type="dxa"/>
        <w:tblCellMar>
          <w:top w:w="1" w:type="dxa"/>
          <w:left w:w="0" w:type="dxa"/>
          <w:bottom w:w="0" w:type="dxa"/>
          <w:right w:w="26" w:type="dxa"/>
        </w:tblCellMar>
        <w:tblLook w:val="04A0"/>
      </w:tblPr>
      <w:tblGrid>
        <w:gridCol w:w="5438"/>
        <w:gridCol w:w="960"/>
        <w:gridCol w:w="665"/>
      </w:tblGrid>
      <w:tr>
        <w:trPr>
          <w:trHeight w:val="550"/>
        </w:trPr>
        <w:tc>
          <w:tcPr>
            <w:cnfStyle w:val="101000000000"/>
            <w:tcW w:w="5438" w:type="dxa"/>
            <w:tcBorders>
              <w:top w:val="nil" w:sz="4" w:space="0"/>
              <w:left w:val="nil" w:sz="4" w:space="0"/>
              <w:bottom w:val="nil" w:sz="4" w:space="0"/>
              <w:right w:val="nil" w:sz="4" w:space="0"/>
            </w:tcBorders>
          </w:tcPr>
          <w:p>
            <w:pPr>
              <w:tabs>
                <w:tab w:val="center" w:pos="5212"/>
              </w:tabs>
              <w:spacing w:after="80" w:line="259" w:lineRule="auto"/>
              <w:ind w:left="0" w:right="0" w:firstLine="0"/>
              <w:jc w:val="left"/>
              <w:rPr/>
            </w:pPr>
            <w:r>
              <w:t xml:space="preserve">Non current liabilities </w:t>
            </w:r>
            <w:r>
              <w:tab/>
              <w:t xml:space="preserve"> </w:t>
            </w:r>
          </w:p>
          <w:p>
            <w:pPr>
              <w:spacing w:after="0" w:line="259" w:lineRule="auto"/>
              <w:ind w:left="70" w:right="0" w:firstLine="0"/>
              <w:jc w:val="left"/>
              <w:rPr/>
            </w:pPr>
            <w:r>
              <w:t xml:space="preserve">Loans and other borrowings </w:t>
            </w:r>
          </w:p>
        </w:tc>
        <w:tc>
          <w:tcPr>
            <w:cnfStyle w:val="100000000000"/>
            <w:tcW w:w="960" w:type="dxa"/>
            <w:tcBorders>
              <w:top w:val="nil" w:sz="4" w:space="0"/>
              <w:left w:val="nil" w:sz="4" w:space="0"/>
              <w:bottom w:val="nil" w:sz="4" w:space="0"/>
              <w:right w:val="nil" w:sz="4" w:space="0"/>
            </w:tcBorders>
          </w:tcPr>
          <w:p>
            <w:pPr>
              <w:spacing w:after="0" w:line="259" w:lineRule="auto"/>
              <w:ind w:left="735" w:right="0" w:firstLine="0"/>
              <w:jc w:val="left"/>
              <w:rPr/>
            </w:pPr>
            <w:r>
              <w:t xml:space="preserve"> </w:t>
            </w:r>
          </w:p>
          <w:p>
            <w:pPr>
              <w:spacing w:after="0" w:line="259" w:lineRule="auto"/>
              <w:ind w:left="0" w:right="0" w:firstLine="0"/>
              <w:jc w:val="left"/>
              <w:rPr/>
            </w:pPr>
            <w:r>
              <w:t xml:space="preserve">(4137) </w:t>
            </w:r>
          </w:p>
        </w:tc>
        <w:tc>
          <w:tcPr>
            <w:cnfStyle w:val="100000000000"/>
            <w:tcW w:w="665" w:type="dxa"/>
            <w:tcBorders>
              <w:top w:val="nil" w:sz="4" w:space="0"/>
              <w:left w:val="nil" w:sz="4" w:space="0"/>
              <w:bottom w:val="nil" w:sz="4" w:space="0"/>
              <w:right w:val="nil" w:sz="4" w:space="0"/>
            </w:tcBorders>
            <w:vAlign w:val="bottom"/>
          </w:tcPr>
          <w:p>
            <w:pPr>
              <w:spacing w:after="0" w:line="259" w:lineRule="auto"/>
              <w:ind w:left="0" w:right="0" w:firstLine="0"/>
              <w:rPr/>
            </w:pPr>
            <w:r>
              <w:t xml:space="preserve">(4129) </w:t>
            </w:r>
          </w:p>
        </w:tc>
      </w:tr>
      <w:tr>
        <w:trPr>
          <w:trHeight w:val="600"/>
        </w:trPr>
        <w:tc>
          <w:tcPr>
            <w:cnfStyle w:val="001000100000"/>
            <w:tcW w:w="5438" w:type="dxa"/>
            <w:tcBorders>
              <w:top w:val="nil" w:sz="4" w:space="0"/>
              <w:left w:val="nil" w:sz="4" w:space="0"/>
              <w:bottom w:val="nil" w:sz="4" w:space="0"/>
              <w:right w:val="nil" w:sz="4" w:space="0"/>
            </w:tcBorders>
          </w:tcPr>
          <w:p>
            <w:pPr>
              <w:tabs>
                <w:tab w:val="center" w:pos="5212"/>
              </w:tabs>
              <w:spacing w:after="76" w:line="259" w:lineRule="auto"/>
              <w:ind w:left="0" w:right="0" w:firstLine="0"/>
              <w:jc w:val="left"/>
              <w:rPr/>
            </w:pPr>
            <w:r>
              <w:t xml:space="preserve">Equity </w:t>
            </w:r>
            <w:r>
              <w:tab/>
              <w:t xml:space="preserve"> </w:t>
            </w:r>
          </w:p>
          <w:p>
            <w:pPr>
              <w:spacing w:after="0" w:line="259" w:lineRule="auto"/>
              <w:ind w:left="70" w:right="0" w:firstLine="0"/>
              <w:jc w:val="left"/>
              <w:rPr/>
            </w:pPr>
            <w:r>
              <w:t xml:space="preserve">Ordinary share capital (50p shares) </w:t>
            </w:r>
          </w:p>
        </w:tc>
        <w:tc>
          <w:tcPr>
            <w:cnfStyle w:val="000000100000"/>
            <w:tcW w:w="960" w:type="dxa"/>
            <w:tcBorders>
              <w:top w:val="nil" w:sz="4" w:space="0"/>
              <w:left w:val="nil" w:sz="4" w:space="0"/>
              <w:bottom w:val="nil" w:sz="4" w:space="0"/>
              <w:right w:val="nil" w:sz="4" w:space="0"/>
            </w:tcBorders>
          </w:tcPr>
          <w:p>
            <w:pPr>
              <w:spacing w:after="0" w:line="259" w:lineRule="auto"/>
              <w:ind w:left="735" w:right="0" w:firstLine="0"/>
              <w:jc w:val="left"/>
              <w:rPr/>
            </w:pPr>
            <w:r>
              <w:t xml:space="preserve"> </w:t>
            </w:r>
          </w:p>
          <w:p>
            <w:pPr>
              <w:spacing w:after="0" w:line="259" w:lineRule="auto"/>
              <w:ind w:left="0" w:right="73" w:firstLine="0"/>
              <w:jc w:val="center"/>
              <w:rPr/>
            </w:pPr>
            <w:r>
              <w:t xml:space="preserve">300 </w:t>
            </w:r>
          </w:p>
        </w:tc>
        <w:tc>
          <w:tcPr>
            <w:cnfStyle w:val="000000100000"/>
            <w:tcW w:w="665" w:type="dxa"/>
            <w:tcBorders>
              <w:top w:val="nil" w:sz="4" w:space="0"/>
              <w:left w:val="nil" w:sz="4" w:space="0"/>
              <w:bottom w:val="nil" w:sz="4" w:space="0"/>
              <w:right w:val="nil" w:sz="4" w:space="0"/>
            </w:tcBorders>
            <w:vAlign w:val="bottom"/>
          </w:tcPr>
          <w:p>
            <w:pPr>
              <w:spacing w:after="0" w:line="259" w:lineRule="auto"/>
              <w:ind w:left="0" w:right="43" w:firstLine="0"/>
              <w:jc w:val="right"/>
              <w:rPr/>
            </w:pPr>
            <w:r>
              <w:t xml:space="preserve">300 </w:t>
            </w:r>
          </w:p>
        </w:tc>
      </w:tr>
      <w:tr>
        <w:trPr>
          <w:trHeight w:val="300"/>
        </w:trPr>
        <w:tc>
          <w:tcPr>
            <w:cnfStyle w:val="001000010000"/>
            <w:tcW w:w="5438" w:type="dxa"/>
            <w:tcBorders>
              <w:top w:val="nil" w:sz="4" w:space="0"/>
              <w:left w:val="nil" w:sz="4" w:space="0"/>
              <w:bottom w:val="nil" w:sz="4" w:space="0"/>
              <w:right w:val="nil" w:sz="4" w:space="0"/>
            </w:tcBorders>
          </w:tcPr>
          <w:p>
            <w:pPr>
              <w:spacing w:after="0" w:line="259" w:lineRule="auto"/>
              <w:ind w:left="70" w:right="0" w:firstLine="0"/>
              <w:jc w:val="left"/>
              <w:rPr/>
            </w:pPr>
            <w:r>
              <w:t xml:space="preserve">Share premium </w:t>
            </w:r>
          </w:p>
        </w:tc>
        <w:tc>
          <w:tcPr>
            <w:cnfStyle w:val="000000010000"/>
            <w:tcW w:w="960" w:type="dxa"/>
            <w:tcBorders>
              <w:top w:val="nil" w:sz="4" w:space="0"/>
              <w:left w:val="nil" w:sz="4" w:space="0"/>
              <w:bottom w:val="nil" w:sz="4" w:space="0"/>
              <w:right w:val="nil" w:sz="4" w:space="0"/>
            </w:tcBorders>
          </w:tcPr>
          <w:p>
            <w:pPr>
              <w:spacing w:after="0" w:line="259" w:lineRule="auto"/>
              <w:ind w:left="150" w:right="0" w:firstLine="0"/>
              <w:jc w:val="left"/>
              <w:rPr/>
            </w:pPr>
            <w:r>
              <w:t xml:space="preserve">1071 </w:t>
            </w:r>
          </w:p>
        </w:tc>
        <w:tc>
          <w:tcPr>
            <w:cnfStyle w:val="000000010000"/>
            <w:tcW w:w="665" w:type="dxa"/>
            <w:tcBorders>
              <w:top w:val="nil" w:sz="4" w:space="0"/>
              <w:left w:val="nil" w:sz="4" w:space="0"/>
              <w:bottom w:val="nil" w:sz="4" w:space="0"/>
              <w:right w:val="nil" w:sz="4" w:space="0"/>
            </w:tcBorders>
          </w:tcPr>
          <w:p>
            <w:pPr>
              <w:spacing w:after="0" w:line="259" w:lineRule="auto"/>
              <w:ind w:left="150" w:right="0" w:firstLine="0"/>
              <w:jc w:val="left"/>
              <w:rPr/>
            </w:pPr>
            <w:r>
              <w:t xml:space="preserve">1071 </w:t>
            </w:r>
          </w:p>
        </w:tc>
      </w:tr>
      <w:tr>
        <w:trPr>
          <w:trHeight w:val="261"/>
        </w:trPr>
        <w:tc>
          <w:tcPr>
            <w:cnfStyle w:val="001000100000"/>
            <w:tcW w:w="5438" w:type="dxa"/>
            <w:tcBorders>
              <w:top w:val="nil" w:sz="4" w:space="0"/>
              <w:left w:val="nil" w:sz="4" w:space="0"/>
              <w:bottom w:val="nil" w:sz="4" w:space="0"/>
              <w:right w:val="nil" w:sz="4" w:space="0"/>
            </w:tcBorders>
          </w:tcPr>
          <w:p>
            <w:pPr>
              <w:spacing w:after="0" w:line="259" w:lineRule="auto"/>
              <w:ind w:left="70" w:right="0" w:firstLine="0"/>
              <w:jc w:val="left"/>
              <w:rPr/>
            </w:pPr>
            <w:r>
              <w:rPr>
                <w:u w:val="single" w:color="000000"/>
              </w:rPr>
              <w:t xml:space="preserve">Retained profits </w:t>
            </w:r>
          </w:p>
        </w:tc>
        <w:tc>
          <w:tcPr>
            <w:cnfStyle w:val="000000100000"/>
            <w:tcW w:w="960" w:type="dxa"/>
            <w:tcBorders>
              <w:top w:val="nil" w:sz="4" w:space="0"/>
              <w:left w:val="nil" w:sz="4" w:space="0"/>
              <w:bottom w:val="nil" w:sz="4" w:space="0"/>
              <w:right w:val="nil" w:sz="4" w:space="0"/>
            </w:tcBorders>
          </w:tcPr>
          <w:p>
            <w:pPr>
              <w:spacing w:after="0" w:line="259" w:lineRule="auto"/>
              <w:ind w:left="150" w:right="0" w:firstLine="0"/>
              <w:jc w:val="left"/>
              <w:rPr/>
            </w:pPr>
            <w:r>
              <w:rPr>
                <w:u w:val="single" w:color="000000"/>
              </w:rPr>
              <w:t xml:space="preserve">1717 </w:t>
            </w:r>
          </w:p>
        </w:tc>
        <w:tc>
          <w:tcPr>
            <w:cnfStyle w:val="000000100000"/>
            <w:tcW w:w="665" w:type="dxa"/>
            <w:tcBorders>
              <w:top w:val="nil" w:sz="4" w:space="0"/>
              <w:left w:val="nil" w:sz="4" w:space="0"/>
              <w:bottom w:val="nil" w:sz="4" w:space="0"/>
              <w:right w:val="nil" w:sz="4" w:space="0"/>
            </w:tcBorders>
          </w:tcPr>
          <w:p>
            <w:pPr>
              <w:spacing w:after="0" w:line="259" w:lineRule="auto"/>
              <w:ind w:left="150" w:right="0" w:firstLine="0"/>
              <w:jc w:val="left"/>
              <w:rPr/>
            </w:pPr>
            <w:r>
              <w:rPr>
                <w:u w:val="single" w:color="000000"/>
              </w:rPr>
              <w:t xml:space="preserve">1541 </w:t>
            </w:r>
          </w:p>
        </w:tc>
      </w:tr>
      <w:tr>
        <w:trPr>
          <w:trHeight w:val="300"/>
        </w:trPr>
        <w:tc>
          <w:tcPr>
            <w:cnfStyle w:val="001000010000"/>
            <w:tcW w:w="5438" w:type="dxa"/>
            <w:tcBorders>
              <w:top w:val="nil" w:sz="4" w:space="0"/>
              <w:left w:val="nil" w:sz="4" w:space="0"/>
              <w:bottom w:val="nil" w:sz="4" w:space="0"/>
              <w:right w:val="nil" w:sz="4" w:space="0"/>
            </w:tcBorders>
            <w:shd w:val="clear" w:color="auto" w:fill="bfbfbf"/>
          </w:tcPr>
          <w:p>
            <w:pPr>
              <w:spacing w:after="0" w:line="259" w:lineRule="auto"/>
              <w:ind w:left="70" w:right="0" w:firstLine="0"/>
              <w:jc w:val="left"/>
              <w:rPr>
                <w:highlight w:val="darkBlue"/>
              </w:rPr>
            </w:pPr>
            <w:r>
              <w:rPr>
                <w:b/>
                <w:highlight w:val="darkBlue"/>
                <w:u w:val="single" w:color="000000"/>
              </w:rPr>
              <w:t xml:space="preserve">Total equity </w:t>
            </w:r>
          </w:p>
        </w:tc>
        <w:tc>
          <w:tcPr>
            <w:cnfStyle w:val="000000010000"/>
            <w:tcW w:w="960" w:type="dxa"/>
            <w:tcBorders>
              <w:top w:val="nil" w:sz="4" w:space="0"/>
              <w:left w:val="nil" w:sz="4" w:space="0"/>
              <w:bottom w:val="nil" w:sz="4" w:space="0"/>
              <w:right w:val="nil" w:sz="4" w:space="0"/>
            </w:tcBorders>
            <w:shd w:val="clear" w:color="auto" w:fill="bfbfbf"/>
          </w:tcPr>
          <w:p>
            <w:pPr>
              <w:spacing w:after="0" w:line="259" w:lineRule="auto"/>
              <w:ind w:left="120" w:right="0" w:firstLine="0"/>
              <w:jc w:val="left"/>
              <w:rPr>
                <w:highlight w:val="darkBlue"/>
              </w:rPr>
            </w:pPr>
            <w:r>
              <w:rPr>
                <w:b/>
                <w:highlight w:val="darkBlue"/>
                <w:u w:val="single" w:color="000000"/>
              </w:rPr>
              <w:t xml:space="preserve">3088 </w:t>
            </w:r>
          </w:p>
        </w:tc>
        <w:tc>
          <w:tcPr>
            <w:cnfStyle w:val="000000010000"/>
            <w:tcW w:w="665" w:type="dxa"/>
            <w:tcBorders>
              <w:top w:val="nil" w:sz="4" w:space="0"/>
              <w:left w:val="nil" w:sz="4" w:space="0"/>
              <w:bottom w:val="nil" w:sz="4" w:space="0"/>
              <w:right w:val="nil" w:sz="4" w:space="0"/>
            </w:tcBorders>
            <w:shd w:val="clear" w:color="auto" w:fill="bfbfbf"/>
          </w:tcPr>
          <w:p>
            <w:pPr>
              <w:spacing w:after="0" w:line="259" w:lineRule="auto"/>
              <w:ind w:left="120" w:right="0" w:firstLine="0"/>
              <w:jc w:val="left"/>
              <w:rPr>
                <w:highlight w:val="darkBlue"/>
              </w:rPr>
            </w:pPr>
            <w:r>
              <w:rPr>
                <w:b/>
                <w:highlight w:val="darkBlue"/>
                <w:u w:val="single" w:color="000000"/>
              </w:rPr>
              <w:t xml:space="preserve">2912 </w:t>
            </w:r>
          </w:p>
        </w:tc>
      </w:tr>
      <w:tr>
        <w:trPr>
          <w:trHeight w:val="349"/>
        </w:trPr>
        <w:tc>
          <w:tcPr>
            <w:cnfStyle w:val="001000100000"/>
            <w:tcW w:w="5438" w:type="dxa"/>
            <w:tcBorders>
              <w:top w:val="nil" w:sz="4" w:space="0"/>
              <w:left w:val="nil" w:sz="4" w:space="0"/>
              <w:bottom w:val="double" w:color="000000" w:sz="6" w:space="0"/>
              <w:right w:val="nil" w:sz="4" w:space="0"/>
            </w:tcBorders>
            <w:vAlign w:val="bottom"/>
          </w:tcPr>
          <w:p>
            <w:pPr>
              <w:spacing w:after="0" w:line="259" w:lineRule="auto"/>
              <w:ind w:left="70" w:right="0" w:firstLine="0"/>
              <w:jc w:val="left"/>
              <w:rPr/>
            </w:pPr>
            <w:r>
              <w:t xml:space="preserve"> </w:t>
            </w:r>
            <w:r>
              <w:tab/>
              <w:t xml:space="preserve"> </w:t>
            </w:r>
          </w:p>
        </w:tc>
        <w:tc>
          <w:tcPr>
            <w:cnfStyle w:val="000000100000"/>
            <w:tcW w:w="960" w:type="dxa"/>
            <w:tcBorders>
              <w:top w:val="nil" w:sz="4" w:space="0"/>
              <w:left w:val="nil" w:sz="4" w:space="0"/>
              <w:bottom w:val="double" w:color="000000" w:sz="6" w:space="0"/>
              <w:right w:val="nil" w:sz="4" w:space="0"/>
            </w:tcBorders>
            <w:vAlign w:val="bottom"/>
          </w:tcPr>
          <w:p>
            <w:pPr>
              <w:spacing w:after="0" w:line="259" w:lineRule="auto"/>
              <w:ind w:left="735" w:right="0" w:firstLine="0"/>
              <w:jc w:val="left"/>
              <w:rPr/>
            </w:pPr>
            <w:r>
              <w:t xml:space="preserve"> </w:t>
            </w:r>
          </w:p>
        </w:tc>
        <w:tc>
          <w:tcPr>
            <w:cnfStyle w:val="000000100000"/>
            <w:tcW w:w="665" w:type="dxa"/>
            <w:tcBorders>
              <w:top w:val="nil" w:sz="4" w:space="0"/>
              <w:left w:val="nil" w:sz="4" w:space="0"/>
              <w:bottom w:val="double" w:color="000000" w:sz="6" w:space="0"/>
              <w:right w:val="nil" w:sz="4" w:space="0"/>
            </w:tcBorders>
          </w:tcPr>
          <w:p>
            <w:pPr>
              <w:spacing w:after="160" w:line="259" w:lineRule="auto"/>
              <w:ind w:left="0" w:right="0" w:firstLine="0"/>
              <w:jc w:val="left"/>
              <w:rPr/>
            </w:pPr>
          </w:p>
        </w:tc>
      </w:tr>
      <w:tr>
        <w:trPr>
          <w:trHeight w:val="387"/>
        </w:trPr>
        <w:tc>
          <w:tcPr>
            <w:cnfStyle w:val="001000010000"/>
            <w:tcW w:w="5438" w:type="dxa"/>
            <w:tcBorders>
              <w:top w:val="double" w:color="000000" w:sz="6" w:space="0"/>
              <w:left w:val="nil" w:sz="4" w:space="0"/>
              <w:bottom w:val="single" w:color="000000" w:sz="6" w:space="0"/>
              <w:right w:val="nil" w:sz="4" w:space="0"/>
            </w:tcBorders>
            <w:shd w:val="clear" w:color="auto" w:fill="808080"/>
            <w:vAlign w:val="bottom"/>
          </w:tcPr>
          <w:p>
            <w:pPr>
              <w:spacing w:after="0" w:line="259" w:lineRule="auto"/>
              <w:ind w:left="70" w:right="0" w:firstLine="0"/>
              <w:jc w:val="left"/>
              <w:rPr>
                <w:highlight w:val="darkBlue"/>
              </w:rPr>
            </w:pPr>
            <w:r>
              <w:rPr>
                <w:b/>
                <w:i/>
                <w:highlight w:val="darkBlue"/>
                <w:u w:val="single" w:color="000000"/>
              </w:rPr>
              <w:t xml:space="preserve">Total liabilities &amp; equity </w:t>
            </w:r>
          </w:p>
        </w:tc>
        <w:tc>
          <w:tcPr>
            <w:cnfStyle w:val="000000010000"/>
            <w:tcW w:w="960" w:type="dxa"/>
            <w:tcBorders>
              <w:top w:val="double" w:color="000000" w:sz="6" w:space="0"/>
              <w:left w:val="nil" w:sz="4" w:space="0"/>
              <w:bottom w:val="single" w:color="000000" w:sz="6" w:space="0"/>
              <w:right w:val="nil" w:sz="4" w:space="0"/>
            </w:tcBorders>
            <w:shd w:val="clear" w:color="auto" w:fill="808080"/>
            <w:vAlign w:val="bottom"/>
          </w:tcPr>
          <w:p>
            <w:pPr>
              <w:spacing w:after="0" w:line="259" w:lineRule="auto"/>
              <w:ind w:left="135" w:right="0" w:firstLine="0"/>
              <w:jc w:val="left"/>
              <w:rPr>
                <w:highlight w:val="darkBlue"/>
              </w:rPr>
            </w:pPr>
            <w:r>
              <w:rPr>
                <w:b/>
                <w:i/>
                <w:highlight w:val="darkBlue"/>
                <w:u w:val="single" w:color="000000"/>
              </w:rPr>
              <w:t xml:space="preserve">9736 </w:t>
            </w:r>
          </w:p>
        </w:tc>
        <w:tc>
          <w:tcPr>
            <w:cnfStyle w:val="000000010000"/>
            <w:tcW w:w="665" w:type="dxa"/>
            <w:tcBorders>
              <w:top w:val="double" w:color="000000" w:sz="6" w:space="0"/>
              <w:left w:val="nil" w:sz="4" w:space="0"/>
              <w:bottom w:val="single" w:color="000000" w:sz="6" w:space="0"/>
              <w:right w:val="nil" w:sz="4" w:space="0"/>
            </w:tcBorders>
            <w:shd w:val="clear" w:color="auto" w:fill="808080"/>
            <w:vAlign w:val="bottom"/>
          </w:tcPr>
          <w:p>
            <w:pPr>
              <w:spacing w:after="0" w:line="259" w:lineRule="auto"/>
              <w:ind w:left="20" w:right="0" w:firstLine="0"/>
              <w:rPr>
                <w:highlight w:val="darkBlue"/>
              </w:rPr>
            </w:pPr>
            <w:r>
              <w:rPr>
                <w:b/>
                <w:i/>
                <w:highlight w:val="darkBlue"/>
                <w:u w:val="single" w:color="000000"/>
              </w:rPr>
              <w:t xml:space="preserve">10087 </w:t>
            </w:r>
          </w:p>
        </w:tc>
      </w:tr>
    </w:tbl>
    <w:p>
      <w:pPr>
        <w:spacing w:after="0" w:line="259" w:lineRule="auto"/>
        <w:ind w:left="0" w:right="0" w:firstLine="0"/>
        <w:jc w:val="left"/>
        <w:rPr/>
      </w:pPr>
      <w:r>
        <w:rPr>
          <w:b/>
        </w:rPr>
        <w:t xml:space="preserve"> </w:t>
      </w:r>
    </w:p>
    <w:p>
      <w:pPr>
        <w:spacing w:after="10"/>
        <w:ind w:right="0"/>
        <w:jc w:val="left"/>
        <w:rPr/>
      </w:pPr>
      <w:r>
        <w:rPr>
          <w:b/>
        </w:rPr>
        <w:t xml:space="preserve">Additional information: </w:t>
      </w:r>
      <w:r>
        <w:t xml:space="preserve"> </w:t>
      </w:r>
    </w:p>
    <w:p>
      <w:pPr>
        <w:numPr>
          <w:ilvl w:val="0"/>
          <w:numId w:val="3"/>
        </w:numPr>
        <w:ind w:right="5" w:hanging="195"/>
        <w:rPr/>
      </w:pPr>
      <w:r>
        <w:t xml:space="preserve">During 2019 a total dividend of £255m was paid (2018: £242m)  </w:t>
      </w:r>
    </w:p>
    <w:p>
      <w:pPr>
        <w:spacing w:after="0" w:line="259" w:lineRule="auto"/>
        <w:ind w:left="0" w:right="0" w:firstLine="0"/>
        <w:jc w:val="left"/>
        <w:rPr/>
      </w:pPr>
      <w:r>
        <w:t xml:space="preserve"> </w:t>
      </w:r>
    </w:p>
    <w:p>
      <w:pPr>
        <w:numPr>
          <w:ilvl w:val="0"/>
          <w:numId w:val="3"/>
        </w:numPr>
        <w:ind w:right="5" w:hanging="195"/>
        <w:rPr/>
      </w:pPr>
      <w:r>
        <w:t xml:space="preserve">The average share price during 2019 was £5.12 (2018: £4.00).  </w:t>
      </w:r>
    </w:p>
    <w:p>
      <w:pPr>
        <w:spacing w:after="0" w:line="259" w:lineRule="auto"/>
        <w:ind w:left="0" w:right="0" w:firstLine="0"/>
        <w:jc w:val="left"/>
        <w:rPr/>
      </w:pPr>
      <w:r>
        <w:t xml:space="preserve"> </w:t>
      </w:r>
    </w:p>
    <w:p>
      <w:pPr>
        <w:spacing w:after="10"/>
        <w:ind w:right="0"/>
        <w:jc w:val="left"/>
        <w:rPr/>
      </w:pPr>
      <w:r>
        <w:rPr>
          <w:b/>
        </w:rPr>
        <w:t xml:space="preserve">Required: </w:t>
      </w:r>
      <w:r>
        <w:t xml:space="preserve"> </w:t>
      </w:r>
    </w:p>
    <w:p>
      <w:pPr>
        <w:numPr>
          <w:ilvl w:val="0"/>
          <w:numId w:val="4"/>
        </w:numPr>
        <w:ind w:right="5" w:hanging="185"/>
        <w:rPr/>
      </w:pPr>
      <w:r>
        <w:t xml:space="preserve">Prepare a schedule of ratios for </w:t>
      </w:r>
      <w:r>
        <w:t>Chocco</w:t>
      </w:r>
      <w:r>
        <w:t xml:space="preserve"> plc for 2019 and 2018. </w:t>
      </w:r>
      <w:r>
        <w:rPr>
          <w:b/>
        </w:rPr>
        <w:t xml:space="preserve">[40 marks] </w:t>
      </w:r>
      <w:r>
        <w:t xml:space="preserve"> </w:t>
      </w:r>
    </w:p>
    <w:p>
      <w:pPr>
        <w:spacing w:after="0" w:line="259" w:lineRule="auto"/>
        <w:ind w:left="0" w:right="0" w:firstLine="0"/>
        <w:jc w:val="left"/>
        <w:rPr/>
      </w:pPr>
      <w:r>
        <w:t xml:space="preserve"> </w:t>
      </w:r>
    </w:p>
    <w:p>
      <w:pPr>
        <w:numPr>
          <w:ilvl w:val="0"/>
          <w:numId w:val="4"/>
        </w:numPr>
        <w:spacing w:after="206"/>
        <w:ind w:right="5" w:hanging="185"/>
        <w:rPr/>
      </w:pPr>
      <w:r>
        <w:t xml:space="preserve">Using the information in the financial statements and the ratios you have calculated, comment on the financial performance and position of </w:t>
      </w:r>
      <w:r>
        <w:t>Chocco</w:t>
      </w:r>
      <w:r>
        <w:t xml:space="preserve"> plc. </w:t>
      </w:r>
      <w:r>
        <w:rPr>
          <w:b/>
        </w:rPr>
        <w:t xml:space="preserve">[10 marks] </w:t>
      </w:r>
    </w:p>
    <w:p>
      <w:pPr>
        <w:spacing w:after="237" w:line="263" w:lineRule="auto"/>
        <w:ind w:left="-5" w:right="0"/>
        <w:jc w:val="left"/>
        <w:rPr>
          <w:color w:val="17365d"/>
          <w:sz w:val="34"/>
        </w:rPr>
      </w:pPr>
      <w:r>
        <w:rPr>
          <w:color w:val="17365d"/>
          <w:sz w:val="34"/>
          <w:lang w:val="en-US"/>
        </w:rPr>
        <w:t xml:space="preserve">                                     Answer of Question 2</w:t>
      </w:r>
    </w:p>
    <w:p>
      <w:pPr>
        <w:pStyle w:val="Heading1"/>
        <w:tabs>
          <w:tab w:val="center" w:pos="1501"/>
        </w:tabs>
        <w:spacing w:after="38"/>
        <w:ind w:left="0" w:firstLine="0"/>
        <w:rPr/>
      </w:pPr>
      <w:r>
        <w:t xml:space="preserve">                </w:t>
      </w:r>
      <w:r>
        <w:t xml:space="preserve">                                  </w:t>
      </w:r>
      <w:r>
        <w:t>I.</w:t>
      </w:r>
      <w:r>
        <w:rPr>
          <w:rFonts w:ascii="Arial" w:cs="Arial" w:eastAsia="Arial" w:hAnsi="Arial"/>
        </w:rPr>
        <w:t xml:space="preserve"> </w:t>
      </w:r>
      <w:r>
        <w:rPr>
          <w:rFonts w:ascii="Arial" w:cs="Arial" w:eastAsia="Arial" w:hAnsi="Arial"/>
        </w:rPr>
        <w:t xml:space="preserve"> </w:t>
      </w:r>
      <w:r>
        <w:t>I</w:t>
      </w:r>
      <w:r>
        <w:rPr>
          <w:lang w:val="en-US"/>
        </w:rPr>
        <w:t xml:space="preserve">nvestment </w:t>
      </w:r>
      <w:r>
        <w:t>R</w:t>
      </w:r>
      <w:r>
        <w:rPr>
          <w:lang w:val="en-US"/>
        </w:rPr>
        <w:t>atio</w:t>
      </w:r>
    </w:p>
    <w:p>
      <w:pPr>
        <w:pStyle w:val="Heading2"/>
        <w:tabs>
          <w:tab w:val="center" w:pos="2194"/>
        </w:tabs>
        <w:ind w:left="0" w:firstLine="0"/>
        <w:rPr/>
      </w:pPr>
      <w:r>
        <w:t xml:space="preserve">                                     1.</w:t>
      </w:r>
      <w:r>
        <w:t>Return on capital employed (ROCE)</w:t>
      </w:r>
      <w:r>
        <w:rPr>
          <w:b w:val="off"/>
        </w:rPr>
        <w:t xml:space="preserve"> </w:t>
      </w:r>
    </w:p>
    <w:p>
      <w:pPr>
        <w:pStyle w:val="Normal"/>
        <w:tabs>
          <w:tab w:val="center" w:pos="2194"/>
        </w:tabs>
        <w:ind w:left="0" w:firstLine="0"/>
        <w:rPr/>
      </w:pPr>
    </w:p>
    <w:p>
      <w:pPr>
        <w:ind w:left="560" w:right="5"/>
        <w:rPr/>
      </w:pPr>
      <w:r>
        <w:t>Return</w:t>
      </w:r>
      <w:r>
        <w:t xml:space="preserve"> on capital employed (ROCE) is a </w:t>
      </w:r>
      <w:r>
        <w:rPr>
          <w:lang w:val="en-US"/>
        </w:rPr>
        <w:t>profitability ratio that measures how effici</w:t>
      </w:r>
      <w:r>
        <w:rPr>
          <w:lang w:val="en-US"/>
        </w:rPr>
        <w:t>e</w:t>
      </w:r>
      <w:r>
        <w:rPr>
          <w:lang w:val="en-US"/>
        </w:rPr>
        <w:t xml:space="preserve">ntly </w:t>
      </w:r>
      <w:r>
        <w:t xml:space="preserve"> </w:t>
      </w:r>
      <w:r>
        <w:rPr>
          <w:lang w:val="en-US"/>
        </w:rPr>
        <w:t>a company can generate profit as much as possible from its capital employed by comparing net operation profit to capital employed.</w:t>
      </w:r>
    </w:p>
    <w:p>
      <w:pPr>
        <w:tabs>
          <w:tab w:val="center" w:pos="2126"/>
          <w:tab w:val="center" w:pos="4440"/>
        </w:tabs>
        <w:spacing w:after="219" w:line="259" w:lineRule="auto"/>
        <w:ind w:left="0" w:right="0" w:firstLine="0"/>
        <w:jc w:val="left"/>
        <w:rPr/>
      </w:pPr>
      <w:r>
        <w:rPr>
          <w:b/>
        </w:rPr>
        <w:t xml:space="preserve">                             ROCE = EBIT (Earnings before Interest and tax) / Capital employed</w:t>
      </w:r>
    </w:p>
    <w:p>
      <w:pPr>
        <w:tabs>
          <w:tab w:val="center" w:pos="2126"/>
          <w:tab w:val="center" w:pos="4440"/>
        </w:tabs>
        <w:spacing w:after="219" w:line="259" w:lineRule="auto"/>
        <w:ind w:left="0" w:right="0" w:firstLine="0"/>
        <w:jc w:val="left"/>
        <w:rPr/>
      </w:pPr>
    </w:p>
    <w:p>
      <w:pPr>
        <w:spacing w:after="10"/>
        <w:ind w:left="135" w:right="3094"/>
        <w:jc w:val="left"/>
        <w:rPr/>
      </w:pPr>
      <w:r>
        <w:t xml:space="preserve">                    Capital employed = Total assets - C</w:t>
      </w:r>
      <w:r>
        <w:t xml:space="preserve">urrent liabilities </w:t>
      </w:r>
    </w:p>
    <w:p>
      <w:pPr>
        <w:spacing w:after="15" w:line="259" w:lineRule="auto"/>
        <w:ind w:left="140" w:right="0" w:firstLine="0"/>
        <w:jc w:val="left"/>
        <w:rPr/>
      </w:pPr>
      <w:r>
        <w:t xml:space="preserve"> </w:t>
      </w:r>
    </w:p>
    <w:p>
      <w:pPr>
        <w:pStyle w:val="Heading1"/>
        <w:ind w:left="135"/>
        <w:rPr/>
      </w:pPr>
      <w:r>
        <w:t xml:space="preserve">Calculations/Result </w:t>
      </w:r>
    </w:p>
    <w:p>
      <w:pPr>
        <w:pStyle w:val="Normal"/>
        <w:ind w:left="135"/>
        <w:rPr/>
      </w:pPr>
    </w:p>
    <w:p>
      <w:pPr>
        <w:ind w:left="150" w:right="5"/>
        <w:rPr/>
      </w:pPr>
      <w:r>
        <w:rPr>
          <w:highlight w:val="darkBlue"/>
        </w:rPr>
        <w:t>2018: = 699/(10087-3046) * 100 = 10%</w:t>
      </w:r>
      <w:r>
        <w:t xml:space="preserve"> </w:t>
      </w:r>
    </w:p>
    <w:p>
      <w:pPr>
        <w:ind w:left="150" w:right="5"/>
        <w:rPr/>
      </w:pPr>
      <w:r>
        <w:rPr>
          <w:highlight w:val="darkBlue"/>
        </w:rPr>
        <w:t>2019: = 805/(9736-2511) * 100 = 11%</w:t>
      </w:r>
      <w:r>
        <w:t xml:space="preserve"> </w:t>
      </w:r>
    </w:p>
    <w:p>
      <w:pPr>
        <w:spacing w:after="16" w:line="259" w:lineRule="auto"/>
        <w:ind w:left="140" w:right="0" w:firstLine="0"/>
        <w:jc w:val="left"/>
        <w:rPr/>
      </w:pPr>
      <w:r>
        <w:t xml:space="preserve"> </w:t>
      </w:r>
    </w:p>
    <w:p>
      <w:pPr>
        <w:ind w:left="560" w:right="5"/>
        <w:rPr/>
      </w:pPr>
      <w:r>
        <w:t xml:space="preserve">In 2018 for every £100 </w:t>
      </w:r>
      <w:r>
        <w:rPr>
          <w:lang w:val="en-US"/>
        </w:rPr>
        <w:t xml:space="preserve">was </w:t>
      </w:r>
      <w:r>
        <w:t xml:space="preserve">invested in the company, </w:t>
      </w:r>
      <w:r>
        <w:rPr>
          <w:lang w:val="en-US"/>
        </w:rPr>
        <w:t xml:space="preserve">getting </w:t>
      </w:r>
      <w:r>
        <w:t>£10 in return. This p</w:t>
      </w:r>
      <w:r>
        <w:rPr>
          <w:lang w:val="en-US"/>
        </w:rPr>
        <w:t>iece</w:t>
      </w:r>
      <w:r>
        <w:t xml:space="preserve"> continues in 2019 with a slightly increase with 1% </w:t>
      </w:r>
    </w:p>
    <w:p>
      <w:pPr>
        <w:pStyle w:val="Heading2"/>
        <w:tabs>
          <w:tab w:val="center" w:pos="1640"/>
        </w:tabs>
        <w:ind w:left="0" w:firstLine="0"/>
        <w:rPr/>
      </w:pPr>
      <w:r>
        <w:t xml:space="preserve">                                              2</w:t>
      </w:r>
      <w:r>
        <w:rPr>
          <w:lang w:val="en-US"/>
        </w:rPr>
        <w:t>/</w:t>
      </w:r>
      <w:r>
        <w:t>Return on equity (ROE)</w:t>
      </w:r>
      <w:r>
        <w:rPr>
          <w:b w:val="off"/>
        </w:rPr>
        <w:t xml:space="preserve"> </w:t>
      </w:r>
    </w:p>
    <w:p>
      <w:pPr>
        <w:pStyle w:val="Normal"/>
        <w:tabs>
          <w:tab w:val="center" w:pos="1640"/>
        </w:tabs>
        <w:ind w:left="0" w:firstLine="0"/>
        <w:rPr/>
      </w:pPr>
    </w:p>
    <w:p>
      <w:pPr>
        <w:ind w:left="560" w:right="5"/>
        <w:rPr/>
      </w:pPr>
      <w:r>
        <w:rPr>
          <w:lang w:val="en-US"/>
        </w:rPr>
        <w:t>The Return On Equity ratio essentially measures the rate of return that the owners of ordinary stock</w:t>
      </w:r>
      <w:r>
        <w:t xml:space="preserve"> </w:t>
      </w:r>
      <w:r>
        <w:rPr>
          <w:lang w:val="en-US"/>
        </w:rPr>
        <w:t>of a company receive on their shareholdings.Return on equity signifies how is the company in generating returns on the investment it received from its shareholders.</w:t>
      </w:r>
    </w:p>
    <w:p>
      <w:pPr>
        <w:spacing w:after="15" w:line="259" w:lineRule="auto"/>
        <w:ind w:left="140" w:right="0" w:firstLine="0"/>
        <w:jc w:val="left"/>
        <w:rPr/>
      </w:pPr>
      <w:r>
        <w:t xml:space="preserve"> </w:t>
      </w:r>
    </w:p>
    <w:p>
      <w:pPr>
        <w:pStyle w:val="Heading1"/>
        <w:ind w:left="135"/>
        <w:rPr/>
      </w:pPr>
      <w:r>
        <w:t xml:space="preserve">                       ROE = Net Income / Average shareholders' equity </w:t>
      </w:r>
    </w:p>
    <w:p>
      <w:pPr>
        <w:spacing w:after="15" w:line="259" w:lineRule="auto"/>
        <w:ind w:left="140" w:right="0" w:firstLine="0"/>
        <w:jc w:val="left"/>
        <w:rPr/>
      </w:pPr>
      <w:r>
        <w:t xml:space="preserve"> </w:t>
      </w:r>
    </w:p>
    <w:p>
      <w:pPr>
        <w:ind w:left="150" w:right="5"/>
        <w:rPr/>
      </w:pPr>
      <w:r>
        <w:rPr>
          <w:highlight w:val="darkBlue"/>
        </w:rPr>
        <w:t>2018: = 366 / 2912 * 100 = 13%</w:t>
      </w:r>
      <w:r>
        <w:t xml:space="preserve"> </w:t>
      </w:r>
    </w:p>
    <w:p>
      <w:pPr>
        <w:ind w:left="150" w:right="5"/>
        <w:rPr/>
      </w:pPr>
      <w:r>
        <w:rPr>
          <w:highlight w:val="darkBlue"/>
        </w:rPr>
        <w:t>2019: = 4</w:t>
      </w:r>
      <w:r>
        <w:rPr>
          <w:highlight w:val="darkBlue"/>
        </w:rPr>
        <w:t>31 / 3088 * 100 = 14%</w:t>
      </w:r>
      <w:r>
        <w:t xml:space="preserve"> </w:t>
      </w:r>
    </w:p>
    <w:p>
      <w:pPr>
        <w:spacing w:after="15" w:line="259" w:lineRule="auto"/>
        <w:ind w:left="140" w:right="0" w:firstLine="0"/>
        <w:jc w:val="left"/>
        <w:rPr/>
      </w:pPr>
      <w:r>
        <w:t xml:space="preserve"> </w:t>
      </w:r>
    </w:p>
    <w:p>
      <w:pPr>
        <w:spacing w:after="23" w:line="247" w:lineRule="auto"/>
        <w:ind w:left="565" w:right="-9" w:firstLine="0"/>
        <w:jc w:val="left"/>
        <w:rPr/>
      </w:pPr>
      <w:r>
        <w:t xml:space="preserve">In 2018 for every £100 the shareholders get in return £13. This is acceptable as a high rate </w:t>
      </w:r>
      <w:r>
        <w:rPr>
          <w:lang w:val="en-US"/>
        </w:rPr>
        <w:t>of</w:t>
      </w:r>
      <w:r>
        <w:t xml:space="preserve"> return on equity. In 2019 w</w:t>
      </w:r>
      <w:r>
        <w:rPr>
          <w:lang w:val="en-US"/>
        </w:rPr>
        <w:t>e have</w:t>
      </w:r>
      <w:r>
        <w:t xml:space="preserve"> increase with 1%. The company has a good profitability in relation </w:t>
      </w:r>
      <w:r>
        <w:rPr>
          <w:lang w:val="en-US"/>
        </w:rPr>
        <w:t xml:space="preserve">in </w:t>
      </w:r>
      <w:r>
        <w:t xml:space="preserve">to equity </w:t>
      </w:r>
      <w:r>
        <w:rPr>
          <w:lang w:val="en-US"/>
        </w:rPr>
        <w:t>.</w:t>
      </w:r>
    </w:p>
    <w:p>
      <w:pPr>
        <w:spacing w:after="15" w:line="259" w:lineRule="auto"/>
        <w:ind w:left="140" w:right="0" w:firstLine="0"/>
        <w:jc w:val="left"/>
        <w:rPr/>
      </w:pPr>
      <w:r>
        <w:t xml:space="preserve"> </w:t>
      </w:r>
    </w:p>
    <w:p>
      <w:pPr>
        <w:spacing w:after="40" w:line="259" w:lineRule="auto"/>
        <w:ind w:left="140" w:right="0" w:firstLine="0"/>
        <w:jc w:val="left"/>
        <w:rPr/>
      </w:pPr>
      <w:r>
        <w:t xml:space="preserve"> </w:t>
      </w:r>
    </w:p>
    <w:p>
      <w:pPr>
        <w:pStyle w:val="Heading2"/>
        <w:tabs>
          <w:tab w:val="center" w:pos="1707"/>
        </w:tabs>
        <w:ind w:left="0" w:firstLine="0"/>
        <w:rPr/>
      </w:pPr>
      <w:r>
        <w:t xml:space="preserve">                                            3</w:t>
      </w:r>
      <w:r>
        <w:rPr>
          <w:lang w:val="en-US"/>
        </w:rPr>
        <w:t>/</w:t>
      </w:r>
      <w:r>
        <w:rPr>
          <w:rFonts w:ascii="Arial" w:cs="Arial" w:eastAsia="Arial" w:hAnsi="Arial"/>
        </w:rPr>
        <w:tab/>
      </w:r>
      <w:r>
        <w:t>Earnings per share (EPS)</w:t>
      </w:r>
      <w:r>
        <w:rPr>
          <w:b w:val="off"/>
        </w:rPr>
        <w:t xml:space="preserve"> </w:t>
      </w:r>
    </w:p>
    <w:p>
      <w:pPr>
        <w:pStyle w:val="Normal"/>
        <w:tabs>
          <w:tab w:val="center" w:pos="1707"/>
        </w:tabs>
        <w:ind w:left="0" w:firstLine="0"/>
        <w:rPr/>
      </w:pPr>
    </w:p>
    <w:p>
      <w:pPr>
        <w:spacing w:after="15" w:line="259" w:lineRule="auto"/>
        <w:ind w:left="140" w:right="0" w:firstLine="0"/>
        <w:jc w:val="left"/>
        <w:rPr/>
      </w:pPr>
      <w:r>
        <w:rPr>
          <w:lang w:val="en-US"/>
        </w:rPr>
        <w:t xml:space="preserve">EPS its mean each company how much money they receive as a profit from from its shares,or exactly </w:t>
      </w:r>
      <w:r>
        <w:t xml:space="preserve"> </w:t>
      </w:r>
      <w:r>
        <w:rPr>
          <w:lang w:val="en-US"/>
        </w:rPr>
        <w:t>from each on of them,it is calculation between outstanding shares and profit of its ordinary stocks.</w:t>
      </w:r>
    </w:p>
    <w:p>
      <w:pPr>
        <w:pStyle w:val="Heading1"/>
        <w:ind w:left="135"/>
        <w:rPr/>
      </w:pPr>
      <w:r>
        <w:t xml:space="preserve">                               EPS </w:t>
      </w:r>
      <w:r>
        <w:rPr>
          <w:lang w:val="en-US"/>
        </w:rPr>
        <w:t xml:space="preserve">is equal to </w:t>
      </w:r>
      <w:r>
        <w:t xml:space="preserve">Net profit  / Ordinary shares </w:t>
      </w:r>
    </w:p>
    <w:p>
      <w:pPr>
        <w:spacing w:after="15" w:line="259" w:lineRule="auto"/>
        <w:ind w:left="140" w:right="0" w:firstLine="0"/>
        <w:jc w:val="left"/>
        <w:rPr/>
      </w:pPr>
      <w:r>
        <w:t xml:space="preserve"> </w:t>
      </w:r>
    </w:p>
    <w:p>
      <w:pPr>
        <w:ind w:left="150" w:right="5"/>
        <w:rPr>
          <w:highlight w:val="darkBlue"/>
        </w:rPr>
      </w:pPr>
      <w:r>
        <w:rPr>
          <w:highlight w:val="darkBlue"/>
        </w:rPr>
        <w:t xml:space="preserve">2018: = 366/300 = 1.22 </w:t>
      </w:r>
    </w:p>
    <w:p>
      <w:pPr>
        <w:ind w:left="150" w:right="5"/>
        <w:rPr>
          <w:highlight w:val="darkBlue"/>
        </w:rPr>
      </w:pPr>
      <w:r>
        <w:rPr>
          <w:highlight w:val="darkBlue"/>
        </w:rPr>
        <w:t xml:space="preserve">2019: = 431/300 = 1.44 </w:t>
      </w:r>
    </w:p>
    <w:p>
      <w:pPr>
        <w:spacing w:after="10" w:line="259" w:lineRule="auto"/>
        <w:ind w:left="140" w:right="0" w:firstLine="0"/>
        <w:jc w:val="left"/>
        <w:rPr/>
      </w:pPr>
      <w:r>
        <w:t xml:space="preserve"> </w:t>
      </w:r>
    </w:p>
    <w:p>
      <w:pPr>
        <w:spacing w:after="207"/>
        <w:ind w:left="560" w:right="5"/>
        <w:rPr/>
      </w:pPr>
      <w:r>
        <w:t xml:space="preserve">In 2018 for every </w:t>
      </w:r>
      <w:r>
        <w:rPr>
          <w:lang w:val="en-US"/>
        </w:rPr>
        <w:t>simple</w:t>
      </w:r>
      <w:r>
        <w:t xml:space="preserve"> share held in the company, it earns £1,22 of net prof</w:t>
      </w:r>
      <w:r>
        <w:t xml:space="preserve">it. EPS ratio increases in 2019. </w:t>
      </w:r>
      <w:r>
        <w:rPr>
          <w:lang w:val="en-US"/>
        </w:rPr>
        <w:t>C</w:t>
      </w:r>
      <w:r>
        <w:t xml:space="preserve">ompany has a strong financial position and  </w:t>
      </w:r>
      <w:r>
        <w:rPr>
          <w:lang w:val="en-US"/>
        </w:rPr>
        <w:t xml:space="preserve">its able </w:t>
      </w:r>
      <w:r>
        <w:t xml:space="preserve">to invest. </w:t>
      </w:r>
    </w:p>
    <w:p>
      <w:pPr>
        <w:spacing w:after="240" w:line="259" w:lineRule="auto"/>
        <w:ind w:left="140" w:right="0" w:firstLine="0"/>
        <w:jc w:val="left"/>
        <w:rPr/>
      </w:pPr>
      <w:r>
        <w:t xml:space="preserve"> </w:t>
      </w:r>
    </w:p>
    <w:p>
      <w:pPr>
        <w:pStyle w:val="Heading1"/>
        <w:tabs>
          <w:tab w:val="center" w:pos="1670"/>
        </w:tabs>
        <w:spacing w:after="38"/>
        <w:ind w:left="0" w:firstLine="0"/>
        <w:rPr/>
      </w:pPr>
      <w:r>
        <w:t xml:space="preserve">                                         II</w:t>
      </w:r>
      <w:r>
        <w:rPr>
          <w:lang w:val="en-US"/>
        </w:rPr>
        <w:t>/</w:t>
      </w:r>
      <w:r>
        <w:t>PROFITABILITY RATIOS</w:t>
      </w:r>
      <w:r>
        <w:rPr>
          <w:b w:val="off"/>
        </w:rPr>
        <w:t xml:space="preserve"> </w:t>
      </w:r>
    </w:p>
    <w:p>
      <w:pPr>
        <w:pStyle w:val="Heading2"/>
        <w:tabs>
          <w:tab w:val="center" w:pos="1779"/>
        </w:tabs>
        <w:ind w:left="0" w:firstLine="0"/>
        <w:rPr/>
      </w:pPr>
      <w:r>
        <w:t xml:space="preserve">                                           1</w:t>
      </w:r>
      <w:r>
        <w:rPr>
          <w:lang w:val="en-US"/>
        </w:rPr>
        <w:t>/</w:t>
      </w:r>
      <w:r>
        <w:t xml:space="preserve">Gross profit margin (GPM) </w:t>
      </w:r>
    </w:p>
    <w:p>
      <w:pPr>
        <w:tabs>
          <w:tab w:val="center" w:pos="2126"/>
          <w:tab w:val="center" w:pos="4440"/>
        </w:tabs>
        <w:spacing w:after="219" w:line="259" w:lineRule="auto"/>
        <w:ind w:left="0" w:right="0" w:firstLine="0"/>
        <w:jc w:val="left"/>
        <w:rPr/>
      </w:pPr>
    </w:p>
    <w:p>
      <w:pPr>
        <w:tabs>
          <w:tab w:val="center" w:pos="2126"/>
          <w:tab w:val="center" w:pos="4440"/>
        </w:tabs>
        <w:spacing w:after="219" w:line="259" w:lineRule="auto"/>
        <w:ind w:left="0" w:right="0" w:firstLine="0"/>
        <w:jc w:val="left"/>
        <w:rPr/>
      </w:pPr>
      <w:r>
        <w:rPr>
          <w:lang w:val="en-US"/>
        </w:rPr>
        <w:t>Gross profit margin is in indicator of whether a company is running an efficient operation and if its sales are good enough.</w:t>
      </w:r>
    </w:p>
    <w:p>
      <w:pPr>
        <w:tabs>
          <w:tab w:val="center" w:pos="2126"/>
          <w:tab w:val="center" w:pos="4440"/>
        </w:tabs>
        <w:spacing w:after="219" w:line="259" w:lineRule="auto"/>
        <w:ind w:left="0" w:right="0" w:firstLine="0"/>
        <w:jc w:val="left"/>
        <w:rPr/>
      </w:pPr>
    </w:p>
    <w:p>
      <w:pPr>
        <w:tabs>
          <w:tab w:val="center" w:pos="2126"/>
          <w:tab w:val="center" w:pos="4440"/>
        </w:tabs>
        <w:spacing w:after="219" w:line="259" w:lineRule="auto"/>
        <w:ind w:left="0" w:right="0" w:firstLine="0"/>
        <w:jc w:val="left"/>
        <w:rPr/>
      </w:pPr>
    </w:p>
    <w:p>
      <w:pPr>
        <w:spacing w:after="15" w:line="259" w:lineRule="auto"/>
        <w:ind w:left="140" w:right="0" w:firstLine="0"/>
        <w:jc w:val="left"/>
        <w:rPr/>
      </w:pPr>
      <w:r>
        <w:t xml:space="preserve"> </w:t>
      </w:r>
      <w:r>
        <w:rPr>
          <w:lang w:val="en-US"/>
        </w:rPr>
        <w:t>THE FORMULA</w:t>
      </w:r>
    </w:p>
    <w:p>
      <w:pPr>
        <w:spacing w:after="0" w:line="275" w:lineRule="auto"/>
        <w:ind w:left="0" w:right="4500" w:firstLine="0"/>
        <w:jc w:val="left"/>
        <w:rPr/>
      </w:pPr>
      <w:r>
        <w:rPr>
          <w:b/>
        </w:rPr>
        <w:t xml:space="preserve">Gross Profit Margin = (Net Sales − COGS) / Net </w:t>
      </w:r>
      <w:r>
        <w:rPr>
          <w:b/>
        </w:rPr>
        <w:t xml:space="preserve">      Sales </w:t>
      </w:r>
      <w:r>
        <w:t xml:space="preserve">where COGS = cost of goods sold </w:t>
      </w:r>
    </w:p>
    <w:p>
      <w:pPr>
        <w:spacing w:after="15" w:line="259" w:lineRule="auto"/>
        <w:ind w:left="140" w:right="0" w:firstLine="0"/>
        <w:jc w:val="left"/>
        <w:rPr/>
      </w:pPr>
      <w:r>
        <w:t xml:space="preserve"> </w:t>
      </w:r>
    </w:p>
    <w:p>
      <w:pPr>
        <w:ind w:left="150" w:right="5"/>
        <w:rPr/>
      </w:pPr>
      <w:r>
        <w:rPr>
          <w:highlight w:val="darkBlue"/>
        </w:rPr>
        <w:t>2018: = (6441-3096) / 6441 * 100 = 52%</w:t>
      </w:r>
      <w:r>
        <w:t xml:space="preserve"> </w:t>
      </w:r>
    </w:p>
    <w:p>
      <w:pPr>
        <w:ind w:left="150" w:right="5"/>
        <w:rPr/>
      </w:pPr>
      <w:r>
        <w:rPr>
          <w:highlight w:val="darkBlue"/>
        </w:rPr>
        <w:t>2019: = (6738-</w:t>
      </w:r>
      <w:r>
        <w:rPr>
          <w:highlight w:val="darkBlue"/>
        </w:rPr>
        <w:t>3235)/6738 * 100 = 52%</w:t>
      </w:r>
      <w:r>
        <w:t xml:space="preserve"> </w:t>
      </w:r>
    </w:p>
    <w:p>
      <w:pPr>
        <w:spacing w:after="15" w:line="259" w:lineRule="auto"/>
        <w:ind w:left="140" w:right="0" w:firstLine="0"/>
        <w:jc w:val="left"/>
        <w:rPr/>
      </w:pPr>
      <w:r>
        <w:t xml:space="preserve"> </w:t>
      </w:r>
    </w:p>
    <w:p>
      <w:pPr>
        <w:tabs>
          <w:tab w:val="center" w:pos="2126"/>
          <w:tab w:val="center" w:pos="4440"/>
        </w:tabs>
        <w:spacing w:after="219" w:line="259" w:lineRule="auto"/>
        <w:ind w:left="0" w:right="0" w:firstLine="0"/>
        <w:jc w:val="left"/>
        <w:rPr/>
      </w:pPr>
      <w:r>
        <w:t xml:space="preserve">The company works with a margin of 52% of the Gross profit. This means that the company will earn £52 on every £100 sales. The ratio doesn't fluctuates in last 2 years. </w:t>
      </w:r>
    </w:p>
    <w:p>
      <w:pPr>
        <w:tabs>
          <w:tab w:val="center" w:pos="2126"/>
          <w:tab w:val="center" w:pos="4440"/>
        </w:tabs>
        <w:spacing w:after="219" w:line="259" w:lineRule="auto"/>
        <w:ind w:left="0" w:right="0" w:firstLine="0"/>
        <w:jc w:val="left"/>
        <w:rPr/>
      </w:pPr>
    </w:p>
    <w:p>
      <w:pPr>
        <w:pStyle w:val="Heading2"/>
        <w:tabs>
          <w:tab w:val="center" w:pos="1682"/>
        </w:tabs>
        <w:ind w:left="0" w:firstLine="0"/>
        <w:rPr/>
      </w:pPr>
      <w:r>
        <w:t xml:space="preserve">                                            2</w:t>
      </w:r>
      <w:r>
        <w:rPr>
          <w:lang w:val="en-US"/>
        </w:rPr>
        <w:t>/</w:t>
      </w:r>
      <w:r>
        <w:rPr>
          <w:rFonts w:ascii="Arial" w:cs="Arial" w:eastAsia="Arial" w:hAnsi="Arial"/>
        </w:rPr>
        <w:tab/>
      </w:r>
      <w:r>
        <w:t xml:space="preserve">Net profit margin (NPM) </w:t>
      </w:r>
    </w:p>
    <w:p>
      <w:pPr>
        <w:pStyle w:val="Normal"/>
        <w:tabs>
          <w:tab w:val="center" w:pos="1682"/>
        </w:tabs>
        <w:ind w:left="0" w:firstLine="0"/>
        <w:rPr/>
      </w:pPr>
    </w:p>
    <w:p>
      <w:pPr>
        <w:ind w:left="560" w:right="5"/>
        <w:rPr/>
      </w:pPr>
      <w:r>
        <w:t>The net profit margin is equal to how much net income or profit is generated as a percentage of revenue. Net profit margin is the ratio of net profits to revenues for a company or business segment. Net profit margin is typically expressed as a percentage b</w:t>
      </w:r>
      <w:r>
        <w:t xml:space="preserve">ut can also be represented in decimal form. The net profit margin illustrates how much of each GBP in revenue collected by a company translates into profit. </w:t>
      </w:r>
    </w:p>
    <w:p>
      <w:pPr>
        <w:ind w:left="560" w:right="5"/>
        <w:rPr/>
      </w:pPr>
      <w:r>
        <w:t>Net income is also called the bottom line for a company or the net profit. Net profit margin is al</w:t>
      </w:r>
      <w:r>
        <w:t xml:space="preserve">so called net margin. The term net profits is equivalent to net income on the income statement, and one can use the terms interchangeably. </w:t>
      </w:r>
    </w:p>
    <w:p>
      <w:pPr>
        <w:ind w:left="560" w:right="5"/>
        <w:rPr/>
      </w:pPr>
      <w:r>
        <w:t xml:space="preserve"> </w:t>
      </w:r>
    </w:p>
    <w:p>
      <w:pPr>
        <w:spacing w:after="10"/>
        <w:ind w:left="135" w:right="4620"/>
        <w:jc w:val="left"/>
        <w:rPr/>
      </w:pPr>
      <w:r>
        <w:rPr>
          <w:b/>
        </w:rPr>
        <w:t xml:space="preserve">Net Profit Margin = (R – COGS – E – I – T) / R * 100 </w:t>
      </w:r>
      <w:r>
        <w:t xml:space="preserve">Where: </w:t>
      </w:r>
    </w:p>
    <w:p>
      <w:pPr>
        <w:ind w:left="150" w:right="5"/>
        <w:rPr/>
      </w:pPr>
      <w:r>
        <w:t xml:space="preserve">R = Revenue </w:t>
      </w:r>
    </w:p>
    <w:p>
      <w:pPr>
        <w:ind w:left="150" w:right="5"/>
        <w:rPr/>
      </w:pPr>
      <w:r>
        <w:t xml:space="preserve">COGS = Cost Of Goods Sold </w:t>
      </w:r>
    </w:p>
    <w:p>
      <w:pPr>
        <w:ind w:left="150" w:right="5"/>
        <w:rPr/>
      </w:pPr>
      <w:r>
        <w:t xml:space="preserve">E = Operating and other expenses </w:t>
      </w:r>
    </w:p>
    <w:p>
      <w:pPr>
        <w:ind w:left="150" w:right="5"/>
        <w:rPr/>
      </w:pPr>
      <w:r>
        <w:t xml:space="preserve">I = Interest paid </w:t>
      </w:r>
    </w:p>
    <w:p>
      <w:pPr>
        <w:ind w:left="150" w:right="5"/>
        <w:rPr/>
      </w:pPr>
      <w:r>
        <w:t xml:space="preserve">T = Taxes paid </w:t>
      </w:r>
    </w:p>
    <w:p>
      <w:pPr>
        <w:spacing w:after="15" w:line="259" w:lineRule="auto"/>
        <w:ind w:left="140" w:right="0" w:firstLine="0"/>
        <w:jc w:val="left"/>
        <w:rPr/>
      </w:pPr>
      <w:r>
        <w:t xml:space="preserve"> </w:t>
      </w:r>
    </w:p>
    <w:p>
      <w:pPr>
        <w:ind w:left="150" w:right="5"/>
        <w:rPr/>
      </w:pPr>
      <w:r>
        <w:rPr>
          <w:highlight w:val="darkBlue"/>
        </w:rPr>
        <w:t>2018: = 366/6441 * 100 = 6%</w:t>
      </w:r>
      <w:r>
        <w:t xml:space="preserve"> </w:t>
      </w:r>
    </w:p>
    <w:p>
      <w:pPr>
        <w:ind w:left="150" w:right="5"/>
        <w:rPr/>
      </w:pPr>
      <w:r>
        <w:rPr>
          <w:highlight w:val="darkBlue"/>
        </w:rPr>
        <w:t>2</w:t>
      </w:r>
      <w:r>
        <w:rPr>
          <w:highlight w:val="darkBlue"/>
        </w:rPr>
        <w:t>019: = 431 / 6738 * 100 = 6%</w:t>
      </w:r>
      <w:r>
        <w:t xml:space="preserve"> </w:t>
      </w:r>
    </w:p>
    <w:p>
      <w:pPr>
        <w:spacing w:after="15" w:line="259" w:lineRule="auto"/>
        <w:ind w:left="140" w:right="0" w:firstLine="0"/>
        <w:jc w:val="left"/>
        <w:rPr/>
      </w:pPr>
      <w:r>
        <w:t xml:space="preserve"> </w:t>
      </w:r>
    </w:p>
    <w:p>
      <w:pPr>
        <w:ind w:left="560" w:right="5"/>
        <w:rPr/>
      </w:pPr>
      <w:r>
        <w:t xml:space="preserve">Net profit is to low comparing to the Gross profit. It is only 6% after operating costs, Interest paid and </w:t>
      </w:r>
    </w:p>
    <w:p>
      <w:pPr>
        <w:spacing w:after="201"/>
        <w:ind w:left="560" w:right="5"/>
        <w:rPr/>
      </w:pPr>
      <w:r>
        <w:t>Taxation are divided. The largest part is occupied by marketing and selling costs. They account for nearly 50% of t</w:t>
      </w:r>
      <w:r>
        <w:t xml:space="preserve">otal operating costs both in 2018 and 2019 </w:t>
      </w:r>
    </w:p>
    <w:p>
      <w:pPr>
        <w:pStyle w:val="Heading1"/>
        <w:spacing w:after="33"/>
        <w:ind w:left="135"/>
        <w:rPr/>
      </w:pPr>
      <w:r>
        <w:t xml:space="preserve">                                          III</w:t>
      </w:r>
      <w:r>
        <w:rPr>
          <w:lang w:val="en-US"/>
        </w:rPr>
        <w:t>/</w:t>
      </w:r>
      <w:r>
        <w:t>E</w:t>
      </w:r>
      <w:r>
        <w:rPr>
          <w:lang w:val="en-US"/>
        </w:rPr>
        <w:t>ffi</w:t>
      </w:r>
      <w:r>
        <w:rPr>
          <w:lang w:val="en-US"/>
        </w:rPr>
        <w:t>c</w:t>
      </w:r>
      <w:r>
        <w:rPr>
          <w:lang w:val="en-US"/>
        </w:rPr>
        <w:t>i</w:t>
      </w:r>
      <w:r>
        <w:rPr>
          <w:lang w:val="en-US"/>
        </w:rPr>
        <w:t>e</w:t>
      </w:r>
      <w:r>
        <w:rPr>
          <w:lang w:val="en-US"/>
        </w:rPr>
        <w:t>n</w:t>
      </w:r>
      <w:r>
        <w:rPr>
          <w:lang w:val="en-US"/>
        </w:rPr>
        <w:t>c</w:t>
      </w:r>
      <w:r>
        <w:rPr>
          <w:lang w:val="en-US"/>
        </w:rPr>
        <w:t xml:space="preserve">y </w:t>
      </w:r>
      <w:r>
        <w:t>R</w:t>
      </w:r>
      <w:r>
        <w:rPr>
          <w:lang w:val="en-US"/>
        </w:rPr>
        <w:t>atios</w:t>
      </w:r>
    </w:p>
    <w:p>
      <w:pPr>
        <w:pStyle w:val="Heading2"/>
        <w:tabs>
          <w:tab w:val="center" w:pos="1243"/>
        </w:tabs>
        <w:ind w:left="0" w:firstLine="0"/>
        <w:rPr/>
      </w:pPr>
      <w:r>
        <w:t xml:space="preserve">                                                 1</w:t>
      </w:r>
      <w:r>
        <w:rPr>
          <w:lang w:val="en-US"/>
        </w:rPr>
        <w:t>/</w:t>
      </w:r>
      <w:r>
        <w:t xml:space="preserve">Asset turnover </w:t>
      </w:r>
    </w:p>
    <w:p>
      <w:pPr>
        <w:pStyle w:val="Normal"/>
        <w:tabs>
          <w:tab w:val="center" w:pos="1243"/>
        </w:tabs>
        <w:ind w:left="0" w:firstLine="0"/>
        <w:rPr/>
      </w:pPr>
    </w:p>
    <w:p>
      <w:pPr>
        <w:ind w:left="560" w:right="5"/>
        <w:rPr/>
      </w:pPr>
      <w:r>
        <w:t xml:space="preserve">The asset turnover ratio measures the value of a company's sales or revenues relative to the value of its assets. The asset turnover ratio can be used as an indicator of the efficiency with which a company is using its assets to generate revenue. </w:t>
      </w:r>
    </w:p>
    <w:p>
      <w:pPr>
        <w:ind w:left="560" w:right="5"/>
        <w:rPr/>
      </w:pPr>
      <w:r>
        <w:t>The high</w:t>
      </w:r>
      <w:r>
        <w:t xml:space="preserve">er the asset turnover ratio, the more efficient a company is at generating revenue from its assets. Conversely, if a company has a low asset turnover ratio, it indicates it is not efficiently using its assets to </w:t>
      </w:r>
      <w:r>
        <w:t xml:space="preserve">generate sales. </w:t>
      </w:r>
    </w:p>
    <w:p>
      <w:pPr>
        <w:ind w:left="560" w:right="5"/>
        <w:rPr/>
      </w:pPr>
      <w:r>
        <w:t>Asset turnover is the ratio</w:t>
      </w:r>
      <w:r>
        <w:t xml:space="preserve"> of total sales or revenue to average assets. </w:t>
      </w:r>
    </w:p>
    <w:p>
      <w:pPr>
        <w:ind w:left="150" w:right="4300"/>
        <w:jc w:val="left"/>
        <w:rPr/>
      </w:pPr>
      <w:r>
        <w:rPr>
          <w:b/>
        </w:rPr>
        <w:t>Assets Turnover =</w:t>
      </w:r>
      <w:r>
        <w:rPr>
          <w:b/>
        </w:rPr>
        <w:t xml:space="preserve"> Total turnover / Capital employed, </w:t>
      </w:r>
      <w:r>
        <w:t xml:space="preserve">where Capital employed is = Total assets - Current liabilities </w:t>
      </w:r>
    </w:p>
    <w:p>
      <w:pPr>
        <w:spacing w:after="15" w:line="259" w:lineRule="auto"/>
        <w:ind w:left="0" w:right="0" w:firstLine="0"/>
        <w:jc w:val="left"/>
        <w:rPr/>
      </w:pPr>
      <w:r>
        <w:t xml:space="preserve"> </w:t>
      </w:r>
    </w:p>
    <w:p>
      <w:pPr>
        <w:ind w:left="150" w:right="5"/>
        <w:jc w:val="left"/>
        <w:rPr>
          <w:highlight w:val="darkBlue"/>
        </w:rPr>
      </w:pPr>
      <w:r>
        <w:rPr>
          <w:highlight w:val="darkBlue"/>
        </w:rPr>
        <w:t xml:space="preserve">2018: = 6411 / (10087-3046) = 0.91 </w:t>
      </w:r>
    </w:p>
    <w:p>
      <w:pPr>
        <w:ind w:left="150" w:right="5"/>
        <w:jc w:val="left"/>
        <w:rPr/>
      </w:pPr>
      <w:r>
        <w:rPr>
          <w:highlight w:val="darkBlue"/>
        </w:rPr>
        <w:t>2019: = 6738 / (9736-2511) = 0.93</w:t>
      </w:r>
      <w:r>
        <w:t xml:space="preserve"> </w:t>
      </w:r>
    </w:p>
    <w:p>
      <w:pPr>
        <w:spacing w:after="15" w:line="259" w:lineRule="auto"/>
        <w:ind w:left="140" w:right="0" w:firstLine="0"/>
        <w:jc w:val="left"/>
        <w:rPr/>
      </w:pPr>
      <w:r>
        <w:t xml:space="preserve"> </w:t>
      </w:r>
    </w:p>
    <w:p>
      <w:pPr>
        <w:ind w:left="560" w:right="5"/>
        <w:rPr/>
      </w:pPr>
      <w:r>
        <w:t xml:space="preserve">The asset turnover is with low result in both 2018 and 2019. It is under 1. This means that the company is not efficiently using assets to generate sales </w:t>
      </w:r>
    </w:p>
    <w:p>
      <w:pPr>
        <w:pStyle w:val="Heading2"/>
        <w:tabs>
          <w:tab w:val="center" w:pos="2527"/>
        </w:tabs>
        <w:ind w:left="0" w:firstLine="0"/>
        <w:rPr/>
      </w:pPr>
      <w:r>
        <w:t xml:space="preserve">                       2</w:t>
      </w:r>
      <w:r>
        <w:rPr>
          <w:lang w:val="en-US"/>
        </w:rPr>
        <w:t>/</w:t>
      </w:r>
      <w:r>
        <w:t xml:space="preserve">Stock holding period / Inventory Turnover </w:t>
      </w:r>
    </w:p>
    <w:p>
      <w:pPr>
        <w:pStyle w:val="Normal"/>
        <w:tabs>
          <w:tab w:val="center" w:pos="2527"/>
        </w:tabs>
        <w:ind w:left="0" w:firstLine="0"/>
        <w:rPr/>
      </w:pPr>
    </w:p>
    <w:p>
      <w:pPr>
        <w:ind w:left="560" w:right="5"/>
        <w:rPr/>
      </w:pPr>
      <w:r>
        <w:t>Inventory turnover is a ratio showing how many times</w:t>
      </w:r>
      <w:r>
        <w:t xml:space="preserve"> a company has sold and replaced inventory during a given period. A company can then divide the days in the period by the inventory turnover formula to calculate the days it takes to sell the inventory on hand. Calculating inventory turnover can help busin</w:t>
      </w:r>
      <w:r>
        <w:t xml:space="preserve">esses make better decisions on pricing, manufacturing, marketing and purchasing new inventory. </w:t>
      </w:r>
    </w:p>
    <w:p>
      <w:pPr>
        <w:ind w:left="560" w:right="5"/>
        <w:rPr/>
      </w:pPr>
      <w:r>
        <w:t xml:space="preserve">Inventory turnover measures how fast a company sells inventory and how analysts compare it to industry averages. A low turnover implies weak sales and possibly </w:t>
      </w:r>
      <w:r>
        <w:t xml:space="preserve">excess inventory, also known as overstocking. It may indicate a problem with the goods being offered for sale or be a result of too little marketing. </w:t>
      </w:r>
    </w:p>
    <w:p>
      <w:pPr>
        <w:spacing w:after="15" w:line="259" w:lineRule="auto"/>
        <w:ind w:left="140" w:right="0" w:firstLine="0"/>
        <w:jc w:val="left"/>
        <w:rPr/>
      </w:pPr>
      <w:r>
        <w:t xml:space="preserve"> </w:t>
      </w:r>
    </w:p>
    <w:p>
      <w:pPr>
        <w:pStyle w:val="Heading1"/>
        <w:ind w:left="135"/>
        <w:rPr/>
      </w:pPr>
      <w:r>
        <w:t xml:space="preserve">Inventory Turnover </w:t>
      </w:r>
      <w:r>
        <w:rPr>
          <w:lang w:val="en-US"/>
        </w:rPr>
        <w:t xml:space="preserve">is equal to </w:t>
      </w:r>
      <w:r>
        <w:t xml:space="preserve">(Inventory / Cost Of Goods Sold) * 365 </w:t>
      </w:r>
    </w:p>
    <w:p>
      <w:pPr>
        <w:spacing w:after="15" w:line="259" w:lineRule="auto"/>
        <w:ind w:left="140" w:right="0" w:firstLine="0"/>
        <w:jc w:val="left"/>
        <w:rPr/>
      </w:pPr>
      <w:r>
        <w:rPr>
          <w:b/>
        </w:rPr>
        <w:t xml:space="preserve"> </w:t>
      </w:r>
    </w:p>
    <w:p>
      <w:pPr>
        <w:ind w:left="150" w:right="5"/>
        <w:rPr>
          <w:highlight w:val="darkBlue"/>
        </w:rPr>
      </w:pPr>
      <w:r>
        <w:rPr>
          <w:highlight w:val="darkBlue"/>
        </w:rPr>
        <w:t xml:space="preserve">2018: = (659/3096) * 365 = 78 days </w:t>
      </w:r>
    </w:p>
    <w:p>
      <w:pPr>
        <w:ind w:left="150" w:right="5"/>
        <w:rPr/>
      </w:pPr>
      <w:r>
        <w:rPr>
          <w:highlight w:val="darkBlue"/>
        </w:rPr>
        <w:t>2019: = (708/3235) * 365 = 80 days</w:t>
      </w:r>
      <w:r>
        <w:t xml:space="preserve"> </w:t>
      </w:r>
    </w:p>
    <w:p>
      <w:pPr>
        <w:ind w:left="560" w:right="5"/>
        <w:rPr/>
      </w:pPr>
      <w:r>
        <w:t>The inventory turnover is higher then a month (twice and more) and it increases in 2019 (it takes 80 days to</w:t>
      </w:r>
      <w:r>
        <w:t xml:space="preserve"> turn inventory into sales). The company is manufacturer and the sales are made worldwide. In connection with this information, we can assume that this is a normal period, as the company must maintain stocks in order to have a smooth production. </w:t>
      </w:r>
    </w:p>
    <w:p>
      <w:pPr>
        <w:spacing w:after="40" w:line="259" w:lineRule="auto"/>
        <w:ind w:left="140" w:right="0" w:firstLine="0"/>
        <w:jc w:val="left"/>
        <w:rPr/>
      </w:pPr>
      <w:r>
        <w:t xml:space="preserve"> </w:t>
      </w:r>
    </w:p>
    <w:p>
      <w:pPr>
        <w:pStyle w:val="Heading2"/>
        <w:tabs>
          <w:tab w:val="center" w:pos="3019"/>
        </w:tabs>
        <w:ind w:left="0" w:firstLine="0"/>
        <w:rPr/>
      </w:pPr>
      <w:r>
        <w:t xml:space="preserve">                3</w:t>
      </w:r>
      <w:r>
        <w:rPr>
          <w:lang w:val="en-US"/>
        </w:rPr>
        <w:t>/</w:t>
      </w:r>
      <w:r>
        <w:t>Debtors collection period / Average Collection Period</w:t>
      </w:r>
      <w:r>
        <w:rPr>
          <w:b w:val="off"/>
        </w:rPr>
        <w:t xml:space="preserve"> </w:t>
      </w:r>
    </w:p>
    <w:p>
      <w:pPr>
        <w:pStyle w:val="Normal"/>
        <w:tabs>
          <w:tab w:val="center" w:pos="3019"/>
        </w:tabs>
        <w:ind w:left="0" w:firstLine="0"/>
        <w:rPr/>
      </w:pPr>
    </w:p>
    <w:p>
      <w:pPr>
        <w:ind w:left="560" w:right="5"/>
        <w:rPr/>
      </w:pPr>
      <w:r>
        <w:t>The average collection period is the amount of time it takes for a business to receive payments owed by its clients in terms of accounts receivable (AR). Companies calculate the average collection peri</w:t>
      </w:r>
      <w:r>
        <w:t xml:space="preserve">od to make sure </w:t>
      </w:r>
      <w:r>
        <w:t xml:space="preserve">they have enough cash on hand to meet their financial obligations. </w:t>
      </w:r>
    </w:p>
    <w:p>
      <w:pPr>
        <w:tabs>
          <w:tab w:val="center" w:pos="2126"/>
          <w:tab w:val="center" w:pos="4440"/>
        </w:tabs>
        <w:spacing w:after="219" w:line="259" w:lineRule="auto"/>
        <w:ind w:left="0" w:right="0" w:firstLine="0"/>
        <w:jc w:val="left"/>
        <w:rPr/>
      </w:pPr>
      <w:r>
        <w:t>The average balance of accounts receivable is calculated by adding the opening balance in accounts receivable (AR) and ending b</w:t>
      </w:r>
      <w:r>
        <w:t>alance in accounts receivable and dividing that total by two. When calculating the average collection period for an entire year, 365 may be used as the number of days in one year for simplicity</w:t>
      </w:r>
      <w:r>
        <w:rPr>
          <w:lang w:val="en-US"/>
        </w:rPr>
        <w:t>.</w:t>
      </w:r>
    </w:p>
    <w:p>
      <w:pPr>
        <w:pStyle w:val="Heading1"/>
        <w:ind w:left="135"/>
        <w:rPr/>
      </w:pPr>
      <w:r>
        <w:t>Debtors Collection Period = Trade receivables / Sales * 36</w:t>
      </w:r>
      <w:r>
        <w:t xml:space="preserve">5 </w:t>
      </w:r>
    </w:p>
    <w:p>
      <w:pPr>
        <w:spacing w:after="15" w:line="259" w:lineRule="auto"/>
        <w:ind w:left="140" w:right="0" w:firstLine="0"/>
        <w:jc w:val="left"/>
        <w:rPr/>
      </w:pPr>
      <w:r>
        <w:rPr>
          <w:b/>
        </w:rPr>
        <w:t xml:space="preserve"> </w:t>
      </w:r>
    </w:p>
    <w:p>
      <w:pPr>
        <w:ind w:left="150" w:right="5"/>
        <w:rPr/>
      </w:pPr>
      <w:r>
        <w:rPr>
          <w:highlight w:val="darkBlue"/>
        </w:rPr>
        <w:t>2018: = (1287/6441) * 365 = 73 days</w:t>
      </w:r>
      <w:r>
        <w:t xml:space="preserve"> </w:t>
      </w:r>
    </w:p>
    <w:p>
      <w:pPr>
        <w:ind w:left="150" w:right="5"/>
        <w:rPr>
          <w:highlight w:val="darkBlue"/>
        </w:rPr>
      </w:pPr>
      <w:r>
        <w:rPr>
          <w:highlight w:val="darkBlue"/>
        </w:rPr>
        <w:t xml:space="preserve">2019: = (1249/6738) * 365 = 68 days </w:t>
      </w:r>
    </w:p>
    <w:p>
      <w:pPr>
        <w:spacing w:after="15" w:line="259" w:lineRule="auto"/>
        <w:ind w:left="140" w:right="0" w:firstLine="0"/>
        <w:jc w:val="left"/>
        <w:rPr/>
      </w:pPr>
      <w:r>
        <w:t xml:space="preserve"> </w:t>
      </w:r>
    </w:p>
    <w:p>
      <w:pPr>
        <w:ind w:left="560" w:right="5"/>
        <w:rPr/>
      </w:pPr>
      <w:r>
        <w:t>It takes at around 70 days for the company to collect its payments. The ratio varies slightly during 2018 and 2019 (decreases to 68 days comparing with 2018 - 73 days). In ord</w:t>
      </w:r>
      <w:r>
        <w:t>er to make our final decision whether this indicator is within acceptable norms, we need to know how the company negotiates payments with its customers. Given the fact that the company sells its products worldwide, this indicator can be considered as accep</w:t>
      </w:r>
      <w:r>
        <w:t xml:space="preserve">table. </w:t>
      </w:r>
    </w:p>
    <w:p>
      <w:pPr>
        <w:pStyle w:val="Heading2"/>
        <w:tabs>
          <w:tab w:val="center" w:pos="3350"/>
        </w:tabs>
        <w:ind w:left="0" w:firstLine="0"/>
        <w:rPr/>
      </w:pPr>
      <w:r>
        <w:t xml:space="preserve">             4</w:t>
      </w:r>
      <w:r>
        <w:rPr>
          <w:lang w:val="en-US"/>
        </w:rPr>
        <w:t>/</w:t>
      </w:r>
      <w:r>
        <w:t xml:space="preserve">Creditors payment period / Days Payable Outstanding (DPO) </w:t>
      </w:r>
    </w:p>
    <w:p>
      <w:pPr>
        <w:pStyle w:val="Normal"/>
        <w:tabs>
          <w:tab w:val="center" w:pos="3350"/>
        </w:tabs>
        <w:ind w:left="0" w:firstLine="0"/>
        <w:rPr/>
      </w:pPr>
    </w:p>
    <w:p>
      <w:pPr>
        <w:ind w:left="560" w:right="5"/>
        <w:rPr/>
      </w:pPr>
      <w:r>
        <w:t>Days payable outstanding (DPO) is a financial ratio that indicates the average time (in days) that a company takes to pay its bills and invoices to its trade creditors, which may incl</w:t>
      </w:r>
      <w:r>
        <w:t xml:space="preserve">ude suppliers, vendors, or financiers. </w:t>
      </w:r>
      <w:r>
        <w:t xml:space="preserve">The ratio is typically calculated on a quarterly or annual basis, and indicates how well the company’s cash </w:t>
      </w:r>
      <w:r>
        <w:t xml:space="preserve">outflows are being managed. </w:t>
      </w:r>
    </w:p>
    <w:p>
      <w:pPr>
        <w:ind w:left="560" w:right="5"/>
        <w:rPr/>
      </w:pPr>
      <w:r>
        <w:t xml:space="preserve">A company with a higher value of DPO takes longer to pay its bills, which means </w:t>
      </w:r>
      <w:r>
        <w:t xml:space="preserve">that it can retain available funds for a longer duration, allowing the company an opportunity to utilize those funds in a better way to maximize the benefits. A high DPO, however, may also be a red flag indicating an inability to pay its bills on time. </w:t>
      </w:r>
    </w:p>
    <w:p>
      <w:pPr>
        <w:spacing w:after="15" w:line="259" w:lineRule="auto"/>
        <w:ind w:left="140" w:right="0" w:firstLine="0"/>
        <w:jc w:val="left"/>
        <w:rPr/>
      </w:pPr>
      <w:r>
        <w:rPr>
          <w:b/>
        </w:rPr>
        <w:t xml:space="preserve"> </w:t>
      </w:r>
    </w:p>
    <w:p>
      <w:pPr>
        <w:pStyle w:val="Heading1"/>
        <w:ind w:left="135"/>
        <w:rPr/>
      </w:pPr>
      <w:r>
        <w:t xml:space="preserve">Creditors payment period = Trade payables / Credit Purchases (or Cost of sales) * 365 </w:t>
      </w:r>
    </w:p>
    <w:p>
      <w:pPr>
        <w:spacing w:after="15" w:line="259" w:lineRule="auto"/>
        <w:ind w:left="140" w:right="0" w:firstLine="0"/>
        <w:jc w:val="left"/>
        <w:rPr/>
      </w:pPr>
      <w:r>
        <w:t xml:space="preserve"> </w:t>
      </w:r>
    </w:p>
    <w:p>
      <w:pPr>
        <w:spacing w:after="15" w:line="259" w:lineRule="auto"/>
        <w:ind w:left="140" w:right="0" w:firstLine="0"/>
        <w:jc w:val="left"/>
        <w:rPr>
          <w:highlight w:val="darkBlue"/>
        </w:rPr>
      </w:pPr>
      <w:r>
        <w:rPr>
          <w:highlight w:val="darkBlue"/>
        </w:rPr>
        <w:t xml:space="preserve"> </w:t>
      </w:r>
    </w:p>
    <w:p>
      <w:pPr>
        <w:ind w:left="150" w:right="5"/>
        <w:rPr/>
      </w:pPr>
      <w:r>
        <w:rPr>
          <w:highlight w:val="darkBlue"/>
        </w:rPr>
        <w:t>2018: = (655/3096) * 365 = 77 days</w:t>
      </w:r>
      <w:r>
        <w:t xml:space="preserve"> </w:t>
      </w:r>
    </w:p>
    <w:p>
      <w:pPr>
        <w:ind w:left="150" w:right="5"/>
        <w:rPr>
          <w:highlight w:val="darkBlue"/>
        </w:rPr>
      </w:pPr>
      <w:r>
        <w:rPr>
          <w:highlight w:val="darkBlue"/>
        </w:rPr>
        <w:t xml:space="preserve">2019: = (583/3235) * 365 = 66 days </w:t>
      </w:r>
    </w:p>
    <w:p>
      <w:pPr>
        <w:ind w:left="560" w:right="5"/>
        <w:rPr/>
      </w:pPr>
      <w:r>
        <w:t>It takes at around 70 days for the company to pay its bills to trade creditors, which may i</w:t>
      </w:r>
      <w:r>
        <w:t xml:space="preserve">nclude suppliers, vendors, or financiers. The ratio varies slightly during 2018 and 2019 (decreases to  66 days comparing with </w:t>
      </w:r>
      <w:r>
        <w:t xml:space="preserve">2018 - 77 days) </w:t>
      </w:r>
    </w:p>
    <w:p>
      <w:pPr>
        <w:spacing w:after="35" w:line="259" w:lineRule="auto"/>
        <w:ind w:left="140" w:right="0" w:firstLine="0"/>
        <w:jc w:val="left"/>
        <w:rPr/>
      </w:pPr>
      <w:r>
        <w:t xml:space="preserve"> </w:t>
      </w:r>
    </w:p>
    <w:p>
      <w:pPr>
        <w:pStyle w:val="Heading1"/>
        <w:spacing w:after="34"/>
        <w:ind w:left="135"/>
        <w:rPr/>
      </w:pPr>
      <w:r>
        <w:t xml:space="preserve">                                          IV</w:t>
      </w:r>
      <w:r>
        <w:rPr>
          <w:lang w:val="en-US"/>
        </w:rPr>
        <w:t>/</w:t>
      </w:r>
      <w:r>
        <w:t>LIQUIDITY RATIOS</w:t>
      </w:r>
      <w:r>
        <w:rPr>
          <w:b w:val="off"/>
        </w:rPr>
        <w:t xml:space="preserve"> </w:t>
      </w:r>
    </w:p>
    <w:p>
      <w:pPr>
        <w:pStyle w:val="Heading2"/>
        <w:tabs>
          <w:tab w:val="center" w:pos="1169"/>
        </w:tabs>
        <w:ind w:left="0" w:firstLine="0"/>
        <w:rPr/>
      </w:pPr>
      <w:r>
        <w:t xml:space="preserve">                                                        1</w:t>
      </w:r>
      <w:r>
        <w:rPr>
          <w:lang w:val="en-US"/>
        </w:rPr>
        <w:t>/</w:t>
      </w:r>
      <w:r>
        <w:t xml:space="preserve">Current ratio </w:t>
      </w:r>
    </w:p>
    <w:p>
      <w:pPr>
        <w:pStyle w:val="Normal"/>
        <w:tabs>
          <w:tab w:val="center" w:pos="1169"/>
        </w:tabs>
        <w:ind w:left="0" w:firstLine="0"/>
        <w:rPr/>
      </w:pPr>
    </w:p>
    <w:p>
      <w:pPr>
        <w:ind w:left="560" w:right="5"/>
        <w:rPr/>
      </w:pPr>
      <w:r>
        <w:t>The current ratio is a liquidity ratio that measures a company's abil</w:t>
      </w:r>
      <w:r>
        <w:t xml:space="preserve">ity to pay short-term obligations or those due within one year. It tells investors and analysts how a company can maximize the current assets on its balance sheet to satisfy its current debt and other payables. </w:t>
      </w:r>
    </w:p>
    <w:p>
      <w:pPr>
        <w:spacing w:after="7"/>
        <w:ind w:left="560" w:right="0"/>
        <w:jc w:val="left"/>
        <w:rPr/>
      </w:pPr>
      <w:r>
        <w:t>The current ratio is sometimes referred to as th</w:t>
      </w:r>
      <w:r>
        <w:t>e “working c</w:t>
      </w:r>
      <w:r>
        <w:t>apital” ratio and helps investors understand more about a company’s ability to cover its short</w:t>
      </w:r>
      <w:r>
        <w:t xml:space="preserve">-term debt with its current assets. </w:t>
      </w:r>
    </w:p>
    <w:p>
      <w:pPr>
        <w:spacing w:after="0" w:line="259" w:lineRule="auto"/>
        <w:ind w:left="140" w:right="0" w:firstLine="0"/>
        <w:jc w:val="left"/>
        <w:rPr/>
      </w:pPr>
      <w:r>
        <w:t xml:space="preserve"> </w:t>
      </w:r>
    </w:p>
    <w:p>
      <w:pPr>
        <w:pStyle w:val="Heading1"/>
        <w:ind w:left="135"/>
        <w:rPr/>
      </w:pPr>
      <w:r>
        <w:t xml:space="preserve">Current Ratio =  Current assets / Current liabilities </w:t>
      </w:r>
    </w:p>
    <w:p>
      <w:pPr>
        <w:spacing w:after="15" w:line="259" w:lineRule="auto"/>
        <w:ind w:left="140" w:right="0" w:firstLine="0"/>
        <w:jc w:val="left"/>
        <w:rPr/>
      </w:pPr>
      <w:r>
        <w:t xml:space="preserve"> </w:t>
      </w:r>
    </w:p>
    <w:p>
      <w:pPr>
        <w:ind w:left="150" w:right="5"/>
        <w:rPr/>
      </w:pPr>
      <w:r>
        <w:rPr>
          <w:highlight w:val="darkBlue"/>
        </w:rPr>
        <w:t>2018: = 2355 / 3046 = 0.77</w:t>
      </w:r>
      <w:r>
        <w:t xml:space="preserve"> </w:t>
      </w:r>
    </w:p>
    <w:p>
      <w:pPr>
        <w:ind w:left="150" w:right="5"/>
        <w:rPr>
          <w:highlight w:val="darkBlue"/>
        </w:rPr>
      </w:pPr>
      <w:r>
        <w:rPr>
          <w:highlight w:val="darkBlue"/>
        </w:rPr>
        <w:t xml:space="preserve">2019: </w:t>
      </w:r>
      <w:r>
        <w:rPr>
          <w:highlight w:val="darkBlue"/>
        </w:rPr>
        <w:t xml:space="preserve">= 2303 / 2511 = 0.92 </w:t>
      </w:r>
    </w:p>
    <w:p>
      <w:pPr>
        <w:spacing w:after="15" w:line="259" w:lineRule="auto"/>
        <w:ind w:left="140" w:right="0" w:firstLine="0"/>
        <w:jc w:val="left"/>
        <w:rPr/>
      </w:pPr>
      <w:r>
        <w:t xml:space="preserve"> </w:t>
      </w:r>
    </w:p>
    <w:p>
      <w:pPr>
        <w:ind w:left="560" w:right="5"/>
        <w:rPr/>
      </w:pPr>
      <w:r>
        <w:t>The Current ratio is still under 1 in 2019. It slightly increase in 2019 comparing to 2018. The company's ability to pay short-term obligations due by a year is still low. A current ratio of 1 or more means that current assets are m</w:t>
      </w:r>
      <w:r>
        <w:t xml:space="preserve">ore than current liabilities and the company should not face any liquidity problem. </w:t>
      </w:r>
    </w:p>
    <w:p>
      <w:pPr>
        <w:spacing w:after="40" w:line="259" w:lineRule="auto"/>
        <w:ind w:left="140" w:right="0" w:firstLine="0"/>
        <w:jc w:val="left"/>
        <w:rPr/>
      </w:pPr>
      <w:r>
        <w:t xml:space="preserve"> </w:t>
      </w:r>
    </w:p>
    <w:p>
      <w:pPr>
        <w:pStyle w:val="Heading2"/>
        <w:tabs>
          <w:tab w:val="center" w:pos="1336"/>
        </w:tabs>
        <w:ind w:left="0" w:firstLine="0"/>
        <w:rPr/>
      </w:pPr>
      <w:r>
        <w:t xml:space="preserve">                                               2</w:t>
      </w:r>
      <w:r>
        <w:rPr>
          <w:lang w:val="en-US"/>
        </w:rPr>
        <w:t>/</w:t>
      </w:r>
      <w:r>
        <w:t xml:space="preserve">Quick asset ratio </w:t>
      </w:r>
    </w:p>
    <w:p>
      <w:pPr>
        <w:pStyle w:val="Normal"/>
        <w:tabs>
          <w:tab w:val="center" w:pos="1336"/>
        </w:tabs>
        <w:ind w:left="0" w:firstLine="0"/>
        <w:rPr/>
      </w:pPr>
    </w:p>
    <w:p>
      <w:pPr>
        <w:ind w:left="560" w:right="5"/>
        <w:rPr/>
      </w:pPr>
      <w:r>
        <w:t>The quick ratio is an indicator of a company’s short</w:t>
      </w:r>
      <w:r>
        <w:t>-</w:t>
      </w:r>
      <w:r>
        <w:t xml:space="preserve">term liquidity position and measures a company’s ability </w:t>
      </w:r>
      <w:r>
        <w:t>to meet its short-term obligations w</w:t>
      </w:r>
      <w:r>
        <w:t>ith its most liquid as</w:t>
      </w:r>
      <w:r>
        <w:t xml:space="preserve">sets. Since it indicates the company’s ability to </w:t>
      </w:r>
      <w:r>
        <w:t>instantly use its near-cash assets (assets that can be converted quickly to cash) to pay down its current liabilities, it is also called the acid test ratio. An acid test is a quick te</w:t>
      </w:r>
      <w:r>
        <w:t xml:space="preserve">st designed to produce instant results </w:t>
      </w:r>
      <w:r>
        <w:t>–</w:t>
      </w:r>
      <w:r>
        <w:t xml:space="preserve"> hence, the name. </w:t>
      </w:r>
    </w:p>
    <w:p>
      <w:pPr>
        <w:ind w:left="560" w:right="5"/>
        <w:rPr/>
      </w:pPr>
      <w:r>
        <w:t xml:space="preserve">The quick ratio indicates a company's capacity to pay its current liabilities without needing to sell its inventory or get additional financing. </w:t>
      </w:r>
    </w:p>
    <w:p>
      <w:pPr>
        <w:ind w:left="560" w:right="5"/>
        <w:rPr/>
      </w:pPr>
      <w:r>
        <w:t>The quick ratio is considered a more conservative m</w:t>
      </w:r>
      <w:r>
        <w:t xml:space="preserve">easure than the current ratio, which includes all current assets as coverage for current liabilities. </w:t>
      </w:r>
    </w:p>
    <w:p>
      <w:pPr>
        <w:ind w:left="560" w:right="5"/>
        <w:rPr/>
      </w:pPr>
      <w:r>
        <w:t>The higher the ratio result, the better a company's liquidity and financial health; the lower the ratio, the more likely the company will struggle with p</w:t>
      </w:r>
      <w:r>
        <w:t xml:space="preserve">aying debts. </w:t>
      </w:r>
    </w:p>
    <w:p>
      <w:pPr>
        <w:spacing w:after="15" w:line="259" w:lineRule="auto"/>
        <w:ind w:left="140" w:right="0" w:firstLine="0"/>
        <w:jc w:val="left"/>
        <w:rPr/>
      </w:pPr>
      <w:r>
        <w:t xml:space="preserve"> </w:t>
      </w:r>
    </w:p>
    <w:p>
      <w:pPr>
        <w:pStyle w:val="Heading1"/>
        <w:ind w:left="135"/>
        <w:rPr/>
      </w:pPr>
      <w:r>
        <w:t xml:space="preserve">Quick Asset Ratio = (Current Asset </w:t>
      </w:r>
      <w:r>
        <w:t>–</w:t>
      </w:r>
      <w:r>
        <w:t xml:space="preserve"> Inventory) / Current Liabilities </w:t>
      </w:r>
    </w:p>
    <w:p>
      <w:pPr>
        <w:spacing w:after="15" w:line="259" w:lineRule="auto"/>
        <w:ind w:left="140" w:right="0" w:firstLine="0"/>
        <w:jc w:val="left"/>
        <w:rPr/>
      </w:pPr>
      <w:r>
        <w:t xml:space="preserve"> </w:t>
      </w:r>
    </w:p>
    <w:p>
      <w:pPr>
        <w:ind w:left="150" w:right="5"/>
        <w:rPr>
          <w:highlight w:val="darkBlue"/>
        </w:rPr>
      </w:pPr>
      <w:r>
        <w:rPr>
          <w:highlight w:val="darkBlue"/>
        </w:rPr>
        <w:t xml:space="preserve">2018: = (2355-659) / 3046 = 0.56 </w:t>
      </w:r>
    </w:p>
    <w:p>
      <w:pPr>
        <w:ind w:left="150" w:right="5"/>
        <w:rPr>
          <w:highlight w:val="darkBlue"/>
        </w:rPr>
      </w:pPr>
      <w:r>
        <w:rPr>
          <w:highlight w:val="darkBlue"/>
        </w:rPr>
        <w:t xml:space="preserve">2019: = (2303-708) / 2511 = 0.64 </w:t>
      </w:r>
    </w:p>
    <w:p>
      <w:pPr>
        <w:spacing w:after="15" w:line="259" w:lineRule="auto"/>
        <w:ind w:left="140" w:right="0" w:firstLine="0"/>
        <w:jc w:val="left"/>
        <w:rPr/>
      </w:pPr>
      <w:r>
        <w:t xml:space="preserve"> </w:t>
      </w:r>
    </w:p>
    <w:p>
      <w:pPr>
        <w:ind w:left="560" w:right="5"/>
        <w:rPr/>
      </w:pPr>
      <w:r>
        <w:t>The Quick asset ratio is low in 2018 (0,56) and slightly increase in 2019 but still under 1 which means that the company is with a low quick liquidity and it will meet difficulties if has to pay its current obligations due by a year. The amount of other de</w:t>
      </w:r>
      <w:r>
        <w:t xml:space="preserve">btors is more than 70% comparing to all current liabilities. To make our final interpretation for this ratio we will need more information about other debtors </w:t>
      </w:r>
    </w:p>
    <w:p>
      <w:pPr>
        <w:spacing w:after="40" w:line="259" w:lineRule="auto"/>
        <w:ind w:left="140" w:right="0" w:firstLine="0"/>
        <w:jc w:val="left"/>
        <w:rPr/>
      </w:pPr>
      <w:r>
        <w:t xml:space="preserve"> </w:t>
      </w:r>
    </w:p>
    <w:p>
      <w:pPr>
        <w:pStyle w:val="Heading1"/>
        <w:tabs>
          <w:tab w:val="center" w:pos="1456"/>
        </w:tabs>
        <w:spacing w:after="37"/>
        <w:ind w:left="0" w:firstLine="0"/>
        <w:rPr/>
      </w:pPr>
      <w:r>
        <w:t xml:space="preserve">                                                   V</w:t>
      </w:r>
      <w:r>
        <w:rPr>
          <w:lang w:val="en-US"/>
        </w:rPr>
        <w:t>/</w:t>
      </w:r>
      <w:r>
        <w:t xml:space="preserve">FINANCING RATIOS </w:t>
      </w:r>
    </w:p>
    <w:p>
      <w:pPr>
        <w:pStyle w:val="Heading2"/>
        <w:ind w:left="295"/>
        <w:rPr/>
      </w:pPr>
      <w:r>
        <w:t xml:space="preserve">                                                       1</w:t>
      </w:r>
      <w:r>
        <w:rPr>
          <w:lang w:val="en-US"/>
        </w:rPr>
        <w:t>/</w:t>
      </w:r>
      <w:r>
        <w:t xml:space="preserve">Gearing ratio </w:t>
      </w:r>
    </w:p>
    <w:p>
      <w:pPr>
        <w:pStyle w:val="Normal"/>
        <w:ind w:left="295"/>
        <w:rPr/>
      </w:pPr>
    </w:p>
    <w:p>
      <w:pPr>
        <w:ind w:left="560" w:right="5"/>
        <w:rPr/>
      </w:pPr>
      <w:r>
        <w:t>The gearing ratio is a financial ratio that compares s</w:t>
      </w:r>
      <w:r>
        <w:t xml:space="preserve">ome form of owner's equity (or capital) to debt, or funds </w:t>
      </w:r>
      <w:r>
        <w:t xml:space="preserve">borrowed by the company. Gearing is a measurement of the entity’s financial leverage, which demonstrates </w:t>
      </w:r>
      <w:r>
        <w:t>the degree to which a firm's activities are funded by shareholders' funds versus creditor's f</w:t>
      </w:r>
      <w:r>
        <w:t xml:space="preserve">unds. </w:t>
      </w:r>
    </w:p>
    <w:p>
      <w:pPr>
        <w:ind w:left="560" w:right="5"/>
        <w:rPr/>
      </w:pPr>
      <w:r>
        <w:t xml:space="preserve"> </w:t>
      </w:r>
    </w:p>
    <w:p>
      <w:pPr>
        <w:ind w:left="560" w:right="5"/>
        <w:rPr/>
      </w:pPr>
      <w:r>
        <w:t xml:space="preserve">Gearing ratios are a group of financial metrics that compare shareholders' equity to </w:t>
      </w:r>
      <w:r>
        <w:t xml:space="preserve">company debt in various ways to assess the company's amount of leverage and financial stability. </w:t>
      </w:r>
    </w:p>
    <w:p>
      <w:pPr>
        <w:ind w:left="560" w:right="5"/>
        <w:rPr/>
      </w:pPr>
      <w:r>
        <w:t xml:space="preserve">Gearing is a measure of how much of a company's operations are funded using debt versus the funding received from shareholders as equity. </w:t>
      </w:r>
    </w:p>
    <w:p>
      <w:pPr>
        <w:spacing w:after="16" w:line="259" w:lineRule="auto"/>
        <w:ind w:left="140" w:right="0" w:firstLine="0"/>
        <w:jc w:val="left"/>
        <w:rPr/>
      </w:pPr>
      <w:r>
        <w:t xml:space="preserve"> </w:t>
      </w:r>
    </w:p>
    <w:p>
      <w:pPr>
        <w:pStyle w:val="Heading1"/>
        <w:ind w:left="135"/>
        <w:rPr/>
      </w:pPr>
      <w:r>
        <w:t>Gearing Ratio = Debt / Total equity</w:t>
      </w:r>
      <w:r>
        <w:rPr>
          <w:b w:val="off"/>
        </w:rPr>
        <w:t xml:space="preserve">, </w:t>
      </w:r>
    </w:p>
    <w:p>
      <w:pPr>
        <w:spacing w:after="7"/>
        <w:ind w:left="150" w:right="0"/>
        <w:jc w:val="left"/>
        <w:rPr/>
      </w:pPr>
      <w:r>
        <w:t>Where Total equity = Debt + shareholders’</w:t>
      </w:r>
      <w:r>
        <w:t xml:space="preserve"> equity </w:t>
      </w:r>
    </w:p>
    <w:p>
      <w:pPr>
        <w:spacing w:after="10" w:line="259" w:lineRule="auto"/>
        <w:ind w:left="140" w:right="0" w:firstLine="0"/>
        <w:jc w:val="left"/>
        <w:rPr/>
      </w:pPr>
      <w:r>
        <w:t xml:space="preserve"> </w:t>
      </w:r>
    </w:p>
    <w:p>
      <w:pPr>
        <w:ind w:left="150" w:right="5"/>
        <w:rPr>
          <w:highlight w:val="darkBlue"/>
        </w:rPr>
      </w:pPr>
      <w:r>
        <w:rPr>
          <w:highlight w:val="darkBlue"/>
        </w:rPr>
        <w:t xml:space="preserve">2018: </w:t>
      </w:r>
      <w:r>
        <w:rPr>
          <w:highlight w:val="darkBlue"/>
        </w:rPr>
        <w:t xml:space="preserve">= 4129 / (4129 + 2912) * 100 = 59% </w:t>
      </w:r>
    </w:p>
    <w:p>
      <w:pPr>
        <w:ind w:left="150" w:right="5"/>
        <w:rPr/>
      </w:pPr>
      <w:r>
        <w:rPr>
          <w:highlight w:val="darkBlue"/>
        </w:rPr>
        <w:t>2019: = 4137 / (4137+3088) * 100 = 57%</w:t>
      </w:r>
      <w:r>
        <w:t xml:space="preserve"> </w:t>
      </w:r>
    </w:p>
    <w:p>
      <w:pPr>
        <w:spacing w:after="15" w:line="259" w:lineRule="auto"/>
        <w:ind w:left="140" w:right="0" w:firstLine="0"/>
        <w:jc w:val="left"/>
        <w:rPr/>
      </w:pPr>
      <w:r>
        <w:t xml:space="preserve"> </w:t>
      </w:r>
    </w:p>
    <w:p>
      <w:pPr>
        <w:ind w:left="560" w:right="5"/>
        <w:rPr/>
      </w:pPr>
      <w:r>
        <w:t>The threshold for the leverage of the company in both 2018 and 2019 is nearly 60%. This is slightly than the normal acceptable threshold. More than 50% of the funds of the compan</w:t>
      </w:r>
      <w:r>
        <w:t xml:space="preserve">y are from external sources (such as banks) </w:t>
      </w:r>
    </w:p>
    <w:p>
      <w:pPr>
        <w:spacing w:after="39" w:line="259" w:lineRule="auto"/>
        <w:ind w:left="140" w:right="0" w:firstLine="0"/>
        <w:jc w:val="left"/>
        <w:rPr/>
      </w:pPr>
      <w:r>
        <w:rPr>
          <w:b/>
        </w:rPr>
        <w:t xml:space="preserve"> </w:t>
      </w:r>
    </w:p>
    <w:p>
      <w:pPr>
        <w:pStyle w:val="Heading2"/>
        <w:tabs>
          <w:tab w:val="center" w:pos="1208"/>
        </w:tabs>
        <w:ind w:left="0" w:firstLine="0"/>
        <w:rPr/>
      </w:pPr>
      <w:r>
        <w:t xml:space="preserve">                                                          2</w:t>
      </w:r>
      <w:r>
        <w:rPr>
          <w:lang w:val="en-US"/>
        </w:rPr>
        <w:t>/</w:t>
      </w:r>
      <w:r>
        <w:t xml:space="preserve">Interest cover </w:t>
      </w:r>
    </w:p>
    <w:p>
      <w:pPr>
        <w:pStyle w:val="Normal"/>
        <w:tabs>
          <w:tab w:val="center" w:pos="1208"/>
        </w:tabs>
        <w:ind w:left="0" w:firstLine="0"/>
        <w:rPr/>
      </w:pPr>
    </w:p>
    <w:p>
      <w:pPr>
        <w:ind w:left="560" w:right="5"/>
        <w:rPr/>
      </w:pPr>
      <w:r>
        <w:t xml:space="preserve">The interest coverage ratio is a debt ratio and profitability ratio used to determine how easily a company can pay interest on its outstanding debt. </w:t>
      </w:r>
      <w:r>
        <w:t xml:space="preserve">The Interest coverage ratio is also called “times interest earned.” Lenders, investors, and creditors often use </w:t>
      </w:r>
      <w:r>
        <w:t xml:space="preserve">this formula to determine a company's riskiness relative to its current debt or for future borrowing. </w:t>
      </w:r>
    </w:p>
    <w:p>
      <w:pPr>
        <w:ind w:left="560" w:right="5"/>
        <w:rPr/>
      </w:pPr>
      <w:r>
        <w:t>The interest coverage ratio is used to se</w:t>
      </w:r>
      <w:r>
        <w:t xml:space="preserve">e how well a firm can pay the interest on outstanding debt. </w:t>
      </w:r>
    </w:p>
    <w:p>
      <w:pPr>
        <w:ind w:left="560" w:right="5"/>
        <w:rPr/>
      </w:pPr>
      <w:r>
        <w:t xml:space="preserve">Also called the times-interest-earned ratio, this ratio is used by creditors and prospective lenders to assess the risk of lending capital to a firm. </w:t>
      </w:r>
    </w:p>
    <w:p>
      <w:pPr>
        <w:tabs>
          <w:tab w:val="center" w:pos="2126"/>
          <w:tab w:val="center" w:pos="4440"/>
        </w:tabs>
        <w:spacing w:after="219" w:line="259" w:lineRule="auto"/>
        <w:ind w:left="0" w:right="0" w:firstLine="0"/>
        <w:jc w:val="left"/>
        <w:rPr/>
      </w:pPr>
      <w:r>
        <w:t>The interest coverage ratio measures how many times a company can cover its current interest payment with its available earnings. In other words, it measures the margin of safety a company has for paying interest on i</w:t>
      </w:r>
      <w:r>
        <w:t>ts debt during a given period. The interest coverage ratio is used to determine how easily a company can pay its interest expenses on outstanding debt.</w:t>
      </w:r>
    </w:p>
    <w:p>
      <w:pPr>
        <w:pStyle w:val="Heading1"/>
        <w:ind w:left="135" w:right="4609"/>
        <w:rPr/>
      </w:pPr>
      <w:r>
        <w:t xml:space="preserve">Interest Coverage Ratio = EBIT / Interest Expense </w:t>
      </w:r>
      <w:r>
        <w:rPr>
          <w:b w:val="off"/>
        </w:rPr>
        <w:t xml:space="preserve">where: EBIT = Earnings before interest and taxes </w:t>
      </w:r>
    </w:p>
    <w:p>
      <w:pPr>
        <w:spacing w:after="15" w:line="259" w:lineRule="auto"/>
        <w:ind w:left="140" w:right="0" w:firstLine="0"/>
        <w:jc w:val="left"/>
        <w:rPr/>
      </w:pPr>
      <w:r>
        <w:t xml:space="preserve"> </w:t>
      </w:r>
    </w:p>
    <w:p>
      <w:pPr>
        <w:tabs>
          <w:tab w:val="center" w:pos="2126"/>
          <w:tab w:val="center" w:pos="4440"/>
        </w:tabs>
        <w:spacing w:after="219" w:line="259" w:lineRule="auto"/>
        <w:ind w:left="0" w:right="0" w:firstLine="0"/>
        <w:jc w:val="left"/>
        <w:rPr/>
      </w:pPr>
      <w:r>
        <w:t xml:space="preserve">    </w:t>
      </w:r>
      <w:r>
        <w:rPr>
          <w:highlight w:val="darkBlue"/>
        </w:rPr>
        <w:t>2018: = 699 / 181 = 3.9</w:t>
      </w:r>
    </w:p>
    <w:p>
      <w:pPr>
        <w:ind w:left="150" w:right="5"/>
        <w:rPr>
          <w:highlight w:val="darkBlue"/>
        </w:rPr>
      </w:pPr>
      <w:r>
        <w:rPr>
          <w:highlight w:val="darkBlue"/>
        </w:rPr>
        <w:t xml:space="preserve"> 2019: = 805 / 226 = 3.6 </w:t>
      </w:r>
    </w:p>
    <w:p>
      <w:pPr>
        <w:spacing w:after="16" w:line="259" w:lineRule="auto"/>
        <w:ind w:left="140" w:right="0" w:firstLine="0"/>
        <w:jc w:val="left"/>
        <w:rPr/>
      </w:pPr>
      <w:r>
        <w:t xml:space="preserve"> </w:t>
      </w:r>
    </w:p>
    <w:p>
      <w:pPr>
        <w:ind w:left="150" w:right="5"/>
        <w:rPr/>
      </w:pPr>
      <w:r>
        <w:t xml:space="preserve">Interest cover Ratio is nearly 4 for both 2018 and 2019. The company is able to meet its current Interest payment. </w:t>
      </w:r>
    </w:p>
    <w:p>
      <w:pPr>
        <w:spacing w:after="0" w:line="259" w:lineRule="auto"/>
        <w:ind w:left="140" w:right="0" w:firstLine="0"/>
        <w:jc w:val="left"/>
        <w:rPr/>
      </w:pPr>
      <w:r>
        <w:t xml:space="preserve"> </w:t>
      </w:r>
    </w:p>
    <w:p>
      <w:pPr>
        <w:tabs>
          <w:tab w:val="center" w:pos="2126"/>
          <w:tab w:val="center" w:pos="4440"/>
        </w:tabs>
        <w:spacing w:after="219" w:line="259" w:lineRule="auto"/>
        <w:ind w:left="0" w:right="0" w:firstLine="0"/>
        <w:jc w:val="left"/>
        <w:rPr>
          <w:b w:val="off"/>
          <w:sz w:val="44"/>
        </w:rPr>
      </w:pPr>
      <w:r>
        <w:rPr>
          <w:b w:val="off"/>
          <w:sz w:val="44"/>
          <w:lang w:val="en-US"/>
        </w:rPr>
        <w:t>Conclusion:</w:t>
      </w:r>
    </w:p>
    <w:p>
      <w:pPr>
        <w:tabs>
          <w:tab w:val="center" w:pos="2126"/>
          <w:tab w:val="center" w:pos="4440"/>
        </w:tabs>
        <w:spacing w:after="219" w:line="259" w:lineRule="auto"/>
        <w:ind w:left="0" w:right="0" w:firstLine="0"/>
        <w:jc w:val="left"/>
        <w:rPr>
          <w:b w:val="off"/>
          <w:sz w:val="26"/>
        </w:rPr>
      </w:pPr>
      <w:r>
        <w:rPr>
          <w:b w:val="off"/>
          <w:sz w:val="24"/>
          <w:lang w:val="en-US"/>
        </w:rPr>
        <w:t>It has been prepared an income statement for the year ,ending on December  of 31 /2019 and statement of financial position as at that date,a schedule of of ratios for  Chocco  pls in two years 2018 and 2019 regarding question 2.Explained financial position balances ,prepared income statement for the year end to end 2019 of December regarding question 1.</w:t>
      </w:r>
    </w:p>
    <w:p>
      <w:pPr>
        <w:tabs>
          <w:tab w:val="center" w:pos="2126"/>
          <w:tab w:val="center" w:pos="4440"/>
        </w:tabs>
        <w:spacing w:after="219" w:line="259" w:lineRule="auto"/>
        <w:ind w:left="0" w:right="0" w:firstLine="0"/>
        <w:jc w:val="left"/>
        <w:rPr>
          <w:b w:val="off"/>
          <w:sz w:val="26"/>
        </w:rPr>
      </w:pPr>
    </w:p>
    <w:p>
      <w:pPr>
        <w:tabs>
          <w:tab w:val="center" w:pos="2126"/>
          <w:tab w:val="center" w:pos="4440"/>
        </w:tabs>
        <w:spacing w:after="219" w:line="259" w:lineRule="auto"/>
        <w:ind w:left="0" w:right="0" w:firstLine="0"/>
        <w:jc w:val="left"/>
        <w:rPr>
          <w:b w:val="off"/>
          <w:sz w:val="42"/>
        </w:rPr>
      </w:pPr>
      <w:r>
        <w:rPr>
          <w:b w:val="off"/>
          <w:sz w:val="44"/>
          <w:lang w:val="en-US"/>
        </w:rPr>
        <w:t>References:</w:t>
      </w:r>
    </w:p>
    <w:p>
      <w:pPr>
        <w:tabs>
          <w:tab w:val="center" w:pos="2126"/>
          <w:tab w:val="center" w:pos="4440"/>
        </w:tabs>
        <w:spacing w:after="219" w:line="259" w:lineRule="auto"/>
        <w:ind w:left="0" w:right="0" w:firstLine="0"/>
        <w:jc w:val="left"/>
        <w:rPr>
          <w:b w:val="off"/>
          <w:sz w:val="24"/>
        </w:rPr>
      </w:pPr>
      <w:r>
        <w:rPr>
          <w:b w:val="off"/>
          <w:sz w:val="22"/>
          <w:lang w:val="en-US"/>
        </w:rPr>
        <w:t>Bennett ,Coleman &amp; Co.2020 ;My Accounting  course ;com ;Fresh books:web research :;</w:t>
      </w:r>
      <w:r>
        <w:rPr>
          <w:b w:val="off"/>
          <w:sz w:val="24"/>
          <w:lang w:val="en-US"/>
        </w:rPr>
        <w:t>CFI Education Inc. ; McLaney and Atril</w:t>
      </w:r>
      <w:r>
        <w:rPr>
          <w:b w:val="off"/>
          <w:sz w:val="24"/>
          <w:lang w:val="en-US"/>
        </w:rPr>
        <w:t xml:space="preserve"> (2016) </w:t>
      </w:r>
    </w:p>
    <w:p>
      <w:pPr>
        <w:tabs>
          <w:tab w:val="center" w:pos="2126"/>
          <w:tab w:val="center" w:pos="4440"/>
        </w:tabs>
        <w:spacing w:after="219" w:line="259" w:lineRule="auto"/>
        <w:ind w:left="0" w:right="0" w:firstLine="0"/>
        <w:jc w:val="left"/>
        <w:rPr>
          <w:b w:val="off"/>
          <w:sz w:val="24"/>
        </w:rPr>
      </w:pPr>
    </w:p>
    <w:sectPr>
      <w:type w:val="nextPage"/>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apple-system">
    <w:charset w:val="00"/>
  </w:font>
  <w:font w:name="Verdana-Bold">
    <w:panose1 w:val="00000000000000000000"/>
    <w:charset w:val="00"/>
    <w:family w:val="swiss"/>
    <w:notTrueType w:val="on"/>
    <w:pitch w:val="default"/>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http://schemas.openxmlformats.org/wordprocessingml/2006/main">
  <w:abstractNum w:abstractNumId="0">
    <w:multiLevelType w:val="hybridMultilevel"/>
    <w:lvl w:ilvl="0">
      <w:start w:val="1"/>
      <w:numFmt w:val="decimal"/>
      <w:lvlText w:val="%1."/>
      <w:lvlJc w:val="left"/>
      <w:pPr>
        <w:ind w:left="195"/>
      </w:pPr>
      <w:rPr>
        <w:rFonts w:ascii="Cambria" w:cs="Cambria" w:eastAsia="Cambria" w:hAnsi="Cambria"/>
        <w:b w:val="off"/>
        <w:i w:val="off"/>
        <w:strike w:val="off"/>
        <w:dstrike w:val="off"/>
        <w:color w:val="000000"/>
        <w:sz w:val="20"/>
        <w:szCs w:val="20"/>
        <w:bdr w:val="none" w:sz="4" w:space="0"/>
        <w:shd w:val="clear" w:color="auto" w:fill="auto"/>
        <w:vertAlign w:val="baseline"/>
      </w:rPr>
    </w:lvl>
    <w:lvl w:ilvl="1">
      <w:start w:val="1"/>
      <w:numFmt w:val="lowerLetter"/>
      <w:lvlText w:val="%2"/>
      <w:lvlJc w:val="left"/>
      <w:pPr>
        <w:ind w:left="108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2">
      <w:start w:val="1"/>
      <w:numFmt w:val="lowerRoman"/>
      <w:lvlText w:val="%3"/>
      <w:lvlJc w:val="left"/>
      <w:pPr>
        <w:ind w:left="180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3">
      <w:start w:val="1"/>
      <w:numFmt w:val="decimal"/>
      <w:lvlText w:val="%4"/>
      <w:lvlJc w:val="left"/>
      <w:pPr>
        <w:ind w:left="252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4">
      <w:start w:val="1"/>
      <w:numFmt w:val="lowerLetter"/>
      <w:lvlText w:val="%5"/>
      <w:lvlJc w:val="left"/>
      <w:pPr>
        <w:ind w:left="324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5">
      <w:start w:val="1"/>
      <w:numFmt w:val="lowerRoman"/>
      <w:lvlText w:val="%6"/>
      <w:lvlJc w:val="left"/>
      <w:pPr>
        <w:ind w:left="396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6">
      <w:start w:val="1"/>
      <w:numFmt w:val="decimal"/>
      <w:lvlText w:val="%7"/>
      <w:lvlJc w:val="left"/>
      <w:pPr>
        <w:ind w:left="468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7">
      <w:start w:val="1"/>
      <w:numFmt w:val="lowerLetter"/>
      <w:lvlText w:val="%8"/>
      <w:lvlJc w:val="left"/>
      <w:pPr>
        <w:ind w:left="540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8">
      <w:start w:val="1"/>
      <w:numFmt w:val="lowerRoman"/>
      <w:lvlText w:val="%9"/>
      <w:lvlJc w:val="left"/>
      <w:pPr>
        <w:ind w:left="6120"/>
      </w:pPr>
      <w:rPr>
        <w:rFonts w:ascii="Cambria" w:cs="Cambria" w:eastAsia="Cambria" w:hAnsi="Cambria"/>
        <w:b w:val="off"/>
        <w:i w:val="off"/>
        <w:strike w:val="off"/>
        <w:dstrike w:val="off"/>
        <w:color w:val="000000"/>
        <w:sz w:val="20"/>
        <w:szCs w:val="20"/>
        <w:bdr w:val="none" w:sz="4" w:space="0"/>
        <w:shd w:val="clear" w:color="auto" w:fill="auto"/>
        <w:vertAlign w:val="baseline"/>
      </w:rPr>
    </w:lvl>
  </w:abstractNum>
  <w:abstractNum w:abstractNumId="1">
    <w:multiLevelType w:val="hybridMultilevel"/>
    <w:lvl w:ilvl="0">
      <w:start w:val="1"/>
      <w:numFmt w:val="lowerLetter"/>
      <w:lvlText w:val="%1)"/>
      <w:lvlJc w:val="left"/>
      <w:pPr>
        <w:ind w:left="23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1">
      <w:start w:val="1"/>
      <w:numFmt w:val="lowerLetter"/>
      <w:lvlText w:val="%2"/>
      <w:lvlJc w:val="left"/>
      <w:pPr>
        <w:ind w:left="108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2">
      <w:start w:val="1"/>
      <w:numFmt w:val="lowerRoman"/>
      <w:lvlText w:val="%3"/>
      <w:lvlJc w:val="left"/>
      <w:pPr>
        <w:ind w:left="180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3">
      <w:start w:val="1"/>
      <w:numFmt w:val="decimal"/>
      <w:lvlText w:val="%4"/>
      <w:lvlJc w:val="left"/>
      <w:pPr>
        <w:ind w:left="252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4">
      <w:start w:val="1"/>
      <w:numFmt w:val="lowerLetter"/>
      <w:lvlText w:val="%5"/>
      <w:lvlJc w:val="left"/>
      <w:pPr>
        <w:ind w:left="324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5">
      <w:start w:val="1"/>
      <w:numFmt w:val="lowerRoman"/>
      <w:lvlText w:val="%6"/>
      <w:lvlJc w:val="left"/>
      <w:pPr>
        <w:ind w:left="396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6">
      <w:start w:val="1"/>
      <w:numFmt w:val="decimal"/>
      <w:lvlText w:val="%7"/>
      <w:lvlJc w:val="left"/>
      <w:pPr>
        <w:ind w:left="468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7">
      <w:start w:val="1"/>
      <w:numFmt w:val="lowerLetter"/>
      <w:lvlText w:val="%8"/>
      <w:lvlJc w:val="left"/>
      <w:pPr>
        <w:ind w:left="540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8">
      <w:start w:val="1"/>
      <w:numFmt w:val="lowerRoman"/>
      <w:lvlText w:val="%9"/>
      <w:lvlJc w:val="left"/>
      <w:pPr>
        <w:ind w:left="6120"/>
      </w:pPr>
      <w:rPr>
        <w:rFonts w:ascii="Cambria" w:cs="Cambria" w:eastAsia="Cambria" w:hAnsi="Cambria"/>
        <w:b w:val="off"/>
        <w:i w:val="off"/>
        <w:strike w:val="off"/>
        <w:dstrike w:val="off"/>
        <w:color w:val="000000"/>
        <w:sz w:val="20"/>
        <w:szCs w:val="20"/>
        <w:bdr w:val="none" w:sz="4" w:space="0"/>
        <w:shd w:val="clear" w:color="auto" w:fill="auto"/>
        <w:vertAlign w:val="baseline"/>
      </w:rPr>
    </w:lvl>
  </w:abstractNum>
  <w:abstractNum w:abstractNumId="2">
    <w:multiLevelType w:val="hybridMultilevel"/>
    <w:lvl w:ilvl="0">
      <w:start w:val="1"/>
      <w:numFmt w:val="lowerRoman"/>
      <w:lvlText w:val="%1."/>
      <w:lvlJc w:val="left"/>
      <w:pPr>
        <w:ind w:left="195"/>
      </w:pPr>
      <w:rPr>
        <w:rFonts w:ascii="Cambria" w:cs="Cambria" w:eastAsia="Cambria" w:hAnsi="Cambria"/>
        <w:b w:val="off"/>
        <w:i w:val="off"/>
        <w:strike w:val="off"/>
        <w:dstrike w:val="off"/>
        <w:color w:val="000000"/>
        <w:sz w:val="20"/>
        <w:szCs w:val="20"/>
        <w:bdr w:val="none" w:sz="4" w:space="0"/>
        <w:shd w:val="clear" w:color="auto" w:fill="auto"/>
        <w:vertAlign w:val="baseline"/>
      </w:rPr>
    </w:lvl>
    <w:lvl w:ilvl="1">
      <w:start w:val="1"/>
      <w:numFmt w:val="lowerLetter"/>
      <w:lvlText w:val="%2"/>
      <w:lvlJc w:val="left"/>
      <w:pPr>
        <w:ind w:left="108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2">
      <w:start w:val="1"/>
      <w:numFmt w:val="lowerRoman"/>
      <w:lvlText w:val="%3"/>
      <w:lvlJc w:val="left"/>
      <w:pPr>
        <w:ind w:left="180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3">
      <w:start w:val="1"/>
      <w:numFmt w:val="decimal"/>
      <w:lvlText w:val="%4"/>
      <w:lvlJc w:val="left"/>
      <w:pPr>
        <w:ind w:left="252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4">
      <w:start w:val="1"/>
      <w:numFmt w:val="lowerLetter"/>
      <w:lvlText w:val="%5"/>
      <w:lvlJc w:val="left"/>
      <w:pPr>
        <w:ind w:left="324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5">
      <w:start w:val="1"/>
      <w:numFmt w:val="lowerRoman"/>
      <w:lvlText w:val="%6"/>
      <w:lvlJc w:val="left"/>
      <w:pPr>
        <w:ind w:left="396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6">
      <w:start w:val="1"/>
      <w:numFmt w:val="decimal"/>
      <w:lvlText w:val="%7"/>
      <w:lvlJc w:val="left"/>
      <w:pPr>
        <w:ind w:left="468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7">
      <w:start w:val="1"/>
      <w:numFmt w:val="lowerLetter"/>
      <w:lvlText w:val="%8"/>
      <w:lvlJc w:val="left"/>
      <w:pPr>
        <w:ind w:left="540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8">
      <w:start w:val="1"/>
      <w:numFmt w:val="lowerRoman"/>
      <w:lvlText w:val="%9"/>
      <w:lvlJc w:val="left"/>
      <w:pPr>
        <w:ind w:left="6120"/>
      </w:pPr>
      <w:rPr>
        <w:rFonts w:ascii="Cambria" w:cs="Cambria" w:eastAsia="Cambria" w:hAnsi="Cambria"/>
        <w:b w:val="off"/>
        <w:i w:val="off"/>
        <w:strike w:val="off"/>
        <w:dstrike w:val="off"/>
        <w:color w:val="000000"/>
        <w:sz w:val="20"/>
        <w:szCs w:val="20"/>
        <w:bdr w:val="none" w:sz="4" w:space="0"/>
        <w:shd w:val="clear" w:color="auto" w:fill="auto"/>
        <w:vertAlign w:val="baseline"/>
      </w:rPr>
    </w:lvl>
  </w:abstractNum>
  <w:abstractNum w:abstractNumId="3">
    <w:multiLevelType w:val="hybridMultilevel"/>
    <w:lvl w:ilvl="0">
      <w:start w:val="1"/>
      <w:numFmt w:val="lowerLetter"/>
      <w:lvlText w:val="%1."/>
      <w:lvlJc w:val="left"/>
      <w:pPr>
        <w:ind w:left="185"/>
      </w:pPr>
      <w:rPr>
        <w:rFonts w:ascii="Cambria" w:cs="Cambria" w:eastAsia="Cambria" w:hAnsi="Cambria"/>
        <w:b w:val="off"/>
        <w:i w:val="off"/>
        <w:strike w:val="off"/>
        <w:dstrike w:val="off"/>
        <w:color w:val="000000"/>
        <w:sz w:val="20"/>
        <w:szCs w:val="20"/>
        <w:bdr w:val="none" w:sz="4" w:space="0"/>
        <w:shd w:val="clear" w:color="auto" w:fill="auto"/>
        <w:vertAlign w:val="baseline"/>
      </w:rPr>
    </w:lvl>
    <w:lvl w:ilvl="1">
      <w:start w:val="1"/>
      <w:numFmt w:val="lowerLetter"/>
      <w:lvlText w:val="%2"/>
      <w:lvlJc w:val="left"/>
      <w:pPr>
        <w:ind w:left="108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2">
      <w:start w:val="1"/>
      <w:numFmt w:val="lowerRoman"/>
      <w:lvlText w:val="%3"/>
      <w:lvlJc w:val="left"/>
      <w:pPr>
        <w:ind w:left="180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3">
      <w:start w:val="1"/>
      <w:numFmt w:val="decimal"/>
      <w:lvlText w:val="%4"/>
      <w:lvlJc w:val="left"/>
      <w:pPr>
        <w:ind w:left="252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4">
      <w:start w:val="1"/>
      <w:numFmt w:val="lowerLetter"/>
      <w:lvlText w:val="%5"/>
      <w:lvlJc w:val="left"/>
      <w:pPr>
        <w:ind w:left="324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5">
      <w:start w:val="1"/>
      <w:numFmt w:val="lowerRoman"/>
      <w:lvlText w:val="%6"/>
      <w:lvlJc w:val="left"/>
      <w:pPr>
        <w:ind w:left="396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6">
      <w:start w:val="1"/>
      <w:numFmt w:val="decimal"/>
      <w:lvlText w:val="%7"/>
      <w:lvlJc w:val="left"/>
      <w:pPr>
        <w:ind w:left="468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7">
      <w:start w:val="1"/>
      <w:numFmt w:val="lowerLetter"/>
      <w:lvlText w:val="%8"/>
      <w:lvlJc w:val="left"/>
      <w:pPr>
        <w:ind w:left="5400"/>
      </w:pPr>
      <w:rPr>
        <w:rFonts w:ascii="Cambria" w:cs="Cambria" w:eastAsia="Cambria" w:hAnsi="Cambria"/>
        <w:b w:val="off"/>
        <w:i w:val="off"/>
        <w:strike w:val="off"/>
        <w:dstrike w:val="off"/>
        <w:color w:val="000000"/>
        <w:sz w:val="20"/>
        <w:szCs w:val="20"/>
        <w:bdr w:val="none" w:sz="4" w:space="0"/>
        <w:shd w:val="clear" w:color="auto" w:fill="auto"/>
        <w:vertAlign w:val="baseline"/>
      </w:rPr>
    </w:lvl>
    <w:lvl w:ilvl="8">
      <w:start w:val="1"/>
      <w:numFmt w:val="lowerRoman"/>
      <w:lvlText w:val="%9"/>
      <w:lvlJc w:val="left"/>
      <w:pPr>
        <w:ind w:left="6120"/>
      </w:pPr>
      <w:rPr>
        <w:rFonts w:ascii="Cambria" w:cs="Cambria" w:eastAsia="Cambria" w:hAnsi="Cambria"/>
        <w:b w:val="off"/>
        <w:i w:val="off"/>
        <w:strike w:val="off"/>
        <w:dstrike w:val="off"/>
        <w:color w:val="000000"/>
        <w:sz w:val="20"/>
        <w:szCs w:val="20"/>
        <w:bdr w:val="none" w:sz="4" w:space="0"/>
        <w:shd w:val="clear" w:color="auto" w:fill="auto"/>
        <w:vertAlign w:val="baseline"/>
      </w:r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footnotePr/>
  <w:endnotePr/>
  <w:compat>
    <w:compatSetting w:name="compatibilityMode" w:uri="http://schemas.microsoft.com/office/word" w:val="14"/>
  </w:compat>
</w:settings>
</file>

<file path=word/styles.xml><?xml version="1.0" encoding="utf-8"?>
<w:styles xmlns:r="http://schemas.openxmlformats.org/officeDocument/2006/relationships" xmlns:w="http://schemas.openxmlformats.org/wordprocessingml/2006/main">
  <w:docDefaults>
    <w:rPrDefault>
      <w:rPr>
        <w:rFonts w:asciiTheme="minorHAnsi" w:cstheme="minorHAnsi" w:eastAsiaTheme="minorHAnsi" w:hAnsiTheme="minorHAnsi"/>
        <w:sz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365f91"/>
      <w:sz w:val="28"/>
      <w:szCs w:val="28"/>
    </w:rPr>
  </w:style>
  <w:style w:type="paragraph" w:styleId="Heading2">
    <w:name w:val="Heading 2"/>
    <w:basedOn w:val="Normal"/>
    <w:next w:val="Normal"/>
    <w:link w:val="Heading2Char"/>
    <w:uiPriority w:val="9"/>
    <w:unhideWhenUsed w:val="on"/>
    <w:qFormat w:val="on"/>
    <w:unhideWhenUsed w:val="on"/>
    <w:pPr>
      <w:keepNext w:val="on"/>
      <w:keepLines w:val="on"/>
      <w:spacing w:before="200" w:after="0"/>
    </w:pPr>
    <w:rPr>
      <w:rFonts w:asciiTheme="majorHAnsi" w:cstheme="majorBidi" w:eastAsiaTheme="majorEastAsia" w:hAnsiTheme="majorHAnsi"/>
      <w:b/>
      <w:bCs/>
      <w:color w:val="4f81bd"/>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f81bd"/>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f81bd"/>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243f60"/>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243f60"/>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65f91"/>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sz w:val="20"/>
      <w:szCs w:val="20"/>
    </w:rPr>
  </w:style>
  <w:style w:type="paragraph" w:styleId="Title">
    <w:name w:val="Title"/>
    <w:basedOn w:val="Normal"/>
    <w:next w:val="Normal"/>
    <w:link w:val="TitleChar"/>
    <w:uiPriority w:val="10"/>
    <w:qFormat w:val="on"/>
    <w:pPr>
      <w:pBdr>
        <w:bottom w:val="single" w:color="4f81bd" w:sz="8" w:space="4"/>
      </w:pBdr>
      <w:spacing w:after="300" w:line="240" w:lineRule="auto"/>
      <w:contextualSpacing w:val="on"/>
    </w:pPr>
    <w:rPr>
      <w:rFonts w:asciiTheme="majorHAnsi" w:cstheme="majorBidi" w:eastAsiaTheme="majorEastAsia" w:hAnsiTheme="majorHAnsi"/>
      <w:color w:val="17365d"/>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65d"/>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spacing w:val="15"/>
      <w:sz w:val="24"/>
      <w:szCs w:val="24"/>
    </w:rPr>
  </w:style>
  <w:style w:type="character" w:styleId="SubtleEmphasis">
    <w:name w:val="Subtle Emphasis"/>
    <w:basedOn w:val="DefaultParagraphFont"/>
    <w:uiPriority w:val="19"/>
    <w:qFormat w:val="on"/>
    <w:rPr>
      <w:i/>
      <w:iCs/>
      <w:color w:val="808080"/>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rPr>
  </w:style>
  <w:style w:type="character" w:customStyle="1" w:styleId="QuoteChar">
    <w:name w:val="Quote Char"/>
    <w:basedOn w:val="DefaultParagraphFont"/>
    <w:link w:val="Quote"/>
    <w:uiPriority w:val="29"/>
    <w:rPr>
      <w:i/>
      <w:iCs/>
      <w:color w:val="000000"/>
    </w:rPr>
  </w:style>
  <w:style w:type="paragraph" w:styleId="IntenseQuote">
    <w:name w:val="Intense Quote"/>
    <w:basedOn w:val="Normal"/>
    <w:next w:val="Normal"/>
    <w:link w:val="IntenseQuoteChar"/>
    <w:uiPriority w:val="30"/>
    <w:qFormat w:val="on"/>
    <w:pPr>
      <w:pBdr>
        <w:bottom w:val="single" w:color="4f81bd" w:sz="4" w:space="4"/>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Pr>
      <w:b/>
      <w:bCs/>
      <w:i/>
      <w:iCs/>
      <w:color w:val="4f81bd"/>
    </w:rPr>
  </w:style>
  <w:style w:type="character" w:styleId="SubtleReference">
    <w:name w:val="Subtle Reference"/>
    <w:basedOn w:val="DefaultParagraphFont"/>
    <w:uiPriority w:val="31"/>
    <w:qFormat w:val="on"/>
    <w:rPr>
      <w:smallCaps/>
      <w:color w:val="c0504d"/>
      <w:u w:val="single"/>
    </w:rPr>
  </w:style>
  <w:style w:type="character" w:styleId="IntenseReference">
    <w:name w:val="Intense Reference"/>
    <w:basedOn w:val="DefaultParagraphFont"/>
    <w:uiPriority w:val="32"/>
    <w:qFormat w:val="on"/>
    <w:rPr>
      <w:b/>
      <w:bCs/>
      <w:smallCaps/>
      <w:color w:val="c0504d"/>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000ff"/>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val="on"/>
    <w:qFormat w:val="on"/>
    <w:unhideWhenUsed w:val="on"/>
    <w:pPr>
      <w:keepLines w:val="on"/>
      <w:spacing w:before="240" w:after="0" w:line="259" w:lineRule="auto"/>
      <w:jc w:val="left"/>
    </w:pPr>
    <w:rPr>
      <w:rFonts w:ascii="Cambria" w:cs="Cambria" w:eastAsia="Cambria" w:hAnsi="Cambria"/>
      <w:b w:val="off"/>
      <w:bCs w:val="off"/>
      <w:color w:val="376091" w:themeColor="accent1" w:themeShade="bf"/>
      <w:sz w:val="32"/>
      <w:szCs w:val="32"/>
    </w:rPr>
  </w:style>
  <w:style w:type="paragraph" w:styleId="Toc1">
    <w:name w:val="Toc 1"/>
    <w:basedOn w:val="Normal"/>
    <w:next w:val="Normal"/>
    <w:uiPriority w:val="39"/>
    <w:unhideWhenUsed w:val="on"/>
    <w:unhideWhenUsed w:val="on"/>
    <w:pPr>
      <w:spacing w:after="100"/>
    </w:pPr>
  </w:style>
  <w:style w:type="paragraph" w:styleId="Toc2">
    <w:name w:val="Toc 2"/>
    <w:basedOn w:val="Normal"/>
    <w:next w:val="Normal"/>
    <w:uiPriority w:val="39"/>
    <w:unhideWhenUsed w:val="on"/>
    <w:unhideWhenUsed w:val="on"/>
    <w:pPr>
      <w:spacing w:after="100"/>
      <w:ind w:left="240"/>
    </w:pPr>
  </w:style>
  <w:style w:type="table" w:customStyle="1" w:styleId="TableGrid">
    <w:name w:val="TableGrid"/>
    <w:uiPriority w:val="99"/>
    <w:pPr>
      <w:spacing w:after="0" w:line="240" w:lineRule="auto"/>
    </w:pPr>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6" Type="http://schemas.openxmlformats.org/officeDocument/2006/relationships/settings" Target="settings.xml"/><Relationship Id="rId5" Type="http://schemas.openxmlformats.org/officeDocument/2006/relationships/image" Target="media/image1.png"/></Relationships>
</file>

<file path=word/theme/theme1.xml><?xml version="1.0" encoding="utf-8"?>
<a:theme xmlns:a="http://schemas.openxmlformats.org/drawingml/2006/main" name="MS Office Theme">
  <a:themeElements>
    <a:clrScheme name="MS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MSOffice">
      <a:majorFont>
        <a:latin typeface="Cambria"/>
        <a:ea typeface=""/>
        <a:cs typeface=""/>
        <a:font script="Jpan" typeface="ＭＳ ゴシック"/>
        <a:font script="Arab" typeface="Times New Roman"/>
        <a:font script="Hebr" typeface="Times New Roman"/>
        <a:font script="Thai" typeface="Angsana New"/>
        <a:font script="Viet" typeface="Times New Roman"/>
      </a:majorFont>
      <a:minorFont>
        <a:latin typeface="Calibri"/>
        <a:ea typeface=""/>
        <a:cs typeface=""/>
        <a:font script="Jpan" typeface="ＭＳ 明朝"/>
        <a:font script="Arab" typeface="Arial"/>
        <a:font script="Hebr" typeface="Arial"/>
        <a:font script="Thai" typeface="Cordia New"/>
        <a:font script="Viet" typeface="Arial"/>
      </a:minorFont>
    </a:fontScheme>
    <a:fmtScheme name="MS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Petar Yanakiev</dc:creator>
  <cp:lastModifiedBy>Petar Yanakiev</cp:lastModifiedBy>
</cp:coreProperties>
</file>