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70F25" w:rsidRDefault="00FE57AC">
      <w:pPr>
        <w:pStyle w:val="Default"/>
        <w:spacing w:line="360" w:lineRule="auto"/>
        <w:jc w:val="both"/>
        <w:rPr>
          <w:rFonts w:ascii="Baskerville" w:eastAsia="Baskerville" w:hAnsi="Baskerville" w:cs="Baskerville"/>
          <w:sz w:val="24"/>
          <w:szCs w:val="24"/>
        </w:rPr>
      </w:pPr>
      <w:r>
        <w:rPr>
          <w:rFonts w:ascii="Baskerville" w:hAnsi="Baskerville"/>
          <w:b/>
          <w:bCs/>
          <w:sz w:val="24"/>
          <w:szCs w:val="24"/>
        </w:rPr>
        <w:t xml:space="preserve">Proposal </w:t>
      </w:r>
    </w:p>
    <w:p w:rsidR="00370F25" w:rsidRDefault="00FE57AC">
      <w:pPr>
        <w:pStyle w:val="Default"/>
        <w:spacing w:line="360" w:lineRule="auto"/>
        <w:jc w:val="both"/>
        <w:rPr>
          <w:rFonts w:ascii="Baskerville" w:eastAsia="Baskerville" w:hAnsi="Baskerville" w:cs="Baskerville"/>
          <w:sz w:val="24"/>
          <w:szCs w:val="24"/>
        </w:rPr>
      </w:pPr>
      <w:r>
        <w:rPr>
          <w:rFonts w:ascii="Baskerville" w:hAnsi="Baskerville"/>
          <w:sz w:val="24"/>
          <w:szCs w:val="24"/>
        </w:rPr>
        <w:t xml:space="preserve">Annan et al 2011 propose that evolutionary development , which implies the passivity of the learner and environment is the territory of Darwinism. From the model presented it is clear to see that the dominant paradigms of the 20th Century have been </w:t>
      </w:r>
      <w:proofErr w:type="spellStart"/>
      <w:r>
        <w:rPr>
          <w:rFonts w:ascii="Baskerville" w:hAnsi="Baskerville"/>
          <w:sz w:val="24"/>
          <w:szCs w:val="24"/>
        </w:rPr>
        <w:t>Behavio</w:t>
      </w:r>
      <w:r>
        <w:rPr>
          <w:rFonts w:ascii="Baskerville" w:hAnsi="Baskerville"/>
          <w:sz w:val="24"/>
          <w:szCs w:val="24"/>
        </w:rPr>
        <w:t>urism</w:t>
      </w:r>
      <w:proofErr w:type="spellEnd"/>
      <w:r>
        <w:rPr>
          <w:rFonts w:ascii="Baskerville" w:hAnsi="Baskerville"/>
          <w:sz w:val="24"/>
          <w:szCs w:val="24"/>
        </w:rPr>
        <w:t>, Humanism, Cognitivist and Constructivist. For obvious reasons, among which the association with the work of Galton, evolutions development has been not ethically or morally attractive to educators, however with recent learning gained from neuroscien</w:t>
      </w:r>
      <w:r>
        <w:rPr>
          <w:rFonts w:ascii="Baskerville" w:hAnsi="Baskerville"/>
          <w:sz w:val="24"/>
          <w:szCs w:val="24"/>
        </w:rPr>
        <w:t xml:space="preserve">ce, it may be argued that the 21st century s the </w:t>
      </w:r>
      <w:r>
        <w:rPr>
          <w:rFonts w:ascii="Baskerville" w:hAnsi="Baskerville"/>
          <w:sz w:val="24"/>
          <w:szCs w:val="24"/>
        </w:rPr>
        <w:t>‘</w:t>
      </w:r>
      <w:r>
        <w:rPr>
          <w:rFonts w:ascii="Baskerville" w:hAnsi="Baskerville"/>
          <w:sz w:val="24"/>
          <w:szCs w:val="24"/>
        </w:rPr>
        <w:t>age of the brain</w:t>
      </w:r>
      <w:r>
        <w:rPr>
          <w:rFonts w:ascii="Baskerville" w:hAnsi="Baskerville"/>
          <w:sz w:val="24"/>
          <w:szCs w:val="24"/>
        </w:rPr>
        <w:t xml:space="preserve">’ </w:t>
      </w:r>
      <w:r>
        <w:rPr>
          <w:rFonts w:ascii="Baskerville" w:hAnsi="Baskerville"/>
          <w:sz w:val="24"/>
          <w:szCs w:val="24"/>
        </w:rPr>
        <w:t>and that fundamental to this is the appreciated of the brain as a product of evolution, furthermore the brain itself is subject to fundamental evolutionary principles as it learns. the con</w:t>
      </w:r>
      <w:r>
        <w:rPr>
          <w:rFonts w:ascii="Baskerville" w:hAnsi="Baskerville"/>
          <w:sz w:val="24"/>
          <w:szCs w:val="24"/>
        </w:rPr>
        <w:t xml:space="preserve">cept of learning rain is fundamentally a concept of evolution. </w:t>
      </w:r>
    </w:p>
    <w:p w:rsidR="00370F25" w:rsidRDefault="00370F25">
      <w:pPr>
        <w:pStyle w:val="Default"/>
        <w:spacing w:line="360" w:lineRule="auto"/>
        <w:jc w:val="both"/>
        <w:rPr>
          <w:rFonts w:ascii="Baskerville" w:eastAsia="Baskerville" w:hAnsi="Baskerville" w:cs="Baskerville"/>
          <w:sz w:val="24"/>
          <w:szCs w:val="24"/>
        </w:rPr>
      </w:pPr>
    </w:p>
    <w:p w:rsidR="00370F25" w:rsidRDefault="00FE57AC">
      <w:pPr>
        <w:pStyle w:val="Default"/>
        <w:spacing w:line="360" w:lineRule="auto"/>
        <w:jc w:val="both"/>
        <w:rPr>
          <w:rFonts w:ascii="Baskerville" w:eastAsia="Baskerville" w:hAnsi="Baskerville" w:cs="Baskerville"/>
          <w:i/>
          <w:iCs/>
          <w:sz w:val="24"/>
          <w:szCs w:val="24"/>
        </w:rPr>
      </w:pPr>
      <w:r>
        <w:rPr>
          <w:rFonts w:ascii="Baskerville" w:hAnsi="Baskerville"/>
          <w:i/>
          <w:iCs/>
          <w:sz w:val="24"/>
          <w:szCs w:val="24"/>
        </w:rPr>
        <w:t>The Tasks</w:t>
      </w:r>
    </w:p>
    <w:p w:rsidR="00370F25" w:rsidRDefault="00FE57AC">
      <w:pPr>
        <w:pStyle w:val="Default"/>
        <w:spacing w:line="360" w:lineRule="auto"/>
        <w:jc w:val="both"/>
        <w:rPr>
          <w:rFonts w:ascii="Baskerville" w:eastAsia="Baskerville" w:hAnsi="Baskerville" w:cs="Baskerville"/>
          <w:sz w:val="24"/>
          <w:szCs w:val="24"/>
        </w:rPr>
      </w:pPr>
      <w:r>
        <w:rPr>
          <w:rFonts w:ascii="Baskerville" w:hAnsi="Baskerville"/>
          <w:sz w:val="24"/>
          <w:szCs w:val="24"/>
        </w:rPr>
        <w:t xml:space="preserve">The series of iterative tasks designed and presented in the five minute video aims to develop and evaluate learner performance in creativity and innovation in reference to the </w:t>
      </w:r>
      <w:proofErr w:type="spellStart"/>
      <w:r>
        <w:rPr>
          <w:rFonts w:ascii="Baskerville" w:hAnsi="Baskerville"/>
          <w:sz w:val="24"/>
          <w:szCs w:val="24"/>
        </w:rPr>
        <w:t>the</w:t>
      </w:r>
      <w:proofErr w:type="spellEnd"/>
      <w:r>
        <w:rPr>
          <w:rFonts w:ascii="Baskerville" w:hAnsi="Baskerville"/>
          <w:sz w:val="24"/>
          <w:szCs w:val="24"/>
        </w:rPr>
        <w:t xml:space="preserve"> p</w:t>
      </w:r>
      <w:r>
        <w:rPr>
          <w:rFonts w:ascii="Baskerville" w:hAnsi="Baskerville"/>
          <w:sz w:val="24"/>
          <w:szCs w:val="24"/>
        </w:rPr>
        <w:t>rinciples of evolutionary development. Evolutionary Development is set out as phases that address spheres of learner capability;</w:t>
      </w:r>
    </w:p>
    <w:p w:rsidR="00370F25" w:rsidRDefault="00FE57AC">
      <w:pPr>
        <w:pStyle w:val="Default"/>
        <w:numPr>
          <w:ilvl w:val="0"/>
          <w:numId w:val="2"/>
        </w:numPr>
        <w:spacing w:line="360" w:lineRule="auto"/>
        <w:ind w:right="618"/>
        <w:jc w:val="both"/>
        <w:rPr>
          <w:rFonts w:ascii="Baskerville" w:hAnsi="Baskerville"/>
          <w:sz w:val="24"/>
          <w:szCs w:val="24"/>
        </w:rPr>
      </w:pPr>
      <w:r>
        <w:rPr>
          <w:rFonts w:ascii="Baskerville" w:hAnsi="Baskerville"/>
          <w:sz w:val="24"/>
          <w:szCs w:val="24"/>
        </w:rPr>
        <w:t xml:space="preserve">Phase 1 </w:t>
      </w:r>
      <w:r>
        <w:rPr>
          <w:rFonts w:ascii="Baskerville" w:hAnsi="Baskerville"/>
          <w:sz w:val="24"/>
          <w:szCs w:val="24"/>
        </w:rPr>
        <w:t>‘</w:t>
      </w:r>
      <w:proofErr w:type="spellStart"/>
      <w:r>
        <w:rPr>
          <w:rFonts w:ascii="Baskerville" w:hAnsi="Baskerville"/>
          <w:sz w:val="24"/>
          <w:szCs w:val="24"/>
          <w:lang w:val="nl-NL"/>
        </w:rPr>
        <w:t>Mindset</w:t>
      </w:r>
      <w:proofErr w:type="spellEnd"/>
      <w:r>
        <w:rPr>
          <w:rFonts w:ascii="Baskerville" w:hAnsi="Baskerville"/>
          <w:sz w:val="24"/>
          <w:szCs w:val="24"/>
        </w:rPr>
        <w:t xml:space="preserve">’  </w:t>
      </w:r>
      <w:r>
        <w:rPr>
          <w:rFonts w:ascii="Baskerville" w:hAnsi="Baskerville"/>
          <w:sz w:val="24"/>
          <w:szCs w:val="24"/>
        </w:rPr>
        <w:t xml:space="preserve">seeks to make sense of how we view people organisations and society based on </w:t>
      </w:r>
      <w:proofErr w:type="spellStart"/>
      <w:r>
        <w:rPr>
          <w:rFonts w:ascii="Baskerville" w:hAnsi="Baskerville"/>
          <w:sz w:val="24"/>
          <w:szCs w:val="24"/>
        </w:rPr>
        <w:t>ones</w:t>
      </w:r>
      <w:proofErr w:type="spellEnd"/>
      <w:r>
        <w:rPr>
          <w:rFonts w:ascii="Baskerville" w:hAnsi="Baskerville"/>
          <w:sz w:val="24"/>
          <w:szCs w:val="24"/>
        </w:rPr>
        <w:t xml:space="preserve"> own values and belief. In </w:t>
      </w:r>
      <w:r>
        <w:rPr>
          <w:rFonts w:ascii="Baskerville" w:hAnsi="Baskerville"/>
          <w:sz w:val="24"/>
          <w:szCs w:val="24"/>
        </w:rPr>
        <w:t>essence this is the learners line of sight and is based on what they feel and believe about their peers</w:t>
      </w:r>
    </w:p>
    <w:p w:rsidR="00370F25" w:rsidRDefault="00FE57AC">
      <w:pPr>
        <w:pStyle w:val="Default"/>
        <w:numPr>
          <w:ilvl w:val="0"/>
          <w:numId w:val="2"/>
        </w:numPr>
        <w:spacing w:line="360" w:lineRule="auto"/>
        <w:ind w:right="618"/>
        <w:jc w:val="both"/>
        <w:rPr>
          <w:rFonts w:ascii="Baskerville" w:hAnsi="Baskerville"/>
          <w:sz w:val="24"/>
          <w:szCs w:val="24"/>
        </w:rPr>
      </w:pPr>
      <w:r>
        <w:rPr>
          <w:rFonts w:ascii="Baskerville" w:hAnsi="Baskerville"/>
          <w:sz w:val="24"/>
          <w:szCs w:val="24"/>
        </w:rPr>
        <w:t xml:space="preserve">Phase 2 </w:t>
      </w:r>
      <w:r>
        <w:rPr>
          <w:rFonts w:ascii="Baskerville" w:hAnsi="Baskerville"/>
          <w:sz w:val="24"/>
          <w:szCs w:val="24"/>
        </w:rPr>
        <w:t>‘</w:t>
      </w:r>
      <w:proofErr w:type="spellStart"/>
      <w:r>
        <w:rPr>
          <w:rFonts w:ascii="Baskerville" w:hAnsi="Baskerville"/>
          <w:sz w:val="24"/>
          <w:szCs w:val="24"/>
        </w:rPr>
        <w:t>Behavioural</w:t>
      </w:r>
      <w:proofErr w:type="spellEnd"/>
      <w:r>
        <w:rPr>
          <w:rFonts w:ascii="Baskerville" w:hAnsi="Baskerville"/>
          <w:sz w:val="24"/>
          <w:szCs w:val="24"/>
        </w:rPr>
        <w:t xml:space="preserve">’  </w:t>
      </w:r>
      <w:r>
        <w:rPr>
          <w:rFonts w:ascii="Baskerville" w:hAnsi="Baskerville"/>
          <w:sz w:val="24"/>
          <w:szCs w:val="24"/>
        </w:rPr>
        <w:t>Following on from the first phase , learners address issues such as what they wish to give up and what is it they will start doin</w:t>
      </w:r>
      <w:r>
        <w:rPr>
          <w:rFonts w:ascii="Baskerville" w:hAnsi="Baskerville"/>
          <w:sz w:val="24"/>
          <w:szCs w:val="24"/>
        </w:rPr>
        <w:t>g as actions and impact on others</w:t>
      </w:r>
    </w:p>
    <w:p w:rsidR="00370F25" w:rsidRDefault="00FE57AC">
      <w:pPr>
        <w:pStyle w:val="Default"/>
        <w:numPr>
          <w:ilvl w:val="0"/>
          <w:numId w:val="2"/>
        </w:numPr>
        <w:spacing w:line="360" w:lineRule="auto"/>
        <w:ind w:right="618"/>
        <w:jc w:val="both"/>
        <w:rPr>
          <w:rFonts w:ascii="Baskerville" w:hAnsi="Baskerville"/>
          <w:sz w:val="24"/>
          <w:szCs w:val="24"/>
        </w:rPr>
      </w:pPr>
      <w:r>
        <w:rPr>
          <w:rFonts w:ascii="Baskerville" w:hAnsi="Baskerville"/>
          <w:sz w:val="24"/>
          <w:szCs w:val="24"/>
        </w:rPr>
        <w:t xml:space="preserve">Phase 3 </w:t>
      </w:r>
      <w:r>
        <w:rPr>
          <w:rFonts w:ascii="Baskerville" w:hAnsi="Baskerville"/>
          <w:sz w:val="24"/>
          <w:szCs w:val="24"/>
        </w:rPr>
        <w:t>‘</w:t>
      </w:r>
      <w:r>
        <w:rPr>
          <w:rFonts w:ascii="Baskerville" w:hAnsi="Baskerville"/>
          <w:sz w:val="24"/>
          <w:szCs w:val="24"/>
          <w:lang w:val="pt-PT"/>
        </w:rPr>
        <w:t>Processes</w:t>
      </w:r>
      <w:r>
        <w:rPr>
          <w:rFonts w:ascii="Baskerville" w:hAnsi="Baskerville"/>
          <w:sz w:val="24"/>
          <w:szCs w:val="24"/>
        </w:rPr>
        <w:t xml:space="preserve">’ </w:t>
      </w:r>
      <w:r>
        <w:rPr>
          <w:rFonts w:ascii="Baskerville" w:hAnsi="Baskerville"/>
          <w:sz w:val="24"/>
          <w:szCs w:val="24"/>
        </w:rPr>
        <w:t xml:space="preserve">- Learners envision to expand creative and innovative capacity developing the ability to create new systems and tools that are sustainable. </w:t>
      </w: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uto"/>
        <w:ind w:right="618"/>
        <w:jc w:val="both"/>
        <w:rPr>
          <w:rFonts w:ascii="Baskerville" w:eastAsia="Baskerville" w:hAnsi="Baskerville" w:cs="Baskerville"/>
          <w:sz w:val="24"/>
          <w:szCs w:val="24"/>
        </w:rPr>
      </w:pPr>
      <w:r>
        <w:rPr>
          <w:rFonts w:ascii="Baskerville" w:hAnsi="Baskerville"/>
          <w:sz w:val="24"/>
          <w:szCs w:val="24"/>
        </w:rPr>
        <w:t xml:space="preserve">Within each case there is staging , as iterative tasks that </w:t>
      </w:r>
      <w:r>
        <w:rPr>
          <w:rFonts w:ascii="Baskerville" w:hAnsi="Baskerville"/>
          <w:sz w:val="24"/>
          <w:szCs w:val="24"/>
        </w:rPr>
        <w:t>aim to e</w:t>
      </w:r>
      <w:r>
        <w:rPr>
          <w:rFonts w:ascii="Baskerville" w:hAnsi="Baskerville"/>
          <w:sz w:val="24"/>
          <w:szCs w:val="24"/>
        </w:rPr>
        <w:t>xecut</w:t>
      </w:r>
      <w:r>
        <w:rPr>
          <w:rFonts w:ascii="Baskerville" w:hAnsi="Baskerville"/>
          <w:sz w:val="24"/>
          <w:szCs w:val="24"/>
        </w:rPr>
        <w:t xml:space="preserve">e the process or model of  Evolutionary Development. Within each task there is an element of </w:t>
      </w:r>
      <w:proofErr w:type="spellStart"/>
      <w:r>
        <w:rPr>
          <w:rFonts w:ascii="Baskerville" w:hAnsi="Baskerville"/>
          <w:sz w:val="24"/>
          <w:szCs w:val="24"/>
        </w:rPr>
        <w:t>of</w:t>
      </w:r>
      <w:proofErr w:type="spellEnd"/>
      <w:r>
        <w:rPr>
          <w:rFonts w:ascii="Baskerville" w:hAnsi="Baskerville"/>
          <w:sz w:val="24"/>
          <w:szCs w:val="24"/>
        </w:rPr>
        <w:t xml:space="preserve"> self- and other- discovery which by definition, it opens up possibilities of new </w:t>
      </w:r>
      <w:proofErr w:type="spellStart"/>
      <w:r>
        <w:rPr>
          <w:rFonts w:ascii="Baskerville" w:hAnsi="Baskerville"/>
          <w:sz w:val="24"/>
          <w:szCs w:val="24"/>
        </w:rPr>
        <w:t>self understanding</w:t>
      </w:r>
      <w:proofErr w:type="spellEnd"/>
      <w:r>
        <w:rPr>
          <w:rFonts w:ascii="Baskerville" w:hAnsi="Baskerville"/>
          <w:sz w:val="24"/>
          <w:szCs w:val="24"/>
        </w:rPr>
        <w:t xml:space="preserve"> and appreciation of others qualities. The proce</w:t>
      </w:r>
      <w:r>
        <w:rPr>
          <w:rFonts w:ascii="Baskerville" w:hAnsi="Baskerville"/>
          <w:sz w:val="24"/>
          <w:szCs w:val="24"/>
        </w:rPr>
        <w:t>ss unlike contemporary theories of learning  thrives on discomfort and change, and creates room for experiences with other people in the learners professional and personal(Swann, 2018) .While Evolutionary Development as a process is challenging for the lea</w:t>
      </w:r>
      <w:r>
        <w:rPr>
          <w:rFonts w:ascii="Baskerville" w:hAnsi="Baskerville"/>
          <w:sz w:val="24"/>
          <w:szCs w:val="24"/>
        </w:rPr>
        <w:t xml:space="preserve">rner , this process is bound to generate profound growth, helping learners reframe their perceived roles and to appreciate the impact they need to have to deliver successful. Underpinning principles to the interactive tasks are begin at the </w:t>
      </w:r>
      <w:proofErr w:type="spellStart"/>
      <w:r>
        <w:rPr>
          <w:rFonts w:ascii="Baskerville" w:hAnsi="Baskerville"/>
          <w:sz w:val="24"/>
          <w:szCs w:val="24"/>
          <w:lang w:val="fr-FR"/>
        </w:rPr>
        <w:t>core</w:t>
      </w:r>
      <w:proofErr w:type="spellEnd"/>
      <w:r>
        <w:rPr>
          <w:rFonts w:ascii="Baskerville" w:hAnsi="Baskerville"/>
          <w:sz w:val="24"/>
          <w:szCs w:val="24"/>
          <w:lang w:val="fr-FR"/>
        </w:rPr>
        <w:t xml:space="preserve">, </w:t>
      </w:r>
      <w:r>
        <w:rPr>
          <w:rFonts w:ascii="Baskerville" w:hAnsi="Baskerville"/>
          <w:sz w:val="24"/>
          <w:szCs w:val="24"/>
        </w:rPr>
        <w:t xml:space="preserve">develop </w:t>
      </w:r>
      <w:proofErr w:type="spellStart"/>
      <w:r>
        <w:rPr>
          <w:rFonts w:ascii="Baskerville" w:hAnsi="Baskerville"/>
          <w:sz w:val="24"/>
          <w:szCs w:val="24"/>
        </w:rPr>
        <w:t>self respect</w:t>
      </w:r>
      <w:proofErr w:type="spellEnd"/>
      <w:r>
        <w:rPr>
          <w:rFonts w:ascii="Baskerville" w:hAnsi="Baskerville"/>
          <w:sz w:val="24"/>
          <w:szCs w:val="24"/>
        </w:rPr>
        <w:t>, then inspire others</w:t>
      </w:r>
      <w:r>
        <w:rPr>
          <w:rFonts w:ascii="Baskerville" w:hAnsi="Baskerville"/>
          <w:sz w:val="24"/>
          <w:szCs w:val="24"/>
        </w:rPr>
        <w:t>, adapt</w:t>
      </w:r>
      <w:r>
        <w:rPr>
          <w:rFonts w:ascii="Baskerville" w:hAnsi="Baskerville"/>
          <w:sz w:val="24"/>
          <w:szCs w:val="24"/>
        </w:rPr>
        <w:t xml:space="preserve"> practice, then develop sustainable networks and  communities of practice. At a high level, the maturation process is associated with this transformation will move learners </w:t>
      </w:r>
      <w:r>
        <w:rPr>
          <w:rFonts w:ascii="Baskerville" w:hAnsi="Baskerville"/>
          <w:sz w:val="24"/>
          <w:szCs w:val="24"/>
        </w:rPr>
        <w:lastRenderedPageBreak/>
        <w:t>through the following five stages:, these a</w:t>
      </w:r>
      <w:r>
        <w:rPr>
          <w:rFonts w:ascii="Baskerville" w:hAnsi="Baskerville"/>
          <w:sz w:val="24"/>
          <w:szCs w:val="24"/>
        </w:rPr>
        <w:t>re described as The Iterative Tasks or Zones of Mind Growth (ZMG)</w:t>
      </w:r>
      <w:r>
        <w:rPr>
          <w:rFonts w:ascii="Baskerville" w:hAnsi="Baskerville"/>
          <w:sz w:val="24"/>
          <w:szCs w:val="24"/>
        </w:rPr>
        <w:t> </w:t>
      </w: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numPr>
          <w:ilvl w:val="0"/>
          <w:numId w:val="3"/>
        </w:numPr>
        <w:spacing w:line="360" w:lineRule="auto"/>
        <w:ind w:right="618"/>
        <w:jc w:val="both"/>
        <w:rPr>
          <w:rFonts w:ascii="Baskerville" w:hAnsi="Baskerville"/>
          <w:i/>
          <w:iCs/>
          <w:sz w:val="24"/>
          <w:szCs w:val="24"/>
        </w:rPr>
      </w:pPr>
      <w:r>
        <w:rPr>
          <w:rFonts w:ascii="Baskerville" w:hAnsi="Baskerville"/>
          <w:i/>
          <w:iCs/>
          <w:sz w:val="24"/>
          <w:szCs w:val="24"/>
        </w:rPr>
        <w:t xml:space="preserve">Stage one-Egocentric- </w:t>
      </w:r>
      <w:r>
        <w:rPr>
          <w:rFonts w:ascii="Baskerville" w:hAnsi="Baskerville"/>
          <w:sz w:val="24"/>
          <w:szCs w:val="24"/>
        </w:rPr>
        <w:t>In the stage optimal learner mindset is to be a</w:t>
      </w:r>
      <w:r>
        <w:rPr>
          <w:rFonts w:ascii="Baskerville" w:hAnsi="Baskerville"/>
          <w:sz w:val="24"/>
          <w:szCs w:val="24"/>
        </w:rPr>
        <w:t>ssertive</w:t>
      </w:r>
      <w:r>
        <w:rPr>
          <w:rFonts w:ascii="Baskerville" w:hAnsi="Baskerville"/>
          <w:sz w:val="24"/>
          <w:szCs w:val="24"/>
        </w:rPr>
        <w:t xml:space="preserve">. Statements such as </w:t>
      </w:r>
      <w:r>
        <w:rPr>
          <w:rFonts w:ascii="Baskerville" w:hAnsi="Baskerville"/>
          <w:sz w:val="24"/>
          <w:szCs w:val="24"/>
        </w:rPr>
        <w:t>‘</w:t>
      </w:r>
      <w:r>
        <w:rPr>
          <w:rFonts w:ascii="Baskerville" w:hAnsi="Baskerville"/>
          <w:sz w:val="24"/>
          <w:szCs w:val="24"/>
        </w:rPr>
        <w:t>I deserve this</w:t>
      </w:r>
      <w:r>
        <w:rPr>
          <w:rFonts w:ascii="Baskerville" w:hAnsi="Baskerville"/>
          <w:sz w:val="24"/>
          <w:szCs w:val="24"/>
        </w:rPr>
        <w:t xml:space="preserve">’ </w:t>
      </w:r>
      <w:r>
        <w:rPr>
          <w:rFonts w:ascii="Baskerville" w:hAnsi="Baskerville"/>
          <w:sz w:val="24"/>
          <w:szCs w:val="24"/>
        </w:rPr>
        <w:t xml:space="preserve">or </w:t>
      </w:r>
      <w:r>
        <w:rPr>
          <w:rFonts w:ascii="Baskerville" w:hAnsi="Baskerville"/>
          <w:sz w:val="24"/>
          <w:szCs w:val="24"/>
        </w:rPr>
        <w:t>‘</w:t>
      </w:r>
      <w:r>
        <w:rPr>
          <w:rFonts w:ascii="Baskerville" w:hAnsi="Baskerville"/>
          <w:sz w:val="24"/>
          <w:szCs w:val="24"/>
        </w:rPr>
        <w:t>I am a product of my own narrative</w:t>
      </w:r>
      <w:r>
        <w:rPr>
          <w:rFonts w:ascii="Baskerville" w:hAnsi="Baskerville"/>
          <w:sz w:val="24"/>
          <w:szCs w:val="24"/>
        </w:rPr>
        <w:t xml:space="preserve">’ </w:t>
      </w:r>
      <w:r>
        <w:rPr>
          <w:rFonts w:ascii="Baskerville" w:hAnsi="Baskerville"/>
          <w:sz w:val="24"/>
          <w:szCs w:val="24"/>
        </w:rPr>
        <w:t>are to be encouraged at this stag</w:t>
      </w:r>
      <w:r>
        <w:rPr>
          <w:rFonts w:ascii="Baskerville" w:hAnsi="Baskerville"/>
          <w:sz w:val="24"/>
          <w:szCs w:val="24"/>
        </w:rPr>
        <w:t xml:space="preserve">e. The focus of activity is self </w:t>
      </w:r>
      <w:proofErr w:type="spellStart"/>
      <w:r>
        <w:rPr>
          <w:rFonts w:ascii="Baskerville" w:hAnsi="Baskerville"/>
          <w:sz w:val="24"/>
          <w:szCs w:val="24"/>
        </w:rPr>
        <w:t>conceptualisation</w:t>
      </w:r>
      <w:proofErr w:type="spellEnd"/>
      <w:r>
        <w:rPr>
          <w:rFonts w:ascii="Baskerville" w:hAnsi="Baskerville"/>
          <w:sz w:val="24"/>
          <w:szCs w:val="24"/>
        </w:rPr>
        <w:t xml:space="preserve"> with theme </w:t>
      </w:r>
      <w:r>
        <w:rPr>
          <w:rFonts w:ascii="Baskerville" w:hAnsi="Baskerville"/>
          <w:sz w:val="24"/>
          <w:szCs w:val="24"/>
        </w:rPr>
        <w:t>‘</w:t>
      </w:r>
      <w:r>
        <w:rPr>
          <w:rFonts w:ascii="Baskerville" w:hAnsi="Baskerville"/>
          <w:sz w:val="24"/>
          <w:szCs w:val="24"/>
        </w:rPr>
        <w:t>One must overcome inhibitions</w:t>
      </w:r>
      <w:r>
        <w:rPr>
          <w:rFonts w:ascii="Baskerville" w:hAnsi="Baskerville"/>
          <w:sz w:val="24"/>
          <w:szCs w:val="24"/>
        </w:rPr>
        <w:t>’</w:t>
      </w:r>
      <w:r>
        <w:rPr>
          <w:rFonts w:ascii="Baskerville" w:hAnsi="Baskerville"/>
          <w:sz w:val="24"/>
          <w:szCs w:val="24"/>
        </w:rPr>
        <w:t xml:space="preserve">. Which involves a  process of becoming mindful , and acknowledging current fixed </w:t>
      </w:r>
      <w:proofErr w:type="spellStart"/>
      <w:r>
        <w:rPr>
          <w:rFonts w:ascii="Baskerville" w:hAnsi="Baskerville"/>
          <w:sz w:val="24"/>
          <w:szCs w:val="24"/>
          <w:lang w:val="da-DK"/>
        </w:rPr>
        <w:t>mindset</w:t>
      </w:r>
      <w:proofErr w:type="spellEnd"/>
      <w:r>
        <w:rPr>
          <w:rFonts w:ascii="Baskerville" w:hAnsi="Baskerville"/>
          <w:sz w:val="24"/>
          <w:szCs w:val="24"/>
        </w:rPr>
        <w:t>. The  teacher should adopt Coaching and Facilitation techniques. The unde</w:t>
      </w:r>
      <w:r>
        <w:rPr>
          <w:rFonts w:ascii="Baskerville" w:hAnsi="Baskerville"/>
          <w:sz w:val="24"/>
          <w:szCs w:val="24"/>
        </w:rPr>
        <w:t xml:space="preserve">rpinning theory /theorists include </w:t>
      </w:r>
      <w:proofErr w:type="spellStart"/>
      <w:r>
        <w:rPr>
          <w:rFonts w:ascii="Baskerville" w:hAnsi="Baskerville"/>
          <w:sz w:val="24"/>
          <w:szCs w:val="24"/>
          <w:lang w:val="de-DE"/>
        </w:rPr>
        <w:t>Perls</w:t>
      </w:r>
      <w:proofErr w:type="spellEnd"/>
      <w:r>
        <w:rPr>
          <w:rFonts w:ascii="Baskerville" w:hAnsi="Baskerville"/>
          <w:sz w:val="24"/>
          <w:szCs w:val="24"/>
          <w:lang w:val="de-DE"/>
        </w:rPr>
        <w:t xml:space="preserve"> -Gestalt </w:t>
      </w:r>
      <w:proofErr w:type="spellStart"/>
      <w:r>
        <w:rPr>
          <w:rFonts w:ascii="Baskerville" w:hAnsi="Baskerville"/>
          <w:sz w:val="24"/>
          <w:szCs w:val="24"/>
          <w:lang w:val="de-DE"/>
        </w:rPr>
        <w:t>Therapy</w:t>
      </w:r>
      <w:proofErr w:type="spellEnd"/>
      <w:r>
        <w:rPr>
          <w:rFonts w:ascii="Baskerville" w:hAnsi="Baskerville"/>
          <w:sz w:val="24"/>
          <w:szCs w:val="24"/>
          <w:lang w:val="de-DE"/>
        </w:rPr>
        <w:t xml:space="preserve"> </w:t>
      </w:r>
      <w:r>
        <w:rPr>
          <w:rFonts w:ascii="Baskerville" w:hAnsi="Baskerville"/>
          <w:sz w:val="24"/>
          <w:szCs w:val="24"/>
        </w:rPr>
        <w:t xml:space="preserve">and </w:t>
      </w:r>
      <w:r>
        <w:rPr>
          <w:rFonts w:ascii="Baskerville" w:hAnsi="Baskerville"/>
          <w:sz w:val="24"/>
          <w:szCs w:val="24"/>
          <w:lang w:val="nl-NL"/>
        </w:rPr>
        <w:t xml:space="preserve">Rogers </w:t>
      </w:r>
      <w:r>
        <w:rPr>
          <w:rFonts w:ascii="Baskerville" w:hAnsi="Baskerville"/>
          <w:sz w:val="24"/>
          <w:szCs w:val="24"/>
        </w:rPr>
        <w:t>‘</w:t>
      </w:r>
      <w:r>
        <w:rPr>
          <w:rFonts w:ascii="Baskerville" w:hAnsi="Baskerville"/>
          <w:sz w:val="24"/>
          <w:szCs w:val="24"/>
        </w:rPr>
        <w:t xml:space="preserve">Learner </w:t>
      </w:r>
      <w:proofErr w:type="spellStart"/>
      <w:r>
        <w:rPr>
          <w:rFonts w:ascii="Baskerville" w:hAnsi="Baskerville"/>
          <w:sz w:val="24"/>
          <w:szCs w:val="24"/>
        </w:rPr>
        <w:t>Centred</w:t>
      </w:r>
      <w:proofErr w:type="spellEnd"/>
      <w:r>
        <w:rPr>
          <w:rFonts w:ascii="Baskerville" w:hAnsi="Baskerville"/>
          <w:sz w:val="24"/>
          <w:szCs w:val="24"/>
        </w:rPr>
        <w:t xml:space="preserve"> Teaching</w:t>
      </w:r>
      <w:r>
        <w:rPr>
          <w:rFonts w:ascii="Baskerville" w:hAnsi="Baskerville"/>
          <w:sz w:val="24"/>
          <w:szCs w:val="24"/>
        </w:rPr>
        <w:t xml:space="preserve">’ </w:t>
      </w:r>
    </w:p>
    <w:p w:rsidR="00370F25" w:rsidRDefault="00FE57AC">
      <w:pPr>
        <w:pStyle w:val="Default"/>
        <w:numPr>
          <w:ilvl w:val="0"/>
          <w:numId w:val="2"/>
        </w:numPr>
        <w:spacing w:line="360" w:lineRule="auto"/>
        <w:ind w:right="618"/>
        <w:jc w:val="both"/>
        <w:rPr>
          <w:rFonts w:ascii="Baskerville" w:hAnsi="Baskerville"/>
          <w:sz w:val="24"/>
          <w:szCs w:val="24"/>
        </w:rPr>
      </w:pPr>
      <w:r>
        <w:rPr>
          <w:rFonts w:ascii="Baskerville" w:hAnsi="Baskerville"/>
          <w:i/>
          <w:iCs/>
          <w:sz w:val="24"/>
          <w:szCs w:val="24"/>
        </w:rPr>
        <w:t xml:space="preserve">Stage two </w:t>
      </w:r>
      <w:r>
        <w:rPr>
          <w:rFonts w:ascii="Baskerville" w:hAnsi="Baskerville"/>
          <w:i/>
          <w:iCs/>
          <w:sz w:val="24"/>
          <w:szCs w:val="24"/>
        </w:rPr>
        <w:t xml:space="preserve">– </w:t>
      </w:r>
      <w:r>
        <w:rPr>
          <w:rFonts w:ascii="Baskerville" w:hAnsi="Baskerville"/>
          <w:i/>
          <w:iCs/>
          <w:sz w:val="24"/>
          <w:szCs w:val="24"/>
        </w:rPr>
        <w:t>Defensive</w:t>
      </w:r>
      <w:r>
        <w:rPr>
          <w:rFonts w:ascii="Baskerville" w:hAnsi="Baskerville"/>
          <w:sz w:val="24"/>
          <w:szCs w:val="24"/>
        </w:rPr>
        <w:t xml:space="preserve"> - At </w:t>
      </w:r>
      <w:proofErr w:type="spellStart"/>
      <w:r>
        <w:rPr>
          <w:rFonts w:ascii="Baskerville" w:hAnsi="Baskerville"/>
          <w:sz w:val="24"/>
          <w:szCs w:val="24"/>
        </w:rPr>
        <w:t>tis</w:t>
      </w:r>
      <w:proofErr w:type="spellEnd"/>
      <w:r>
        <w:rPr>
          <w:rFonts w:ascii="Baskerville" w:hAnsi="Baskerville"/>
          <w:sz w:val="24"/>
          <w:szCs w:val="24"/>
        </w:rPr>
        <w:t xml:space="preserve"> stage the m</w:t>
      </w:r>
      <w:proofErr w:type="spellStart"/>
      <w:r>
        <w:rPr>
          <w:rFonts w:ascii="Baskerville" w:hAnsi="Baskerville"/>
          <w:sz w:val="24"/>
          <w:szCs w:val="24"/>
          <w:lang w:val="nl-NL"/>
        </w:rPr>
        <w:t>indset</w:t>
      </w:r>
      <w:proofErr w:type="spellEnd"/>
      <w:r>
        <w:rPr>
          <w:rFonts w:ascii="Baskerville" w:hAnsi="Baskerville"/>
          <w:sz w:val="24"/>
          <w:szCs w:val="24"/>
        </w:rPr>
        <w:t xml:space="preserve"> of the learner is </w:t>
      </w:r>
      <w:r>
        <w:rPr>
          <w:rFonts w:ascii="Baskerville" w:hAnsi="Baskerville"/>
          <w:sz w:val="24"/>
          <w:szCs w:val="24"/>
        </w:rPr>
        <w:t>‘</w:t>
      </w:r>
      <w:r>
        <w:rPr>
          <w:rFonts w:ascii="Baskerville" w:hAnsi="Baskerville"/>
          <w:sz w:val="24"/>
          <w:szCs w:val="24"/>
        </w:rPr>
        <w:t>Defensive</w:t>
      </w:r>
      <w:r>
        <w:rPr>
          <w:rFonts w:ascii="Baskerville" w:hAnsi="Baskerville"/>
          <w:sz w:val="24"/>
          <w:szCs w:val="24"/>
        </w:rPr>
        <w:t xml:space="preserve">’ </w:t>
      </w:r>
      <w:r>
        <w:rPr>
          <w:rFonts w:ascii="Baskerville" w:hAnsi="Baskerville"/>
          <w:sz w:val="24"/>
          <w:szCs w:val="24"/>
        </w:rPr>
        <w:t xml:space="preserve">with statements such as </w:t>
      </w:r>
      <w:r>
        <w:rPr>
          <w:rFonts w:ascii="Baskerville" w:hAnsi="Baskerville"/>
          <w:sz w:val="24"/>
          <w:szCs w:val="24"/>
        </w:rPr>
        <w:t>‘</w:t>
      </w:r>
      <w:r>
        <w:rPr>
          <w:rFonts w:ascii="Baskerville" w:hAnsi="Baskerville"/>
          <w:sz w:val="24"/>
          <w:szCs w:val="24"/>
        </w:rPr>
        <w:t>I am the will to</w:t>
      </w:r>
      <w:r>
        <w:rPr>
          <w:rFonts w:ascii="Baskerville" w:hAnsi="Baskerville"/>
          <w:sz w:val="24"/>
          <w:szCs w:val="24"/>
        </w:rPr>
        <w:t> </w:t>
      </w:r>
      <w:r>
        <w:rPr>
          <w:rFonts w:ascii="Baskerville" w:hAnsi="Baskerville"/>
          <w:sz w:val="24"/>
          <w:szCs w:val="24"/>
        </w:rPr>
        <w:t>power</w:t>
      </w:r>
      <w:r>
        <w:rPr>
          <w:rFonts w:ascii="Baskerville" w:hAnsi="Baskerville"/>
          <w:sz w:val="24"/>
          <w:szCs w:val="24"/>
        </w:rPr>
        <w:t xml:space="preserve">’ </w:t>
      </w:r>
      <w:r>
        <w:rPr>
          <w:rFonts w:ascii="Baskerville" w:hAnsi="Baskerville"/>
          <w:sz w:val="24"/>
          <w:szCs w:val="24"/>
        </w:rPr>
        <w:t xml:space="preserve">, and </w:t>
      </w:r>
      <w:r>
        <w:rPr>
          <w:rFonts w:ascii="Baskerville" w:hAnsi="Baskerville"/>
          <w:sz w:val="24"/>
          <w:szCs w:val="24"/>
        </w:rPr>
        <w:t>‘</w:t>
      </w:r>
      <w:r>
        <w:rPr>
          <w:rFonts w:ascii="Baskerville" w:hAnsi="Baskerville"/>
          <w:sz w:val="24"/>
          <w:szCs w:val="24"/>
        </w:rPr>
        <w:t>I am able to act freely</w:t>
      </w:r>
      <w:r>
        <w:rPr>
          <w:rFonts w:ascii="Baskerville" w:hAnsi="Baskerville"/>
          <w:sz w:val="24"/>
          <w:szCs w:val="24"/>
        </w:rPr>
        <w:t xml:space="preserve">’  </w:t>
      </w:r>
      <w:r>
        <w:rPr>
          <w:rFonts w:ascii="Baskerville" w:hAnsi="Baskerville"/>
          <w:sz w:val="24"/>
          <w:szCs w:val="24"/>
        </w:rPr>
        <w:t xml:space="preserve">are typical. the Focus of activity is on </w:t>
      </w:r>
      <w:r>
        <w:rPr>
          <w:rFonts w:ascii="Baskerville" w:hAnsi="Baskerville"/>
          <w:sz w:val="24"/>
          <w:szCs w:val="24"/>
        </w:rPr>
        <w:t>‘</w:t>
      </w:r>
      <w:r>
        <w:rPr>
          <w:rFonts w:ascii="Baskerville" w:hAnsi="Baskerville"/>
          <w:sz w:val="24"/>
          <w:szCs w:val="24"/>
        </w:rPr>
        <w:t>Boundary mapping</w:t>
      </w:r>
      <w:r>
        <w:rPr>
          <w:rFonts w:ascii="Baskerville" w:hAnsi="Baskerville"/>
          <w:sz w:val="24"/>
          <w:szCs w:val="24"/>
        </w:rPr>
        <w:t xml:space="preserve">’ </w:t>
      </w:r>
      <w:r>
        <w:rPr>
          <w:rFonts w:ascii="Baskerville" w:hAnsi="Baskerville"/>
          <w:sz w:val="24"/>
          <w:szCs w:val="24"/>
        </w:rPr>
        <w:t>and reimagining a chaos</w:t>
      </w:r>
    </w:p>
    <w:p w:rsidR="00370F25" w:rsidRDefault="00FE57AC">
      <w:pPr>
        <w:pStyle w:val="Default"/>
        <w:numPr>
          <w:ilvl w:val="0"/>
          <w:numId w:val="3"/>
        </w:numPr>
        <w:spacing w:line="360" w:lineRule="auto"/>
        <w:ind w:right="618"/>
        <w:jc w:val="both"/>
        <w:rPr>
          <w:rFonts w:ascii="Baskerville" w:hAnsi="Baskerville"/>
          <w:i/>
          <w:iCs/>
          <w:sz w:val="24"/>
          <w:szCs w:val="24"/>
        </w:rPr>
      </w:pPr>
      <w:r>
        <w:rPr>
          <w:rFonts w:ascii="Baskerville" w:hAnsi="Baskerville"/>
          <w:i/>
          <w:iCs/>
          <w:sz w:val="24"/>
          <w:szCs w:val="24"/>
        </w:rPr>
        <w:t xml:space="preserve">Stage three </w:t>
      </w:r>
      <w:r>
        <w:rPr>
          <w:rFonts w:ascii="Baskerville" w:hAnsi="Baskerville"/>
          <w:i/>
          <w:iCs/>
          <w:sz w:val="24"/>
          <w:szCs w:val="24"/>
        </w:rPr>
        <w:t xml:space="preserve">– </w:t>
      </w:r>
      <w:r>
        <w:rPr>
          <w:rFonts w:ascii="Baskerville" w:hAnsi="Baskerville"/>
          <w:sz w:val="24"/>
          <w:szCs w:val="24"/>
        </w:rPr>
        <w:t xml:space="preserve">Authoring. Here the mindset is Creative </w:t>
      </w:r>
      <w:proofErr w:type="spellStart"/>
      <w:r>
        <w:rPr>
          <w:rFonts w:ascii="Baskerville" w:hAnsi="Baskerville"/>
          <w:sz w:val="24"/>
          <w:szCs w:val="24"/>
        </w:rPr>
        <w:t>wit</w:t>
      </w:r>
      <w:proofErr w:type="spellEnd"/>
      <w:r>
        <w:rPr>
          <w:rFonts w:ascii="Baskerville" w:hAnsi="Baskerville"/>
          <w:sz w:val="24"/>
          <w:szCs w:val="24"/>
        </w:rPr>
        <w:t xml:space="preserve"> the learner engaged in </w:t>
      </w:r>
      <w:r>
        <w:rPr>
          <w:rFonts w:ascii="Baskerville" w:hAnsi="Baskerville"/>
          <w:sz w:val="24"/>
          <w:szCs w:val="24"/>
        </w:rPr>
        <w:t>‘</w:t>
      </w:r>
      <w:r>
        <w:rPr>
          <w:rFonts w:ascii="Baskerville" w:hAnsi="Baskerville"/>
          <w:sz w:val="24"/>
          <w:szCs w:val="24"/>
        </w:rPr>
        <w:t>Authoring</w:t>
      </w:r>
      <w:r>
        <w:rPr>
          <w:rFonts w:ascii="Baskerville" w:hAnsi="Baskerville"/>
          <w:sz w:val="24"/>
          <w:szCs w:val="24"/>
        </w:rPr>
        <w:t xml:space="preserve">’ </w:t>
      </w:r>
      <w:r>
        <w:rPr>
          <w:rFonts w:ascii="Baskerville" w:hAnsi="Baskerville"/>
          <w:sz w:val="24"/>
          <w:szCs w:val="24"/>
        </w:rPr>
        <w:t xml:space="preserve">key statements, </w:t>
      </w:r>
      <w:proofErr w:type="spellStart"/>
      <w:r>
        <w:rPr>
          <w:rFonts w:ascii="Baskerville" w:hAnsi="Baskerville"/>
          <w:sz w:val="24"/>
          <w:szCs w:val="24"/>
        </w:rPr>
        <w:t>base</w:t>
      </w:r>
      <w:proofErr w:type="spellEnd"/>
      <w:r>
        <w:rPr>
          <w:rFonts w:ascii="Baskerville" w:hAnsi="Baskerville"/>
          <w:sz w:val="24"/>
          <w:szCs w:val="24"/>
        </w:rPr>
        <w:t xml:space="preserve"> on thinking around </w:t>
      </w:r>
      <w:r>
        <w:rPr>
          <w:rFonts w:ascii="Baskerville" w:hAnsi="Baskerville"/>
          <w:sz w:val="24"/>
          <w:szCs w:val="24"/>
        </w:rPr>
        <w:t xml:space="preserve">‘ </w:t>
      </w:r>
      <w:r>
        <w:rPr>
          <w:rFonts w:ascii="Baskerville" w:hAnsi="Baskerville"/>
          <w:sz w:val="24"/>
          <w:szCs w:val="24"/>
        </w:rPr>
        <w:t>I am my own self</w:t>
      </w:r>
      <w:r>
        <w:rPr>
          <w:rFonts w:ascii="Baskerville" w:hAnsi="Baskerville"/>
          <w:sz w:val="24"/>
          <w:szCs w:val="24"/>
        </w:rPr>
        <w:t>’</w:t>
      </w:r>
      <w:r>
        <w:rPr>
          <w:rFonts w:ascii="Baskerville" w:hAnsi="Baskerville"/>
          <w:sz w:val="24"/>
          <w:szCs w:val="24"/>
        </w:rPr>
        <w:t xml:space="preserve"> </w:t>
      </w:r>
      <w:r>
        <w:rPr>
          <w:rFonts w:ascii="Baskerville" w:hAnsi="Baskerville"/>
          <w:sz w:val="24"/>
          <w:szCs w:val="24"/>
        </w:rPr>
        <w:t xml:space="preserve">. The focus of </w:t>
      </w:r>
      <w:r>
        <w:rPr>
          <w:rFonts w:ascii="Baskerville" w:hAnsi="Baskerville"/>
          <w:sz w:val="24"/>
          <w:szCs w:val="24"/>
        </w:rPr>
        <w:t xml:space="preserve">activity is taking ownership of own volition. To create a </w:t>
      </w:r>
      <w:r>
        <w:rPr>
          <w:rFonts w:ascii="Baskerville" w:hAnsi="Baskerville"/>
          <w:sz w:val="24"/>
          <w:szCs w:val="24"/>
        </w:rPr>
        <w:t>‘</w:t>
      </w:r>
      <w:r>
        <w:rPr>
          <w:rFonts w:ascii="Baskerville" w:hAnsi="Baskerville"/>
          <w:sz w:val="24"/>
          <w:szCs w:val="24"/>
        </w:rPr>
        <w:t>dancing star there must be chaos within</w:t>
      </w:r>
      <w:r>
        <w:rPr>
          <w:rFonts w:ascii="Baskerville" w:hAnsi="Baskerville"/>
          <w:sz w:val="24"/>
          <w:szCs w:val="24"/>
        </w:rPr>
        <w:t>’</w:t>
      </w:r>
      <w:r>
        <w:rPr>
          <w:rFonts w:ascii="Baskerville" w:hAnsi="Baskerville"/>
          <w:sz w:val="24"/>
          <w:szCs w:val="24"/>
        </w:rPr>
        <w:t>. The Educational Strategies include ;</w:t>
      </w:r>
      <w:proofErr w:type="spellStart"/>
      <w:r>
        <w:rPr>
          <w:rFonts w:ascii="Baskerville" w:hAnsi="Baskerville"/>
          <w:sz w:val="24"/>
          <w:szCs w:val="24"/>
          <w:lang w:val="fr-FR"/>
        </w:rPr>
        <w:t>Deconstructionism</w:t>
      </w:r>
      <w:proofErr w:type="spellEnd"/>
      <w:r>
        <w:rPr>
          <w:rFonts w:ascii="Baskerville" w:hAnsi="Baskerville"/>
          <w:sz w:val="24"/>
          <w:szCs w:val="24"/>
        </w:rPr>
        <w:t xml:space="preserve">, Creative destruction , </w:t>
      </w:r>
      <w:proofErr w:type="spellStart"/>
      <w:r>
        <w:rPr>
          <w:rFonts w:ascii="Baskerville" w:hAnsi="Baskerville"/>
          <w:i/>
          <w:iCs/>
          <w:sz w:val="24"/>
          <w:szCs w:val="24"/>
          <w:lang w:val="de-DE"/>
        </w:rPr>
        <w:t>Sch</w:t>
      </w:r>
      <w:proofErr w:type="spellEnd"/>
      <w:r>
        <w:rPr>
          <w:rFonts w:ascii="Baskerville" w:hAnsi="Baskerville"/>
          <w:i/>
          <w:iCs/>
          <w:sz w:val="24"/>
          <w:szCs w:val="24"/>
          <w:lang w:val="sv-SE"/>
        </w:rPr>
        <w:t>ö</w:t>
      </w:r>
      <w:proofErr w:type="spellStart"/>
      <w:r>
        <w:rPr>
          <w:rFonts w:ascii="Baskerville" w:hAnsi="Baskerville"/>
          <w:i/>
          <w:iCs/>
          <w:sz w:val="24"/>
          <w:szCs w:val="24"/>
          <w:lang w:val="de-DE"/>
        </w:rPr>
        <w:t>pferische</w:t>
      </w:r>
      <w:proofErr w:type="spellEnd"/>
      <w:r>
        <w:rPr>
          <w:rFonts w:ascii="Baskerville" w:hAnsi="Baskerville"/>
          <w:i/>
          <w:iCs/>
          <w:sz w:val="24"/>
          <w:szCs w:val="24"/>
          <w:lang w:val="de-DE"/>
        </w:rPr>
        <w:t xml:space="preserve"> </w:t>
      </w:r>
      <w:proofErr w:type="spellStart"/>
      <w:r>
        <w:rPr>
          <w:rFonts w:ascii="Baskerville" w:hAnsi="Baskerville"/>
          <w:i/>
          <w:iCs/>
          <w:sz w:val="24"/>
          <w:szCs w:val="24"/>
          <w:lang w:val="de-DE"/>
        </w:rPr>
        <w:t>Zerst</w:t>
      </w:r>
      <w:proofErr w:type="spellEnd"/>
      <w:r>
        <w:rPr>
          <w:rFonts w:ascii="Baskerville" w:hAnsi="Baskerville"/>
          <w:i/>
          <w:iCs/>
          <w:sz w:val="24"/>
          <w:szCs w:val="24"/>
          <w:lang w:val="sv-SE"/>
        </w:rPr>
        <w:t>ö</w:t>
      </w:r>
      <w:proofErr w:type="spellStart"/>
      <w:r>
        <w:rPr>
          <w:rFonts w:ascii="Baskerville" w:hAnsi="Baskerville"/>
          <w:i/>
          <w:iCs/>
          <w:sz w:val="24"/>
          <w:szCs w:val="24"/>
          <w:lang w:val="de-DE"/>
        </w:rPr>
        <w:t>rung</w:t>
      </w:r>
      <w:proofErr w:type="spellEnd"/>
      <w:r>
        <w:rPr>
          <w:rFonts w:ascii="Baskerville" w:hAnsi="Baskerville"/>
          <w:i/>
          <w:iCs/>
          <w:sz w:val="24"/>
          <w:szCs w:val="24"/>
        </w:rPr>
        <w:t xml:space="preserve">  translated as </w:t>
      </w:r>
      <w:r>
        <w:rPr>
          <w:rFonts w:ascii="Baskerville" w:hAnsi="Baskerville"/>
          <w:sz w:val="24"/>
          <w:szCs w:val="24"/>
          <w:lang w:val="de-DE"/>
        </w:rPr>
        <w:t>Schumpeter</w:t>
      </w:r>
      <w:r>
        <w:rPr>
          <w:rFonts w:ascii="Baskerville" w:hAnsi="Baskerville"/>
          <w:sz w:val="24"/>
          <w:szCs w:val="24"/>
        </w:rPr>
        <w:t>’</w:t>
      </w:r>
      <w:r>
        <w:rPr>
          <w:rFonts w:ascii="Baskerville" w:hAnsi="Baskerville"/>
          <w:sz w:val="24"/>
          <w:szCs w:val="24"/>
          <w:lang w:val="fr-FR"/>
        </w:rPr>
        <w:t>s gale</w:t>
      </w:r>
      <w:r>
        <w:rPr>
          <w:rFonts w:ascii="Baskerville" w:hAnsi="Baskerville"/>
          <w:sz w:val="24"/>
          <w:szCs w:val="24"/>
        </w:rPr>
        <w:t>.  Key Theorists inc</w:t>
      </w:r>
      <w:r>
        <w:rPr>
          <w:rFonts w:ascii="Baskerville" w:hAnsi="Baskerville"/>
          <w:sz w:val="24"/>
          <w:szCs w:val="24"/>
        </w:rPr>
        <w:t xml:space="preserve">lude </w:t>
      </w:r>
      <w:proofErr w:type="spellStart"/>
      <w:r>
        <w:rPr>
          <w:rFonts w:ascii="Baskerville" w:hAnsi="Baskerville"/>
          <w:sz w:val="24"/>
          <w:szCs w:val="24"/>
          <w:lang w:val="nl-NL"/>
        </w:rPr>
        <w:t>Derrida</w:t>
      </w:r>
      <w:proofErr w:type="spellEnd"/>
      <w:r>
        <w:rPr>
          <w:rFonts w:ascii="Baskerville" w:hAnsi="Baskerville"/>
          <w:sz w:val="24"/>
          <w:szCs w:val="24"/>
          <w:lang w:val="nl-NL"/>
        </w:rPr>
        <w:t xml:space="preserve"> , </w:t>
      </w:r>
      <w:proofErr w:type="spellStart"/>
      <w:r>
        <w:rPr>
          <w:rFonts w:ascii="Baskerville" w:hAnsi="Baskerville"/>
          <w:sz w:val="24"/>
          <w:szCs w:val="24"/>
          <w:lang w:val="nl-NL"/>
        </w:rPr>
        <w:t>Schumpeter</w:t>
      </w:r>
      <w:proofErr w:type="spellEnd"/>
      <w:r>
        <w:rPr>
          <w:rFonts w:ascii="Baskerville" w:hAnsi="Baskerville"/>
          <w:sz w:val="24"/>
          <w:szCs w:val="24"/>
          <w:lang w:val="nl-NL"/>
        </w:rPr>
        <w:t>, Nietzsche</w:t>
      </w:r>
      <w:r>
        <w:rPr>
          <w:rFonts w:ascii="Baskerville" w:hAnsi="Baskerville"/>
          <w:sz w:val="24"/>
          <w:szCs w:val="24"/>
        </w:rPr>
        <w:t> </w:t>
      </w:r>
    </w:p>
    <w:p w:rsidR="00370F25" w:rsidRDefault="00FE57AC">
      <w:pPr>
        <w:pStyle w:val="Default"/>
        <w:numPr>
          <w:ilvl w:val="0"/>
          <w:numId w:val="3"/>
        </w:numPr>
        <w:spacing w:line="360" w:lineRule="auto"/>
        <w:ind w:right="618"/>
        <w:jc w:val="both"/>
        <w:rPr>
          <w:rFonts w:ascii="Baskerville" w:hAnsi="Baskerville"/>
          <w:i/>
          <w:iCs/>
          <w:sz w:val="24"/>
          <w:szCs w:val="24"/>
        </w:rPr>
      </w:pPr>
      <w:r>
        <w:rPr>
          <w:rFonts w:ascii="Baskerville" w:hAnsi="Baskerville"/>
          <w:i/>
          <w:iCs/>
          <w:sz w:val="24"/>
          <w:szCs w:val="24"/>
        </w:rPr>
        <w:t xml:space="preserve">Stage four </w:t>
      </w:r>
      <w:r>
        <w:rPr>
          <w:rFonts w:ascii="Baskerville" w:hAnsi="Baskerville"/>
          <w:i/>
          <w:iCs/>
          <w:sz w:val="24"/>
          <w:szCs w:val="24"/>
        </w:rPr>
        <w:t xml:space="preserve">– </w:t>
      </w:r>
      <w:r>
        <w:rPr>
          <w:rFonts w:ascii="Baskerville" w:hAnsi="Baskerville"/>
          <w:sz w:val="24"/>
          <w:szCs w:val="24"/>
        </w:rPr>
        <w:t xml:space="preserve">Transforming the mindset , moves the learner to become part of an evolutionary network. The focus of activity is in seeking the energy of creatives, the energy from the sun,  and the genius of joined up </w:t>
      </w:r>
      <w:r>
        <w:rPr>
          <w:rFonts w:ascii="Baskerville" w:hAnsi="Baskerville"/>
          <w:sz w:val="24"/>
          <w:szCs w:val="24"/>
        </w:rPr>
        <w:t xml:space="preserve">thinking and other creative minds. The concern is now upon </w:t>
      </w:r>
      <w:r>
        <w:rPr>
          <w:rFonts w:ascii="Baskerville" w:hAnsi="Baskerville"/>
          <w:sz w:val="24"/>
          <w:szCs w:val="24"/>
        </w:rPr>
        <w:t>‘</w:t>
      </w:r>
      <w:r>
        <w:rPr>
          <w:rFonts w:ascii="Baskerville" w:hAnsi="Baskerville"/>
          <w:sz w:val="24"/>
          <w:szCs w:val="24"/>
        </w:rPr>
        <w:t xml:space="preserve"> Ideas not Self</w:t>
      </w:r>
      <w:r>
        <w:rPr>
          <w:rFonts w:ascii="Baskerville" w:hAnsi="Baskerville"/>
          <w:sz w:val="24"/>
          <w:szCs w:val="24"/>
        </w:rPr>
        <w:t xml:space="preserve">’ </w:t>
      </w:r>
      <w:r>
        <w:rPr>
          <w:rFonts w:ascii="Baskerville" w:hAnsi="Baskerville"/>
          <w:sz w:val="24"/>
          <w:szCs w:val="24"/>
        </w:rPr>
        <w:t xml:space="preserve">. Learners are seeking out </w:t>
      </w:r>
      <w:r>
        <w:rPr>
          <w:rFonts w:ascii="Baskerville" w:hAnsi="Baskerville"/>
          <w:sz w:val="24"/>
          <w:szCs w:val="24"/>
        </w:rPr>
        <w:t>‘</w:t>
      </w:r>
      <w:r>
        <w:rPr>
          <w:rFonts w:ascii="Baskerville" w:hAnsi="Baskerville"/>
          <w:sz w:val="24"/>
          <w:szCs w:val="24"/>
        </w:rPr>
        <w:t>Communities of Practice</w:t>
      </w:r>
      <w:r>
        <w:rPr>
          <w:rFonts w:ascii="Baskerville" w:hAnsi="Baskerville"/>
          <w:sz w:val="24"/>
          <w:szCs w:val="24"/>
        </w:rPr>
        <w:t>’</w:t>
      </w:r>
      <w:r>
        <w:rPr>
          <w:rFonts w:ascii="Baskerville" w:hAnsi="Baskerville"/>
          <w:sz w:val="24"/>
          <w:szCs w:val="24"/>
        </w:rPr>
        <w:t xml:space="preserve">. Key Theoretical underpinning derives from the work of Lave and Wenger </w:t>
      </w:r>
    </w:p>
    <w:p w:rsidR="00370F25" w:rsidRDefault="00FE57AC">
      <w:pPr>
        <w:pStyle w:val="Default"/>
        <w:numPr>
          <w:ilvl w:val="0"/>
          <w:numId w:val="3"/>
        </w:numPr>
        <w:spacing w:line="360" w:lineRule="auto"/>
        <w:ind w:right="618"/>
        <w:jc w:val="both"/>
        <w:rPr>
          <w:rFonts w:ascii="Baskerville" w:hAnsi="Baskerville"/>
          <w:i/>
          <w:iCs/>
          <w:sz w:val="24"/>
          <w:szCs w:val="24"/>
        </w:rPr>
      </w:pPr>
      <w:r>
        <w:rPr>
          <w:rFonts w:ascii="Baskerville" w:hAnsi="Baskerville"/>
          <w:i/>
          <w:iCs/>
          <w:sz w:val="24"/>
          <w:szCs w:val="24"/>
        </w:rPr>
        <w:t xml:space="preserve">Stage five- serving </w:t>
      </w:r>
      <w:r>
        <w:rPr>
          <w:rFonts w:ascii="Baskerville" w:hAnsi="Baskerville"/>
          <w:sz w:val="24"/>
          <w:szCs w:val="24"/>
        </w:rPr>
        <w:t>-This is the final stage , where t</w:t>
      </w:r>
      <w:r>
        <w:rPr>
          <w:rFonts w:ascii="Baskerville" w:hAnsi="Baskerville"/>
          <w:sz w:val="24"/>
          <w:szCs w:val="24"/>
        </w:rPr>
        <w:t xml:space="preserve">he learners is able to state </w:t>
      </w:r>
      <w:r>
        <w:rPr>
          <w:rFonts w:ascii="Baskerville" w:hAnsi="Baskerville"/>
          <w:sz w:val="24"/>
          <w:szCs w:val="24"/>
        </w:rPr>
        <w:t>‘</w:t>
      </w:r>
      <w:r>
        <w:rPr>
          <w:rFonts w:ascii="Baskerville" w:hAnsi="Baskerville"/>
          <w:sz w:val="24"/>
          <w:szCs w:val="24"/>
        </w:rPr>
        <w:t xml:space="preserve">I am whole ,Serving the idea, Enduring the  discomfort of dissatisfaction ,The drive to </w:t>
      </w:r>
      <w:proofErr w:type="spellStart"/>
      <w:r>
        <w:rPr>
          <w:rFonts w:ascii="Baskerville" w:hAnsi="Baskerville"/>
          <w:sz w:val="24"/>
          <w:szCs w:val="24"/>
        </w:rPr>
        <w:t>re create</w:t>
      </w:r>
      <w:proofErr w:type="spellEnd"/>
      <w:r>
        <w:rPr>
          <w:rFonts w:ascii="Baskerville" w:hAnsi="Baskerville"/>
          <w:sz w:val="24"/>
          <w:szCs w:val="24"/>
        </w:rPr>
        <w:t xml:space="preserve"> , no longer paper person . The underpinning theory /theorists include </w:t>
      </w:r>
      <w:proofErr w:type="spellStart"/>
      <w:r>
        <w:rPr>
          <w:rFonts w:ascii="Baskerville" w:hAnsi="Baskerville"/>
          <w:sz w:val="24"/>
          <w:szCs w:val="24"/>
          <w:lang w:val="de-DE"/>
        </w:rPr>
        <w:t>Perls</w:t>
      </w:r>
      <w:proofErr w:type="spellEnd"/>
      <w:r>
        <w:rPr>
          <w:rFonts w:ascii="Baskerville" w:hAnsi="Baskerville"/>
          <w:sz w:val="24"/>
          <w:szCs w:val="24"/>
          <w:lang w:val="de-DE"/>
        </w:rPr>
        <w:t xml:space="preserve"> -Gestalt </w:t>
      </w:r>
      <w:proofErr w:type="spellStart"/>
      <w:r>
        <w:rPr>
          <w:rFonts w:ascii="Baskerville" w:hAnsi="Baskerville"/>
          <w:sz w:val="24"/>
          <w:szCs w:val="24"/>
          <w:lang w:val="de-DE"/>
        </w:rPr>
        <w:t>Therapy</w:t>
      </w:r>
      <w:proofErr w:type="spellEnd"/>
      <w:r>
        <w:rPr>
          <w:rFonts w:ascii="Baskerville" w:hAnsi="Baskerville"/>
          <w:sz w:val="24"/>
          <w:szCs w:val="24"/>
          <w:lang w:val="de-DE"/>
        </w:rPr>
        <w:t xml:space="preserve"> </w:t>
      </w:r>
      <w:r>
        <w:rPr>
          <w:rFonts w:ascii="Baskerville" w:hAnsi="Baskerville"/>
          <w:sz w:val="24"/>
          <w:szCs w:val="24"/>
        </w:rPr>
        <w:t xml:space="preserve">and </w:t>
      </w:r>
      <w:r>
        <w:rPr>
          <w:rFonts w:ascii="Baskerville" w:hAnsi="Baskerville"/>
          <w:sz w:val="24"/>
          <w:szCs w:val="24"/>
          <w:lang w:val="de-DE"/>
        </w:rPr>
        <w:t>Nietzsche</w:t>
      </w:r>
      <w:r>
        <w:rPr>
          <w:rFonts w:ascii="Baskerville" w:hAnsi="Baskerville"/>
          <w:sz w:val="24"/>
          <w:szCs w:val="24"/>
        </w:rPr>
        <w:t> </w:t>
      </w:r>
      <w:r>
        <w:rPr>
          <w:rFonts w:ascii="Baskerville" w:hAnsi="Baskerville"/>
          <w:sz w:val="24"/>
          <w:szCs w:val="24"/>
        </w:rPr>
        <w:t xml:space="preserve">, </w:t>
      </w:r>
      <w:proofErr w:type="spellStart"/>
      <w:r>
        <w:rPr>
          <w:rFonts w:ascii="Baskerville" w:hAnsi="Baskerville"/>
          <w:sz w:val="24"/>
          <w:szCs w:val="24"/>
        </w:rPr>
        <w:t>Shopehauer</w:t>
      </w:r>
      <w:proofErr w:type="spellEnd"/>
      <w:r>
        <w:rPr>
          <w:rFonts w:ascii="Baskerville" w:hAnsi="Baskerville"/>
          <w:sz w:val="24"/>
          <w:szCs w:val="24"/>
        </w:rPr>
        <w:t>.</w:t>
      </w:r>
    </w:p>
    <w:p w:rsidR="00370F25" w:rsidRDefault="00370F25">
      <w:pPr>
        <w:pStyle w:val="Default"/>
        <w:spacing w:line="360" w:lineRule="auto"/>
        <w:ind w:right="618"/>
        <w:jc w:val="both"/>
        <w:rPr>
          <w:rFonts w:ascii="Baskerville" w:eastAsia="Baskerville" w:hAnsi="Baskerville" w:cs="Baskerville"/>
          <w:i/>
          <w:iCs/>
          <w:sz w:val="24"/>
          <w:szCs w:val="24"/>
        </w:rPr>
      </w:pPr>
    </w:p>
    <w:p w:rsidR="00370F25" w:rsidRDefault="00FE57AC">
      <w:pPr>
        <w:pStyle w:val="Default"/>
        <w:spacing w:line="360" w:lineRule="auto"/>
        <w:ind w:right="618"/>
        <w:jc w:val="both"/>
        <w:rPr>
          <w:rFonts w:ascii="Baskerville" w:eastAsia="Baskerville" w:hAnsi="Baskerville" w:cs="Baskerville"/>
          <w:sz w:val="24"/>
          <w:szCs w:val="24"/>
        </w:rPr>
      </w:pPr>
      <w:r>
        <w:rPr>
          <w:rFonts w:ascii="Baskerville" w:hAnsi="Baskerville"/>
          <w:sz w:val="24"/>
          <w:szCs w:val="24"/>
        </w:rPr>
        <w:t>Underp</w:t>
      </w:r>
      <w:r>
        <w:rPr>
          <w:rFonts w:ascii="Baskerville" w:hAnsi="Baskerville"/>
          <w:sz w:val="24"/>
          <w:szCs w:val="24"/>
        </w:rPr>
        <w:t>inning concep</w:t>
      </w:r>
      <w:r w:rsidR="000B54F6">
        <w:rPr>
          <w:rFonts w:ascii="Baskerville" w:hAnsi="Baskerville"/>
          <w:sz w:val="24"/>
          <w:szCs w:val="24"/>
        </w:rPr>
        <w:t>ts</w:t>
      </w:r>
      <w:r>
        <w:rPr>
          <w:rFonts w:ascii="Baskerville" w:hAnsi="Baskerville"/>
          <w:sz w:val="24"/>
          <w:szCs w:val="24"/>
        </w:rPr>
        <w:t xml:space="preserve"> that support the process of Evolutionary development will include the Boundary mapping- reimagining a chaos</w:t>
      </w:r>
      <w:r>
        <w:rPr>
          <w:rFonts w:ascii="Baskerville" w:hAnsi="Baskerville"/>
          <w:sz w:val="24"/>
          <w:szCs w:val="24"/>
        </w:rPr>
        <w:t xml:space="preserve"> ‘</w:t>
      </w:r>
      <w:r>
        <w:rPr>
          <w:rFonts w:ascii="Baskerville" w:hAnsi="Baskerville"/>
          <w:sz w:val="24"/>
          <w:szCs w:val="24"/>
        </w:rPr>
        <w:t xml:space="preserve">Tree </w:t>
      </w:r>
      <w:proofErr w:type="spellStart"/>
      <w:r>
        <w:rPr>
          <w:rFonts w:ascii="Baskerville" w:hAnsi="Baskerville"/>
          <w:sz w:val="24"/>
          <w:szCs w:val="24"/>
        </w:rPr>
        <w:t>mataphor</w:t>
      </w:r>
      <w:proofErr w:type="spellEnd"/>
      <w:r>
        <w:rPr>
          <w:rFonts w:ascii="Baskerville" w:hAnsi="Baskerville"/>
          <w:sz w:val="24"/>
          <w:szCs w:val="24"/>
        </w:rPr>
        <w:t xml:space="preserve">’ </w:t>
      </w:r>
      <w:r w:rsidR="000B54F6">
        <w:rPr>
          <w:rFonts w:ascii="Baskerville" w:hAnsi="Baskerville"/>
          <w:sz w:val="24"/>
          <w:szCs w:val="24"/>
        </w:rPr>
        <w:t xml:space="preserve">(PMI, 2018) – See Appendix A; </w:t>
      </w:r>
    </w:p>
    <w:p w:rsidR="00370F25" w:rsidRDefault="00FE57AC">
      <w:pPr>
        <w:pStyle w:val="Default"/>
        <w:spacing w:line="360" w:lineRule="auto"/>
        <w:ind w:right="618"/>
        <w:jc w:val="both"/>
        <w:rPr>
          <w:rFonts w:ascii="Baskerville" w:eastAsia="Baskerville" w:hAnsi="Baskerville" w:cs="Baskerville"/>
          <w:sz w:val="24"/>
          <w:szCs w:val="24"/>
        </w:rPr>
      </w:pPr>
      <w:r>
        <w:rPr>
          <w:rFonts w:ascii="Baskerville" w:hAnsi="Baskerville"/>
          <w:sz w:val="24"/>
          <w:szCs w:val="24"/>
        </w:rPr>
        <w:t xml:space="preserve">Challenges for assessing </w:t>
      </w:r>
      <w:r>
        <w:rPr>
          <w:rFonts w:ascii="Baskerville" w:hAnsi="Baskerville"/>
          <w:sz w:val="24"/>
          <w:szCs w:val="24"/>
          <w:lang w:val="es-ES_tradnl"/>
        </w:rPr>
        <w:t xml:space="preserve">transversal </w:t>
      </w:r>
      <w:proofErr w:type="spellStart"/>
      <w:r>
        <w:rPr>
          <w:rFonts w:ascii="Baskerville" w:hAnsi="Baskerville"/>
          <w:sz w:val="24"/>
          <w:szCs w:val="24"/>
          <w:lang w:val="es-ES_tradnl"/>
        </w:rPr>
        <w:t>competencies</w:t>
      </w:r>
      <w:proofErr w:type="spellEnd"/>
      <w:r>
        <w:rPr>
          <w:rFonts w:ascii="Baskerville" w:hAnsi="Baskerville"/>
          <w:sz w:val="24"/>
          <w:szCs w:val="24"/>
        </w:rPr>
        <w:t xml:space="preserve"> are listed in the areas of Definitional , Operational and Systematic , in the table below;</w:t>
      </w:r>
    </w:p>
    <w:p w:rsidR="00370F25" w:rsidRDefault="00370F25">
      <w:pPr>
        <w:pStyle w:val="Default"/>
        <w:spacing w:line="360" w:lineRule="auto"/>
        <w:ind w:right="618"/>
        <w:jc w:val="both"/>
        <w:rPr>
          <w:rFonts w:ascii="Baskerville" w:eastAsia="Baskerville" w:hAnsi="Baskerville" w:cs="Baskerville"/>
          <w:sz w:val="24"/>
          <w:szCs w:val="24"/>
        </w:rPr>
      </w:pPr>
    </w:p>
    <w:tbl>
      <w:tblPr>
        <w:tblW w:w="9015" w:type="dxa"/>
        <w:tblInd w:w="10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shd w:val="clear" w:color="auto" w:fill="BDC0BF"/>
        <w:tblLayout w:type="fixed"/>
        <w:tblLook w:val="04A0" w:firstRow="1" w:lastRow="0" w:firstColumn="1" w:lastColumn="0" w:noHBand="0" w:noVBand="1"/>
      </w:tblPr>
      <w:tblGrid>
        <w:gridCol w:w="3005"/>
        <w:gridCol w:w="3005"/>
        <w:gridCol w:w="3005"/>
      </w:tblGrid>
      <w:tr w:rsidR="00370F25">
        <w:trPr>
          <w:trHeight w:val="708"/>
          <w:tblHeader/>
        </w:trPr>
        <w:tc>
          <w:tcPr>
            <w:tcW w:w="3005"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698" w:type="dxa"/>
            </w:tcMar>
          </w:tcPr>
          <w:p w:rsidR="00370F25" w:rsidRDefault="00FE57AC">
            <w:pPr>
              <w:pStyle w:val="Default"/>
              <w:spacing w:line="360" w:lineRule="auto"/>
              <w:ind w:right="618"/>
              <w:jc w:val="both"/>
            </w:pPr>
            <w:r>
              <w:rPr>
                <w:rFonts w:ascii="Baskerville" w:hAnsi="Baskerville"/>
                <w:sz w:val="24"/>
                <w:szCs w:val="24"/>
              </w:rPr>
              <w:lastRenderedPageBreak/>
              <w:t>Definitional</w:t>
            </w:r>
          </w:p>
        </w:tc>
        <w:tc>
          <w:tcPr>
            <w:tcW w:w="3005"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698" w:type="dxa"/>
            </w:tcMar>
          </w:tcPr>
          <w:p w:rsidR="00370F25" w:rsidRDefault="00FE57AC">
            <w:pPr>
              <w:pStyle w:val="Default"/>
              <w:spacing w:line="360" w:lineRule="auto"/>
              <w:ind w:right="618"/>
              <w:jc w:val="both"/>
            </w:pPr>
            <w:r>
              <w:rPr>
                <w:rFonts w:ascii="Baskerville" w:hAnsi="Baskerville"/>
                <w:sz w:val="24"/>
                <w:szCs w:val="24"/>
              </w:rPr>
              <w:t>Operational</w:t>
            </w:r>
          </w:p>
        </w:tc>
        <w:tc>
          <w:tcPr>
            <w:tcW w:w="3005" w:type="dxa"/>
            <w:tcBorders>
              <w:top w:val="single" w:sz="2" w:space="0" w:color="000000"/>
              <w:left w:val="single" w:sz="2" w:space="0" w:color="000000"/>
              <w:bottom w:val="single" w:sz="4" w:space="0" w:color="000000"/>
              <w:right w:val="single" w:sz="2" w:space="0" w:color="000000"/>
            </w:tcBorders>
            <w:shd w:val="clear" w:color="auto" w:fill="BDC0BF"/>
            <w:tcMar>
              <w:top w:w="80" w:type="dxa"/>
              <w:left w:w="80" w:type="dxa"/>
              <w:bottom w:w="80" w:type="dxa"/>
              <w:right w:w="698" w:type="dxa"/>
            </w:tcMar>
          </w:tcPr>
          <w:p w:rsidR="00370F25" w:rsidRDefault="00FE57AC">
            <w:pPr>
              <w:pStyle w:val="Default"/>
              <w:spacing w:line="360" w:lineRule="auto"/>
              <w:ind w:right="618"/>
              <w:jc w:val="both"/>
            </w:pPr>
            <w:r>
              <w:rPr>
                <w:rFonts w:ascii="Baskerville" w:hAnsi="Baskerville"/>
                <w:sz w:val="24"/>
                <w:szCs w:val="24"/>
              </w:rPr>
              <w:t xml:space="preserve">Systematic </w:t>
            </w:r>
          </w:p>
          <w:p w:rsidR="00370F25" w:rsidRDefault="00370F25">
            <w:pPr>
              <w:pStyle w:val="Default"/>
              <w:spacing w:line="360" w:lineRule="auto"/>
              <w:ind w:right="618"/>
              <w:jc w:val="both"/>
            </w:pPr>
          </w:p>
        </w:tc>
      </w:tr>
      <w:tr w:rsidR="00370F25">
        <w:tblPrEx>
          <w:shd w:val="clear" w:color="auto" w:fill="auto"/>
        </w:tblPrEx>
        <w:trPr>
          <w:trHeight w:val="482"/>
        </w:trPr>
        <w:tc>
          <w:tcPr>
            <w:tcW w:w="300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Lack of clarity in scope of transversal competencies </w:t>
            </w:r>
          </w:p>
        </w:tc>
        <w:tc>
          <w:tcPr>
            <w:tcW w:w="300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Lack of assessment mechanisms</w:t>
            </w:r>
          </w:p>
        </w:tc>
        <w:tc>
          <w:tcPr>
            <w:tcW w:w="3005" w:type="dxa"/>
            <w:tcBorders>
              <w:top w:val="single" w:sz="4"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Large class sizes </w:t>
            </w:r>
          </w:p>
        </w:tc>
      </w:tr>
      <w:tr w:rsidR="00370F25">
        <w:tblPrEx>
          <w:shd w:val="clear" w:color="auto" w:fill="auto"/>
        </w:tblPrEx>
        <w:trPr>
          <w:trHeight w:val="719"/>
        </w:trPr>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 xml:space="preserve">Lack of clarity in the desired outcomes of the teaching of the transversal competencies </w:t>
            </w:r>
          </w:p>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Insufficient teaching/learning materials</w:t>
            </w:r>
          </w:p>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Overloaded curricula</w:t>
            </w:r>
          </w:p>
        </w:tc>
      </w:tr>
      <w:tr w:rsidR="00370F25">
        <w:tblPrEx>
          <w:shd w:val="clear" w:color="auto" w:fill="auto"/>
        </w:tblPrEx>
        <w:trPr>
          <w:trHeight w:val="479"/>
        </w:trPr>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370F25"/>
        </w:tc>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Lack of incentives </w:t>
            </w:r>
          </w:p>
        </w:tc>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Pressure to achieve academic success </w:t>
            </w:r>
          </w:p>
        </w:tc>
      </w:tr>
      <w:tr w:rsidR="00370F25">
        <w:tblPrEx>
          <w:shd w:val="clear" w:color="auto" w:fill="auto"/>
        </w:tblPrEx>
        <w:trPr>
          <w:trHeight w:val="479"/>
        </w:trPr>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370F25"/>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Insufficient capacity of teachers</w:t>
            </w:r>
          </w:p>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Inconsistencies with high stake exams</w:t>
            </w:r>
          </w:p>
        </w:tc>
      </w:tr>
      <w:tr w:rsidR="00370F25">
        <w:tblPrEx>
          <w:shd w:val="clear" w:color="auto" w:fill="auto"/>
        </w:tblPrEx>
        <w:trPr>
          <w:trHeight w:val="479"/>
        </w:trPr>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370F25"/>
        </w:tc>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Lack of budgets/policy -budget inconsistencies </w:t>
            </w:r>
          </w:p>
        </w:tc>
        <w:tc>
          <w:tcPr>
            <w:tcW w:w="3005" w:type="dxa"/>
            <w:tcBorders>
              <w:top w:val="single" w:sz="2" w:space="0" w:color="000000"/>
              <w:left w:val="single" w:sz="2" w:space="0" w:color="000000"/>
              <w:bottom w:val="single" w:sz="2" w:space="0" w:color="000000"/>
              <w:right w:val="single" w:sz="2" w:space="0" w:color="000000"/>
            </w:tcBorders>
            <w:shd w:val="clear" w:color="auto" w:fill="auto"/>
            <w:tcMar>
              <w:top w:w="80" w:type="dxa"/>
              <w:left w:w="80" w:type="dxa"/>
              <w:bottom w:w="80" w:type="dxa"/>
              <w:right w:w="80" w:type="dxa"/>
            </w:tcMar>
          </w:tcPr>
          <w:p w:rsidR="00370F25" w:rsidRDefault="00FE57AC">
            <w:pPr>
              <w:pStyle w:val="TableStyle2"/>
            </w:pPr>
            <w:r>
              <w:rPr>
                <w:rFonts w:eastAsia="Arial Unicode MS" w:cs="Arial Unicode MS"/>
              </w:rPr>
              <w:t xml:space="preserve">Lack of </w:t>
            </w:r>
            <w:proofErr w:type="spellStart"/>
            <w:r>
              <w:rPr>
                <w:rFonts w:eastAsia="Arial Unicode MS" w:cs="Arial Unicode MS"/>
              </w:rPr>
              <w:t>undersatnding</w:t>
            </w:r>
            <w:proofErr w:type="spellEnd"/>
            <w:r>
              <w:rPr>
                <w:rFonts w:eastAsia="Arial Unicode MS" w:cs="Arial Unicode MS"/>
              </w:rPr>
              <w:t xml:space="preserve"> among parents and stakeholders </w:t>
            </w:r>
          </w:p>
        </w:tc>
      </w:tr>
      <w:tr w:rsidR="00370F25">
        <w:tblPrEx>
          <w:shd w:val="clear" w:color="auto" w:fill="auto"/>
        </w:tblPrEx>
        <w:trPr>
          <w:trHeight w:val="479"/>
        </w:trPr>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370F25"/>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 xml:space="preserve">Additional burden on teachers </w:t>
            </w:r>
          </w:p>
        </w:tc>
        <w:tc>
          <w:tcPr>
            <w:tcW w:w="3005" w:type="dxa"/>
            <w:tcBorders>
              <w:top w:val="single" w:sz="2" w:space="0" w:color="000000"/>
              <w:left w:val="single" w:sz="2" w:space="0" w:color="000000"/>
              <w:bottom w:val="single" w:sz="2" w:space="0" w:color="000000"/>
              <w:right w:val="single" w:sz="2" w:space="0" w:color="000000"/>
            </w:tcBorders>
            <w:shd w:val="clear" w:color="auto" w:fill="EEEEEE"/>
            <w:tcMar>
              <w:top w:w="80" w:type="dxa"/>
              <w:left w:w="80" w:type="dxa"/>
              <w:bottom w:w="80" w:type="dxa"/>
              <w:right w:w="80" w:type="dxa"/>
            </w:tcMar>
          </w:tcPr>
          <w:p w:rsidR="00370F25" w:rsidRDefault="00FE57AC">
            <w:pPr>
              <w:pStyle w:val="TableStyle2"/>
            </w:pPr>
            <w:r>
              <w:rPr>
                <w:rFonts w:eastAsia="Arial Unicode MS" w:cs="Arial Unicode MS"/>
              </w:rPr>
              <w:t xml:space="preserve">Overall school /organisation culture </w:t>
            </w:r>
          </w:p>
        </w:tc>
      </w:tr>
    </w:tbl>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0B54F6" w:rsidP="000B54F6">
      <w:pPr>
        <w:pStyle w:val="Default"/>
        <w:spacing w:line="360" w:lineRule="auto"/>
        <w:jc w:val="right"/>
        <w:rPr>
          <w:rFonts w:ascii="Baskerville" w:eastAsia="Baskerville" w:hAnsi="Baskerville" w:cs="Baskerville"/>
          <w:sz w:val="24"/>
          <w:szCs w:val="24"/>
        </w:rPr>
      </w:pPr>
      <w:r>
        <w:rPr>
          <w:rFonts w:ascii="Baskerville" w:eastAsia="Baskerville" w:hAnsi="Baskerville" w:cs="Baskerville"/>
          <w:sz w:val="24"/>
          <w:szCs w:val="24"/>
        </w:rPr>
        <w:t xml:space="preserve">Source: Tam &amp; </w:t>
      </w:r>
      <w:proofErr w:type="spellStart"/>
      <w:r>
        <w:rPr>
          <w:rFonts w:ascii="Baskerville" w:eastAsia="Baskerville" w:hAnsi="Baskerville" w:cs="Baskerville"/>
          <w:sz w:val="24"/>
          <w:szCs w:val="24"/>
        </w:rPr>
        <w:t>Trzmiel</w:t>
      </w:r>
      <w:proofErr w:type="spellEnd"/>
      <w:r>
        <w:rPr>
          <w:rFonts w:ascii="Baskerville" w:eastAsia="Baskerville" w:hAnsi="Baskerville" w:cs="Baskerville"/>
          <w:sz w:val="24"/>
          <w:szCs w:val="24"/>
        </w:rPr>
        <w:t xml:space="preserve"> (2018)</w:t>
      </w: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uto"/>
        <w:ind w:right="618"/>
        <w:jc w:val="both"/>
        <w:rPr>
          <w:rFonts w:ascii="Baskerville" w:hAnsi="Baskerville"/>
          <w:b/>
          <w:bCs/>
          <w:sz w:val="24"/>
          <w:szCs w:val="24"/>
        </w:rPr>
      </w:pPr>
      <w:r>
        <w:rPr>
          <w:rFonts w:ascii="Baskerville" w:hAnsi="Baskerville"/>
          <w:b/>
          <w:bCs/>
          <w:sz w:val="24"/>
          <w:szCs w:val="24"/>
        </w:rPr>
        <w:t>References</w:t>
      </w:r>
    </w:p>
    <w:p w:rsidR="000B54F6" w:rsidRDefault="000B54F6">
      <w:pPr>
        <w:pStyle w:val="Default"/>
        <w:spacing w:line="360" w:lineRule="auto"/>
        <w:ind w:right="618"/>
        <w:jc w:val="both"/>
        <w:rPr>
          <w:rFonts w:ascii="Baskerville" w:eastAsia="Baskerville" w:hAnsi="Baskerville" w:cs="Baskerville"/>
          <w:b/>
          <w:bCs/>
          <w:sz w:val="24"/>
          <w:szCs w:val="24"/>
        </w:rPr>
      </w:pPr>
    </w:p>
    <w:p w:rsidR="000B54F6" w:rsidRPr="000B54F6" w:rsidRDefault="000B54F6" w:rsidP="000B54F6">
      <w:pPr>
        <w:pBdr>
          <w:top w:val="none" w:sz="0" w:space="0" w:color="auto"/>
          <w:left w:val="none" w:sz="0" w:space="0" w:color="auto"/>
          <w:bottom w:val="none" w:sz="0" w:space="0" w:color="auto"/>
          <w:right w:val="none" w:sz="0" w:space="0" w:color="auto"/>
          <w:between w:val="none" w:sz="0" w:space="0" w:color="auto"/>
          <w:bar w:val="none" w:sz="0" w:color="auto"/>
        </w:pBdr>
        <w:rPr>
          <w:rFonts w:ascii="Baskerville" w:eastAsia="Times New Roman" w:hAnsi="Baskerville"/>
          <w:bdr w:val="none" w:sz="0" w:space="0" w:color="auto"/>
          <w:lang w:val="en-GB"/>
        </w:rPr>
      </w:pPr>
      <w:r w:rsidRPr="000B54F6">
        <w:rPr>
          <w:rFonts w:ascii="Baskerville" w:eastAsia="Times New Roman" w:hAnsi="Baskerville"/>
          <w:color w:val="333F48"/>
          <w:bdr w:val="none" w:sz="0" w:space="0" w:color="auto"/>
          <w:shd w:val="clear" w:color="auto" w:fill="FFFFFF"/>
          <w:lang w:val="en-GB"/>
        </w:rPr>
        <w:t>Englund, R. L. (2009). Applying chaos theory in a project based organization. Paper presented at PMI® Global Congress 2009—EMEA, Amsterdam, North Holland, The Netherlands. Newtown Square, PA: Project Management Institute.</w:t>
      </w: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uto"/>
        <w:ind w:right="618"/>
        <w:jc w:val="both"/>
        <w:rPr>
          <w:rFonts w:ascii="Baskerville" w:hAnsi="Baskerville"/>
          <w:sz w:val="24"/>
          <w:szCs w:val="24"/>
        </w:rPr>
      </w:pPr>
      <w:r>
        <w:rPr>
          <w:rFonts w:ascii="Baskerville" w:hAnsi="Baskerville"/>
          <w:sz w:val="24"/>
          <w:szCs w:val="24"/>
        </w:rPr>
        <w:t xml:space="preserve">Swann J (2012) </w:t>
      </w:r>
      <w:r>
        <w:rPr>
          <w:rFonts w:ascii="Baskerville" w:hAnsi="Baskerville"/>
          <w:sz w:val="24"/>
          <w:szCs w:val="24"/>
        </w:rPr>
        <w:t>‘</w:t>
      </w:r>
      <w:r>
        <w:rPr>
          <w:rFonts w:ascii="Baskerville" w:hAnsi="Baskerville"/>
          <w:sz w:val="24"/>
          <w:szCs w:val="24"/>
        </w:rPr>
        <w:t>Teaching , Learning and Research in the 21st Century: An Evolutionary analyst of the roles of the teacher.</w:t>
      </w:r>
      <w:r>
        <w:rPr>
          <w:rFonts w:ascii="Baskerville" w:hAnsi="Baskerville"/>
          <w:sz w:val="24"/>
          <w:szCs w:val="24"/>
        </w:rPr>
        <w:t xml:space="preserve">’ </w:t>
      </w:r>
      <w:proofErr w:type="spellStart"/>
      <w:r>
        <w:rPr>
          <w:rFonts w:ascii="Baskerville" w:hAnsi="Baskerville"/>
          <w:sz w:val="24"/>
          <w:szCs w:val="24"/>
        </w:rPr>
        <w:t>Continnum</w:t>
      </w:r>
      <w:proofErr w:type="spellEnd"/>
    </w:p>
    <w:p w:rsidR="000B54F6" w:rsidRDefault="000B54F6">
      <w:pPr>
        <w:pStyle w:val="Default"/>
        <w:spacing w:line="360" w:lineRule="auto"/>
        <w:ind w:right="618"/>
        <w:jc w:val="both"/>
        <w:rPr>
          <w:rFonts w:ascii="Baskerville" w:hAnsi="Baskerville"/>
          <w:sz w:val="24"/>
          <w:szCs w:val="24"/>
        </w:rPr>
      </w:pPr>
    </w:p>
    <w:p w:rsidR="000B54F6" w:rsidRPr="000B54F6" w:rsidRDefault="000B54F6" w:rsidP="000B54F6">
      <w:pPr>
        <w:pBdr>
          <w:top w:val="none" w:sz="0" w:space="0" w:color="auto"/>
          <w:left w:val="none" w:sz="0" w:space="0" w:color="auto"/>
          <w:bottom w:val="none" w:sz="0" w:space="0" w:color="auto"/>
          <w:right w:val="none" w:sz="0" w:space="0" w:color="auto"/>
          <w:between w:val="none" w:sz="0" w:space="0" w:color="auto"/>
          <w:bar w:val="none" w:sz="0" w:color="auto"/>
        </w:pBdr>
        <w:rPr>
          <w:rFonts w:ascii="Baskerville" w:eastAsia="Times New Roman" w:hAnsi="Baskerville"/>
          <w:sz w:val="22"/>
          <w:bdr w:val="none" w:sz="0" w:space="0" w:color="auto"/>
          <w:lang w:val="en-GB"/>
        </w:rPr>
      </w:pPr>
      <w:r w:rsidRPr="000B54F6">
        <w:rPr>
          <w:rFonts w:ascii="Baskerville" w:eastAsia="Times New Roman" w:hAnsi="Baskerville"/>
          <w:color w:val="333333"/>
          <w:spacing w:val="4"/>
          <w:szCs w:val="26"/>
          <w:bdr w:val="none" w:sz="0" w:space="0" w:color="auto"/>
          <w:shd w:val="clear" w:color="auto" w:fill="FCFCFC"/>
          <w:lang w:val="en-GB"/>
        </w:rPr>
        <w:t xml:space="preserve">Tam A., </w:t>
      </w:r>
      <w:proofErr w:type="spellStart"/>
      <w:r w:rsidRPr="000B54F6">
        <w:rPr>
          <w:rFonts w:ascii="Baskerville" w:eastAsia="Times New Roman" w:hAnsi="Baskerville"/>
          <w:color w:val="333333"/>
          <w:spacing w:val="4"/>
          <w:szCs w:val="26"/>
          <w:bdr w:val="none" w:sz="0" w:space="0" w:color="auto"/>
          <w:shd w:val="clear" w:color="auto" w:fill="FCFCFC"/>
          <w:lang w:val="en-GB"/>
        </w:rPr>
        <w:t>Trzmiel</w:t>
      </w:r>
      <w:proofErr w:type="spellEnd"/>
      <w:r w:rsidRPr="000B54F6">
        <w:rPr>
          <w:rFonts w:ascii="Baskerville" w:eastAsia="Times New Roman" w:hAnsi="Baskerville"/>
          <w:color w:val="333333"/>
          <w:spacing w:val="4"/>
          <w:szCs w:val="26"/>
          <w:bdr w:val="none" w:sz="0" w:space="0" w:color="auto"/>
          <w:shd w:val="clear" w:color="auto" w:fill="FCFCFC"/>
          <w:lang w:val="en-GB"/>
        </w:rPr>
        <w:t xml:space="preserve"> B. (2018) Transversal Skills as a Missing Link Between School and Work: Experiences from the Asia-Pacific Region. In: Pavlova M., Lee JK., Maclean R. (</w:t>
      </w:r>
      <w:proofErr w:type="spellStart"/>
      <w:r w:rsidRPr="000B54F6">
        <w:rPr>
          <w:rFonts w:ascii="Baskerville" w:eastAsia="Times New Roman" w:hAnsi="Baskerville"/>
          <w:color w:val="333333"/>
          <w:spacing w:val="4"/>
          <w:szCs w:val="26"/>
          <w:bdr w:val="none" w:sz="0" w:space="0" w:color="auto"/>
          <w:shd w:val="clear" w:color="auto" w:fill="FCFCFC"/>
          <w:lang w:val="en-GB"/>
        </w:rPr>
        <w:t>eds</w:t>
      </w:r>
      <w:proofErr w:type="spellEnd"/>
      <w:r w:rsidRPr="000B54F6">
        <w:rPr>
          <w:rFonts w:ascii="Baskerville" w:eastAsia="Times New Roman" w:hAnsi="Baskerville"/>
          <w:color w:val="333333"/>
          <w:spacing w:val="4"/>
          <w:szCs w:val="26"/>
          <w:bdr w:val="none" w:sz="0" w:space="0" w:color="auto"/>
          <w:shd w:val="clear" w:color="auto" w:fill="FCFCFC"/>
          <w:lang w:val="en-GB"/>
        </w:rPr>
        <w:t xml:space="preserve">) Transitions to Post-School Life. Education in the Asia-Pacific Region: Issues, Concerns and Prospects, </w:t>
      </w:r>
      <w:proofErr w:type="spellStart"/>
      <w:r w:rsidRPr="000B54F6">
        <w:rPr>
          <w:rFonts w:ascii="Baskerville" w:eastAsia="Times New Roman" w:hAnsi="Baskerville"/>
          <w:color w:val="333333"/>
          <w:spacing w:val="4"/>
          <w:szCs w:val="26"/>
          <w:bdr w:val="none" w:sz="0" w:space="0" w:color="auto"/>
          <w:shd w:val="clear" w:color="auto" w:fill="FCFCFC"/>
          <w:lang w:val="en-GB"/>
        </w:rPr>
        <w:t>vol</w:t>
      </w:r>
      <w:proofErr w:type="spellEnd"/>
      <w:r w:rsidRPr="000B54F6">
        <w:rPr>
          <w:rFonts w:ascii="Baskerville" w:eastAsia="Times New Roman" w:hAnsi="Baskerville"/>
          <w:color w:val="333333"/>
          <w:spacing w:val="4"/>
          <w:szCs w:val="26"/>
          <w:bdr w:val="none" w:sz="0" w:space="0" w:color="auto"/>
          <w:shd w:val="clear" w:color="auto" w:fill="FCFCFC"/>
          <w:lang w:val="en-GB"/>
        </w:rPr>
        <w:t xml:space="preserve"> 41. Springer, Singapore</w:t>
      </w:r>
    </w:p>
    <w:p w:rsidR="000B54F6" w:rsidRDefault="000B54F6">
      <w:pPr>
        <w:pStyle w:val="Default"/>
        <w:spacing w:line="360" w:lineRule="auto"/>
        <w:ind w:right="618"/>
        <w:jc w:val="both"/>
        <w:rPr>
          <w:rFonts w:ascii="Baskerville" w:eastAsia="Baskerville" w:hAnsi="Baskerville" w:cs="Baskerville"/>
          <w:sz w:val="24"/>
          <w:szCs w:val="24"/>
        </w:rPr>
      </w:pP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uto"/>
        <w:ind w:right="618"/>
        <w:jc w:val="both"/>
        <w:rPr>
          <w:rFonts w:ascii="Baskerville" w:eastAsia="Baskerville" w:hAnsi="Baskerville" w:cs="Baskerville"/>
          <w:sz w:val="24"/>
          <w:szCs w:val="24"/>
        </w:rPr>
      </w:pPr>
      <w:proofErr w:type="spellStart"/>
      <w:r>
        <w:rPr>
          <w:rFonts w:ascii="Baskerville" w:hAnsi="Baskerville"/>
          <w:sz w:val="24"/>
          <w:szCs w:val="24"/>
        </w:rPr>
        <w:t>Universita</w:t>
      </w:r>
      <w:proofErr w:type="spellEnd"/>
      <w:r>
        <w:rPr>
          <w:rFonts w:ascii="Baskerville" w:hAnsi="Baskerville"/>
          <w:sz w:val="24"/>
          <w:szCs w:val="24"/>
        </w:rPr>
        <w:t xml:space="preserve"> di Bologna </w:t>
      </w:r>
      <w:r>
        <w:rPr>
          <w:rFonts w:ascii="Baskerville" w:hAnsi="Baskerville"/>
          <w:sz w:val="24"/>
          <w:szCs w:val="24"/>
          <w:lang w:val="es-ES_tradnl"/>
        </w:rPr>
        <w:t xml:space="preserve">Transversal </w:t>
      </w:r>
      <w:proofErr w:type="spellStart"/>
      <w:r>
        <w:rPr>
          <w:rFonts w:ascii="Baskerville" w:hAnsi="Baskerville"/>
          <w:sz w:val="24"/>
          <w:szCs w:val="24"/>
          <w:lang w:val="es-ES_tradnl"/>
        </w:rPr>
        <w:t>competencies</w:t>
      </w:r>
      <w:proofErr w:type="spellEnd"/>
      <w:r>
        <w:rPr>
          <w:rFonts w:ascii="Baskerville" w:hAnsi="Baskerville"/>
          <w:sz w:val="24"/>
          <w:szCs w:val="24"/>
        </w:rPr>
        <w:t xml:space="preserve"> accessed 29/01/2019 at </w:t>
      </w:r>
    </w:p>
    <w:p w:rsidR="00370F25" w:rsidRDefault="00FE57AC">
      <w:pPr>
        <w:pStyle w:val="Default"/>
        <w:spacing w:line="360" w:lineRule="auto"/>
        <w:ind w:right="618"/>
        <w:jc w:val="both"/>
        <w:rPr>
          <w:rFonts w:ascii="Baskerville" w:eastAsia="Baskerville" w:hAnsi="Baskerville" w:cs="Baskerville"/>
          <w:sz w:val="24"/>
          <w:szCs w:val="24"/>
        </w:rPr>
      </w:pPr>
      <w:hyperlink r:id="rId7" w:history="1">
        <w:r>
          <w:rPr>
            <w:rStyle w:val="Hyperlink0"/>
            <w:rFonts w:ascii="Baskerville" w:hAnsi="Baskerville"/>
            <w:color w:val="0079CC"/>
            <w:sz w:val="24"/>
            <w:szCs w:val="24"/>
          </w:rPr>
          <w:t>https://www.unibo.it/en/teaching/Transversal-competencies-and-other-learning-opportunities/</w:t>
        </w:r>
        <w:r>
          <w:rPr>
            <w:rStyle w:val="Hyperlink0"/>
            <w:rFonts w:ascii="Baskerville" w:hAnsi="Baskerville"/>
            <w:color w:val="0079CC"/>
            <w:sz w:val="24"/>
            <w:szCs w:val="24"/>
          </w:rPr>
          <w:t>transversal-competencies</w:t>
        </w:r>
      </w:hyperlink>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tLeast"/>
        <w:rPr>
          <w:rFonts w:ascii="Baskerville" w:eastAsia="Baskerville" w:hAnsi="Baskerville" w:cs="Baskerville"/>
          <w:color w:val="333333"/>
          <w:sz w:val="24"/>
          <w:szCs w:val="24"/>
          <w:shd w:val="clear" w:color="auto" w:fill="FFFFFF"/>
        </w:rPr>
      </w:pPr>
      <w:r>
        <w:rPr>
          <w:rFonts w:ascii="Baskerville" w:hAnsi="Baskerville"/>
          <w:sz w:val="24"/>
          <w:szCs w:val="24"/>
          <w:shd w:val="clear" w:color="auto" w:fill="FFFFFF"/>
        </w:rPr>
        <w:lastRenderedPageBreak/>
        <w:t xml:space="preserve">2013 Asia-Pacific Education Research Institutes Network (ERI-Net) regional study on: transversal competencies in education policy and practice (Phase I): regional synthesis report accessed 29/01/2019 at </w:t>
      </w:r>
      <w:hyperlink r:id="rId8" w:history="1">
        <w:r>
          <w:rPr>
            <w:rStyle w:val="Hyperlink1"/>
            <w:rFonts w:ascii="Baskerville" w:hAnsi="Baskerville"/>
            <w:sz w:val="24"/>
            <w:szCs w:val="24"/>
            <w:shd w:val="clear" w:color="auto" w:fill="FFFFFF"/>
          </w:rPr>
          <w:t>http://unesdoc.unesco.org/images/0023/002319/231907E.pdf</w:t>
        </w:r>
      </w:hyperlink>
    </w:p>
    <w:p w:rsidR="00370F25" w:rsidRDefault="00370F25">
      <w:pPr>
        <w:pStyle w:val="Default"/>
        <w:spacing w:line="360" w:lineRule="atLeast"/>
        <w:rPr>
          <w:rFonts w:ascii="Baskerville" w:eastAsia="Baskerville" w:hAnsi="Baskerville" w:cs="Baskerville"/>
          <w:color w:val="333333"/>
          <w:sz w:val="24"/>
          <w:szCs w:val="24"/>
          <w:shd w:val="clear" w:color="auto" w:fill="FFFFFF"/>
        </w:rPr>
      </w:pPr>
    </w:p>
    <w:p w:rsidR="00370F25" w:rsidRDefault="00FE57AC">
      <w:pPr>
        <w:pStyle w:val="Default"/>
        <w:spacing w:line="360" w:lineRule="auto"/>
        <w:ind w:right="618"/>
        <w:jc w:val="both"/>
        <w:rPr>
          <w:rFonts w:ascii="Baskerville" w:eastAsia="Baskerville" w:hAnsi="Baskerville" w:cs="Baskerville"/>
          <w:b/>
          <w:bCs/>
          <w:sz w:val="24"/>
          <w:szCs w:val="24"/>
        </w:rPr>
      </w:pPr>
      <w:r>
        <w:rPr>
          <w:rFonts w:ascii="Baskerville" w:hAnsi="Baskerville"/>
          <w:b/>
          <w:bCs/>
          <w:sz w:val="24"/>
          <w:szCs w:val="24"/>
        </w:rPr>
        <w:t xml:space="preserve">Resources </w:t>
      </w:r>
    </w:p>
    <w:p w:rsidR="00370F25" w:rsidRDefault="00370F25">
      <w:pPr>
        <w:pStyle w:val="Default"/>
        <w:spacing w:line="360" w:lineRule="auto"/>
        <w:ind w:right="618"/>
        <w:jc w:val="both"/>
        <w:rPr>
          <w:rFonts w:ascii="Baskerville" w:eastAsia="Baskerville" w:hAnsi="Baskerville" w:cs="Baskerville"/>
          <w:sz w:val="24"/>
          <w:szCs w:val="24"/>
        </w:rPr>
      </w:pPr>
    </w:p>
    <w:p w:rsidR="00370F25" w:rsidRDefault="00FE57AC">
      <w:pPr>
        <w:pStyle w:val="Default"/>
        <w:spacing w:line="360" w:lineRule="auto"/>
        <w:jc w:val="both"/>
        <w:rPr>
          <w:rFonts w:ascii="Baskerville" w:eastAsia="Baskerville" w:hAnsi="Baskerville" w:cs="Baskerville"/>
          <w:sz w:val="24"/>
          <w:szCs w:val="24"/>
          <w:u w:color="0000ED"/>
        </w:rPr>
      </w:pPr>
      <w:r>
        <w:rPr>
          <w:rFonts w:ascii="Baskerville" w:hAnsi="Baskerville"/>
          <w:sz w:val="24"/>
          <w:szCs w:val="24"/>
          <w:u w:color="0000ED"/>
        </w:rPr>
        <w:t>•</w:t>
      </w:r>
      <w:hyperlink r:id="rId9" w:history="1">
        <w:r>
          <w:rPr>
            <w:rStyle w:val="Hyperlink0"/>
            <w:rFonts w:ascii="Baskerville" w:hAnsi="Baskerville"/>
            <w:color w:val="0000ED"/>
            <w:sz w:val="24"/>
            <w:szCs w:val="24"/>
            <w:u w:color="0000ED"/>
          </w:rPr>
          <w:t>https://www.headspace.com/</w:t>
        </w:r>
      </w:hyperlink>
    </w:p>
    <w:p w:rsidR="00370F25" w:rsidRDefault="00FE57AC">
      <w:pPr>
        <w:pStyle w:val="Default"/>
        <w:spacing w:line="360" w:lineRule="auto"/>
        <w:jc w:val="both"/>
        <w:rPr>
          <w:rFonts w:ascii="Baskerville" w:eastAsia="Baskerville" w:hAnsi="Baskerville" w:cs="Baskerville"/>
          <w:color w:val="0000ED"/>
          <w:sz w:val="24"/>
          <w:szCs w:val="24"/>
          <w:u w:val="single" w:color="0000ED"/>
        </w:rPr>
      </w:pPr>
      <w:r>
        <w:rPr>
          <w:rFonts w:ascii="Baskerville" w:hAnsi="Baskerville"/>
          <w:sz w:val="24"/>
          <w:szCs w:val="24"/>
          <w:u w:color="0000ED"/>
        </w:rPr>
        <w:t>•</w:t>
      </w:r>
      <w:hyperlink r:id="rId10" w:history="1">
        <w:r>
          <w:rPr>
            <w:rStyle w:val="Hyperlink0"/>
            <w:rFonts w:ascii="Baskerville" w:hAnsi="Baskerville"/>
            <w:color w:val="0000ED"/>
            <w:sz w:val="24"/>
            <w:szCs w:val="24"/>
            <w:u w:color="0000ED"/>
          </w:rPr>
          <w:t>https://blog.ed.ted.com/2015/05/08/10-ways-to-teach-creativity-in-the-classroom/</w:t>
        </w:r>
      </w:hyperlink>
    </w:p>
    <w:p w:rsidR="00370F25" w:rsidRDefault="00FE57AC">
      <w:pPr>
        <w:pStyle w:val="Default"/>
        <w:spacing w:line="360" w:lineRule="auto"/>
        <w:jc w:val="both"/>
        <w:rPr>
          <w:rFonts w:ascii="Baskerville" w:eastAsia="Baskerville" w:hAnsi="Baskerville" w:cs="Baskerville"/>
          <w:sz w:val="24"/>
          <w:szCs w:val="24"/>
          <w:u w:color="0000ED"/>
        </w:rPr>
      </w:pPr>
      <w:r>
        <w:rPr>
          <w:rFonts w:ascii="Baskerville" w:hAnsi="Baskerville"/>
          <w:sz w:val="24"/>
          <w:szCs w:val="24"/>
          <w:u w:color="0000ED"/>
        </w:rPr>
        <w:t>•</w:t>
      </w:r>
      <w:hyperlink r:id="rId11" w:history="1">
        <w:r>
          <w:rPr>
            <w:rStyle w:val="Hyperlink0"/>
            <w:rFonts w:ascii="Baskerville" w:hAnsi="Baskerville"/>
            <w:color w:val="0000ED"/>
            <w:sz w:val="24"/>
            <w:szCs w:val="24"/>
            <w:u w:color="0000ED"/>
          </w:rPr>
          <w:t>http://constructionism2014.ifs.tuwien.ac.at/papers/5.1_1-8469.pdf</w:t>
        </w:r>
      </w:hyperlink>
      <w:r>
        <w:rPr>
          <w:rFonts w:ascii="Baskerville" w:hAnsi="Baskerville"/>
          <w:sz w:val="24"/>
          <w:szCs w:val="24"/>
          <w:u w:color="0000ED"/>
        </w:rPr>
        <w:t>•</w:t>
      </w:r>
      <w:hyperlink r:id="rId12" w:history="1">
        <w:r>
          <w:rPr>
            <w:rStyle w:val="Hyperlink0"/>
            <w:rFonts w:ascii="Baskerville" w:hAnsi="Baskerville"/>
            <w:color w:val="0000ED"/>
            <w:sz w:val="24"/>
            <w:szCs w:val="24"/>
            <w:u w:color="0000ED"/>
          </w:rPr>
          <w:t>https://www.livingontherealworld.org/schumpeters-gale/</w:t>
        </w:r>
      </w:hyperlink>
    </w:p>
    <w:p w:rsidR="00370F25" w:rsidRDefault="00FE57AC">
      <w:pPr>
        <w:pStyle w:val="Default"/>
        <w:spacing w:line="360" w:lineRule="auto"/>
        <w:jc w:val="both"/>
        <w:rPr>
          <w:rFonts w:ascii="Baskerville" w:eastAsia="Baskerville" w:hAnsi="Baskerville" w:cs="Baskerville"/>
          <w:sz w:val="24"/>
          <w:szCs w:val="24"/>
          <w:u w:color="0000ED"/>
        </w:rPr>
      </w:pPr>
      <w:r>
        <w:rPr>
          <w:rFonts w:ascii="Baskerville" w:hAnsi="Baskerville"/>
          <w:sz w:val="24"/>
          <w:szCs w:val="24"/>
          <w:u w:color="0000ED"/>
        </w:rPr>
        <w:t>•</w:t>
      </w:r>
      <w:hyperlink r:id="rId13" w:history="1">
        <w:r>
          <w:rPr>
            <w:rStyle w:val="Hyperlink0"/>
            <w:rFonts w:ascii="Baskerville" w:hAnsi="Baskerville"/>
            <w:color w:val="0000ED"/>
            <w:sz w:val="24"/>
            <w:szCs w:val="24"/>
            <w:u w:color="0000ED"/>
          </w:rPr>
          <w:t>https://www.econlib.org/library/Enc/CreativeDestruction.html</w:t>
        </w:r>
      </w:hyperlink>
    </w:p>
    <w:p w:rsidR="00370F25" w:rsidRDefault="00FE57AC">
      <w:pPr>
        <w:pStyle w:val="Default"/>
        <w:spacing w:line="360" w:lineRule="auto"/>
        <w:jc w:val="both"/>
        <w:rPr>
          <w:rFonts w:ascii="Baskerville" w:eastAsia="Baskerville" w:hAnsi="Baskerville" w:cs="Baskerville"/>
          <w:sz w:val="24"/>
          <w:szCs w:val="24"/>
          <w:u w:color="0000ED"/>
        </w:rPr>
      </w:pPr>
      <w:r>
        <w:rPr>
          <w:rFonts w:ascii="Baskerville" w:hAnsi="Baskerville"/>
          <w:sz w:val="24"/>
          <w:szCs w:val="24"/>
          <w:u w:color="0000ED"/>
        </w:rPr>
        <w:t>•</w:t>
      </w:r>
      <w:hyperlink r:id="rId14" w:history="1">
        <w:r>
          <w:rPr>
            <w:rStyle w:val="Hyperlink0"/>
            <w:rFonts w:ascii="Baskerville" w:hAnsi="Baskerville"/>
            <w:color w:val="0000ED"/>
            <w:sz w:val="24"/>
            <w:szCs w:val="24"/>
            <w:u w:color="0000ED"/>
          </w:rPr>
          <w:t>https://economics.mit.edu/files/1785</w:t>
        </w:r>
      </w:hyperlink>
    </w:p>
    <w:p w:rsidR="00370F25" w:rsidRDefault="00FE57AC">
      <w:pPr>
        <w:pStyle w:val="Default"/>
        <w:spacing w:line="360" w:lineRule="auto"/>
        <w:jc w:val="both"/>
        <w:rPr>
          <w:rFonts w:ascii="Baskerville" w:eastAsia="Baskerville" w:hAnsi="Baskerville" w:cs="Baskerville"/>
          <w:sz w:val="24"/>
          <w:szCs w:val="24"/>
          <w:u w:color="0000ED"/>
        </w:rPr>
      </w:pPr>
      <w:r>
        <w:rPr>
          <w:rFonts w:ascii="Baskerville" w:hAnsi="Baskerville"/>
          <w:sz w:val="24"/>
          <w:szCs w:val="24"/>
          <w:u w:color="0000ED"/>
        </w:rPr>
        <w:t>•</w:t>
      </w:r>
      <w:hyperlink r:id="rId15" w:history="1">
        <w:r>
          <w:rPr>
            <w:rStyle w:val="Hyperlink0"/>
            <w:rFonts w:ascii="Baskerville" w:hAnsi="Baskerville"/>
            <w:color w:val="0000ED"/>
            <w:sz w:val="24"/>
            <w:szCs w:val="24"/>
            <w:u w:color="0000ED"/>
          </w:rPr>
          <w:t>https://newrepublic.com/a</w:t>
        </w:r>
        <w:r>
          <w:rPr>
            <w:rStyle w:val="Hyperlink0"/>
            <w:rFonts w:ascii="Baskerville" w:hAnsi="Baskerville"/>
            <w:color w:val="0000ED"/>
            <w:sz w:val="24"/>
            <w:szCs w:val="24"/>
            <w:u w:color="0000ED"/>
          </w:rPr>
          <w:t>rticle/61183/heavy-thinker</w:t>
        </w:r>
      </w:hyperlink>
    </w:p>
    <w:p w:rsidR="00370F25" w:rsidRDefault="00FE57AC">
      <w:pPr>
        <w:pStyle w:val="Default"/>
        <w:spacing w:line="360" w:lineRule="auto"/>
        <w:jc w:val="both"/>
        <w:rPr>
          <w:rFonts w:ascii="Baskerville" w:eastAsia="Baskerville" w:hAnsi="Baskerville" w:cs="Baskerville"/>
          <w:sz w:val="24"/>
          <w:szCs w:val="24"/>
        </w:rPr>
      </w:pPr>
      <w:r>
        <w:rPr>
          <w:rFonts w:ascii="Baskerville" w:hAnsi="Baskerville"/>
          <w:sz w:val="24"/>
          <w:szCs w:val="24"/>
        </w:rPr>
        <w:t>•</w:t>
      </w:r>
      <w:hyperlink r:id="rId16" w:history="1">
        <w:r>
          <w:rPr>
            <w:rStyle w:val="Hyperlink0"/>
            <w:rFonts w:ascii="Baskerville" w:hAnsi="Baskerville"/>
            <w:sz w:val="24"/>
            <w:szCs w:val="24"/>
          </w:rPr>
          <w:t>https://www.edutopia.org/blog/creative-destruction-ongoing-relevance-teachers-don-wettrick</w:t>
        </w:r>
      </w:hyperlink>
    </w:p>
    <w:p w:rsidR="00370F25" w:rsidRDefault="00370F25">
      <w:pPr>
        <w:pStyle w:val="Default"/>
        <w:spacing w:line="360" w:lineRule="auto"/>
        <w:jc w:val="both"/>
        <w:rPr>
          <w:rFonts w:ascii="Baskerville" w:eastAsia="Baskerville" w:hAnsi="Baskerville" w:cs="Baskerville"/>
          <w:color w:val="4472C4"/>
          <w:sz w:val="24"/>
          <w:szCs w:val="24"/>
        </w:rPr>
      </w:pPr>
    </w:p>
    <w:p w:rsidR="00370F25" w:rsidRDefault="00FE57AC">
      <w:pPr>
        <w:pStyle w:val="Default"/>
        <w:spacing w:line="360" w:lineRule="auto"/>
        <w:jc w:val="both"/>
        <w:rPr>
          <w:rFonts w:ascii="Baskerville" w:eastAsia="Baskerville" w:hAnsi="Baskerville" w:cs="Baskerville"/>
          <w:b/>
          <w:bCs/>
          <w:sz w:val="24"/>
          <w:szCs w:val="24"/>
        </w:rPr>
      </w:pPr>
      <w:r>
        <w:rPr>
          <w:rFonts w:ascii="Baskerville" w:hAnsi="Baskerville"/>
          <w:b/>
          <w:bCs/>
          <w:sz w:val="24"/>
          <w:szCs w:val="24"/>
        </w:rPr>
        <w:t xml:space="preserve">An Executive summary that </w:t>
      </w:r>
      <w:r>
        <w:rPr>
          <w:rFonts w:ascii="Baskerville" w:hAnsi="Baskerville"/>
          <w:b/>
          <w:bCs/>
          <w:sz w:val="24"/>
          <w:szCs w:val="24"/>
        </w:rPr>
        <w:t>is critically supported by key points and potential challenges for assessment.</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rPr>
        <w:t xml:space="preserve">The rationale for presenting a proposal for iterative tasks based on the principles of </w:t>
      </w:r>
      <w:r>
        <w:rPr>
          <w:rFonts w:ascii="Baskerville" w:hAnsi="Baskerville"/>
          <w:i/>
          <w:iCs/>
          <w:sz w:val="24"/>
          <w:szCs w:val="24"/>
        </w:rPr>
        <w:t xml:space="preserve">Evolutionary Development </w:t>
      </w:r>
      <w:r>
        <w:rPr>
          <w:rFonts w:ascii="Baskerville" w:hAnsi="Baskerville"/>
          <w:sz w:val="24"/>
          <w:szCs w:val="24"/>
        </w:rPr>
        <w:t xml:space="preserve">are that firstly to support the development of the </w:t>
      </w:r>
      <w:proofErr w:type="spellStart"/>
      <w:r>
        <w:rPr>
          <w:rFonts w:ascii="Baskerville" w:hAnsi="Baskerville"/>
          <w:sz w:val="24"/>
          <w:szCs w:val="24"/>
        </w:rPr>
        <w:t>Entrecomp</w:t>
      </w:r>
      <w:proofErr w:type="spellEnd"/>
      <w:r>
        <w:rPr>
          <w:rFonts w:ascii="Baskerville" w:hAnsi="Baskerville"/>
          <w:sz w:val="24"/>
          <w:szCs w:val="24"/>
        </w:rPr>
        <w:t xml:space="preserve"> mode</w:t>
      </w:r>
      <w:r>
        <w:rPr>
          <w:rFonts w:ascii="Baskerville" w:hAnsi="Baskerville"/>
          <w:sz w:val="24"/>
          <w:szCs w:val="24"/>
        </w:rPr>
        <w:t>l, which presents the boundaries that entrepreneurial educators need to appreciate and the principle of designing learning outside- in , identifying transverse skills from the wider employment context to develop in educational settings (</w:t>
      </w:r>
      <w:proofErr w:type="spellStart"/>
      <w:r>
        <w:rPr>
          <w:rFonts w:ascii="Baskerville" w:hAnsi="Baskerville"/>
          <w:sz w:val="24"/>
          <w:szCs w:val="24"/>
        </w:rPr>
        <w:t>Entrecomp</w:t>
      </w:r>
      <w:proofErr w:type="spellEnd"/>
      <w:r>
        <w:rPr>
          <w:rFonts w:ascii="Baskerville" w:hAnsi="Baskerville"/>
          <w:sz w:val="24"/>
          <w:szCs w:val="24"/>
        </w:rPr>
        <w:t>, 2016), p</w:t>
      </w:r>
      <w:r>
        <w:rPr>
          <w:rFonts w:ascii="Baskerville" w:hAnsi="Baskerville"/>
          <w:sz w:val="24"/>
          <w:szCs w:val="24"/>
        </w:rPr>
        <w:t xml:space="preserve">utting in some practical tasks . The suggestion that development within Higher Education, PCET settings should be derived from external realities of industry (HEA, 2019). Secondly, new insight into neuroeducation suggests that the paradigm of </w:t>
      </w:r>
      <w:r>
        <w:rPr>
          <w:rFonts w:ascii="Baskerville" w:hAnsi="Baskerville"/>
          <w:sz w:val="24"/>
          <w:szCs w:val="24"/>
        </w:rPr>
        <w:t>‘</w:t>
      </w:r>
      <w:r>
        <w:rPr>
          <w:rFonts w:ascii="Baskerville" w:hAnsi="Baskerville"/>
          <w:sz w:val="24"/>
          <w:szCs w:val="24"/>
          <w:lang w:val="da-DK"/>
        </w:rPr>
        <w:t>Piaget</w:t>
      </w:r>
      <w:r>
        <w:rPr>
          <w:rFonts w:ascii="Baskerville" w:hAnsi="Baskerville"/>
          <w:sz w:val="24"/>
          <w:szCs w:val="24"/>
        </w:rPr>
        <w:t xml:space="preserve">’ </w:t>
      </w:r>
      <w:r>
        <w:rPr>
          <w:rFonts w:ascii="Baskerville" w:hAnsi="Baskerville"/>
          <w:sz w:val="24"/>
          <w:szCs w:val="24"/>
        </w:rPr>
        <w:t>is n</w:t>
      </w:r>
      <w:r>
        <w:rPr>
          <w:rFonts w:ascii="Baskerville" w:hAnsi="Baskerville"/>
          <w:sz w:val="24"/>
          <w:szCs w:val="24"/>
        </w:rPr>
        <w:t>ow being challenged, at that rather than a brain developing in stages, the brain is continually evolving, shifting focus to what is required, in a process of natural selection, learning therefore is a natural selective process as the brain  develops (Bjork</w:t>
      </w:r>
      <w:r>
        <w:rPr>
          <w:rFonts w:ascii="Baskerville" w:hAnsi="Baskerville"/>
          <w:sz w:val="24"/>
          <w:szCs w:val="24"/>
        </w:rPr>
        <w:t xml:space="preserve">lund, 2018). Over time brains have evolved from interaction with the information it is presented with and has developed to solve problems that it is presented with (Bjorklund and Causey, 2017). The concept of evolutionary development is based on Darwinian </w:t>
      </w:r>
      <w:r>
        <w:rPr>
          <w:rFonts w:ascii="Baskerville" w:hAnsi="Baskerville"/>
          <w:sz w:val="24"/>
          <w:szCs w:val="24"/>
        </w:rPr>
        <w:t>theory which supposes that the brain evolves in response to the structures that exist in the environment of the learner (Bjorklund and Causey, 2017), Finally, that Darwinian concepts of teaching are now emerging in the age of the brain , as a new wave of t</w:t>
      </w:r>
      <w:r>
        <w:rPr>
          <w:rFonts w:ascii="Baskerville" w:hAnsi="Baskerville"/>
          <w:sz w:val="24"/>
          <w:szCs w:val="24"/>
        </w:rPr>
        <w:t xml:space="preserve">heory emerges from insights in cognitive neuroscience, in the same vein as cognitive and humanistic concepts of learning challenged </w:t>
      </w:r>
      <w:proofErr w:type="spellStart"/>
      <w:r>
        <w:rPr>
          <w:rFonts w:ascii="Baskerville" w:hAnsi="Baskerville"/>
          <w:sz w:val="24"/>
          <w:szCs w:val="24"/>
        </w:rPr>
        <w:t>Behaviourism</w:t>
      </w:r>
      <w:proofErr w:type="spellEnd"/>
      <w:r>
        <w:rPr>
          <w:rFonts w:ascii="Baskerville" w:hAnsi="Baskerville"/>
          <w:sz w:val="24"/>
          <w:szCs w:val="24"/>
        </w:rPr>
        <w:t xml:space="preserve"> in the last century. Therefore in the </w:t>
      </w:r>
      <w:r>
        <w:rPr>
          <w:rFonts w:ascii="Baskerville" w:hAnsi="Baskerville"/>
          <w:sz w:val="24"/>
          <w:szCs w:val="24"/>
        </w:rPr>
        <w:t>‘</w:t>
      </w:r>
      <w:r>
        <w:rPr>
          <w:rFonts w:ascii="Baskerville" w:hAnsi="Baskerville"/>
          <w:sz w:val="24"/>
          <w:szCs w:val="24"/>
        </w:rPr>
        <w:t>age of the brain</w:t>
      </w:r>
      <w:r>
        <w:rPr>
          <w:rFonts w:ascii="Baskerville" w:hAnsi="Baskerville"/>
          <w:sz w:val="24"/>
          <w:szCs w:val="24"/>
        </w:rPr>
        <w:t xml:space="preserve">’ </w:t>
      </w:r>
      <w:r>
        <w:rPr>
          <w:rFonts w:ascii="Baskerville" w:hAnsi="Baskerville"/>
          <w:sz w:val="24"/>
          <w:szCs w:val="24"/>
        </w:rPr>
        <w:t>(</w:t>
      </w:r>
      <w:proofErr w:type="spellStart"/>
      <w:r>
        <w:rPr>
          <w:rFonts w:ascii="Baskerville" w:hAnsi="Baskerville"/>
          <w:sz w:val="24"/>
          <w:szCs w:val="24"/>
        </w:rPr>
        <w:t>Lui</w:t>
      </w:r>
      <w:proofErr w:type="spellEnd"/>
      <w:r>
        <w:rPr>
          <w:rFonts w:ascii="Baskerville" w:hAnsi="Baskerville"/>
          <w:sz w:val="24"/>
          <w:szCs w:val="24"/>
        </w:rPr>
        <w:t xml:space="preserve">, 2018), it would seem that we are at a threshold </w:t>
      </w:r>
      <w:r>
        <w:rPr>
          <w:rFonts w:ascii="Baskerville" w:hAnsi="Baskerville"/>
          <w:sz w:val="24"/>
          <w:szCs w:val="24"/>
        </w:rPr>
        <w:t xml:space="preserve">of new and innovate understanding of the brain and learning, and that what we are </w:t>
      </w:r>
      <w:r>
        <w:rPr>
          <w:rFonts w:ascii="Baskerville" w:hAnsi="Baskerville"/>
          <w:sz w:val="24"/>
          <w:szCs w:val="24"/>
        </w:rPr>
        <w:lastRenderedPageBreak/>
        <w:t xml:space="preserve">beginning to appreciate is that the learners must learn holistically, from themselves out, discovering their </w:t>
      </w:r>
      <w:r>
        <w:rPr>
          <w:rFonts w:ascii="Baskerville" w:hAnsi="Baskerville"/>
          <w:sz w:val="24"/>
          <w:szCs w:val="24"/>
        </w:rPr>
        <w:t>‘</w:t>
      </w:r>
      <w:r>
        <w:rPr>
          <w:rFonts w:ascii="Baskerville" w:hAnsi="Baskerville"/>
          <w:sz w:val="24"/>
          <w:szCs w:val="24"/>
        </w:rPr>
        <w:t xml:space="preserve">small c </w:t>
      </w:r>
      <w:r>
        <w:rPr>
          <w:rFonts w:ascii="Baskerville" w:hAnsi="Baskerville"/>
          <w:sz w:val="24"/>
          <w:szCs w:val="24"/>
        </w:rPr>
        <w:t>‘</w:t>
      </w:r>
      <w:r>
        <w:rPr>
          <w:rFonts w:ascii="Baskerville" w:hAnsi="Baskerville"/>
          <w:sz w:val="24"/>
          <w:szCs w:val="24"/>
        </w:rPr>
        <w:t>creativity, (Kaufman and Sternberg, 2010), learning how</w:t>
      </w:r>
      <w:r>
        <w:rPr>
          <w:rFonts w:ascii="Baskerville" w:hAnsi="Baskerville"/>
          <w:sz w:val="24"/>
          <w:szCs w:val="24"/>
        </w:rPr>
        <w:t xml:space="preserve"> tap into their own inert capacity to think, which in adult learning may be a process of rediscovery. For the learner tom appreciate their own inherent constraints, since as Elman (1996)(in Bjorklund, 2017) suggests the brain has three types of constraint </w:t>
      </w:r>
      <w:r>
        <w:rPr>
          <w:rFonts w:ascii="Baskerville" w:hAnsi="Baskerville"/>
          <w:sz w:val="24"/>
          <w:szCs w:val="24"/>
        </w:rPr>
        <w:t xml:space="preserve">that enable learning, architecture, chrono- topic and representational. In the case of adult learners, it may be that in terms of chrono-topic constraint, that the window is closed, with the childhood brain proven to soak up language for instance, this is </w:t>
      </w:r>
      <w:r>
        <w:rPr>
          <w:rFonts w:ascii="Baskerville" w:hAnsi="Baskerville"/>
          <w:sz w:val="24"/>
          <w:szCs w:val="24"/>
        </w:rPr>
        <w:t>of course if we accept Piaget. However, neuroeducation suggests that this may be fallacy, and that in fact the window is not closed, but ajar, and the educator is engaged in prizing it open again. Evidence shows that the brain can change in adults and that</w:t>
      </w:r>
      <w:r>
        <w:rPr>
          <w:rFonts w:ascii="Baskerville" w:hAnsi="Baskerville"/>
          <w:sz w:val="24"/>
          <w:szCs w:val="24"/>
        </w:rPr>
        <w:t xml:space="preserve"> what is key to sustainability and life-long learning is the ability to challenge </w:t>
      </w:r>
      <w:r>
        <w:rPr>
          <w:rFonts w:ascii="Baskerville" w:hAnsi="Baskerville"/>
          <w:sz w:val="24"/>
          <w:szCs w:val="24"/>
        </w:rPr>
        <w:t>‘</w:t>
      </w:r>
      <w:r>
        <w:rPr>
          <w:rFonts w:ascii="Baskerville" w:hAnsi="Baskerville"/>
          <w:sz w:val="24"/>
          <w:szCs w:val="24"/>
        </w:rPr>
        <w:t>representational</w:t>
      </w:r>
      <w:r>
        <w:rPr>
          <w:rFonts w:ascii="Baskerville" w:hAnsi="Baskerville"/>
          <w:sz w:val="24"/>
          <w:szCs w:val="24"/>
        </w:rPr>
        <w:t xml:space="preserve">’ </w:t>
      </w:r>
      <w:r>
        <w:rPr>
          <w:rFonts w:ascii="Baskerville" w:hAnsi="Baskerville"/>
          <w:sz w:val="24"/>
          <w:szCs w:val="24"/>
        </w:rPr>
        <w:t>constraints (Carraway, 2014).  Evolutionary Development offers a concept that focusses on the learner as we encounter them, a fully cognitive adult with es</w:t>
      </w:r>
      <w:r>
        <w:rPr>
          <w:rFonts w:ascii="Baskerville" w:hAnsi="Baskerville"/>
          <w:sz w:val="24"/>
          <w:szCs w:val="24"/>
        </w:rPr>
        <w:t xml:space="preserve">tablished and embedded knowledge. The iterative tasks associated with the practical steps within evolutionary development that is presented here, the learner, emerges from a state an individuality and self -contentedness, much like a </w:t>
      </w:r>
      <w:r>
        <w:rPr>
          <w:rFonts w:ascii="Baskerville" w:hAnsi="Baskerville"/>
          <w:sz w:val="24"/>
          <w:szCs w:val="24"/>
        </w:rPr>
        <w:t>‘</w:t>
      </w:r>
      <w:r>
        <w:rPr>
          <w:rFonts w:ascii="Baskerville" w:hAnsi="Baskerville"/>
          <w:sz w:val="24"/>
          <w:szCs w:val="24"/>
        </w:rPr>
        <w:t>an exposed negative d</w:t>
      </w:r>
      <w:r>
        <w:rPr>
          <w:rFonts w:ascii="Baskerville" w:hAnsi="Baskerville"/>
          <w:sz w:val="24"/>
          <w:szCs w:val="24"/>
        </w:rPr>
        <w:t>ipped in developer fluid</w:t>
      </w:r>
      <w:r>
        <w:rPr>
          <w:rFonts w:ascii="Baskerville" w:hAnsi="Baskerville"/>
          <w:sz w:val="24"/>
          <w:szCs w:val="24"/>
        </w:rPr>
        <w:t xml:space="preserve">’ </w:t>
      </w:r>
      <w:r>
        <w:rPr>
          <w:rFonts w:ascii="Baskerville" w:hAnsi="Baskerville"/>
          <w:sz w:val="24"/>
          <w:szCs w:val="24"/>
        </w:rPr>
        <w:t>(Wilson(1975) in Miller, 2002) to let in the world, so to speak and connect with others, to do what humans do best, when at their best, to link minds, to produce great achievements. To paraphrase Nietzsche, the process enables lea</w:t>
      </w:r>
      <w:r>
        <w:rPr>
          <w:rFonts w:ascii="Baskerville" w:hAnsi="Baskerville"/>
          <w:sz w:val="24"/>
          <w:szCs w:val="24"/>
        </w:rPr>
        <w:t>rners to overcome theory current states and to begin a journey of discovery and encounter with their life experiences, sine we are not goals but journeys.</w:t>
      </w:r>
    </w:p>
    <w:p w:rsidR="00370F25" w:rsidRDefault="00FE57AC">
      <w:pPr>
        <w:pStyle w:val="Default"/>
        <w:spacing w:after="160" w:line="360" w:lineRule="auto"/>
        <w:ind w:right="612"/>
        <w:jc w:val="both"/>
        <w:rPr>
          <w:rFonts w:ascii="Baskerville" w:eastAsia="Baskerville" w:hAnsi="Baskerville" w:cs="Baskerville"/>
          <w:b/>
          <w:bCs/>
          <w:sz w:val="24"/>
          <w:szCs w:val="24"/>
        </w:rPr>
      </w:pPr>
      <w:proofErr w:type="spellStart"/>
      <w:r>
        <w:rPr>
          <w:rFonts w:ascii="Baskerville" w:hAnsi="Baskerville"/>
          <w:b/>
          <w:bCs/>
          <w:sz w:val="24"/>
          <w:szCs w:val="24"/>
          <w:lang w:val="fr-FR"/>
        </w:rPr>
        <w:t>References</w:t>
      </w:r>
      <w:proofErr w:type="spellEnd"/>
      <w:r>
        <w:rPr>
          <w:rFonts w:ascii="Baskerville" w:hAnsi="Baskerville"/>
          <w:b/>
          <w:bCs/>
          <w:sz w:val="24"/>
          <w:szCs w:val="24"/>
          <w:lang w:val="fr-FR"/>
        </w:rPr>
        <w:t xml:space="preserve"> </w:t>
      </w:r>
    </w:p>
    <w:p w:rsidR="00370F25" w:rsidRDefault="00FE57AC">
      <w:pPr>
        <w:pStyle w:val="Default"/>
        <w:spacing w:after="160" w:line="360" w:lineRule="auto"/>
        <w:ind w:right="612"/>
        <w:jc w:val="both"/>
        <w:rPr>
          <w:rFonts w:ascii="Baskerville" w:eastAsia="Baskerville" w:hAnsi="Baskerville" w:cs="Baskerville"/>
          <w:sz w:val="24"/>
          <w:szCs w:val="24"/>
        </w:rPr>
      </w:pPr>
      <w:proofErr w:type="spellStart"/>
      <w:r>
        <w:rPr>
          <w:rFonts w:ascii="Baskerville" w:hAnsi="Baskerville"/>
          <w:sz w:val="24"/>
          <w:szCs w:val="24"/>
          <w:lang w:val="de-DE"/>
        </w:rPr>
        <w:t>Bjorklund</w:t>
      </w:r>
      <w:proofErr w:type="spellEnd"/>
      <w:r>
        <w:rPr>
          <w:rFonts w:ascii="Baskerville" w:hAnsi="Baskerville"/>
          <w:sz w:val="24"/>
          <w:szCs w:val="24"/>
          <w:lang w:val="de-DE"/>
        </w:rPr>
        <w:t xml:space="preserve"> D.F., </w:t>
      </w:r>
      <w:r>
        <w:rPr>
          <w:rFonts w:ascii="Baskerville" w:hAnsi="Baskerville"/>
          <w:sz w:val="24"/>
          <w:szCs w:val="24"/>
        </w:rPr>
        <w:t>‘</w:t>
      </w:r>
      <w:r>
        <w:rPr>
          <w:rFonts w:ascii="Baskerville" w:hAnsi="Baskerville"/>
          <w:sz w:val="24"/>
          <w:szCs w:val="24"/>
          <w:lang w:val="pt-PT"/>
        </w:rPr>
        <w:t xml:space="preserve">A </w:t>
      </w:r>
      <w:r>
        <w:rPr>
          <w:rFonts w:ascii="Baskerville" w:hAnsi="Baskerville"/>
          <w:sz w:val="24"/>
          <w:szCs w:val="24"/>
        </w:rPr>
        <w:t xml:space="preserve">Metatheory for Cognitive Development (or </w:t>
      </w:r>
      <w:r>
        <w:rPr>
          <w:rFonts w:ascii="Baskerville" w:hAnsi="Baskerville"/>
          <w:sz w:val="24"/>
          <w:szCs w:val="24"/>
        </w:rPr>
        <w:t>“</w:t>
      </w:r>
      <w:r>
        <w:rPr>
          <w:rFonts w:ascii="Baskerville" w:hAnsi="Baskerville"/>
          <w:sz w:val="24"/>
          <w:szCs w:val="24"/>
        </w:rPr>
        <w:t>Piaget is Dead</w:t>
      </w:r>
      <w:r>
        <w:rPr>
          <w:rFonts w:ascii="Baskerville" w:hAnsi="Baskerville"/>
          <w:sz w:val="24"/>
          <w:szCs w:val="24"/>
        </w:rPr>
        <w:t xml:space="preserve">” </w:t>
      </w:r>
      <w:r>
        <w:rPr>
          <w:rFonts w:ascii="Baskerville" w:hAnsi="Baskerville"/>
          <w:sz w:val="24"/>
          <w:szCs w:val="24"/>
        </w:rPr>
        <w:t>Revisited)</w:t>
      </w:r>
      <w:r>
        <w:rPr>
          <w:rFonts w:ascii="Baskerville" w:hAnsi="Baskerville"/>
          <w:sz w:val="24"/>
          <w:szCs w:val="24"/>
        </w:rPr>
        <w:t xml:space="preserve">’ </w:t>
      </w:r>
      <w:r>
        <w:rPr>
          <w:rFonts w:ascii="Baskerville" w:hAnsi="Baskerville"/>
          <w:sz w:val="24"/>
          <w:szCs w:val="24"/>
        </w:rPr>
        <w:t>Child Development, November /December, 2018, Vol  98, No6, pp2288-2302.</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rPr>
        <w:t xml:space="preserve">Bjorklund D.F., &amp; Causey K.B., (2017) </w:t>
      </w:r>
      <w:r>
        <w:rPr>
          <w:rFonts w:ascii="Baskerville" w:hAnsi="Baskerville"/>
          <w:sz w:val="24"/>
          <w:szCs w:val="24"/>
        </w:rPr>
        <w:t>‘</w:t>
      </w:r>
      <w:proofErr w:type="spellStart"/>
      <w:r>
        <w:rPr>
          <w:rFonts w:ascii="Baskerville" w:hAnsi="Baskerville"/>
          <w:sz w:val="24"/>
          <w:szCs w:val="24"/>
        </w:rPr>
        <w:t>Childrens</w:t>
      </w:r>
      <w:proofErr w:type="spellEnd"/>
      <w:r>
        <w:rPr>
          <w:rFonts w:ascii="Baskerville" w:hAnsi="Baskerville"/>
          <w:sz w:val="24"/>
          <w:szCs w:val="24"/>
        </w:rPr>
        <w:t xml:space="preserve"> thinking; Cognitive development and individual differences.</w:t>
      </w:r>
      <w:r>
        <w:rPr>
          <w:rFonts w:ascii="Baskerville" w:hAnsi="Baskerville"/>
          <w:sz w:val="24"/>
          <w:szCs w:val="24"/>
        </w:rPr>
        <w:t xml:space="preserve">’  </w:t>
      </w:r>
      <w:r>
        <w:rPr>
          <w:rFonts w:ascii="Baskerville" w:hAnsi="Baskerville"/>
          <w:sz w:val="24"/>
          <w:szCs w:val="24"/>
        </w:rPr>
        <w:t>6</w:t>
      </w:r>
      <w:r>
        <w:rPr>
          <w:rFonts w:ascii="Baskerville" w:hAnsi="Baskerville"/>
          <w:sz w:val="24"/>
          <w:szCs w:val="24"/>
          <w:vertAlign w:val="superscript"/>
        </w:rPr>
        <w:t>th</w:t>
      </w:r>
      <w:r>
        <w:rPr>
          <w:rFonts w:ascii="Baskerville" w:hAnsi="Baskerville"/>
          <w:sz w:val="24"/>
          <w:szCs w:val="24"/>
        </w:rPr>
        <w:t xml:space="preserve"> Edition Wiley</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rPr>
        <w:t xml:space="preserve">Carraway K., (2014) </w:t>
      </w:r>
      <w:r>
        <w:rPr>
          <w:rFonts w:ascii="Baskerville" w:hAnsi="Baskerville"/>
          <w:sz w:val="24"/>
          <w:szCs w:val="24"/>
        </w:rPr>
        <w:t>‘</w:t>
      </w:r>
      <w:r>
        <w:rPr>
          <w:rFonts w:ascii="Baskerville" w:hAnsi="Baskerville"/>
          <w:sz w:val="24"/>
          <w:szCs w:val="24"/>
        </w:rPr>
        <w:t>Transforming your Teaching : Pract</w:t>
      </w:r>
      <w:r>
        <w:rPr>
          <w:rFonts w:ascii="Baskerville" w:hAnsi="Baskerville"/>
          <w:sz w:val="24"/>
          <w:szCs w:val="24"/>
        </w:rPr>
        <w:t>ical Classrooms Strategies informed by Cognitive Neuroscience.</w:t>
      </w:r>
      <w:r>
        <w:rPr>
          <w:rFonts w:ascii="Baskerville" w:hAnsi="Baskerville"/>
          <w:sz w:val="24"/>
          <w:szCs w:val="24"/>
        </w:rPr>
        <w:t xml:space="preserve">’ </w:t>
      </w:r>
      <w:r>
        <w:rPr>
          <w:rFonts w:ascii="Baskerville" w:hAnsi="Baskerville"/>
          <w:sz w:val="24"/>
          <w:szCs w:val="24"/>
          <w:lang w:val="pt-PT"/>
        </w:rPr>
        <w:t>Norton</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lang w:val="de-DE"/>
        </w:rPr>
        <w:t xml:space="preserve">Kaufman J.C ., &amp; Sternberg R.J., (2010) </w:t>
      </w:r>
      <w:r>
        <w:rPr>
          <w:rFonts w:ascii="Baskerville" w:hAnsi="Baskerville"/>
          <w:sz w:val="24"/>
          <w:szCs w:val="24"/>
        </w:rPr>
        <w:t>‘</w:t>
      </w:r>
      <w:r>
        <w:rPr>
          <w:rFonts w:ascii="Baskerville" w:hAnsi="Baskerville"/>
          <w:sz w:val="24"/>
          <w:szCs w:val="24"/>
        </w:rPr>
        <w:t>The Cambridge Handbook of Creativity.</w:t>
      </w:r>
      <w:r>
        <w:rPr>
          <w:rFonts w:ascii="Baskerville" w:hAnsi="Baskerville"/>
          <w:sz w:val="24"/>
          <w:szCs w:val="24"/>
        </w:rPr>
        <w:t xml:space="preserve">’ </w:t>
      </w:r>
      <w:r>
        <w:rPr>
          <w:rFonts w:ascii="Baskerville" w:hAnsi="Baskerville"/>
          <w:sz w:val="24"/>
          <w:szCs w:val="24"/>
        </w:rPr>
        <w:t>Cambridge University Press.</w:t>
      </w:r>
    </w:p>
    <w:p w:rsidR="00370F25" w:rsidRDefault="00FE57AC">
      <w:pPr>
        <w:pStyle w:val="Default"/>
        <w:spacing w:after="160" w:line="360" w:lineRule="auto"/>
        <w:ind w:right="612"/>
        <w:jc w:val="both"/>
        <w:rPr>
          <w:rFonts w:ascii="Baskerville" w:eastAsia="Baskerville" w:hAnsi="Baskerville" w:cs="Baskerville"/>
          <w:sz w:val="24"/>
          <w:szCs w:val="24"/>
        </w:rPr>
      </w:pPr>
      <w:proofErr w:type="spellStart"/>
      <w:r>
        <w:rPr>
          <w:rFonts w:ascii="Baskerville" w:hAnsi="Baskerville"/>
          <w:sz w:val="24"/>
          <w:szCs w:val="24"/>
        </w:rPr>
        <w:t>Lui</w:t>
      </w:r>
      <w:proofErr w:type="spellEnd"/>
      <w:r>
        <w:rPr>
          <w:rFonts w:ascii="Baskerville" w:hAnsi="Baskerville"/>
          <w:sz w:val="24"/>
          <w:szCs w:val="24"/>
        </w:rPr>
        <w:t xml:space="preserve">, W., (2018) </w:t>
      </w:r>
      <w:r>
        <w:rPr>
          <w:rFonts w:ascii="Baskerville" w:hAnsi="Baskerville"/>
          <w:sz w:val="24"/>
          <w:szCs w:val="24"/>
        </w:rPr>
        <w:t>‘</w:t>
      </w:r>
      <w:r>
        <w:rPr>
          <w:rFonts w:ascii="Baskerville" w:hAnsi="Baskerville"/>
          <w:sz w:val="24"/>
          <w:szCs w:val="24"/>
        </w:rPr>
        <w:t>Ontology and Epistemology of Basic Problems of Philosophy Ba</w:t>
      </w:r>
      <w:r>
        <w:rPr>
          <w:rFonts w:ascii="Baskerville" w:hAnsi="Baskerville"/>
          <w:sz w:val="24"/>
          <w:szCs w:val="24"/>
        </w:rPr>
        <w:t xml:space="preserve">sed on </w:t>
      </w:r>
      <w:proofErr w:type="spellStart"/>
      <w:r>
        <w:rPr>
          <w:rFonts w:ascii="Baskerville" w:hAnsi="Baskerville"/>
          <w:sz w:val="24"/>
          <w:szCs w:val="24"/>
        </w:rPr>
        <w:t>Cognititive</w:t>
      </w:r>
      <w:proofErr w:type="spellEnd"/>
      <w:r>
        <w:rPr>
          <w:rFonts w:ascii="Baskerville" w:hAnsi="Baskerville"/>
          <w:sz w:val="24"/>
          <w:szCs w:val="24"/>
        </w:rPr>
        <w:t xml:space="preserve"> Neurology. </w:t>
      </w:r>
      <w:r>
        <w:rPr>
          <w:rFonts w:ascii="Baskerville" w:hAnsi="Baskerville"/>
          <w:sz w:val="24"/>
          <w:szCs w:val="24"/>
        </w:rPr>
        <w:t xml:space="preserve">‘ </w:t>
      </w:r>
      <w:proofErr w:type="spellStart"/>
      <w:r>
        <w:rPr>
          <w:rFonts w:ascii="Baskerville" w:hAnsi="Baskerville"/>
          <w:sz w:val="24"/>
          <w:szCs w:val="24"/>
          <w:lang w:val="it-IT"/>
        </w:rPr>
        <w:t>NeruoQuantology</w:t>
      </w:r>
      <w:proofErr w:type="spellEnd"/>
      <w:r>
        <w:rPr>
          <w:rFonts w:ascii="Baskerville" w:hAnsi="Baskerville"/>
          <w:sz w:val="24"/>
          <w:szCs w:val="24"/>
          <w:lang w:val="it-IT"/>
        </w:rPr>
        <w:t xml:space="preserve">, 16(5), 1227-133 </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rPr>
        <w:t xml:space="preserve">Miller P H., (2002) </w:t>
      </w:r>
      <w:r>
        <w:rPr>
          <w:rFonts w:ascii="Baskerville" w:hAnsi="Baskerville"/>
          <w:sz w:val="24"/>
          <w:szCs w:val="24"/>
        </w:rPr>
        <w:t>‘</w:t>
      </w:r>
      <w:r>
        <w:rPr>
          <w:rFonts w:ascii="Baskerville" w:hAnsi="Baskerville"/>
          <w:sz w:val="24"/>
          <w:szCs w:val="24"/>
        </w:rPr>
        <w:t>Theories of Developmental Psychology</w:t>
      </w:r>
      <w:r>
        <w:rPr>
          <w:rFonts w:ascii="Baskerville" w:hAnsi="Baskerville"/>
          <w:sz w:val="24"/>
          <w:szCs w:val="24"/>
        </w:rPr>
        <w:t xml:space="preserve">’ </w:t>
      </w:r>
      <w:r>
        <w:rPr>
          <w:rFonts w:ascii="Baskerville" w:hAnsi="Baskerville"/>
          <w:sz w:val="24"/>
          <w:szCs w:val="24"/>
        </w:rPr>
        <w:t xml:space="preserve">Fourth Edition </w:t>
      </w:r>
      <w:proofErr w:type="spellStart"/>
      <w:r>
        <w:rPr>
          <w:rFonts w:ascii="Baskerville" w:hAnsi="Baskerville"/>
          <w:sz w:val="24"/>
          <w:szCs w:val="24"/>
        </w:rPr>
        <w:t>Wortb</w:t>
      </w:r>
      <w:proofErr w:type="spellEnd"/>
      <w:r>
        <w:rPr>
          <w:rFonts w:ascii="Baskerville" w:hAnsi="Baskerville"/>
          <w:sz w:val="24"/>
          <w:szCs w:val="24"/>
        </w:rPr>
        <w:t xml:space="preserve"> Publishers </w:t>
      </w:r>
    </w:p>
    <w:p w:rsidR="00370F25" w:rsidRDefault="00FE57AC">
      <w:pPr>
        <w:pStyle w:val="Default"/>
        <w:spacing w:after="160" w:line="360" w:lineRule="auto"/>
        <w:ind w:right="612"/>
        <w:jc w:val="both"/>
        <w:rPr>
          <w:rFonts w:ascii="Baskerville" w:eastAsia="Baskerville" w:hAnsi="Baskerville" w:cs="Baskerville"/>
          <w:b/>
          <w:bCs/>
          <w:sz w:val="24"/>
          <w:szCs w:val="24"/>
        </w:rPr>
      </w:pPr>
      <w:r>
        <w:rPr>
          <w:rFonts w:ascii="Baskerville" w:hAnsi="Baskerville"/>
          <w:b/>
          <w:bCs/>
          <w:sz w:val="24"/>
          <w:szCs w:val="24"/>
        </w:rPr>
        <w:lastRenderedPageBreak/>
        <w:t xml:space="preserve">Other publications/documents </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rPr>
        <w:t xml:space="preserve">JRC Report </w:t>
      </w:r>
      <w:proofErr w:type="spellStart"/>
      <w:r>
        <w:rPr>
          <w:rFonts w:ascii="Baskerville" w:hAnsi="Baskerville"/>
          <w:sz w:val="24"/>
          <w:szCs w:val="24"/>
        </w:rPr>
        <w:t>Entrecomp</w:t>
      </w:r>
      <w:proofErr w:type="spellEnd"/>
      <w:r>
        <w:rPr>
          <w:rFonts w:ascii="Baskerville" w:hAnsi="Baskerville"/>
          <w:sz w:val="24"/>
          <w:szCs w:val="24"/>
        </w:rPr>
        <w:t xml:space="preserve"> the Entrepreneurial Competency Framework</w:t>
      </w:r>
    </w:p>
    <w:p w:rsidR="00370F25" w:rsidRDefault="00FE57AC">
      <w:pPr>
        <w:pStyle w:val="Default"/>
        <w:spacing w:after="160" w:line="360" w:lineRule="auto"/>
        <w:ind w:right="612"/>
        <w:jc w:val="both"/>
        <w:rPr>
          <w:rFonts w:ascii="Baskerville" w:eastAsia="Baskerville" w:hAnsi="Baskerville" w:cs="Baskerville"/>
          <w:sz w:val="24"/>
          <w:szCs w:val="24"/>
        </w:rPr>
      </w:pPr>
      <w:r>
        <w:rPr>
          <w:rFonts w:ascii="Baskerville" w:hAnsi="Baskerville"/>
          <w:sz w:val="24"/>
          <w:szCs w:val="24"/>
          <w:lang w:val="de-DE"/>
        </w:rPr>
        <w:t xml:space="preserve">HEA , 2019 </w:t>
      </w:r>
      <w:r>
        <w:rPr>
          <w:rFonts w:ascii="Baskerville" w:hAnsi="Baskerville"/>
          <w:sz w:val="24"/>
          <w:szCs w:val="24"/>
        </w:rPr>
        <w:t>‘</w:t>
      </w:r>
      <w:r>
        <w:rPr>
          <w:rFonts w:ascii="Baskerville" w:hAnsi="Baskerville"/>
          <w:sz w:val="24"/>
          <w:szCs w:val="24"/>
        </w:rPr>
        <w:t xml:space="preserve">Framework for Embedding Employability Skills </w:t>
      </w:r>
      <w:r>
        <w:rPr>
          <w:rFonts w:ascii="Baskerville" w:hAnsi="Baskerville"/>
          <w:sz w:val="24"/>
          <w:szCs w:val="24"/>
        </w:rPr>
        <w:t xml:space="preserve">‘ </w:t>
      </w:r>
      <w:r>
        <w:rPr>
          <w:rFonts w:ascii="Baskerville" w:hAnsi="Baskerville"/>
          <w:sz w:val="24"/>
          <w:szCs w:val="24"/>
        </w:rPr>
        <w:t>Ref Works accessed 28/01/19 at www.hea.ac.uk</w:t>
      </w:r>
      <w:r>
        <w:rPr>
          <w:rFonts w:ascii="Baskerville" w:hAnsi="Baskerville"/>
          <w:sz w:val="24"/>
          <w:szCs w:val="24"/>
        </w:rPr>
        <w:t>’</w:t>
      </w:r>
    </w:p>
    <w:p w:rsidR="000B54F6" w:rsidRDefault="000B54F6">
      <w:pPr>
        <w:pStyle w:val="Default"/>
        <w:spacing w:after="160" w:line="360" w:lineRule="auto"/>
        <w:ind w:right="612"/>
        <w:jc w:val="both"/>
        <w:rPr>
          <w:rFonts w:ascii="Baskerville" w:eastAsia="Baskerville" w:hAnsi="Baskerville" w:cs="Baskerville"/>
          <w:sz w:val="24"/>
          <w:szCs w:val="24"/>
        </w:rPr>
      </w:pPr>
    </w:p>
    <w:p w:rsidR="000B54F6" w:rsidRPr="000B54F6" w:rsidRDefault="000B54F6">
      <w:pPr>
        <w:pStyle w:val="Default"/>
        <w:spacing w:after="160" w:line="360" w:lineRule="auto"/>
        <w:ind w:right="612"/>
        <w:jc w:val="both"/>
        <w:rPr>
          <w:rFonts w:ascii="Baskerville" w:eastAsia="Baskerville" w:hAnsi="Baskerville" w:cs="Baskerville"/>
          <w:b/>
          <w:sz w:val="24"/>
          <w:szCs w:val="24"/>
        </w:rPr>
      </w:pPr>
      <w:bookmarkStart w:id="0" w:name="_GoBack"/>
      <w:r w:rsidRPr="000B54F6">
        <w:rPr>
          <w:rFonts w:ascii="Baskerville" w:eastAsia="Baskerville" w:hAnsi="Baskerville" w:cs="Baskerville"/>
          <w:b/>
          <w:sz w:val="24"/>
          <w:szCs w:val="24"/>
        </w:rPr>
        <w:t>Appendix A : Tree Metaphor (Senge &amp;  Kim , 1997, Englund, 2009 ,PMI,2018)</w:t>
      </w:r>
    </w:p>
    <w:bookmarkEnd w:id="0"/>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fruit tree is a powerful metaphor</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 xml:space="preserve">A tree's root system absorbs nutrients from the soil ; </w:t>
      </w:r>
      <w:r>
        <w:rPr>
          <w:rFonts w:ascii="Baskerville" w:hAnsi="Baskerville" w:cs="Baskerville"/>
          <w:color w:val="355BB7"/>
        </w:rPr>
        <w:t xml:space="preserve">organisations develop theories from research. </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 xml:space="preserve">The nutrients flow through the trunk and into the branches and leaves; </w:t>
      </w:r>
      <w:r>
        <w:rPr>
          <w:rFonts w:ascii="Baskerville" w:hAnsi="Baskerville" w:cs="Baskerville"/>
          <w:color w:val="355BB7"/>
        </w:rPr>
        <w:t xml:space="preserve">theories turn into methods and tools that create results. </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 xml:space="preserve">These activities are repeatable because they derive from a solid (known) foundation (roots and theories). </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 xml:space="preserve">Success requires investment in an innovative infrastructure (theories, methods, and tools) and the practical application of knowledge into results (fruit). </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The low-hanging fruit is easy to harvest. Sustainable results take more effort, such as climbing higher up the tree or out on a limb, and involve more risk.</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 xml:space="preserve">The whole process begins with seeds and seed distribution. Seeds represent the potential for an organisation. All growth starts small. It then builds linkages and grows organically. Success creates seeds that seek fertile ground to grow into new opportunities. </w:t>
      </w:r>
    </w:p>
    <w:p w:rsidR="000B54F6" w:rsidRDefault="000B54F6" w:rsidP="000B54F6">
      <w:pPr>
        <w:numPr>
          <w:ilvl w:val="2"/>
          <w:numId w:val="4"/>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540"/>
        </w:tabs>
        <w:autoSpaceDE w:val="0"/>
        <w:autoSpaceDN w:val="0"/>
        <w:adjustRightInd w:val="0"/>
        <w:spacing w:line="360" w:lineRule="auto"/>
        <w:ind w:left="540" w:hanging="540"/>
        <w:jc w:val="both"/>
        <w:rPr>
          <w:rFonts w:ascii="Baskerville" w:hAnsi="Baskerville" w:cs="Baskerville"/>
          <w:color w:val="000000"/>
        </w:rPr>
      </w:pPr>
      <w:r>
        <w:rPr>
          <w:rFonts w:ascii="Baskerville" w:hAnsi="Baskerville" w:cs="Baskerville"/>
          <w:color w:val="000000"/>
        </w:rPr>
        <w:t>Close the loop with project reviews to continuously feed the roots based upon knowledge of what works and what does not.</w:t>
      </w:r>
    </w:p>
    <w:p w:rsidR="00370F25" w:rsidRDefault="00370F25">
      <w:pPr>
        <w:pStyle w:val="Default"/>
        <w:spacing w:after="160" w:line="360" w:lineRule="auto"/>
        <w:ind w:right="612"/>
        <w:jc w:val="both"/>
      </w:pPr>
    </w:p>
    <w:sectPr w:rsidR="00370F25">
      <w:headerReference w:type="even" r:id="rId17"/>
      <w:headerReference w:type="default" r:id="rId18"/>
      <w:footerReference w:type="even" r:id="rId19"/>
      <w:footerReference w:type="default" r:id="rId20"/>
      <w:headerReference w:type="first" r:id="rId21"/>
      <w:footerReference w:type="first" r:id="rId22"/>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E57AC" w:rsidRDefault="00FE57AC">
      <w:r>
        <w:separator/>
      </w:r>
    </w:p>
  </w:endnote>
  <w:endnote w:type="continuationSeparator" w:id="0">
    <w:p w:rsidR="00FE57AC" w:rsidRDefault="00FE57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 w:name="Baskerville">
    <w:panose1 w:val="02020502070401020303"/>
    <w:charset w:val="00"/>
    <w:family w:val="roman"/>
    <w:pitch w:val="variable"/>
    <w:sig w:usb0="80000067" w:usb1="02000000"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4F6" w:rsidRDefault="000B54F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F25" w:rsidRDefault="00370F2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4F6" w:rsidRDefault="000B54F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E57AC" w:rsidRDefault="00FE57AC">
      <w:r>
        <w:separator/>
      </w:r>
    </w:p>
  </w:footnote>
  <w:footnote w:type="continuationSeparator" w:id="0">
    <w:p w:rsidR="00FE57AC" w:rsidRDefault="00FE57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4F6" w:rsidRDefault="000B54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70F25" w:rsidRDefault="00370F2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B54F6" w:rsidRDefault="000B54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00000002">
      <w:start w:val="1"/>
      <w:numFmt w:val="bullet"/>
      <w:lvlText w:val="•"/>
      <w:lvlJc w:val="left"/>
      <w:pPr>
        <w:ind w:left="1440" w:hanging="360"/>
      </w:pPr>
    </w:lvl>
    <w:lvl w:ilvl="2" w:tplc="00000003">
      <w:start w:val="1"/>
      <w:numFmt w:val="bullet"/>
      <w:lvlText w:val="•"/>
      <w:lvlJc w:val="left"/>
      <w:pPr>
        <w:ind w:left="2160" w:hanging="360"/>
      </w:p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9DB63EB"/>
    <w:multiLevelType w:val="hybridMultilevel"/>
    <w:tmpl w:val="F7309E78"/>
    <w:styleLink w:val="Bullet"/>
    <w:lvl w:ilvl="0" w:tplc="D276A7FA">
      <w:start w:val="1"/>
      <w:numFmt w:val="bullet"/>
      <w:lvlText w:val="•"/>
      <w:lvlJc w:val="left"/>
      <w:pPr>
        <w:ind w:left="196" w:hanging="196"/>
      </w:pPr>
      <w:rPr>
        <w:rFonts w:hAnsi="Arial Unicode MS"/>
        <w:caps w:val="0"/>
        <w:smallCaps w:val="0"/>
        <w:strike w:val="0"/>
        <w:dstrike w:val="0"/>
        <w:outline w:val="0"/>
        <w:emboss w:val="0"/>
        <w:imprint w:val="0"/>
        <w:spacing w:val="0"/>
        <w:w w:val="100"/>
        <w:kern w:val="0"/>
        <w:position w:val="-2"/>
        <w:highlight w:val="none"/>
        <w:vertAlign w:val="baseline"/>
      </w:rPr>
    </w:lvl>
    <w:lvl w:ilvl="1" w:tplc="B4468836">
      <w:start w:val="1"/>
      <w:numFmt w:val="bullet"/>
      <w:lvlText w:val="•"/>
      <w:lvlJc w:val="left"/>
      <w:pPr>
        <w:ind w:left="376" w:hanging="196"/>
      </w:pPr>
      <w:rPr>
        <w:rFonts w:hAnsi="Arial Unicode MS"/>
        <w:caps w:val="0"/>
        <w:smallCaps w:val="0"/>
        <w:strike w:val="0"/>
        <w:dstrike w:val="0"/>
        <w:outline w:val="0"/>
        <w:emboss w:val="0"/>
        <w:imprint w:val="0"/>
        <w:spacing w:val="0"/>
        <w:w w:val="100"/>
        <w:kern w:val="0"/>
        <w:position w:val="-2"/>
        <w:highlight w:val="none"/>
        <w:vertAlign w:val="baseline"/>
      </w:rPr>
    </w:lvl>
    <w:lvl w:ilvl="2" w:tplc="0924F98C">
      <w:start w:val="1"/>
      <w:numFmt w:val="bullet"/>
      <w:lvlText w:val="•"/>
      <w:lvlJc w:val="left"/>
      <w:pPr>
        <w:ind w:left="556" w:hanging="196"/>
      </w:pPr>
      <w:rPr>
        <w:rFonts w:hAnsi="Arial Unicode MS"/>
        <w:caps w:val="0"/>
        <w:smallCaps w:val="0"/>
        <w:strike w:val="0"/>
        <w:dstrike w:val="0"/>
        <w:outline w:val="0"/>
        <w:emboss w:val="0"/>
        <w:imprint w:val="0"/>
        <w:spacing w:val="0"/>
        <w:w w:val="100"/>
        <w:kern w:val="0"/>
        <w:position w:val="-2"/>
        <w:highlight w:val="none"/>
        <w:vertAlign w:val="baseline"/>
      </w:rPr>
    </w:lvl>
    <w:lvl w:ilvl="3" w:tplc="21CABD2C">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 w:ilvl="4" w:tplc="ED649832">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 w:ilvl="5" w:tplc="26DE6894">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 w:ilvl="6" w:tplc="4ED836FC">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 w:ilvl="7" w:tplc="C6A8AEBC">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 w:ilvl="8" w:tplc="E0C45220">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abstractNum>
  <w:abstractNum w:abstractNumId="2" w15:restartNumberingAfterBreak="0">
    <w:nsid w:val="3CDA4A5F"/>
    <w:multiLevelType w:val="hybridMultilevel"/>
    <w:tmpl w:val="F7309E78"/>
    <w:numStyleLink w:val="Bullet"/>
  </w:abstractNum>
  <w:num w:numId="1">
    <w:abstractNumId w:val="1"/>
  </w:num>
  <w:num w:numId="2">
    <w:abstractNumId w:val="2"/>
  </w:num>
  <w:num w:numId="3">
    <w:abstractNumId w:val="2"/>
    <w:lvlOverride w:ilvl="0">
      <w:lvl w:ilvl="0" w:tplc="4460A890">
        <w:start w:val="1"/>
        <w:numFmt w:val="bullet"/>
        <w:lvlText w:val="•"/>
        <w:lvlJc w:val="left"/>
        <w:pPr>
          <w:ind w:left="19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1">
      <w:lvl w:ilvl="1" w:tplc="4E986E44">
        <w:start w:val="1"/>
        <w:numFmt w:val="bullet"/>
        <w:lvlText w:val="•"/>
        <w:lvlJc w:val="left"/>
        <w:pPr>
          <w:ind w:left="376" w:hanging="196"/>
        </w:pPr>
        <w:rPr>
          <w:rFonts w:hAnsi="Arial Unicode MS"/>
          <w:i/>
          <w:iCs/>
          <w:caps w:val="0"/>
          <w:smallCaps w:val="0"/>
          <w:strike w:val="0"/>
          <w:dstrike w:val="0"/>
          <w:outline w:val="0"/>
          <w:emboss w:val="0"/>
          <w:imprint w:val="0"/>
          <w:spacing w:val="0"/>
          <w:w w:val="100"/>
          <w:kern w:val="0"/>
          <w:position w:val="-2"/>
          <w:highlight w:val="none"/>
          <w:vertAlign w:val="baseline"/>
        </w:rPr>
      </w:lvl>
    </w:lvlOverride>
    <w:lvlOverride w:ilvl="2">
      <w:lvl w:ilvl="2" w:tplc="9B06D52A">
        <w:start w:val="1"/>
        <w:numFmt w:val="bullet"/>
        <w:lvlText w:val="•"/>
        <w:lvlJc w:val="left"/>
        <w:pPr>
          <w:ind w:left="540" w:hanging="180"/>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3">
      <w:lvl w:ilvl="3" w:tplc="6142B490">
        <w:start w:val="1"/>
        <w:numFmt w:val="bullet"/>
        <w:lvlText w:val="•"/>
        <w:lvlJc w:val="left"/>
        <w:pPr>
          <w:ind w:left="7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4">
      <w:lvl w:ilvl="4" w:tplc="880234A8">
        <w:start w:val="1"/>
        <w:numFmt w:val="bullet"/>
        <w:lvlText w:val="•"/>
        <w:lvlJc w:val="left"/>
        <w:pPr>
          <w:ind w:left="91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5">
      <w:lvl w:ilvl="5" w:tplc="92E83486">
        <w:start w:val="1"/>
        <w:numFmt w:val="bullet"/>
        <w:lvlText w:val="•"/>
        <w:lvlJc w:val="left"/>
        <w:pPr>
          <w:ind w:left="109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6">
      <w:lvl w:ilvl="6" w:tplc="5CE8BC12">
        <w:start w:val="1"/>
        <w:numFmt w:val="bullet"/>
        <w:lvlText w:val="•"/>
        <w:lvlJc w:val="left"/>
        <w:pPr>
          <w:ind w:left="127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7">
      <w:lvl w:ilvl="7" w:tplc="B3E6FA58">
        <w:start w:val="1"/>
        <w:numFmt w:val="bullet"/>
        <w:lvlText w:val="•"/>
        <w:lvlJc w:val="left"/>
        <w:pPr>
          <w:ind w:left="1456" w:hanging="196"/>
        </w:pPr>
        <w:rPr>
          <w:rFonts w:hAnsi="Arial Unicode MS"/>
          <w:caps w:val="0"/>
          <w:smallCaps w:val="0"/>
          <w:strike w:val="0"/>
          <w:dstrike w:val="0"/>
          <w:outline w:val="0"/>
          <w:emboss w:val="0"/>
          <w:imprint w:val="0"/>
          <w:spacing w:val="0"/>
          <w:w w:val="100"/>
          <w:kern w:val="0"/>
          <w:position w:val="-2"/>
          <w:highlight w:val="none"/>
          <w:vertAlign w:val="baseline"/>
        </w:rPr>
      </w:lvl>
    </w:lvlOverride>
    <w:lvlOverride w:ilvl="8">
      <w:lvl w:ilvl="8" w:tplc="9C5E4CE4">
        <w:start w:val="1"/>
        <w:numFmt w:val="bullet"/>
        <w:lvlText w:val="•"/>
        <w:lvlJc w:val="left"/>
        <w:pPr>
          <w:ind w:left="1636" w:hanging="196"/>
        </w:pPr>
        <w:rPr>
          <w:rFonts w:hAnsi="Arial Unicode MS"/>
          <w:caps w:val="0"/>
          <w:smallCaps w:val="0"/>
          <w:strike w:val="0"/>
          <w:dstrike w:val="0"/>
          <w:outline w:val="0"/>
          <w:emboss w:val="0"/>
          <w:imprint w:val="0"/>
          <w:spacing w:val="0"/>
          <w:w w:val="100"/>
          <w:kern w:val="0"/>
          <w:position w:val="-2"/>
          <w:highlight w:val="none"/>
          <w:vertAlign w:val="baseline"/>
        </w:rPr>
      </w:lvl>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displayBackgroundShap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F25"/>
    <w:rsid w:val="000B54F6"/>
    <w:rsid w:val="00370F25"/>
    <w:rsid w:val="00FE57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88D34"/>
  <w15:docId w15:val="{26FEC278-7A89-C542-9C2F-739CA14F8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rPr>
  </w:style>
  <w:style w:type="paragraph" w:styleId="Heading1">
    <w:name w:val="heading 1"/>
    <w:basedOn w:val="Normal"/>
    <w:link w:val="Heading1Char"/>
    <w:uiPriority w:val="9"/>
    <w:qFormat/>
    <w:rsid w:val="000B54F6"/>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outlineLvl w:val="0"/>
    </w:pPr>
    <w:rPr>
      <w:rFonts w:eastAsia="Times New Roman"/>
      <w:b/>
      <w:bCs/>
      <w:kern w:val="36"/>
      <w:sz w:val="48"/>
      <w:szCs w:val="48"/>
      <w:bdr w:val="none" w:sz="0" w:space="0" w:color="auto"/>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Default">
    <w:name w:val="Default"/>
    <w:rPr>
      <w:rFonts w:ascii="Helvetica Neue" w:hAnsi="Helvetica Neue" w:cs="Arial Unicode MS"/>
      <w:color w:val="000000"/>
      <w:sz w:val="22"/>
      <w:szCs w:val="22"/>
      <w:lang w:val="en-US"/>
    </w:rPr>
  </w:style>
  <w:style w:type="numbering" w:customStyle="1" w:styleId="Bullet">
    <w:name w:val="Bullet"/>
    <w:pPr>
      <w:numPr>
        <w:numId w:val="1"/>
      </w:numPr>
    </w:pPr>
  </w:style>
  <w:style w:type="paragraph" w:customStyle="1" w:styleId="TableStyle2">
    <w:name w:val="Table Style 2"/>
    <w:rPr>
      <w:rFonts w:ascii="Helvetica Neue" w:eastAsia="Helvetica Neue" w:hAnsi="Helvetica Neue" w:cs="Helvetica Neue"/>
      <w:color w:val="000000"/>
    </w:rPr>
  </w:style>
  <w:style w:type="character" w:customStyle="1" w:styleId="Hyperlink0">
    <w:name w:val="Hyperlink.0"/>
    <w:basedOn w:val="Hyperlink"/>
    <w:rPr>
      <w:u w:val="single"/>
    </w:rPr>
  </w:style>
  <w:style w:type="character" w:customStyle="1" w:styleId="Hyperlink1">
    <w:name w:val="Hyperlink.1"/>
    <w:basedOn w:val="Hyperlink0"/>
    <w:rPr>
      <w:color w:val="56C1FE"/>
      <w:u w:val="single"/>
    </w:rPr>
  </w:style>
  <w:style w:type="paragraph" w:styleId="Header">
    <w:name w:val="header"/>
    <w:basedOn w:val="Normal"/>
    <w:link w:val="HeaderChar"/>
    <w:uiPriority w:val="99"/>
    <w:unhideWhenUsed/>
    <w:rsid w:val="000B54F6"/>
    <w:pPr>
      <w:tabs>
        <w:tab w:val="center" w:pos="4513"/>
        <w:tab w:val="right" w:pos="9026"/>
      </w:tabs>
    </w:pPr>
  </w:style>
  <w:style w:type="character" w:customStyle="1" w:styleId="HeaderChar">
    <w:name w:val="Header Char"/>
    <w:basedOn w:val="DefaultParagraphFont"/>
    <w:link w:val="Header"/>
    <w:uiPriority w:val="99"/>
    <w:rsid w:val="000B54F6"/>
    <w:rPr>
      <w:sz w:val="24"/>
      <w:szCs w:val="24"/>
      <w:lang w:val="en-US"/>
    </w:rPr>
  </w:style>
  <w:style w:type="paragraph" w:styleId="Footer">
    <w:name w:val="footer"/>
    <w:basedOn w:val="Normal"/>
    <w:link w:val="FooterChar"/>
    <w:uiPriority w:val="99"/>
    <w:unhideWhenUsed/>
    <w:rsid w:val="000B54F6"/>
    <w:pPr>
      <w:tabs>
        <w:tab w:val="center" w:pos="4513"/>
        <w:tab w:val="right" w:pos="9026"/>
      </w:tabs>
    </w:pPr>
  </w:style>
  <w:style w:type="character" w:customStyle="1" w:styleId="FooterChar">
    <w:name w:val="Footer Char"/>
    <w:basedOn w:val="DefaultParagraphFont"/>
    <w:link w:val="Footer"/>
    <w:uiPriority w:val="99"/>
    <w:rsid w:val="000B54F6"/>
    <w:rPr>
      <w:sz w:val="24"/>
      <w:szCs w:val="24"/>
      <w:lang w:val="en-US"/>
    </w:rPr>
  </w:style>
  <w:style w:type="character" w:customStyle="1" w:styleId="Heading1Char">
    <w:name w:val="Heading 1 Char"/>
    <w:basedOn w:val="DefaultParagraphFont"/>
    <w:link w:val="Heading1"/>
    <w:uiPriority w:val="9"/>
    <w:rsid w:val="000B54F6"/>
    <w:rPr>
      <w:rFonts w:eastAsia="Times New Roman"/>
      <w:b/>
      <w:bCs/>
      <w:kern w:val="36"/>
      <w:sz w:val="48"/>
      <w:szCs w:val="48"/>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724007">
      <w:bodyDiv w:val="1"/>
      <w:marLeft w:val="0"/>
      <w:marRight w:val="0"/>
      <w:marTop w:val="0"/>
      <w:marBottom w:val="0"/>
      <w:divBdr>
        <w:top w:val="none" w:sz="0" w:space="0" w:color="auto"/>
        <w:left w:val="none" w:sz="0" w:space="0" w:color="auto"/>
        <w:bottom w:val="none" w:sz="0" w:space="0" w:color="auto"/>
        <w:right w:val="none" w:sz="0" w:space="0" w:color="auto"/>
      </w:divBdr>
    </w:div>
    <w:div w:id="480269194">
      <w:bodyDiv w:val="1"/>
      <w:marLeft w:val="0"/>
      <w:marRight w:val="0"/>
      <w:marTop w:val="0"/>
      <w:marBottom w:val="0"/>
      <w:divBdr>
        <w:top w:val="none" w:sz="0" w:space="0" w:color="auto"/>
        <w:left w:val="none" w:sz="0" w:space="0" w:color="auto"/>
        <w:bottom w:val="none" w:sz="0" w:space="0" w:color="auto"/>
        <w:right w:val="none" w:sz="0" w:space="0" w:color="auto"/>
      </w:divBdr>
    </w:div>
    <w:div w:id="103561845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unesdoc.unesco.org/images/0023/002319/231907E.pdf" TargetMode="External"/><Relationship Id="rId13" Type="http://schemas.openxmlformats.org/officeDocument/2006/relationships/hyperlink" Target="https://www.econlib.org/library/Enc/CreativeDestruction.html"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hyperlink" Target="https://www.unibo.it/en/teaching/Transversal-competencies-and-other-learning-opportunities/transversal-competencies" TargetMode="External"/><Relationship Id="rId12" Type="http://schemas.openxmlformats.org/officeDocument/2006/relationships/hyperlink" Target="https://www.livingontherealworld.org/schumpeters-gale/"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edutopia.org/blog/creative-destruction-ongoing-relevance-teachers-don-wettrick"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constructionism2014.ifs.tuwien.ac.at/papers/5.1_1-8469.pdf"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newrepublic.com/article/61183/heavy-thinker" TargetMode="External"/><Relationship Id="rId23" Type="http://schemas.openxmlformats.org/officeDocument/2006/relationships/fontTable" Target="fontTable.xml"/><Relationship Id="rId10" Type="http://schemas.openxmlformats.org/officeDocument/2006/relationships/hyperlink" Target="https://blog.ed.ted.com/2015/05/08/10-ways-to-teach-creativity-in-the-classroom/"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headspace.com/" TargetMode="External"/><Relationship Id="rId14" Type="http://schemas.openxmlformats.org/officeDocument/2006/relationships/hyperlink" Target="https://economics.mit.edu/files/1785" TargetMode="External"/><Relationship Id="rId22" Type="http://schemas.openxmlformats.org/officeDocument/2006/relationships/footer" Target="footer3.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2105</Words>
  <Characters>12000</Characters>
  <Application>Microsoft Office Word</Application>
  <DocSecurity>0</DocSecurity>
  <Lines>100</Lines>
  <Paragraphs>28</Paragraphs>
  <ScaleCrop>false</ScaleCrop>
  <Company/>
  <LinksUpToDate>false</LinksUpToDate>
  <CharactersWithSpaces>14077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Mark Flagg</cp:lastModifiedBy>
  <cp:revision>2</cp:revision>
  <dcterms:created xsi:type="dcterms:W3CDTF">2019-01-29T10:54:00Z</dcterms:created>
  <dcterms:modified xsi:type="dcterms:W3CDTF">2019-01-29T11:02:00Z</dcterms:modified>
</cp:coreProperties>
</file>