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9835869" w:displacedByCustomXml="next"/>
    <w:sdt>
      <w:sdtPr>
        <w:rPr>
          <w:color w:val="4472C4" w:themeColor="accent1"/>
        </w:rPr>
        <w:id w:val="1234131205"/>
        <w:docPartObj>
          <w:docPartGallery w:val="Cover Pages"/>
          <w:docPartUnique/>
        </w:docPartObj>
      </w:sdtPr>
      <w:sdtEndPr>
        <w:rPr>
          <w:rFonts w:eastAsiaTheme="minorHAnsi" w:cstheme="minorHAnsi"/>
          <w:color w:val="auto"/>
          <w:kern w:val="2"/>
          <w:sz w:val="23"/>
          <w:szCs w:val="23"/>
          <w:u w:val="single"/>
          <w:lang w:eastAsia="en-US"/>
          <w14:ligatures w14:val="standardContextual"/>
        </w:rPr>
      </w:sdtEndPr>
      <w:sdtContent>
        <w:p w14:paraId="7179DFA5" w14:textId="7C60A00D" w:rsidR="009B5FB8" w:rsidRDefault="009B5FB8" w:rsidP="009B5FB8">
          <w:pPr>
            <w:pStyle w:val="NoSpacing"/>
            <w:spacing w:before="1540" w:after="240"/>
            <w:jc w:val="center"/>
            <w:rPr>
              <w:sz w:val="28"/>
              <w:szCs w:val="28"/>
            </w:rPr>
          </w:pPr>
          <w:r w:rsidRPr="00EF0C5B">
            <w:rPr>
              <w:sz w:val="28"/>
              <w:szCs w:val="28"/>
            </w:rPr>
            <w:t>A critical evaluation and the identification of next teaching and learning steps focusing on a case study of an individual learner or group of learners, based on an observed critical incident</w:t>
          </w:r>
          <w:r w:rsidR="00EF0C5B" w:rsidRPr="00EF0C5B">
            <w:rPr>
              <w:sz w:val="28"/>
              <w:szCs w:val="28"/>
            </w:rPr>
            <w:t>.</w:t>
          </w:r>
        </w:p>
        <w:p w14:paraId="477C492D" w14:textId="77777777" w:rsidR="00EF0C5B" w:rsidRPr="00EF0C5B" w:rsidRDefault="00EF0C5B" w:rsidP="009B5FB8">
          <w:pPr>
            <w:pStyle w:val="NoSpacing"/>
            <w:spacing w:before="1540" w:after="240"/>
            <w:jc w:val="center"/>
            <w:rPr>
              <w:sz w:val="28"/>
              <w:szCs w:val="28"/>
            </w:rPr>
          </w:pPr>
        </w:p>
        <w:p w14:paraId="34D4C1E9" w14:textId="5F4275FC" w:rsidR="009B5FB8" w:rsidRPr="00EF0C5B" w:rsidRDefault="00EF0C5B" w:rsidP="00EF0C5B">
          <w:pPr>
            <w:jc w:val="center"/>
            <w:rPr>
              <w:rFonts w:cstheme="minorHAnsi"/>
              <w:sz w:val="28"/>
              <w:szCs w:val="28"/>
            </w:rPr>
          </w:pPr>
          <w:r w:rsidRPr="00EF0C5B">
            <w:rPr>
              <w:rFonts w:cstheme="minorHAnsi"/>
              <w:sz w:val="28"/>
              <w:szCs w:val="28"/>
            </w:rPr>
            <w:t xml:space="preserve">Frederick Thomas William Miles </w:t>
          </w:r>
        </w:p>
        <w:p w14:paraId="2AFBD85B" w14:textId="67861D43" w:rsidR="00EF0C5B" w:rsidRPr="00EF0C5B" w:rsidRDefault="00EF0C5B" w:rsidP="00EF0C5B">
          <w:pPr>
            <w:jc w:val="center"/>
            <w:rPr>
              <w:rFonts w:cstheme="minorHAnsi"/>
              <w:sz w:val="28"/>
              <w:szCs w:val="28"/>
            </w:rPr>
          </w:pPr>
          <w:r w:rsidRPr="00EF0C5B">
            <w:rPr>
              <w:rFonts w:cstheme="minorHAnsi"/>
              <w:sz w:val="28"/>
              <w:szCs w:val="28"/>
            </w:rPr>
            <w:t>2307054</w:t>
          </w:r>
        </w:p>
        <w:p w14:paraId="1DEF312C" w14:textId="77777777" w:rsidR="009B5FB8" w:rsidRDefault="009B5FB8">
          <w:pPr>
            <w:rPr>
              <w:rFonts w:cstheme="minorHAnsi"/>
              <w:sz w:val="23"/>
              <w:szCs w:val="23"/>
              <w:u w:val="single"/>
            </w:rPr>
          </w:pPr>
        </w:p>
        <w:p w14:paraId="7628EDEE" w14:textId="77777777" w:rsidR="009B5FB8" w:rsidRDefault="009B5FB8">
          <w:pPr>
            <w:rPr>
              <w:rFonts w:cstheme="minorHAnsi"/>
              <w:sz w:val="23"/>
              <w:szCs w:val="23"/>
              <w:u w:val="single"/>
            </w:rPr>
          </w:pPr>
        </w:p>
        <w:p w14:paraId="0633969C" w14:textId="77777777" w:rsidR="009B5FB8" w:rsidRDefault="009B5FB8">
          <w:pPr>
            <w:rPr>
              <w:rFonts w:cstheme="minorHAnsi"/>
              <w:sz w:val="23"/>
              <w:szCs w:val="23"/>
              <w:u w:val="single"/>
            </w:rPr>
          </w:pPr>
        </w:p>
        <w:p w14:paraId="320B1A78" w14:textId="77777777" w:rsidR="009B5FB8" w:rsidRDefault="009B5FB8">
          <w:pPr>
            <w:rPr>
              <w:rFonts w:cstheme="minorHAnsi"/>
              <w:sz w:val="23"/>
              <w:szCs w:val="23"/>
              <w:u w:val="single"/>
            </w:rPr>
          </w:pPr>
        </w:p>
        <w:p w14:paraId="673AD426" w14:textId="77777777" w:rsidR="009B5FB8" w:rsidRDefault="009B5FB8">
          <w:pPr>
            <w:rPr>
              <w:rFonts w:cstheme="minorHAnsi"/>
              <w:sz w:val="23"/>
              <w:szCs w:val="23"/>
              <w:u w:val="single"/>
            </w:rPr>
          </w:pPr>
        </w:p>
        <w:p w14:paraId="5A07754D" w14:textId="77777777" w:rsidR="009B5FB8" w:rsidRDefault="009B5FB8">
          <w:pPr>
            <w:rPr>
              <w:rFonts w:cstheme="minorHAnsi"/>
              <w:sz w:val="23"/>
              <w:szCs w:val="23"/>
              <w:u w:val="single"/>
            </w:rPr>
          </w:pPr>
        </w:p>
        <w:p w14:paraId="0F6B806D" w14:textId="77777777" w:rsidR="009B5FB8" w:rsidRDefault="009B5FB8">
          <w:pPr>
            <w:rPr>
              <w:rFonts w:cstheme="minorHAnsi"/>
              <w:sz w:val="23"/>
              <w:szCs w:val="23"/>
              <w:u w:val="single"/>
            </w:rPr>
          </w:pPr>
        </w:p>
        <w:p w14:paraId="3CFBEE06" w14:textId="77777777" w:rsidR="009B5FB8" w:rsidRDefault="009B5FB8">
          <w:pPr>
            <w:rPr>
              <w:rFonts w:cstheme="minorHAnsi"/>
              <w:sz w:val="23"/>
              <w:szCs w:val="23"/>
              <w:u w:val="single"/>
            </w:rPr>
          </w:pPr>
        </w:p>
        <w:p w14:paraId="6A558367" w14:textId="77777777" w:rsidR="009B5FB8" w:rsidRDefault="009B5FB8">
          <w:pPr>
            <w:rPr>
              <w:rFonts w:cstheme="minorHAnsi"/>
              <w:sz w:val="23"/>
              <w:szCs w:val="23"/>
              <w:u w:val="single"/>
            </w:rPr>
          </w:pPr>
        </w:p>
        <w:p w14:paraId="061BF27A" w14:textId="77777777" w:rsidR="009B5FB8" w:rsidRDefault="009B5FB8">
          <w:pPr>
            <w:rPr>
              <w:rFonts w:cstheme="minorHAnsi"/>
              <w:sz w:val="23"/>
              <w:szCs w:val="23"/>
              <w:u w:val="single"/>
            </w:rPr>
          </w:pPr>
        </w:p>
        <w:p w14:paraId="08FC23C9" w14:textId="77777777" w:rsidR="009B5FB8" w:rsidRDefault="009B5FB8">
          <w:pPr>
            <w:rPr>
              <w:rFonts w:cstheme="minorHAnsi"/>
              <w:sz w:val="23"/>
              <w:szCs w:val="23"/>
              <w:u w:val="single"/>
            </w:rPr>
          </w:pPr>
        </w:p>
        <w:p w14:paraId="284380CF" w14:textId="77777777" w:rsidR="009B5FB8" w:rsidRDefault="009B5FB8">
          <w:pPr>
            <w:rPr>
              <w:rFonts w:cstheme="minorHAnsi"/>
              <w:sz w:val="23"/>
              <w:szCs w:val="23"/>
              <w:u w:val="single"/>
            </w:rPr>
          </w:pPr>
        </w:p>
        <w:p w14:paraId="6A39D21F" w14:textId="77777777" w:rsidR="009B5FB8" w:rsidRDefault="009B5FB8">
          <w:pPr>
            <w:rPr>
              <w:rFonts w:cstheme="minorHAnsi"/>
              <w:sz w:val="23"/>
              <w:szCs w:val="23"/>
              <w:u w:val="single"/>
            </w:rPr>
          </w:pPr>
        </w:p>
        <w:p w14:paraId="50A425DF" w14:textId="77777777" w:rsidR="009B5FB8" w:rsidRDefault="009B5FB8">
          <w:pPr>
            <w:rPr>
              <w:rFonts w:cstheme="minorHAnsi"/>
              <w:sz w:val="23"/>
              <w:szCs w:val="23"/>
              <w:u w:val="single"/>
            </w:rPr>
          </w:pPr>
        </w:p>
        <w:p w14:paraId="77375BFB" w14:textId="77777777" w:rsidR="009B5FB8" w:rsidRDefault="009B5FB8">
          <w:pPr>
            <w:rPr>
              <w:rFonts w:cstheme="minorHAnsi"/>
              <w:sz w:val="23"/>
              <w:szCs w:val="23"/>
              <w:u w:val="single"/>
            </w:rPr>
          </w:pPr>
        </w:p>
        <w:p w14:paraId="5C8C2E0E" w14:textId="77777777" w:rsidR="009B5FB8" w:rsidRDefault="009B5FB8">
          <w:pPr>
            <w:rPr>
              <w:rFonts w:cstheme="minorHAnsi"/>
              <w:sz w:val="23"/>
              <w:szCs w:val="23"/>
              <w:u w:val="single"/>
            </w:rPr>
          </w:pPr>
        </w:p>
        <w:p w14:paraId="25F44B34" w14:textId="77777777" w:rsidR="009B5FB8" w:rsidRDefault="009B5FB8">
          <w:pPr>
            <w:rPr>
              <w:rFonts w:cstheme="minorHAnsi"/>
              <w:sz w:val="23"/>
              <w:szCs w:val="23"/>
              <w:u w:val="single"/>
            </w:rPr>
          </w:pPr>
        </w:p>
        <w:p w14:paraId="409C8C3F" w14:textId="5B1DA1F4" w:rsidR="009B5FB8" w:rsidRDefault="009B5FB8">
          <w:pPr>
            <w:rPr>
              <w:rFonts w:cstheme="minorHAnsi"/>
              <w:sz w:val="23"/>
              <w:szCs w:val="23"/>
              <w:u w:val="single"/>
            </w:rPr>
          </w:pPr>
        </w:p>
      </w:sdtContent>
    </w:sdt>
    <w:p w14:paraId="6995B1D8" w14:textId="6871E2F9" w:rsidR="0029614B" w:rsidRPr="009B5FB8" w:rsidRDefault="0029614B" w:rsidP="009B5FB8">
      <w:pPr>
        <w:spacing w:line="360" w:lineRule="auto"/>
        <w:rPr>
          <w:rFonts w:cstheme="minorHAnsi"/>
          <w:sz w:val="23"/>
          <w:szCs w:val="23"/>
        </w:rPr>
      </w:pPr>
      <w:r w:rsidRPr="009B5FB8">
        <w:rPr>
          <w:rFonts w:cstheme="minorHAnsi"/>
          <w:sz w:val="23"/>
          <w:szCs w:val="23"/>
        </w:rPr>
        <w:t xml:space="preserve">This assignment will contain a critical evaluation of an incident observed in a secondary classroom using techniques outlined in </w:t>
      </w:r>
      <w:r w:rsidRPr="009B5FB8">
        <w:rPr>
          <w:rFonts w:cstheme="minorHAnsi"/>
          <w:i/>
          <w:iCs/>
          <w:sz w:val="23"/>
          <w:szCs w:val="23"/>
        </w:rPr>
        <w:t>Critical Incidents in Teaching</w:t>
      </w:r>
      <w:r w:rsidRPr="009B5FB8">
        <w:rPr>
          <w:rFonts w:cstheme="minorHAnsi"/>
          <w:sz w:val="23"/>
          <w:szCs w:val="23"/>
        </w:rPr>
        <w:t xml:space="preserve"> (Tripp, </w:t>
      </w:r>
      <w:r w:rsidR="00B47EC8" w:rsidRPr="009B5FB8">
        <w:rPr>
          <w:rFonts w:cstheme="minorHAnsi"/>
          <w:sz w:val="23"/>
          <w:szCs w:val="23"/>
        </w:rPr>
        <w:t>2012</w:t>
      </w:r>
      <w:r w:rsidRPr="009B5FB8">
        <w:rPr>
          <w:rFonts w:cstheme="minorHAnsi"/>
          <w:sz w:val="23"/>
          <w:szCs w:val="23"/>
        </w:rPr>
        <w:t xml:space="preserve">). As well as exploring critical incidents I will also be looking at the role of reflective practice and how it can be used within teaching. Reflecting on the critical incident I will derive the next teaching and learning steps that could be implemented and explore the literature behind them. The critical incident methodology is based on the understanding that incidents are prevalent throughout the school day and Tripp defines a critical incident as being “produced by the way we look at a situation” (p.8) rather than existing as something which can be identified as a stand-alone entity. Anything that happens within a classroom can be read in a critical fashion but the things we notice are usually ordinary things we personally connect with for either good or bad reasons. The incident involved occurred in a Year 8 English lesson at the beginning of the school day. During the lesson I observed a student (Student A) who was noticeably nervous about engaging in a whole class discussion about identifying descriptive writing techniques. The teacher had asked the students to put their hands up if they had ideas they wanted to contribute. Student A did not put their hand up and was doing their best to avoid the teacher’s eye. At the end of the lesson the teacher introduced an activity in which the students were directed to use “Think – Pair – Share”, a technique where the students take time to formulate their own ideas, discuss them in a pair then share them with the whole class. During the activity Student A gradually gained in confidence and when the teacher called on them to offer their ideas during the “Share” portion of the activity they were confident enough to do so. </w:t>
      </w:r>
    </w:p>
    <w:p w14:paraId="2ED49665" w14:textId="77863249" w:rsidR="0029614B" w:rsidRPr="009B5FB8" w:rsidRDefault="0029614B" w:rsidP="009B5FB8">
      <w:pPr>
        <w:spacing w:line="360" w:lineRule="auto"/>
        <w:rPr>
          <w:rFonts w:cstheme="minorHAnsi"/>
          <w:sz w:val="23"/>
          <w:szCs w:val="23"/>
        </w:rPr>
      </w:pPr>
      <w:r w:rsidRPr="009B5FB8">
        <w:rPr>
          <w:rFonts w:cstheme="minorHAnsi"/>
          <w:sz w:val="23"/>
          <w:szCs w:val="23"/>
        </w:rPr>
        <w:t xml:space="preserve">In the sections which follow I will examine in more detail the evaluation of critical incidents. I will also delve into some of the concepts which surround the use of reflective practice and how it relates to the professional development of teachers. The observed critical incident will be discussed in more detail followed by a review of literature exploring further teaching methods which I have identified based on the critical incident. </w:t>
      </w:r>
      <w:r w:rsidRPr="009B5FB8">
        <w:rPr>
          <w:rFonts w:cstheme="minorHAnsi"/>
          <w:sz w:val="23"/>
          <w:szCs w:val="23"/>
        </w:rPr>
        <w:t>Finally,</w:t>
      </w:r>
      <w:r w:rsidRPr="009B5FB8">
        <w:rPr>
          <w:rFonts w:cstheme="minorHAnsi"/>
          <w:sz w:val="23"/>
          <w:szCs w:val="23"/>
        </w:rPr>
        <w:t xml:space="preserve"> I will outline my reflections on how the literature has shaped my identification of the next teaching steps I would use in my professional practice.</w:t>
      </w:r>
    </w:p>
    <w:bookmarkEnd w:id="0"/>
    <w:p w14:paraId="6B715419" w14:textId="77777777" w:rsidR="00A11FD3" w:rsidRPr="009B5FB8" w:rsidRDefault="00A11FD3" w:rsidP="009B5FB8">
      <w:pPr>
        <w:spacing w:line="360" w:lineRule="auto"/>
        <w:rPr>
          <w:rFonts w:cstheme="minorHAnsi"/>
          <w:sz w:val="23"/>
          <w:szCs w:val="23"/>
        </w:rPr>
      </w:pPr>
      <w:r w:rsidRPr="009B5FB8">
        <w:rPr>
          <w:rFonts w:cstheme="minorHAnsi"/>
          <w:sz w:val="23"/>
          <w:szCs w:val="23"/>
        </w:rPr>
        <w:t xml:space="preserve">The term critical incident has been used historically to describe an event in the life of a person or organisation which has sparked significant change and, in some cases, can also be responsible for large social changes (Tripp 2012). However, incidents of these magnitudes occur so infrequently in a teacher’s working life that they would not be adequate examples for </w:t>
      </w:r>
      <w:r w:rsidRPr="009B5FB8">
        <w:rPr>
          <w:rFonts w:cstheme="minorHAnsi"/>
          <w:sz w:val="23"/>
          <w:szCs w:val="23"/>
        </w:rPr>
        <w:lastRenderedPageBreak/>
        <w:t>professional research which is focusing on teachers on-going development. Instead, Tripp suggests that the majority of critical incidents occur in teachers’ ordinary professional practice and are critical in the sense of demonstrating motives and trends which are less obvious. It therefore follows that these incidents will look at first glance to be ‘typical’ every-day occurrences and are only rendered ‘critical’ through reflection and analysis. The creation of a critical incident is a two-step process beginning with the observation and recording of part of a lesson. It is important to note that this step is simply a record of what occurred and not an explanation, which is what comes next (Tripp 2012). The explanation and examination of the incident is what will necessarily transform a ‘typical’ incident in to a ‘critical’ one by offering an explanation which gives context to what has occurred and using that explanation to explore the more general significance of the incident. The criticality of an incident is how it’s meaning can be an indication of other important factors within a wider context, therefore critical incidents are created and not observed (Tripp 2012).</w:t>
      </w:r>
    </w:p>
    <w:p w14:paraId="2EE02EF7" w14:textId="5127D56A" w:rsidR="00F21CCE" w:rsidRPr="009B5FB8" w:rsidRDefault="00F21CCE" w:rsidP="009B5FB8">
      <w:pPr>
        <w:spacing w:line="360" w:lineRule="auto"/>
        <w:rPr>
          <w:rFonts w:cstheme="minorHAnsi"/>
          <w:sz w:val="23"/>
          <w:szCs w:val="23"/>
        </w:rPr>
      </w:pPr>
      <w:r w:rsidRPr="009B5FB8">
        <w:rPr>
          <w:rFonts w:cstheme="minorHAnsi"/>
          <w:sz w:val="23"/>
          <w:szCs w:val="23"/>
        </w:rPr>
        <w:t>Reflective practice has been woven into the fabric of the new Curriculum for Wales in order to support teachers developing ‘sound pedagogy’ by encouraging them to understand the ‘how, why and what’ involved in education (Donaldson, 2015, p.71). Not only does reflective practice play a part in the new curriculum but it is a significant aspect of the ITE Professional Standards for Teaching and Leadership now in use in Wales (Furlong, 2020). Calderhead (198</w:t>
      </w:r>
      <w:r w:rsidR="00665A87" w:rsidRPr="009B5FB8">
        <w:rPr>
          <w:rFonts w:cstheme="minorHAnsi"/>
          <w:sz w:val="23"/>
          <w:szCs w:val="23"/>
        </w:rPr>
        <w:t>9</w:t>
      </w:r>
      <w:r w:rsidRPr="009B5FB8">
        <w:rPr>
          <w:rFonts w:cstheme="minorHAnsi"/>
          <w:sz w:val="23"/>
          <w:szCs w:val="23"/>
        </w:rPr>
        <w:t xml:space="preserve">) identified that </w:t>
      </w:r>
      <w:r w:rsidR="00D0027E" w:rsidRPr="009B5FB8">
        <w:rPr>
          <w:rFonts w:cstheme="minorHAnsi"/>
          <w:sz w:val="23"/>
          <w:szCs w:val="23"/>
        </w:rPr>
        <w:t>u</w:t>
      </w:r>
      <w:r w:rsidRPr="009B5FB8">
        <w:rPr>
          <w:rFonts w:cstheme="minorHAnsi"/>
          <w:sz w:val="23"/>
          <w:szCs w:val="23"/>
        </w:rPr>
        <w:t>sing reflective practice in teaching has been supported for several decades and although methods of reflection have expanded</w:t>
      </w:r>
      <w:r w:rsidR="00D0027E" w:rsidRPr="009B5FB8">
        <w:rPr>
          <w:rFonts w:cstheme="minorHAnsi"/>
          <w:sz w:val="23"/>
          <w:szCs w:val="23"/>
        </w:rPr>
        <w:t>, Calderhead asserts that</w:t>
      </w:r>
      <w:r w:rsidRPr="009B5FB8">
        <w:rPr>
          <w:rFonts w:cstheme="minorHAnsi"/>
          <w:sz w:val="23"/>
          <w:szCs w:val="23"/>
        </w:rPr>
        <w:t xml:space="preserve"> these have mostly built on the works of Dewey (1993) and Schön (1983)</w:t>
      </w:r>
      <w:r w:rsidR="00D0027E" w:rsidRPr="009B5FB8">
        <w:rPr>
          <w:rFonts w:cstheme="minorHAnsi"/>
          <w:sz w:val="23"/>
          <w:szCs w:val="23"/>
        </w:rPr>
        <w:t xml:space="preserve">. </w:t>
      </w:r>
      <w:r w:rsidRPr="009B5FB8">
        <w:rPr>
          <w:rFonts w:cstheme="minorHAnsi"/>
          <w:sz w:val="23"/>
          <w:szCs w:val="23"/>
        </w:rPr>
        <w:t>When Brookfield (</w:t>
      </w:r>
      <w:r w:rsidR="00301FED" w:rsidRPr="009B5FB8">
        <w:rPr>
          <w:rFonts w:cstheme="minorHAnsi"/>
          <w:sz w:val="23"/>
          <w:szCs w:val="23"/>
        </w:rPr>
        <w:t>1998</w:t>
      </w:r>
      <w:r w:rsidRPr="009B5FB8">
        <w:rPr>
          <w:rFonts w:cstheme="minorHAnsi"/>
          <w:sz w:val="23"/>
          <w:szCs w:val="23"/>
        </w:rPr>
        <w:t xml:space="preserve">) outlined his four ‘lenses’ through which teachers can examine their practices, he asserted that reflective practice is a way to help teachers make more informed decisions and that by doing so they will develop their own theories of teaching rather than using practices given to them by others. This is echoed by Sellars (2012) who points out that individual learners will use the tools of reflective practice (description, </w:t>
      </w:r>
      <w:proofErr w:type="gramStart"/>
      <w:r w:rsidRPr="009B5FB8">
        <w:rPr>
          <w:rFonts w:cstheme="minorHAnsi"/>
          <w:sz w:val="23"/>
          <w:szCs w:val="23"/>
        </w:rPr>
        <w:t>analysis</w:t>
      </w:r>
      <w:proofErr w:type="gramEnd"/>
      <w:r w:rsidRPr="009B5FB8">
        <w:rPr>
          <w:rFonts w:cstheme="minorHAnsi"/>
          <w:sz w:val="23"/>
          <w:szCs w:val="23"/>
        </w:rPr>
        <w:t xml:space="preserve"> and planning) to interpret their experiences in different ways which will lead to unique plans for improvements to their teaching practice. In his Reflective Cycle, Gibbs (</w:t>
      </w:r>
      <w:r w:rsidR="000C046A" w:rsidRPr="009B5FB8">
        <w:rPr>
          <w:rFonts w:cstheme="minorHAnsi"/>
          <w:sz w:val="23"/>
          <w:szCs w:val="23"/>
        </w:rPr>
        <w:t>2013</w:t>
      </w:r>
      <w:r w:rsidRPr="009B5FB8">
        <w:rPr>
          <w:rFonts w:cstheme="minorHAnsi"/>
          <w:sz w:val="23"/>
          <w:szCs w:val="23"/>
        </w:rPr>
        <w:t xml:space="preserve">) lays out a framework consisting of 6 stages to analyse an experience - Describing the experience, examining the feelings elicited by the experience, evaluating both its good and bad aspects, analysis to help make sense of the situation, conclusions about what could be learned from the experience and the creation of an action plan to detail how to deal with a similar situation in the future. According to </w:t>
      </w:r>
      <w:proofErr w:type="spellStart"/>
      <w:r w:rsidRPr="009B5FB8">
        <w:rPr>
          <w:rFonts w:cstheme="minorHAnsi"/>
          <w:sz w:val="23"/>
          <w:szCs w:val="23"/>
        </w:rPr>
        <w:t>Markkaned</w:t>
      </w:r>
      <w:proofErr w:type="spellEnd"/>
      <w:r w:rsidRPr="009B5FB8">
        <w:rPr>
          <w:rFonts w:cstheme="minorHAnsi"/>
          <w:sz w:val="23"/>
          <w:szCs w:val="23"/>
        </w:rPr>
        <w:t xml:space="preserve"> </w:t>
      </w:r>
      <w:r w:rsidRPr="009B5FB8">
        <w:rPr>
          <w:rFonts w:cstheme="minorHAnsi"/>
          <w:i/>
          <w:iCs/>
          <w:sz w:val="23"/>
          <w:szCs w:val="23"/>
        </w:rPr>
        <w:t>et al</w:t>
      </w:r>
      <w:r w:rsidRPr="009B5FB8">
        <w:rPr>
          <w:rFonts w:cstheme="minorHAnsi"/>
          <w:sz w:val="23"/>
          <w:szCs w:val="23"/>
        </w:rPr>
        <w:t xml:space="preserve">., (2020) this model has been useful in discerning the connection which exists between a practitioner’s professional values and their personal </w:t>
      </w:r>
      <w:r w:rsidRPr="009B5FB8">
        <w:rPr>
          <w:rFonts w:cstheme="minorHAnsi"/>
          <w:sz w:val="23"/>
          <w:szCs w:val="23"/>
        </w:rPr>
        <w:lastRenderedPageBreak/>
        <w:t>experiences. For learners who are new to reflective practice Gibbs Reflective Cycle (</w:t>
      </w:r>
      <w:r w:rsidR="00B47EC8" w:rsidRPr="009B5FB8">
        <w:rPr>
          <w:rFonts w:cstheme="minorHAnsi"/>
          <w:sz w:val="23"/>
          <w:szCs w:val="23"/>
        </w:rPr>
        <w:t>2013</w:t>
      </w:r>
      <w:r w:rsidRPr="009B5FB8">
        <w:rPr>
          <w:rFonts w:cstheme="minorHAnsi"/>
          <w:sz w:val="23"/>
          <w:szCs w:val="23"/>
        </w:rPr>
        <w:t xml:space="preserve">) is a good introduction to the process as it has distinct and simple stages that can be easily worked through without requiring a large time commitment (Forrester, </w:t>
      </w:r>
      <w:r w:rsidR="00D50C1E" w:rsidRPr="009B5FB8">
        <w:rPr>
          <w:rFonts w:cstheme="minorHAnsi"/>
          <w:sz w:val="23"/>
          <w:szCs w:val="23"/>
        </w:rPr>
        <w:t>2020</w:t>
      </w:r>
      <w:r w:rsidRPr="009B5FB8">
        <w:rPr>
          <w:rFonts w:cstheme="minorHAnsi"/>
          <w:sz w:val="23"/>
          <w:szCs w:val="23"/>
        </w:rPr>
        <w:t xml:space="preserve">). However, Forrester goes on to point out that, the simplistic nature of the framework could lead to superficial, surface reflections as it does not point the reflector towards examining the values or assumptions which prompted their actions. </w:t>
      </w:r>
      <w:r w:rsidR="002477E6" w:rsidRPr="009B5FB8">
        <w:rPr>
          <w:rFonts w:cstheme="minorHAnsi"/>
          <w:sz w:val="23"/>
          <w:szCs w:val="23"/>
        </w:rPr>
        <w:t>Forrester</w:t>
      </w:r>
      <w:r w:rsidRPr="009B5FB8">
        <w:rPr>
          <w:rFonts w:cstheme="minorHAnsi"/>
          <w:sz w:val="23"/>
          <w:szCs w:val="23"/>
        </w:rPr>
        <w:t xml:space="preserve"> also identifies that whilst Gibbs Reflective Cycle (1988) is structured from the point of view of the reflector, it does not encourage an examination of points of view from others who may have been part of the experience. Brookfield’s four lenses guides the reflector to not only examine the experience from their own point of view but also that of the learner, the practitioner’s colleagues and to look at the theoretical literature surrounding the events of the experience.</w:t>
      </w:r>
    </w:p>
    <w:p w14:paraId="305A6431" w14:textId="77777777" w:rsidR="00B84CC4" w:rsidRPr="009B5FB8" w:rsidRDefault="00B84CC4" w:rsidP="009B5FB8">
      <w:pPr>
        <w:spacing w:line="360" w:lineRule="auto"/>
        <w:rPr>
          <w:rFonts w:cstheme="minorHAnsi"/>
          <w:sz w:val="23"/>
          <w:szCs w:val="23"/>
        </w:rPr>
      </w:pPr>
    </w:p>
    <w:p w14:paraId="3C3ADC88" w14:textId="77777777" w:rsidR="00B84CC4" w:rsidRPr="009B5FB8" w:rsidRDefault="00B84CC4" w:rsidP="009B5FB8">
      <w:pPr>
        <w:spacing w:line="360" w:lineRule="auto"/>
        <w:rPr>
          <w:rFonts w:cstheme="minorHAnsi"/>
          <w:sz w:val="23"/>
          <w:szCs w:val="23"/>
        </w:rPr>
      </w:pPr>
    </w:p>
    <w:p w14:paraId="392B1F01" w14:textId="77777777" w:rsidR="00B84CC4" w:rsidRPr="009B5FB8" w:rsidRDefault="00B84CC4" w:rsidP="009B5FB8">
      <w:pPr>
        <w:spacing w:line="360" w:lineRule="auto"/>
        <w:rPr>
          <w:rFonts w:cstheme="minorHAnsi"/>
          <w:sz w:val="23"/>
          <w:szCs w:val="23"/>
        </w:rPr>
      </w:pPr>
    </w:p>
    <w:p w14:paraId="46513BC9" w14:textId="77777777" w:rsidR="00B84CC4" w:rsidRPr="009B5FB8" w:rsidRDefault="00B84CC4" w:rsidP="009B5FB8">
      <w:pPr>
        <w:spacing w:line="360" w:lineRule="auto"/>
        <w:rPr>
          <w:rFonts w:cstheme="minorHAnsi"/>
          <w:sz w:val="23"/>
          <w:szCs w:val="23"/>
        </w:rPr>
      </w:pPr>
      <w:bookmarkStart w:id="1" w:name="_Hlk150086237"/>
      <w:r w:rsidRPr="009B5FB8">
        <w:rPr>
          <w:rFonts w:cstheme="minorHAnsi"/>
          <w:sz w:val="23"/>
          <w:szCs w:val="23"/>
        </w:rPr>
        <w:t xml:space="preserve">The incident took place in a Year 8 English class where the main intention of the lesson was to explore the use of descriptive language. The teacher read through a passage, which was printed in the students pre-made class workbooks as well as being projected onto the interactive board, and the children were asked to look out for specific uses of descriptive language. </w:t>
      </w:r>
    </w:p>
    <w:p w14:paraId="356F605E" w14:textId="77777777" w:rsidR="00B84CC4" w:rsidRPr="009B5FB8" w:rsidRDefault="00B84CC4" w:rsidP="009B5FB8">
      <w:pPr>
        <w:spacing w:line="360" w:lineRule="auto"/>
        <w:rPr>
          <w:rFonts w:cstheme="minorHAnsi"/>
          <w:sz w:val="23"/>
          <w:szCs w:val="23"/>
        </w:rPr>
      </w:pPr>
      <w:r w:rsidRPr="009B5FB8">
        <w:rPr>
          <w:rFonts w:cstheme="minorHAnsi"/>
          <w:sz w:val="23"/>
          <w:szCs w:val="23"/>
        </w:rPr>
        <w:t xml:space="preserve">Once they had finished reading the passage the teacher then questioned the students, asking for examples from the text of the types of descriptive language techniques they had talked about at the beginning of the lesson (positive and negative words, lists, exaggeration). The teacher’s questioning technique at this point in the lesson consisted of any student who wanted to volunteer information to put their hand up. During the questioning I observed several students who were not volunteering any ideas and who appeared to be trying to avoid the teacher’s attention. One student (Student A) was sat close to where I was standing so I decided to observe them for the rest of the lesson. </w:t>
      </w:r>
    </w:p>
    <w:p w14:paraId="0CD0C188" w14:textId="77777777" w:rsidR="00B84CC4" w:rsidRPr="009B5FB8" w:rsidRDefault="00B84CC4" w:rsidP="009B5FB8">
      <w:pPr>
        <w:spacing w:line="360" w:lineRule="auto"/>
        <w:rPr>
          <w:rFonts w:cstheme="minorHAnsi"/>
          <w:sz w:val="23"/>
          <w:szCs w:val="23"/>
        </w:rPr>
      </w:pPr>
      <w:bookmarkStart w:id="2" w:name="_Hlk150086459"/>
      <w:r w:rsidRPr="009B5FB8">
        <w:rPr>
          <w:rFonts w:cstheme="minorHAnsi"/>
          <w:sz w:val="23"/>
          <w:szCs w:val="23"/>
        </w:rPr>
        <w:t xml:space="preserve">The lesson continued with several more whole class interactions all themed around identifying descriptive language techniques. For the final part of the lesson the teacher introduced an activity where the students were instructed to consider things that would be bad if they happened whilst on a school trip. For this activity the teacher directed the students to use the “Think – Pair – Share” method to explore their thoughts and had provided a template in their </w:t>
      </w:r>
      <w:r w:rsidRPr="009B5FB8">
        <w:rPr>
          <w:rFonts w:cstheme="minorHAnsi"/>
          <w:sz w:val="23"/>
          <w:szCs w:val="23"/>
        </w:rPr>
        <w:lastRenderedPageBreak/>
        <w:t xml:space="preserve">class workbooks to aid the students in organising their thoughts. The template consisted of four boxes for the students to fill in which were labelled to give them a clear indication of what thoughts to include in each box. The boxes were titled “Think, Pair, Share and Summary”. </w:t>
      </w:r>
      <w:bookmarkEnd w:id="2"/>
      <w:r w:rsidRPr="009B5FB8">
        <w:rPr>
          <w:rFonts w:cstheme="minorHAnsi"/>
          <w:sz w:val="23"/>
          <w:szCs w:val="23"/>
        </w:rPr>
        <w:t xml:space="preserve">The students were instructed to sit and think of a few ideas on their own in silence for thirty seconds before turning to the pupil next to them to discuss their ideas. </w:t>
      </w:r>
      <w:bookmarkStart w:id="3" w:name="_Hlk150086664"/>
      <w:r w:rsidRPr="009B5FB8">
        <w:rPr>
          <w:rFonts w:cstheme="minorHAnsi"/>
          <w:sz w:val="23"/>
          <w:szCs w:val="23"/>
        </w:rPr>
        <w:t xml:space="preserve">After giving them a few minutes for their discussion the teacher told the students to fill out the first two boxes in the workbook (Think and Pair) with their own thoughts and those of their partner. </w:t>
      </w:r>
      <w:bookmarkEnd w:id="3"/>
      <w:r w:rsidRPr="009B5FB8">
        <w:rPr>
          <w:rFonts w:cstheme="minorHAnsi"/>
          <w:sz w:val="23"/>
          <w:szCs w:val="23"/>
        </w:rPr>
        <w:t xml:space="preserve">Once the teacher had allowed sufficient time for the students to fill in the two boxes, they brought the </w:t>
      </w:r>
      <w:proofErr w:type="spellStart"/>
      <w:r w:rsidRPr="009B5FB8">
        <w:rPr>
          <w:rFonts w:cstheme="minorHAnsi"/>
          <w:sz w:val="23"/>
          <w:szCs w:val="23"/>
        </w:rPr>
        <w:t>class’</w:t>
      </w:r>
      <w:proofErr w:type="spellEnd"/>
      <w:r w:rsidRPr="009B5FB8">
        <w:rPr>
          <w:rFonts w:cstheme="minorHAnsi"/>
          <w:sz w:val="23"/>
          <w:szCs w:val="23"/>
        </w:rPr>
        <w:t xml:space="preserve"> attention back to the board where they proceeded to ask for ideas from the class to fill out the “Share” box. </w:t>
      </w:r>
      <w:bookmarkStart w:id="4" w:name="_Hlk150087086"/>
      <w:r w:rsidRPr="009B5FB8">
        <w:rPr>
          <w:rFonts w:cstheme="minorHAnsi"/>
          <w:sz w:val="23"/>
          <w:szCs w:val="23"/>
        </w:rPr>
        <w:t>The teacher chose to use the “Cold Call” technique during this part of the lesson, calling out students by name and asking them to contribute to the ideas being collected. These ideas were listed on the board and, following a brief discussion lead by the teacher, the students were directed to copy the list into the “Share” box in their workbooks. The activity concluded with the students being asked to choose two ideas from those collected on the board to fill in the “Summary” box.</w:t>
      </w:r>
      <w:bookmarkEnd w:id="4"/>
      <w:r w:rsidRPr="009B5FB8">
        <w:rPr>
          <w:rFonts w:cstheme="minorHAnsi"/>
          <w:sz w:val="23"/>
          <w:szCs w:val="23"/>
        </w:rPr>
        <w:t xml:space="preserve"> This was clearly not a new activity to the class as the teacher offered only a brief reminder of how to do “Think – Pair – Share” before setting the pupils onto the task. </w:t>
      </w:r>
    </w:p>
    <w:p w14:paraId="3F9D278B" w14:textId="77777777" w:rsidR="00B84CC4" w:rsidRPr="009B5FB8" w:rsidRDefault="00B84CC4" w:rsidP="009B5FB8">
      <w:pPr>
        <w:spacing w:line="360" w:lineRule="auto"/>
        <w:rPr>
          <w:rFonts w:cstheme="minorHAnsi"/>
          <w:sz w:val="23"/>
          <w:szCs w:val="23"/>
        </w:rPr>
      </w:pPr>
      <w:bookmarkStart w:id="5" w:name="_Hlk150087173"/>
      <w:r w:rsidRPr="009B5FB8">
        <w:rPr>
          <w:rFonts w:cstheme="minorHAnsi"/>
          <w:sz w:val="23"/>
          <w:szCs w:val="23"/>
        </w:rPr>
        <w:t xml:space="preserve">During the initial part of the task (Think and Pair), Student A looked to be nervous about contributing to the conversation. They allowed their partner to express their ideas for around the first minute of the paired discussion but as the discussion continued Student A became confident enough to contribute their own ideas. </w:t>
      </w:r>
      <w:bookmarkStart w:id="6" w:name="_Hlk150087308"/>
      <w:bookmarkEnd w:id="5"/>
      <w:r w:rsidRPr="009B5FB8">
        <w:rPr>
          <w:rFonts w:cstheme="minorHAnsi"/>
          <w:sz w:val="23"/>
          <w:szCs w:val="23"/>
        </w:rPr>
        <w:t>The back-and-forth discussion between Student A and their partner gradually increased Student A’s confidence and they became noticeably more animated throughout the task.</w:t>
      </w:r>
      <w:bookmarkEnd w:id="6"/>
      <w:r w:rsidRPr="009B5FB8">
        <w:rPr>
          <w:rFonts w:cstheme="minorHAnsi"/>
          <w:sz w:val="23"/>
          <w:szCs w:val="23"/>
        </w:rPr>
        <w:t xml:space="preserve"> </w:t>
      </w:r>
      <w:bookmarkStart w:id="7" w:name="_Hlk150087365"/>
      <w:r w:rsidRPr="009B5FB8">
        <w:rPr>
          <w:rFonts w:cstheme="minorHAnsi"/>
          <w:sz w:val="23"/>
          <w:szCs w:val="23"/>
        </w:rPr>
        <w:t xml:space="preserve">When the teacher began to collect the ideas on the board (the Share part of the activity) Student A still looked nervous about sharing their ideas but when they were called upon by the teacher they answered quickly and with confidence. </w:t>
      </w:r>
      <w:bookmarkEnd w:id="7"/>
    </w:p>
    <w:p w14:paraId="0B02CEA0" w14:textId="77777777" w:rsidR="00B84CC4" w:rsidRPr="009B5FB8" w:rsidRDefault="00B84CC4" w:rsidP="009B5FB8">
      <w:pPr>
        <w:spacing w:line="360" w:lineRule="auto"/>
        <w:rPr>
          <w:rFonts w:cstheme="minorHAnsi"/>
          <w:sz w:val="23"/>
          <w:szCs w:val="23"/>
        </w:rPr>
      </w:pPr>
    </w:p>
    <w:p w14:paraId="05BD7C69" w14:textId="77777777" w:rsidR="00B84CC4" w:rsidRPr="009B5FB8" w:rsidRDefault="00B84CC4" w:rsidP="009B5FB8">
      <w:pPr>
        <w:spacing w:line="360" w:lineRule="auto"/>
        <w:rPr>
          <w:rFonts w:cstheme="minorHAnsi"/>
          <w:sz w:val="23"/>
          <w:szCs w:val="23"/>
          <w:u w:val="single"/>
        </w:rPr>
      </w:pPr>
      <w:r w:rsidRPr="009B5FB8">
        <w:rPr>
          <w:rFonts w:cstheme="minorHAnsi"/>
          <w:sz w:val="23"/>
          <w:szCs w:val="23"/>
          <w:u w:val="single"/>
        </w:rPr>
        <w:t>Incident reflections</w:t>
      </w:r>
    </w:p>
    <w:p w14:paraId="515A8908" w14:textId="77777777" w:rsidR="00B84CC4" w:rsidRPr="009B5FB8" w:rsidRDefault="00B84CC4" w:rsidP="009B5FB8">
      <w:pPr>
        <w:spacing w:line="360" w:lineRule="auto"/>
        <w:rPr>
          <w:rFonts w:cstheme="minorHAnsi"/>
          <w:sz w:val="23"/>
          <w:szCs w:val="23"/>
        </w:rPr>
      </w:pPr>
      <w:r w:rsidRPr="009B5FB8">
        <w:rPr>
          <w:rFonts w:cstheme="minorHAnsi"/>
          <w:sz w:val="23"/>
          <w:szCs w:val="23"/>
        </w:rPr>
        <w:t xml:space="preserve">I observed a clear contrast between the teacher asking for hands up and during the initial stages of the lesson and the use of the “Think – Pair – Share” technique towards the end of the lesson. Student A was not responding to the teacher’s request for students to volunteer their ideas at the beginning of the lesson but by the end they were happy to engage in the class discussion. Student A’s reticence to contribute during the early portion of the lesson could have been down </w:t>
      </w:r>
      <w:r w:rsidRPr="009B5FB8">
        <w:rPr>
          <w:rFonts w:cstheme="minorHAnsi"/>
          <w:sz w:val="23"/>
          <w:szCs w:val="23"/>
        </w:rPr>
        <w:lastRenderedPageBreak/>
        <w:t xml:space="preserve">to a lack of understanding of the techniques being examined, but it would appear from the amount of engagement they had by the end of the lesson that their lack of participation was more due to a lack of confidence. The “Think – Pair – Share” activity seems to have offered enough of a safety net by giving the participants a designated time to compose and discuss their own thoughts that Student A was able to gradually build their confidence to a level where they felt they could contribute to the whole class discussion at the end of the lesson. </w:t>
      </w:r>
    </w:p>
    <w:p w14:paraId="1947DD49" w14:textId="77777777" w:rsidR="00B84CC4" w:rsidRPr="009B5FB8" w:rsidRDefault="00B84CC4" w:rsidP="009B5FB8">
      <w:pPr>
        <w:spacing w:line="360" w:lineRule="auto"/>
        <w:rPr>
          <w:rFonts w:cstheme="minorHAnsi"/>
          <w:sz w:val="23"/>
          <w:szCs w:val="23"/>
        </w:rPr>
      </w:pPr>
      <w:r w:rsidRPr="009B5FB8">
        <w:rPr>
          <w:rFonts w:cstheme="minorHAnsi"/>
          <w:sz w:val="23"/>
          <w:szCs w:val="23"/>
        </w:rPr>
        <w:t>By observing and evaluating this incident I have decided to explore other areas and techniques of questioning that are used in the classroom as it is clear from this example that students respond differently to different questioning methods</w:t>
      </w:r>
      <w:bookmarkEnd w:id="1"/>
      <w:r w:rsidRPr="009B5FB8">
        <w:rPr>
          <w:rFonts w:cstheme="minorHAnsi"/>
          <w:sz w:val="23"/>
          <w:szCs w:val="23"/>
        </w:rPr>
        <w:t>.</w:t>
      </w:r>
    </w:p>
    <w:p w14:paraId="75010A24" w14:textId="77777777" w:rsidR="00B84CC4" w:rsidRPr="009B5FB8" w:rsidRDefault="00B84CC4" w:rsidP="009B5FB8">
      <w:pPr>
        <w:spacing w:line="360" w:lineRule="auto"/>
        <w:rPr>
          <w:rFonts w:cstheme="minorHAnsi"/>
          <w:sz w:val="23"/>
          <w:szCs w:val="23"/>
        </w:rPr>
      </w:pPr>
    </w:p>
    <w:p w14:paraId="32EDA447" w14:textId="77777777" w:rsidR="006977B7" w:rsidRPr="009B5FB8" w:rsidRDefault="006977B7" w:rsidP="009B5FB8">
      <w:pPr>
        <w:spacing w:line="360" w:lineRule="auto"/>
        <w:rPr>
          <w:rFonts w:cstheme="minorHAnsi"/>
          <w:sz w:val="23"/>
          <w:szCs w:val="23"/>
        </w:rPr>
      </w:pPr>
    </w:p>
    <w:p w14:paraId="40C6CBA2" w14:textId="77777777" w:rsidR="00B84CC4" w:rsidRPr="009B5FB8" w:rsidRDefault="00B84CC4" w:rsidP="009B5FB8">
      <w:pPr>
        <w:spacing w:line="360" w:lineRule="auto"/>
        <w:rPr>
          <w:rFonts w:cstheme="minorHAnsi"/>
          <w:sz w:val="23"/>
          <w:szCs w:val="23"/>
        </w:rPr>
      </w:pPr>
    </w:p>
    <w:p w14:paraId="3C341F1E" w14:textId="77777777" w:rsidR="004418BF" w:rsidRPr="009B5FB8" w:rsidRDefault="004418BF" w:rsidP="009B5FB8">
      <w:pPr>
        <w:spacing w:line="360" w:lineRule="auto"/>
        <w:rPr>
          <w:rFonts w:cstheme="minorHAnsi"/>
          <w:sz w:val="23"/>
          <w:szCs w:val="23"/>
        </w:rPr>
      </w:pPr>
      <w:bookmarkStart w:id="8" w:name="_Hlk150026930"/>
      <w:r w:rsidRPr="009B5FB8">
        <w:rPr>
          <w:rFonts w:cstheme="minorHAnsi"/>
          <w:sz w:val="23"/>
          <w:szCs w:val="23"/>
        </w:rPr>
        <w:t>The critical incident observed highlighted the significance different methods of questioning in a lesson can make to students. This has led me to explore what different questioning strategies exist to help vary the form of lessons. The following passages will outline some of the strategies discovered before discussing which methods I will be using as part of my professional practice.</w:t>
      </w:r>
    </w:p>
    <w:p w14:paraId="369AA7A7" w14:textId="7FCBFD56" w:rsidR="004418BF" w:rsidRPr="009B5FB8" w:rsidRDefault="004418BF" w:rsidP="009B5FB8">
      <w:pPr>
        <w:spacing w:line="360" w:lineRule="auto"/>
        <w:rPr>
          <w:rFonts w:cstheme="minorHAnsi"/>
          <w:sz w:val="23"/>
          <w:szCs w:val="23"/>
        </w:rPr>
      </w:pPr>
      <w:r w:rsidRPr="009B5FB8">
        <w:rPr>
          <w:rFonts w:cstheme="minorHAnsi"/>
          <w:sz w:val="23"/>
          <w:szCs w:val="23"/>
        </w:rPr>
        <w:t xml:space="preserve">Rosenshine (2012) identified that the questions teachers ask and the student discussions that these questions can elicit are one of the major ways of achieving the practice of new material. It follows that teachers must therefore rely on asking questions as a significant element of their teaching (Perrott 1991). Not only does questioning aid in the practice of material being introduced at the time but by asking questions the teacher can allow students to listen to each other and have more opportunity to compare ideas with their peers allowing for increased opportunities to learn from them (Hodgen and Wiliam </w:t>
      </w:r>
      <w:r w:rsidR="001F309A" w:rsidRPr="009B5FB8">
        <w:rPr>
          <w:rFonts w:cstheme="minorHAnsi"/>
          <w:sz w:val="23"/>
          <w:szCs w:val="23"/>
        </w:rPr>
        <w:t>2006</w:t>
      </w:r>
      <w:r w:rsidRPr="009B5FB8">
        <w:rPr>
          <w:rFonts w:cstheme="minorHAnsi"/>
          <w:sz w:val="23"/>
          <w:szCs w:val="23"/>
        </w:rPr>
        <w:t xml:space="preserve">). In order to examine and compare different styles of question a teacher could ask it is useful to be able to classify them. Perrott (1991) suggests that classifications are useful as they can give a conceptual framework through which to compare the questions and identifies that </w:t>
      </w:r>
      <w:bookmarkStart w:id="9" w:name="_Hlk150087476"/>
      <w:r w:rsidRPr="009B5FB8">
        <w:rPr>
          <w:rFonts w:cstheme="minorHAnsi"/>
          <w:sz w:val="23"/>
          <w:szCs w:val="23"/>
        </w:rPr>
        <w:t xml:space="preserve">Bloom’s </w:t>
      </w:r>
      <w:r w:rsidRPr="009B5FB8">
        <w:rPr>
          <w:rFonts w:cstheme="minorHAnsi"/>
          <w:i/>
          <w:iCs/>
          <w:sz w:val="23"/>
          <w:szCs w:val="23"/>
        </w:rPr>
        <w:t>Taxonomy of Educational Objectives</w:t>
      </w:r>
      <w:r w:rsidRPr="009B5FB8">
        <w:rPr>
          <w:rFonts w:cstheme="minorHAnsi"/>
          <w:sz w:val="23"/>
          <w:szCs w:val="23"/>
        </w:rPr>
        <w:t xml:space="preserve"> </w:t>
      </w:r>
      <w:bookmarkEnd w:id="9"/>
      <w:r w:rsidRPr="009B5FB8">
        <w:rPr>
          <w:rFonts w:cstheme="minorHAnsi"/>
          <w:sz w:val="23"/>
          <w:szCs w:val="23"/>
        </w:rPr>
        <w:t>is perhaps the most well-known classification. The Taxonomy identifies six levels of questions which are ordered hierarchically, each of which require an increasing level of intellectual activity to engage with</w:t>
      </w:r>
      <w:r w:rsidR="002C5E78" w:rsidRPr="009B5FB8">
        <w:rPr>
          <w:rFonts w:cstheme="minorHAnsi"/>
          <w:sz w:val="23"/>
          <w:szCs w:val="23"/>
        </w:rPr>
        <w:t xml:space="preserve"> (Bloom, </w:t>
      </w:r>
      <w:r w:rsidR="001246D7" w:rsidRPr="009B5FB8">
        <w:rPr>
          <w:rFonts w:cstheme="minorHAnsi"/>
          <w:sz w:val="23"/>
          <w:szCs w:val="23"/>
        </w:rPr>
        <w:t>1956</w:t>
      </w:r>
      <w:r w:rsidR="002C5E78" w:rsidRPr="009B5FB8">
        <w:rPr>
          <w:rFonts w:cstheme="minorHAnsi"/>
          <w:sz w:val="23"/>
          <w:szCs w:val="23"/>
        </w:rPr>
        <w:t>)</w:t>
      </w:r>
      <w:r w:rsidRPr="009B5FB8">
        <w:rPr>
          <w:rFonts w:cstheme="minorHAnsi"/>
          <w:sz w:val="23"/>
          <w:szCs w:val="23"/>
        </w:rPr>
        <w:t xml:space="preserve">. The six levels – Knowledge, Comprehension, Application, Analysis, Synthesis and Evaluation – are ordered such that progressing up the hierarchy moves the student from using low order thinking stills to engaging with higher order thinking and a </w:t>
      </w:r>
      <w:r w:rsidRPr="009B5FB8">
        <w:rPr>
          <w:rFonts w:cstheme="minorHAnsi"/>
          <w:sz w:val="23"/>
          <w:szCs w:val="23"/>
        </w:rPr>
        <w:lastRenderedPageBreak/>
        <w:t>teacher’s use of questions can be geared towards provoking a student’s levels of thinking (Kerry, 2002). It is important to recognise the shortcomings that have been identified within the Taxonomy. Postlethwaite (1994) identifies that there has been a failure to reach a consensus as to whether the structure of the Taxonomy is truly hierarchical. He points out that if the same behaviour can be identified as belonging to two or more categories, then the structure cannot be truly hierarchical. Postlethwaite (1994) states that several studies have been carried out and whilst they found flaws in the Taxonomy’s structure, they all supported the hierarchy to some degree. For the questioning methods discussed below, a teacher will be able to make use of Bloom’s Taxonomy to vary the complexity of the questions being asked based on the purpose of their questions and the ability of the students in their class.</w:t>
      </w:r>
    </w:p>
    <w:p w14:paraId="661E7EC4" w14:textId="77777777" w:rsidR="004418BF" w:rsidRPr="009B5FB8" w:rsidRDefault="004418BF" w:rsidP="009B5FB8">
      <w:pPr>
        <w:spacing w:line="360" w:lineRule="auto"/>
        <w:rPr>
          <w:rFonts w:cstheme="minorHAnsi"/>
          <w:sz w:val="23"/>
          <w:szCs w:val="23"/>
        </w:rPr>
      </w:pPr>
    </w:p>
    <w:p w14:paraId="3AF221E2" w14:textId="77777777" w:rsidR="004418BF" w:rsidRPr="009B5FB8" w:rsidRDefault="004418BF" w:rsidP="009B5FB8">
      <w:pPr>
        <w:spacing w:line="360" w:lineRule="auto"/>
        <w:rPr>
          <w:rFonts w:cstheme="minorHAnsi"/>
          <w:sz w:val="23"/>
          <w:szCs w:val="23"/>
        </w:rPr>
      </w:pPr>
      <w:r w:rsidRPr="009B5FB8">
        <w:rPr>
          <w:rFonts w:cstheme="minorHAnsi"/>
          <w:sz w:val="23"/>
          <w:szCs w:val="23"/>
        </w:rPr>
        <w:t xml:space="preserve">One of the many reasons to ask a question as a teacher is to collect information which you can then use to inform your teaching, known as Assessment for Learning (Wiliam, 2017) or checking for understanding Rosenshine (2012).  Asking students questions, such as asking them to provide a summary of material they have been discussing or to explain whether they agree or disagree with another student’s answer, can have two effects. Producing an answer can cause the student to elaborate on what they have understood and create connections to other material which they have successfully learnt, or it can alert the teacher to a lack of understanding or a misconception which has developed among students. Rosenshine noted that whichever outcome presents itself the teacher has a clear understanding of whether they are able to move on with the planned material or go back and re-teach some of what has already been covered. The types of questions which can be used in the classroom broadly fall into two categories, open </w:t>
      </w:r>
      <w:proofErr w:type="gramStart"/>
      <w:r w:rsidRPr="009B5FB8">
        <w:rPr>
          <w:rFonts w:cstheme="minorHAnsi"/>
          <w:sz w:val="23"/>
          <w:szCs w:val="23"/>
        </w:rPr>
        <w:t>questions</w:t>
      </w:r>
      <w:proofErr w:type="gramEnd"/>
      <w:r w:rsidRPr="009B5FB8">
        <w:rPr>
          <w:rFonts w:cstheme="minorHAnsi"/>
          <w:sz w:val="23"/>
          <w:szCs w:val="23"/>
        </w:rPr>
        <w:t xml:space="preserve"> and closed questions (Bromley, 2023). Closed questions, Bromley says, are types of questions which often require short or very specific answers and are therefore useful when assessing whether learning has taken place as it will often be clear from the students answer how much understanding they have. Open questions, on the other hand, are mainly suited to engaging learners in deeper thinking and meaningful discussion. This is not to say that open questions cannot be used to check for understanding, as a student having to explain their reason for giving a particular answer may expose gaps or flaws in their understanding (Rosenshine, 2012). Wiliam (2017) identifies that in many classrooms, teachers are “making decisions about the learning needs of a diverse group of … students based on the response of one” (p99). Their check for understanding is based on selecting a student who has put their hand up as a way of volunteering to answer a </w:t>
      </w:r>
      <w:r w:rsidRPr="009B5FB8">
        <w:rPr>
          <w:rFonts w:cstheme="minorHAnsi"/>
          <w:sz w:val="23"/>
          <w:szCs w:val="23"/>
        </w:rPr>
        <w:lastRenderedPageBreak/>
        <w:t xml:space="preserve">question and assuming that the response of that student was an adequate guide to ascertaining the level of understanding present in the rest of the students. He points out that choosing a random student would be slightly more representative of the whole classes position but even here the evidence on which a teacher’s decision is based is still rather thin as it is only one sample from the class. </w:t>
      </w:r>
    </w:p>
    <w:p w14:paraId="760ABE87" w14:textId="6BD34B1C" w:rsidR="004418BF" w:rsidRPr="009B5FB8" w:rsidRDefault="004418BF" w:rsidP="009B5FB8">
      <w:pPr>
        <w:spacing w:line="360" w:lineRule="auto"/>
        <w:rPr>
          <w:rFonts w:cstheme="minorHAnsi"/>
          <w:sz w:val="23"/>
          <w:szCs w:val="23"/>
        </w:rPr>
      </w:pPr>
      <w:r w:rsidRPr="009B5FB8">
        <w:rPr>
          <w:rFonts w:cstheme="minorHAnsi"/>
          <w:sz w:val="23"/>
          <w:szCs w:val="23"/>
        </w:rPr>
        <w:t xml:space="preserve">There are many different questioning styles which can be utilised in assessment for learning to help teachers monitor individuals and overcome the strategies used by pupils to avoid engaging with learning (Holt, </w:t>
      </w:r>
      <w:r w:rsidR="00452DC5" w:rsidRPr="009B5FB8">
        <w:rPr>
          <w:rFonts w:cstheme="minorHAnsi"/>
          <w:sz w:val="23"/>
          <w:szCs w:val="23"/>
        </w:rPr>
        <w:t>1982)</w:t>
      </w:r>
      <w:r w:rsidR="001246D7" w:rsidRPr="009B5FB8">
        <w:rPr>
          <w:rFonts w:cstheme="minorHAnsi"/>
          <w:sz w:val="23"/>
          <w:szCs w:val="23"/>
        </w:rPr>
        <w:t>.</w:t>
      </w:r>
    </w:p>
    <w:p w14:paraId="153C42AC" w14:textId="77777777" w:rsidR="004418BF" w:rsidRPr="009B5FB8" w:rsidRDefault="004418BF" w:rsidP="009B5FB8">
      <w:pPr>
        <w:spacing w:line="360" w:lineRule="auto"/>
        <w:rPr>
          <w:rFonts w:cstheme="minorHAnsi"/>
          <w:sz w:val="23"/>
          <w:szCs w:val="23"/>
        </w:rPr>
      </w:pPr>
      <w:bookmarkStart w:id="10" w:name="_Hlk150030314"/>
      <w:r w:rsidRPr="009B5FB8">
        <w:rPr>
          <w:rFonts w:cstheme="minorHAnsi"/>
          <w:sz w:val="23"/>
          <w:szCs w:val="23"/>
        </w:rPr>
        <w:t xml:space="preserve">Wiliam (2017) advocates ‘all-student response systems’ which involve the teacher asking a question and being able to elicit a real time response from every student. Wiliam illustrates several examples of these techniques - finger voting (offering multiple answers corresponding to holding up one, two, three or four fingers) and thumbs up or down (true or false, is this right or wrong etc.) in which using the types of closed questions mentioned by Bromley could aid the teacher in gleaming a clearer picture of the students understanding. In these examples, not only is the teacher able to gain information from every student simultaneously, but they can also shape the question such that they are able to identify whether the students who chose incorrectly genuinely do not know the answer or are labouring under a misunderstanding of what has been taught. </w:t>
      </w:r>
    </w:p>
    <w:p w14:paraId="43D67D40" w14:textId="77777777" w:rsidR="004418BF" w:rsidRPr="009B5FB8" w:rsidRDefault="004418BF" w:rsidP="009B5FB8">
      <w:pPr>
        <w:spacing w:line="360" w:lineRule="auto"/>
        <w:rPr>
          <w:rFonts w:cstheme="minorHAnsi"/>
          <w:sz w:val="23"/>
          <w:szCs w:val="23"/>
        </w:rPr>
      </w:pPr>
      <w:r w:rsidRPr="009B5FB8">
        <w:rPr>
          <w:rFonts w:cstheme="minorHAnsi"/>
          <w:sz w:val="23"/>
          <w:szCs w:val="23"/>
        </w:rPr>
        <w:t xml:space="preserve">Creating a question with a set of answers which will give a teacher specific information about what concepts were and were not understood results in a ‘diagnostic question’ </w:t>
      </w:r>
      <w:bookmarkEnd w:id="8"/>
      <w:r w:rsidRPr="009B5FB8">
        <w:rPr>
          <w:rFonts w:cstheme="minorHAnsi"/>
          <w:sz w:val="23"/>
          <w:szCs w:val="23"/>
        </w:rPr>
        <w:t>(</w:t>
      </w:r>
      <w:proofErr w:type="spellStart"/>
      <w:r w:rsidRPr="009B5FB8">
        <w:rPr>
          <w:rFonts w:cstheme="minorHAnsi"/>
          <w:sz w:val="23"/>
          <w:szCs w:val="23"/>
        </w:rPr>
        <w:t>Nurlaila</w:t>
      </w:r>
      <w:proofErr w:type="spellEnd"/>
      <w:r w:rsidRPr="009B5FB8">
        <w:rPr>
          <w:rFonts w:cstheme="minorHAnsi"/>
          <w:sz w:val="23"/>
          <w:szCs w:val="23"/>
        </w:rPr>
        <w:t xml:space="preserve">, </w:t>
      </w:r>
      <w:proofErr w:type="spellStart"/>
      <w:r w:rsidRPr="009B5FB8">
        <w:rPr>
          <w:rFonts w:cstheme="minorHAnsi"/>
          <w:sz w:val="23"/>
          <w:szCs w:val="23"/>
        </w:rPr>
        <w:t>Sriyati</w:t>
      </w:r>
      <w:proofErr w:type="spellEnd"/>
      <w:r w:rsidRPr="009B5FB8">
        <w:rPr>
          <w:rFonts w:cstheme="minorHAnsi"/>
          <w:sz w:val="23"/>
          <w:szCs w:val="23"/>
        </w:rPr>
        <w:t xml:space="preserve"> and </w:t>
      </w:r>
      <w:proofErr w:type="spellStart"/>
      <w:r w:rsidRPr="009B5FB8">
        <w:rPr>
          <w:rFonts w:cstheme="minorHAnsi"/>
          <w:sz w:val="23"/>
          <w:szCs w:val="23"/>
        </w:rPr>
        <w:t>Riandi</w:t>
      </w:r>
      <w:proofErr w:type="spellEnd"/>
      <w:r w:rsidRPr="009B5FB8">
        <w:rPr>
          <w:rFonts w:cstheme="minorHAnsi"/>
          <w:sz w:val="23"/>
          <w:szCs w:val="23"/>
        </w:rPr>
        <w:t xml:space="preserve">, 2017). The answer options for any given diagnostic question can be set by the individual teacher to highlight common misconceptions related to that particular topic, but the most important element of a diagnostic question according to Wiliam (2017) is that “it must be very unlikely that the student gets the correct answer for the wrong reason” (p111). According to Wiliam (2017) there are two main uses for diagnostic questions. The first being at the beginning of a topic as a way of discovering what information the students may already know and the second being part way through a topic, before moving on to introduce more material, as a check for understanding. The result of these uses of diagnostic questions will directly affect what happens next in a lesson so act as a pivot, or hinge, around which the teacher can </w:t>
      </w:r>
      <w:proofErr w:type="spellStart"/>
      <w:r w:rsidRPr="009B5FB8">
        <w:rPr>
          <w:rFonts w:cstheme="minorHAnsi"/>
          <w:sz w:val="23"/>
          <w:szCs w:val="23"/>
        </w:rPr>
        <w:t>revolve</w:t>
      </w:r>
      <w:proofErr w:type="spellEnd"/>
      <w:r w:rsidRPr="009B5FB8">
        <w:rPr>
          <w:rFonts w:cstheme="minorHAnsi"/>
          <w:sz w:val="23"/>
          <w:szCs w:val="23"/>
        </w:rPr>
        <w:t xml:space="preserve"> the lesson whilst maintaining cohesion. Using a Hinge Question is a necessary check for understanding for two specific reasons (Renshaw, 2015). Firstly, as mentioned above, at a point where the teacher would move students on to new material and secondly where understanding </w:t>
      </w:r>
      <w:r w:rsidRPr="009B5FB8">
        <w:rPr>
          <w:rFonts w:cstheme="minorHAnsi"/>
          <w:sz w:val="23"/>
          <w:szCs w:val="23"/>
        </w:rPr>
        <w:lastRenderedPageBreak/>
        <w:t>the material which has been taught before the hinge is prerequisite knowledge for the next part of the lesson. Because of these two objectives Wiliam (2017) suggests these two guiding principles for hinge questions. It should take students no more than two minutes to engage with the question and produce a response. In considering how they expect students to respond, the teacher should aim to be able to view and interpret the classes responses in no more than thirty seconds to avoid the risk of the students getting off task.</w:t>
      </w:r>
    </w:p>
    <w:p w14:paraId="168FE601" w14:textId="77777777" w:rsidR="004418BF" w:rsidRPr="009B5FB8" w:rsidRDefault="004418BF" w:rsidP="009B5FB8">
      <w:pPr>
        <w:spacing w:line="360" w:lineRule="auto"/>
        <w:rPr>
          <w:rFonts w:cstheme="minorHAnsi"/>
          <w:sz w:val="23"/>
          <w:szCs w:val="23"/>
        </w:rPr>
      </w:pPr>
      <w:bookmarkStart w:id="11" w:name="_Hlk150027097"/>
      <w:bookmarkEnd w:id="10"/>
    </w:p>
    <w:p w14:paraId="29778177" w14:textId="3D18B16D" w:rsidR="004418BF" w:rsidRPr="009B5FB8" w:rsidRDefault="004418BF" w:rsidP="009B5FB8">
      <w:pPr>
        <w:spacing w:line="360" w:lineRule="auto"/>
        <w:rPr>
          <w:rFonts w:cstheme="minorHAnsi"/>
          <w:sz w:val="23"/>
          <w:szCs w:val="23"/>
        </w:rPr>
      </w:pPr>
      <w:r w:rsidRPr="009B5FB8">
        <w:rPr>
          <w:rFonts w:cstheme="minorHAnsi"/>
          <w:sz w:val="23"/>
          <w:szCs w:val="23"/>
        </w:rPr>
        <w:t xml:space="preserve">Think – Pair – Share is a strategy which encourages students to collaborate and explore diverse perspectives (Bromley, 2023). It encourages cooperative learning and can allow students more time to engage with a question than some of the more traditional questioning methods (Kusuma </w:t>
      </w:r>
      <w:r w:rsidRPr="009B5FB8">
        <w:rPr>
          <w:rFonts w:cstheme="minorHAnsi"/>
          <w:i/>
          <w:iCs/>
          <w:sz w:val="23"/>
          <w:szCs w:val="23"/>
        </w:rPr>
        <w:t xml:space="preserve">et al, </w:t>
      </w:r>
      <w:r w:rsidRPr="009B5FB8">
        <w:rPr>
          <w:rFonts w:cstheme="minorHAnsi"/>
          <w:sz w:val="23"/>
          <w:szCs w:val="23"/>
        </w:rPr>
        <w:t xml:space="preserve">2019). In Successful Futures (2015) Donaldson suggested that the new curriculum in Wales should aim to strengthen young people’s literacy and numeracy skills. As part of the new Curriculum for Wales (Welsh Government, </w:t>
      </w:r>
      <w:r w:rsidR="00CA54B8" w:rsidRPr="009B5FB8">
        <w:rPr>
          <w:rFonts w:cstheme="minorHAnsi"/>
          <w:sz w:val="23"/>
          <w:szCs w:val="23"/>
        </w:rPr>
        <w:t>2021)</w:t>
      </w:r>
      <w:r w:rsidRPr="009B5FB8">
        <w:rPr>
          <w:rFonts w:cstheme="minorHAnsi"/>
          <w:sz w:val="23"/>
          <w:szCs w:val="23"/>
        </w:rPr>
        <w:t xml:space="preserve"> the Welsh Government developed literacy, </w:t>
      </w:r>
      <w:proofErr w:type="gramStart"/>
      <w:r w:rsidRPr="009B5FB8">
        <w:rPr>
          <w:rFonts w:cstheme="minorHAnsi"/>
          <w:sz w:val="23"/>
          <w:szCs w:val="23"/>
        </w:rPr>
        <w:t>numeracy</w:t>
      </w:r>
      <w:proofErr w:type="gramEnd"/>
      <w:r w:rsidRPr="009B5FB8">
        <w:rPr>
          <w:rFonts w:cstheme="minorHAnsi"/>
          <w:sz w:val="23"/>
          <w:szCs w:val="23"/>
        </w:rPr>
        <w:t xml:space="preserve"> and digital competence frameworks. Think – Pair – Share is a method which develops children’s literacy skills (Big Heart Media, 2010) by exercising students in both speaking and listening thereby engaging two of the four strands of the Literacy Framework (Welsh Government 2020). As well as having a noticeable impact on Student A in the observed critical incident, there has been research which shows that using Think – Pair – Share can increase students’ learning outcomes as well as their participation in learning (</w:t>
      </w:r>
      <w:proofErr w:type="spellStart"/>
      <w:r w:rsidRPr="009B5FB8">
        <w:rPr>
          <w:rFonts w:cstheme="minorHAnsi"/>
          <w:sz w:val="23"/>
          <w:szCs w:val="23"/>
        </w:rPr>
        <w:t>Citrawathi</w:t>
      </w:r>
      <w:proofErr w:type="spellEnd"/>
      <w:r w:rsidRPr="009B5FB8">
        <w:rPr>
          <w:rFonts w:cstheme="minorHAnsi"/>
          <w:sz w:val="23"/>
          <w:szCs w:val="23"/>
        </w:rPr>
        <w:t xml:space="preserve">, </w:t>
      </w:r>
      <w:proofErr w:type="spellStart"/>
      <w:r w:rsidRPr="009B5FB8">
        <w:rPr>
          <w:rFonts w:cstheme="minorHAnsi"/>
          <w:sz w:val="23"/>
          <w:szCs w:val="23"/>
        </w:rPr>
        <w:t>Widiyanti</w:t>
      </w:r>
      <w:proofErr w:type="spellEnd"/>
      <w:r w:rsidRPr="009B5FB8">
        <w:rPr>
          <w:rFonts w:cstheme="minorHAnsi"/>
          <w:sz w:val="23"/>
          <w:szCs w:val="23"/>
        </w:rPr>
        <w:t xml:space="preserve"> and </w:t>
      </w:r>
      <w:proofErr w:type="spellStart"/>
      <w:r w:rsidRPr="009B5FB8">
        <w:rPr>
          <w:rFonts w:cstheme="minorHAnsi"/>
          <w:sz w:val="23"/>
          <w:szCs w:val="23"/>
        </w:rPr>
        <w:t>Adnyana</w:t>
      </w:r>
      <w:proofErr w:type="spellEnd"/>
      <w:r w:rsidRPr="009B5FB8">
        <w:rPr>
          <w:rFonts w:cstheme="minorHAnsi"/>
          <w:sz w:val="23"/>
          <w:szCs w:val="23"/>
        </w:rPr>
        <w:t>, 2019).</w:t>
      </w:r>
    </w:p>
    <w:bookmarkEnd w:id="11"/>
    <w:p w14:paraId="332F5B28" w14:textId="398F6F19" w:rsidR="0087594A" w:rsidRPr="009B5FB8" w:rsidRDefault="0087594A" w:rsidP="009B5FB8">
      <w:pPr>
        <w:spacing w:line="360" w:lineRule="auto"/>
        <w:rPr>
          <w:rFonts w:cstheme="minorHAnsi"/>
          <w:sz w:val="23"/>
          <w:szCs w:val="23"/>
        </w:rPr>
      </w:pPr>
      <w:r w:rsidRPr="009B5FB8">
        <w:rPr>
          <w:rFonts w:cstheme="minorHAnsi"/>
          <w:sz w:val="23"/>
          <w:szCs w:val="23"/>
        </w:rPr>
        <w:t>Having engaged with the ideas and methodologies of Tripp (2012) I was able to observe and record part of a lesson and identify an event to examine and thereby create a critical incident. Using models of reflective practice such as Gibbs Reflective Cycle I analysed the observed critical incident and identified questioning as an area to examine further. By engaging with the work of Dylan Wiliam, Rosenshine and others I have concluded that questioning is an essential tool for teachers when assessing the progress of students learning. This can be done using a variety of questioning techniques and the literature suggests that different classroom settings lend themselves better to different questioning techniques. The use of open and closed questions is an effective way to vary the questions teachers ask and Bloom’s Taxonomy forms a sloid basis to expand the complexity of questions. Wiliam identifies that Hinge questions have a specific use in the classroom as a way of checking for understanding and assessing the classes readiness to move on to new material.</w:t>
      </w:r>
    </w:p>
    <w:p w14:paraId="3AC8CD72" w14:textId="77777777" w:rsidR="0087594A" w:rsidRPr="009B5FB8" w:rsidRDefault="0087594A" w:rsidP="009B5FB8">
      <w:pPr>
        <w:spacing w:line="360" w:lineRule="auto"/>
        <w:rPr>
          <w:rFonts w:cstheme="minorHAnsi"/>
          <w:sz w:val="23"/>
          <w:szCs w:val="23"/>
        </w:rPr>
      </w:pPr>
    </w:p>
    <w:p w14:paraId="22B6028E" w14:textId="24C3AFE7" w:rsidR="00121AD2" w:rsidRPr="009B5FB8" w:rsidRDefault="0087594A" w:rsidP="009B5FB8">
      <w:pPr>
        <w:spacing w:line="360" w:lineRule="auto"/>
        <w:rPr>
          <w:rFonts w:cstheme="minorHAnsi"/>
          <w:sz w:val="23"/>
          <w:szCs w:val="23"/>
        </w:rPr>
      </w:pPr>
      <w:bookmarkStart w:id="12" w:name="_Hlk150091409"/>
      <w:r w:rsidRPr="009B5FB8">
        <w:rPr>
          <w:rFonts w:cstheme="minorHAnsi"/>
          <w:sz w:val="23"/>
          <w:szCs w:val="23"/>
        </w:rPr>
        <w:t>Based on the observed critical incident and engagement with relevant literature I have identified two teaching and learning steps which I will incorporate into my professional practice. I believe the use of Hinge Questions could be a powerful tool within the classroom. The use of them as a way of assessing the classes readiness to engage with new material could help minimise the number of students who struggle to engage with the new material because they are still trying to process what has come before. As a student I believe the use of Hinge Questions at the beginning of a lesson will be valuable as I am not the classes regular teacher, and it could help identify how much knowledge the students possess on the topic I am preparing to teach them</w:t>
      </w:r>
      <w:bookmarkEnd w:id="12"/>
      <w:r w:rsidRPr="009B5FB8">
        <w:rPr>
          <w:rFonts w:cstheme="minorHAnsi"/>
          <w:sz w:val="23"/>
          <w:szCs w:val="23"/>
        </w:rPr>
        <w:t>. I have also been inspired to develop a variety of all-student response systems to engage students and build a classroom culture where students cannot opt out. Using techniques such as finger voting would allow for Assessment for Learning opportunities as well as involving all students. It has been demonstrated that Think – Pair – Share increases pupil engagement and through the observed critical incident I have seen how it can positively impact a student’s confidence to participate in class discussions.</w:t>
      </w:r>
    </w:p>
    <w:p w14:paraId="023FEAFE" w14:textId="77777777" w:rsidR="00121AD2" w:rsidRPr="009B5FB8" w:rsidRDefault="00121AD2" w:rsidP="009B5FB8">
      <w:pPr>
        <w:spacing w:line="360" w:lineRule="auto"/>
        <w:rPr>
          <w:rFonts w:cstheme="minorHAnsi"/>
          <w:sz w:val="23"/>
          <w:szCs w:val="23"/>
        </w:rPr>
      </w:pPr>
      <w:r w:rsidRPr="009B5FB8">
        <w:rPr>
          <w:rFonts w:cstheme="minorHAnsi"/>
          <w:sz w:val="23"/>
          <w:szCs w:val="23"/>
        </w:rPr>
        <w:br w:type="page"/>
      </w:r>
    </w:p>
    <w:p w14:paraId="54E921FD" w14:textId="60D0142A" w:rsidR="00825020" w:rsidRPr="00825020" w:rsidRDefault="00121AD2" w:rsidP="00825020">
      <w:pPr>
        <w:spacing w:line="360" w:lineRule="auto"/>
        <w:jc w:val="center"/>
        <w:rPr>
          <w:rFonts w:cstheme="minorHAnsi"/>
          <w:sz w:val="23"/>
          <w:szCs w:val="23"/>
          <w:u w:val="single"/>
        </w:rPr>
      </w:pPr>
      <w:r w:rsidRPr="009B5FB8">
        <w:rPr>
          <w:rFonts w:cstheme="minorHAnsi"/>
          <w:sz w:val="23"/>
          <w:szCs w:val="23"/>
          <w:u w:val="single"/>
        </w:rPr>
        <w:t>Reference</w:t>
      </w:r>
      <w:r w:rsidR="00347F0A" w:rsidRPr="009B5FB8">
        <w:rPr>
          <w:rFonts w:cstheme="minorHAnsi"/>
          <w:sz w:val="23"/>
          <w:szCs w:val="23"/>
          <w:u w:val="single"/>
        </w:rPr>
        <w:t xml:space="preserve"> List</w:t>
      </w:r>
    </w:p>
    <w:p w14:paraId="0EC9C8D8" w14:textId="77777777" w:rsidR="00825020" w:rsidRDefault="00825020" w:rsidP="009B5FB8">
      <w:pPr>
        <w:pStyle w:val="Default"/>
        <w:spacing w:line="276" w:lineRule="auto"/>
        <w:rPr>
          <w:rFonts w:asciiTheme="minorHAnsi" w:hAnsiTheme="minorHAnsi" w:cstheme="minorHAnsi"/>
          <w:color w:val="232323"/>
          <w:sz w:val="23"/>
          <w:szCs w:val="23"/>
          <w:shd w:val="clear" w:color="auto" w:fill="FFFFFF"/>
        </w:rPr>
      </w:pPr>
      <w:r w:rsidRPr="009B5FB8">
        <w:rPr>
          <w:rFonts w:asciiTheme="minorHAnsi" w:hAnsiTheme="minorHAnsi" w:cstheme="minorHAnsi"/>
          <w:color w:val="232323"/>
          <w:sz w:val="23"/>
          <w:szCs w:val="23"/>
          <w:shd w:val="clear" w:color="auto" w:fill="FFFFFF"/>
        </w:rPr>
        <w:t xml:space="preserve">Big Heart Media. (2010) </w:t>
      </w:r>
      <w:r w:rsidRPr="009B5FB8">
        <w:rPr>
          <w:rFonts w:asciiTheme="minorHAnsi" w:hAnsiTheme="minorHAnsi" w:cstheme="minorHAnsi"/>
          <w:i/>
          <w:iCs/>
          <w:color w:val="232323"/>
          <w:sz w:val="23"/>
          <w:szCs w:val="23"/>
          <w:shd w:val="clear" w:color="auto" w:fill="FFFFFF"/>
        </w:rPr>
        <w:t xml:space="preserve">Teaching Strategies: Think Pair Share. </w:t>
      </w:r>
      <w:r w:rsidRPr="009B5FB8">
        <w:rPr>
          <w:rFonts w:asciiTheme="minorHAnsi" w:hAnsiTheme="minorHAnsi" w:cstheme="minorHAnsi"/>
          <w:color w:val="232323"/>
          <w:sz w:val="23"/>
          <w:szCs w:val="23"/>
          <w:shd w:val="clear" w:color="auto" w:fill="FFFFFF"/>
        </w:rPr>
        <w:t xml:space="preserve">Available at: </w:t>
      </w:r>
      <w:hyperlink r:id="rId4" w:history="1">
        <w:r w:rsidRPr="009B5FB8">
          <w:rPr>
            <w:rStyle w:val="Hyperlink"/>
            <w:rFonts w:asciiTheme="minorHAnsi" w:hAnsiTheme="minorHAnsi" w:cstheme="minorHAnsi"/>
            <w:sz w:val="23"/>
            <w:szCs w:val="23"/>
            <w:shd w:val="clear" w:color="auto" w:fill="FFFFFF"/>
          </w:rPr>
          <w:t>https://video-alexanderstreet-com.ezproxy.uwtsd.ac.uk/watch/teaching-strategies-think-pair-share?utm_campaign=Video&amp;utm_medium=MARC&amp;utm_source=aspresolver</w:t>
        </w:r>
      </w:hyperlink>
      <w:r w:rsidRPr="009B5FB8">
        <w:rPr>
          <w:rFonts w:asciiTheme="minorHAnsi" w:hAnsiTheme="minorHAnsi" w:cstheme="minorHAnsi"/>
          <w:color w:val="232323"/>
          <w:sz w:val="23"/>
          <w:szCs w:val="23"/>
          <w:shd w:val="clear" w:color="auto" w:fill="FFFFFF"/>
        </w:rPr>
        <w:t xml:space="preserve"> (Accessed 3 November 2023)</w:t>
      </w:r>
    </w:p>
    <w:p w14:paraId="56D7938E" w14:textId="77777777" w:rsidR="00825020" w:rsidRPr="009B5FB8" w:rsidRDefault="00825020" w:rsidP="009B5FB8">
      <w:pPr>
        <w:pStyle w:val="Default"/>
        <w:spacing w:line="276" w:lineRule="auto"/>
        <w:rPr>
          <w:rFonts w:asciiTheme="minorHAnsi" w:hAnsiTheme="minorHAnsi" w:cstheme="minorHAnsi"/>
          <w:color w:val="232323"/>
          <w:sz w:val="23"/>
          <w:szCs w:val="23"/>
          <w:shd w:val="clear" w:color="auto" w:fill="FFFFFF"/>
        </w:rPr>
      </w:pPr>
    </w:p>
    <w:p w14:paraId="6E2AC974" w14:textId="77777777" w:rsidR="00825020" w:rsidRDefault="00825020" w:rsidP="009B5FB8">
      <w:pPr>
        <w:pStyle w:val="Default"/>
        <w:spacing w:line="276" w:lineRule="auto"/>
        <w:rPr>
          <w:rFonts w:asciiTheme="minorHAnsi" w:hAnsiTheme="minorHAnsi" w:cstheme="minorHAnsi"/>
          <w:color w:val="232323"/>
          <w:sz w:val="23"/>
          <w:szCs w:val="23"/>
          <w:shd w:val="clear" w:color="auto" w:fill="FFFFFF"/>
        </w:rPr>
      </w:pPr>
      <w:r w:rsidRPr="009B5FB8">
        <w:rPr>
          <w:rFonts w:asciiTheme="minorHAnsi" w:hAnsiTheme="minorHAnsi" w:cstheme="minorHAnsi"/>
          <w:color w:val="232323"/>
          <w:sz w:val="23"/>
          <w:szCs w:val="23"/>
          <w:shd w:val="clear" w:color="auto" w:fill="FFFFFF"/>
        </w:rPr>
        <w:t xml:space="preserve">Bloom, B.S. (1956) </w:t>
      </w:r>
      <w:r w:rsidRPr="009B5FB8">
        <w:rPr>
          <w:rFonts w:asciiTheme="minorHAnsi" w:hAnsiTheme="minorHAnsi" w:cstheme="minorHAnsi"/>
          <w:i/>
          <w:iCs/>
          <w:color w:val="232323"/>
          <w:sz w:val="23"/>
          <w:szCs w:val="23"/>
          <w:shd w:val="clear" w:color="auto" w:fill="FFFFFF"/>
        </w:rPr>
        <w:t>Taxonomy of Educational Objectives, Handbook: The Cognitive Domain</w:t>
      </w:r>
      <w:r w:rsidRPr="009B5FB8">
        <w:rPr>
          <w:rFonts w:asciiTheme="minorHAnsi" w:hAnsiTheme="minorHAnsi" w:cstheme="minorHAnsi"/>
          <w:color w:val="232323"/>
          <w:sz w:val="23"/>
          <w:szCs w:val="23"/>
          <w:shd w:val="clear" w:color="auto" w:fill="FFFFFF"/>
        </w:rPr>
        <w:t>. New York: David McKay</w:t>
      </w:r>
    </w:p>
    <w:p w14:paraId="0C21248A" w14:textId="77777777" w:rsidR="00825020" w:rsidRPr="009B5FB8" w:rsidRDefault="00825020" w:rsidP="009B5FB8">
      <w:pPr>
        <w:pStyle w:val="Default"/>
        <w:spacing w:line="276" w:lineRule="auto"/>
        <w:rPr>
          <w:rFonts w:asciiTheme="minorHAnsi" w:hAnsiTheme="minorHAnsi" w:cstheme="minorHAnsi"/>
          <w:color w:val="232323"/>
          <w:sz w:val="23"/>
          <w:szCs w:val="23"/>
          <w:shd w:val="clear" w:color="auto" w:fill="FFFFFF"/>
        </w:rPr>
      </w:pPr>
    </w:p>
    <w:p w14:paraId="7A7F4FD0" w14:textId="77777777" w:rsidR="00825020" w:rsidRPr="009B5FB8" w:rsidRDefault="00825020" w:rsidP="009B5FB8">
      <w:pPr>
        <w:spacing w:line="276" w:lineRule="auto"/>
        <w:rPr>
          <w:rFonts w:cstheme="minorHAnsi"/>
          <w:sz w:val="23"/>
          <w:szCs w:val="23"/>
        </w:rPr>
      </w:pPr>
      <w:r w:rsidRPr="009B5FB8">
        <w:rPr>
          <w:rFonts w:cstheme="minorHAnsi"/>
          <w:sz w:val="23"/>
          <w:szCs w:val="23"/>
        </w:rPr>
        <w:t>Bromley, M. (2023)</w:t>
      </w:r>
      <w:r w:rsidRPr="009B5FB8">
        <w:rPr>
          <w:rFonts w:cstheme="minorHAnsi"/>
          <w:i/>
          <w:iCs/>
          <w:sz w:val="23"/>
          <w:szCs w:val="23"/>
        </w:rPr>
        <w:t xml:space="preserve"> A Questioning Classroom: 13 Techniques for Teachers. </w:t>
      </w:r>
      <w:r w:rsidRPr="009B5FB8">
        <w:rPr>
          <w:rFonts w:cstheme="minorHAnsi"/>
          <w:sz w:val="23"/>
          <w:szCs w:val="23"/>
        </w:rPr>
        <w:t xml:space="preserve">Available at: </w:t>
      </w:r>
      <w:hyperlink r:id="rId5" w:history="1">
        <w:r w:rsidRPr="009B5FB8">
          <w:rPr>
            <w:rStyle w:val="Hyperlink"/>
            <w:rFonts w:cstheme="minorHAnsi"/>
            <w:sz w:val="23"/>
            <w:szCs w:val="23"/>
          </w:rPr>
          <w:t>https://www.sec-ed.co.uk/content/best-practice/a-questioning-classroom-13-techniques-for-teachers/?utm_campaign=SecEd%20-%20021123&amp;utm_content=A%20questioning%20classroom%3A%2013%20techniques%20for%20teachers&amp;utm_term=https%3A%2F%2Fwww.sec-ed.co.uk%2Fcontent%2Fbest-practice%2Fa-questioning-classroom-13-techniques-for-teachers%2F&amp;utm_medium=email&amp;utm_source=SecEd</w:t>
        </w:r>
      </w:hyperlink>
      <w:r w:rsidRPr="009B5FB8">
        <w:rPr>
          <w:rFonts w:cstheme="minorHAnsi"/>
          <w:sz w:val="23"/>
          <w:szCs w:val="23"/>
        </w:rPr>
        <w:t xml:space="preserve"> (Accessed: 2 November 2023)</w:t>
      </w:r>
    </w:p>
    <w:p w14:paraId="0125D554"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Brookfield, S. (1998) ‘Using the Lenses of Critically Reflective Teaching in the Community College Classroom’, </w:t>
      </w:r>
      <w:r w:rsidRPr="009B5FB8">
        <w:rPr>
          <w:rFonts w:cstheme="minorHAnsi"/>
          <w:i/>
          <w:iCs/>
          <w:sz w:val="23"/>
          <w:szCs w:val="23"/>
        </w:rPr>
        <w:t xml:space="preserve">New Directions for Community Colleges </w:t>
      </w:r>
      <w:r w:rsidRPr="009B5FB8">
        <w:rPr>
          <w:rFonts w:cstheme="minorHAnsi"/>
          <w:sz w:val="23"/>
          <w:szCs w:val="23"/>
        </w:rPr>
        <w:t xml:space="preserve">118(Summer), 31-38. Available at: </w:t>
      </w:r>
      <w:hyperlink r:id="rId6" w:history="1">
        <w:r w:rsidRPr="009B5FB8">
          <w:rPr>
            <w:rStyle w:val="Hyperlink"/>
            <w:rFonts w:cstheme="minorHAnsi"/>
            <w:sz w:val="23"/>
            <w:szCs w:val="23"/>
          </w:rPr>
          <w:t>https://beedie.sfu.ca/assets/files/PDF/faculty-portal/Teaching@Beedie/Critically-Reflective-Teaching-2.pdf</w:t>
        </w:r>
      </w:hyperlink>
      <w:r w:rsidRPr="009B5FB8">
        <w:rPr>
          <w:rFonts w:cstheme="minorHAnsi"/>
          <w:sz w:val="23"/>
          <w:szCs w:val="23"/>
        </w:rPr>
        <w:t xml:space="preserve"> (Accessed: 01 October 2023)</w:t>
      </w:r>
    </w:p>
    <w:p w14:paraId="2375A73F"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Calderhead, J. (1989) ‘Reflective Teaching and Teacher Education’, </w:t>
      </w:r>
      <w:r w:rsidRPr="009B5FB8">
        <w:rPr>
          <w:rFonts w:cstheme="minorHAnsi"/>
          <w:i/>
          <w:iCs/>
          <w:sz w:val="23"/>
          <w:szCs w:val="23"/>
        </w:rPr>
        <w:t xml:space="preserve">Teaching and Teacher Education </w:t>
      </w:r>
      <w:r w:rsidRPr="009B5FB8">
        <w:rPr>
          <w:rFonts w:cstheme="minorHAnsi"/>
          <w:sz w:val="23"/>
          <w:szCs w:val="23"/>
        </w:rPr>
        <w:t xml:space="preserve">5(1), 43-51. DOI: </w:t>
      </w:r>
      <w:hyperlink r:id="rId7" w:tgtFrame="_blank" w:tooltip="Persistent link using digital object identifier" w:history="1">
        <w:r w:rsidRPr="009B5FB8">
          <w:rPr>
            <w:rStyle w:val="anchor-text"/>
            <w:rFonts w:cstheme="minorHAnsi"/>
            <w:color w:val="0272B1"/>
            <w:sz w:val="23"/>
            <w:szCs w:val="23"/>
            <w:u w:val="single"/>
          </w:rPr>
          <w:t>https://doi.org/10.1016/0742-051X(89)90018-8</w:t>
        </w:r>
      </w:hyperlink>
    </w:p>
    <w:p w14:paraId="739DEA69" w14:textId="77777777" w:rsidR="00825020" w:rsidRDefault="00825020" w:rsidP="009B5FB8">
      <w:pPr>
        <w:pStyle w:val="Default"/>
        <w:spacing w:line="276" w:lineRule="auto"/>
        <w:rPr>
          <w:rFonts w:asciiTheme="minorHAnsi" w:hAnsiTheme="minorHAnsi" w:cstheme="minorHAnsi"/>
          <w:color w:val="auto"/>
          <w:sz w:val="23"/>
          <w:szCs w:val="23"/>
        </w:rPr>
      </w:pPr>
      <w:proofErr w:type="spellStart"/>
      <w:r w:rsidRPr="009B5FB8">
        <w:rPr>
          <w:rFonts w:asciiTheme="minorHAnsi" w:hAnsiTheme="minorHAnsi" w:cstheme="minorHAnsi"/>
          <w:color w:val="auto"/>
          <w:sz w:val="23"/>
          <w:szCs w:val="23"/>
        </w:rPr>
        <w:t>Citrawathi</w:t>
      </w:r>
      <w:proofErr w:type="spellEnd"/>
      <w:r w:rsidRPr="009B5FB8">
        <w:rPr>
          <w:rFonts w:asciiTheme="minorHAnsi" w:hAnsiTheme="minorHAnsi" w:cstheme="minorHAnsi"/>
          <w:color w:val="auto"/>
          <w:sz w:val="23"/>
          <w:szCs w:val="23"/>
        </w:rPr>
        <w:t xml:space="preserve">, D.M., </w:t>
      </w:r>
      <w:proofErr w:type="spellStart"/>
      <w:r w:rsidRPr="009B5FB8">
        <w:rPr>
          <w:rFonts w:asciiTheme="minorHAnsi" w:hAnsiTheme="minorHAnsi" w:cstheme="minorHAnsi"/>
          <w:color w:val="auto"/>
          <w:sz w:val="23"/>
          <w:szCs w:val="23"/>
        </w:rPr>
        <w:t>Widiyanti</w:t>
      </w:r>
      <w:proofErr w:type="spellEnd"/>
      <w:r w:rsidRPr="009B5FB8">
        <w:rPr>
          <w:rFonts w:asciiTheme="minorHAnsi" w:hAnsiTheme="minorHAnsi" w:cstheme="minorHAnsi"/>
          <w:color w:val="auto"/>
          <w:sz w:val="23"/>
          <w:szCs w:val="23"/>
        </w:rPr>
        <w:t xml:space="preserve">, N.P.M. and </w:t>
      </w:r>
      <w:proofErr w:type="spellStart"/>
      <w:r w:rsidRPr="009B5FB8">
        <w:rPr>
          <w:rFonts w:asciiTheme="minorHAnsi" w:hAnsiTheme="minorHAnsi" w:cstheme="minorHAnsi"/>
          <w:color w:val="auto"/>
          <w:sz w:val="23"/>
          <w:szCs w:val="23"/>
        </w:rPr>
        <w:t>Adnyana</w:t>
      </w:r>
      <w:proofErr w:type="spellEnd"/>
      <w:r w:rsidRPr="009B5FB8">
        <w:rPr>
          <w:rFonts w:asciiTheme="minorHAnsi" w:hAnsiTheme="minorHAnsi" w:cstheme="minorHAnsi"/>
          <w:color w:val="auto"/>
          <w:sz w:val="23"/>
          <w:szCs w:val="23"/>
        </w:rPr>
        <w:t xml:space="preserve">, P.B. (2019) ‘The Effectiveness of the Think Pair Share Model Bases on Questions to Improve Students’ Participation and Students’ Learning Outcomes about Histology Structure of Digestive System’, </w:t>
      </w:r>
      <w:r w:rsidRPr="009B5FB8">
        <w:rPr>
          <w:rFonts w:asciiTheme="minorHAnsi" w:hAnsiTheme="minorHAnsi" w:cstheme="minorHAnsi"/>
          <w:i/>
          <w:iCs/>
          <w:color w:val="auto"/>
          <w:sz w:val="23"/>
          <w:szCs w:val="23"/>
        </w:rPr>
        <w:t xml:space="preserve">Journal of Physics: Conference Series, </w:t>
      </w:r>
      <w:r w:rsidRPr="009B5FB8">
        <w:rPr>
          <w:rFonts w:asciiTheme="minorHAnsi" w:hAnsiTheme="minorHAnsi" w:cstheme="minorHAnsi"/>
          <w:color w:val="auto"/>
          <w:sz w:val="23"/>
          <w:szCs w:val="23"/>
        </w:rPr>
        <w:t>1503(012040), 1-7. DOI: 10.1088/1742-6596/1503/1/012040</w:t>
      </w:r>
    </w:p>
    <w:p w14:paraId="44AE0E8F" w14:textId="77777777" w:rsidR="00825020" w:rsidRPr="009B5FB8" w:rsidRDefault="00825020" w:rsidP="009B5FB8">
      <w:pPr>
        <w:pStyle w:val="Default"/>
        <w:spacing w:line="276" w:lineRule="auto"/>
        <w:rPr>
          <w:rFonts w:asciiTheme="minorHAnsi" w:hAnsiTheme="minorHAnsi" w:cstheme="minorHAnsi"/>
          <w:color w:val="auto"/>
          <w:sz w:val="23"/>
          <w:szCs w:val="23"/>
        </w:rPr>
      </w:pPr>
    </w:p>
    <w:p w14:paraId="0C36B146"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Donaldson G, 2015. </w:t>
      </w:r>
      <w:r w:rsidRPr="009B5FB8">
        <w:rPr>
          <w:rFonts w:cstheme="minorHAnsi"/>
          <w:i/>
          <w:iCs/>
          <w:sz w:val="23"/>
          <w:szCs w:val="23"/>
        </w:rPr>
        <w:t xml:space="preserve">Successful Futures Independent Review of Curriculum and Assessment Arrangements in Wales. </w:t>
      </w:r>
      <w:r w:rsidRPr="009B5FB8">
        <w:rPr>
          <w:rFonts w:cstheme="minorHAnsi"/>
          <w:sz w:val="23"/>
          <w:szCs w:val="23"/>
        </w:rPr>
        <w:t xml:space="preserve">Available at: </w:t>
      </w:r>
      <w:hyperlink r:id="rId8" w:history="1">
        <w:r w:rsidRPr="009B5FB8">
          <w:rPr>
            <w:rStyle w:val="Hyperlink"/>
            <w:rFonts w:cstheme="minorHAnsi"/>
            <w:sz w:val="23"/>
            <w:szCs w:val="23"/>
          </w:rPr>
          <w:t>https://www.gov.wales/sites/default/files/publications/2018-03/successful-futures.pdf</w:t>
        </w:r>
      </w:hyperlink>
      <w:r w:rsidRPr="009B5FB8">
        <w:rPr>
          <w:rFonts w:cstheme="minorHAnsi"/>
          <w:sz w:val="23"/>
          <w:szCs w:val="23"/>
        </w:rPr>
        <w:t xml:space="preserve"> (Accessed: 26 September 2023)</w:t>
      </w:r>
    </w:p>
    <w:p w14:paraId="293B94AF" w14:textId="77777777" w:rsidR="00825020" w:rsidRPr="009B5FB8" w:rsidRDefault="00825020" w:rsidP="009B5FB8">
      <w:pPr>
        <w:spacing w:line="276" w:lineRule="auto"/>
        <w:rPr>
          <w:rFonts w:cstheme="minorHAnsi"/>
          <w:sz w:val="23"/>
          <w:szCs w:val="23"/>
        </w:rPr>
      </w:pPr>
      <w:r w:rsidRPr="009B5FB8">
        <w:rPr>
          <w:rFonts w:cstheme="minorHAnsi"/>
          <w:sz w:val="23"/>
          <w:szCs w:val="23"/>
        </w:rPr>
        <w:t>Forrester, M. (2020) ‘</w:t>
      </w:r>
      <w:r w:rsidRPr="009B5FB8">
        <w:rPr>
          <w:rFonts w:cstheme="minorHAnsi"/>
          <w:i/>
          <w:iCs/>
          <w:sz w:val="23"/>
          <w:szCs w:val="23"/>
        </w:rPr>
        <w:t>Reflection and Reflective Writing’</w:t>
      </w:r>
      <w:r w:rsidRPr="009B5FB8">
        <w:rPr>
          <w:rFonts w:cstheme="minorHAnsi"/>
          <w:sz w:val="23"/>
          <w:szCs w:val="23"/>
        </w:rPr>
        <w:t xml:space="preserve">, Clinical Educator Programme. Available at: </w:t>
      </w:r>
      <w:hyperlink r:id="rId9" w:history="1">
        <w:r w:rsidRPr="009B5FB8">
          <w:rPr>
            <w:rStyle w:val="Hyperlink"/>
            <w:rFonts w:cstheme="minorHAnsi"/>
            <w:sz w:val="23"/>
            <w:szCs w:val="23"/>
          </w:rPr>
          <w:t>https://www.clinicaleducator.org/en-gb/resource/735#:~:text=They%20can%20be%20a%20really,for%20personal%20or%20professional%20development</w:t>
        </w:r>
      </w:hyperlink>
      <w:r w:rsidRPr="009B5FB8">
        <w:rPr>
          <w:rFonts w:cstheme="minorHAnsi"/>
          <w:sz w:val="23"/>
          <w:szCs w:val="23"/>
        </w:rPr>
        <w:t>. (Accessed: 5 October 2023)</w:t>
      </w:r>
    </w:p>
    <w:p w14:paraId="6DC3D7A3" w14:textId="77777777" w:rsidR="00825020" w:rsidRPr="009B5FB8" w:rsidRDefault="00825020" w:rsidP="009B5FB8">
      <w:pPr>
        <w:spacing w:line="276" w:lineRule="auto"/>
        <w:rPr>
          <w:rFonts w:cstheme="minorHAnsi"/>
          <w:sz w:val="23"/>
          <w:szCs w:val="23"/>
        </w:rPr>
      </w:pPr>
      <w:r w:rsidRPr="009B5FB8">
        <w:rPr>
          <w:rFonts w:cstheme="minorHAnsi"/>
          <w:color w:val="0A0A0A"/>
          <w:sz w:val="23"/>
          <w:szCs w:val="23"/>
          <w:shd w:val="clear" w:color="auto" w:fill="FEFEFE"/>
        </w:rPr>
        <w:t>Furlong, J. (2020) ‘Re-forming Initial Teacher Education in Wales: A Personal Review of the Literature’, </w:t>
      </w:r>
      <w:r w:rsidRPr="009B5FB8">
        <w:rPr>
          <w:rFonts w:cstheme="minorHAnsi"/>
          <w:i/>
          <w:iCs/>
          <w:color w:val="0A0A0A"/>
          <w:sz w:val="23"/>
          <w:szCs w:val="23"/>
          <w:shd w:val="clear" w:color="auto" w:fill="FEFEFE"/>
        </w:rPr>
        <w:t>Wales Journal of Education</w:t>
      </w:r>
      <w:r w:rsidRPr="009B5FB8">
        <w:rPr>
          <w:rFonts w:cstheme="minorHAnsi"/>
          <w:color w:val="0A0A0A"/>
          <w:sz w:val="23"/>
          <w:szCs w:val="23"/>
          <w:shd w:val="clear" w:color="auto" w:fill="FEFEFE"/>
        </w:rPr>
        <w:t> 22(1), 38-59. DOI: </w:t>
      </w:r>
      <w:hyperlink r:id="rId10" w:history="1">
        <w:r w:rsidRPr="009B5FB8">
          <w:rPr>
            <w:rStyle w:val="Hyperlink"/>
            <w:rFonts w:cstheme="minorHAnsi"/>
            <w:sz w:val="23"/>
            <w:szCs w:val="23"/>
            <w:shd w:val="clear" w:color="auto" w:fill="FEFEFE"/>
          </w:rPr>
          <w:t>https://doi.org/10.16922/wje.22.1.3-en</w:t>
        </w:r>
      </w:hyperlink>
    </w:p>
    <w:p w14:paraId="0D346ECC"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Gibbs, G. (2013) </w:t>
      </w:r>
      <w:r w:rsidRPr="009B5FB8">
        <w:rPr>
          <w:rFonts w:cstheme="minorHAnsi"/>
          <w:i/>
          <w:iCs/>
          <w:sz w:val="23"/>
          <w:szCs w:val="23"/>
        </w:rPr>
        <w:t>Learning by Doing.</w:t>
      </w:r>
      <w:r w:rsidRPr="009B5FB8">
        <w:rPr>
          <w:rFonts w:cstheme="minorHAnsi"/>
          <w:sz w:val="23"/>
          <w:szCs w:val="23"/>
        </w:rPr>
        <w:t xml:space="preserve"> Oxford: Oxford Centre for Staff and Learning Development.</w:t>
      </w:r>
    </w:p>
    <w:p w14:paraId="2F8B2ED9"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Hodgen, J. and Wiliam, D. (2006) </w:t>
      </w:r>
      <w:r w:rsidRPr="009B5FB8">
        <w:rPr>
          <w:rFonts w:cstheme="minorHAnsi"/>
          <w:i/>
          <w:iCs/>
          <w:sz w:val="23"/>
          <w:szCs w:val="23"/>
        </w:rPr>
        <w:t xml:space="preserve">Mathematics Inside the Black Box. </w:t>
      </w:r>
      <w:r w:rsidRPr="009B5FB8">
        <w:rPr>
          <w:rFonts w:cstheme="minorHAnsi"/>
          <w:sz w:val="23"/>
          <w:szCs w:val="23"/>
        </w:rPr>
        <w:t>London: GL Assessment</w:t>
      </w:r>
    </w:p>
    <w:p w14:paraId="09911127" w14:textId="77777777" w:rsidR="00825020" w:rsidRPr="009B5FB8" w:rsidRDefault="00825020" w:rsidP="009B5FB8">
      <w:pPr>
        <w:pStyle w:val="Default"/>
        <w:spacing w:line="276" w:lineRule="auto"/>
        <w:rPr>
          <w:rFonts w:asciiTheme="minorHAnsi" w:hAnsiTheme="minorHAnsi" w:cstheme="minorHAnsi"/>
          <w:color w:val="auto"/>
          <w:sz w:val="23"/>
          <w:szCs w:val="23"/>
        </w:rPr>
      </w:pPr>
      <w:r w:rsidRPr="009B5FB8">
        <w:rPr>
          <w:rFonts w:asciiTheme="minorHAnsi" w:hAnsiTheme="minorHAnsi" w:cstheme="minorHAnsi"/>
          <w:color w:val="auto"/>
          <w:sz w:val="23"/>
          <w:szCs w:val="23"/>
        </w:rPr>
        <w:t xml:space="preserve">Holt, J. (1982) </w:t>
      </w:r>
      <w:r w:rsidRPr="009B5FB8">
        <w:rPr>
          <w:rFonts w:asciiTheme="minorHAnsi" w:hAnsiTheme="minorHAnsi" w:cstheme="minorHAnsi"/>
          <w:i/>
          <w:iCs/>
          <w:color w:val="auto"/>
          <w:sz w:val="23"/>
          <w:szCs w:val="23"/>
        </w:rPr>
        <w:t>How Children Fail</w:t>
      </w:r>
      <w:r w:rsidRPr="009B5FB8">
        <w:rPr>
          <w:rFonts w:asciiTheme="minorHAnsi" w:hAnsiTheme="minorHAnsi" w:cstheme="minorHAnsi"/>
          <w:color w:val="auto"/>
          <w:sz w:val="23"/>
          <w:szCs w:val="23"/>
        </w:rPr>
        <w:t>. London: Penguin Education</w:t>
      </w:r>
    </w:p>
    <w:p w14:paraId="7E67530E" w14:textId="77777777" w:rsidR="00825020" w:rsidRPr="009B5FB8" w:rsidRDefault="00825020" w:rsidP="009B5FB8">
      <w:pPr>
        <w:pStyle w:val="NormalWeb"/>
        <w:spacing w:line="276" w:lineRule="auto"/>
        <w:ind w:left="567" w:hanging="567"/>
        <w:rPr>
          <w:rFonts w:asciiTheme="minorHAnsi" w:hAnsiTheme="minorHAnsi" w:cstheme="minorHAnsi"/>
          <w:sz w:val="23"/>
          <w:szCs w:val="23"/>
        </w:rPr>
      </w:pPr>
      <w:r w:rsidRPr="009B5FB8">
        <w:rPr>
          <w:rFonts w:asciiTheme="minorHAnsi" w:hAnsiTheme="minorHAnsi" w:cstheme="minorHAnsi"/>
          <w:sz w:val="23"/>
          <w:szCs w:val="23"/>
        </w:rPr>
        <w:t xml:space="preserve">Kerry, T. (2002) </w:t>
      </w:r>
      <w:r w:rsidRPr="009B5FB8">
        <w:rPr>
          <w:rFonts w:asciiTheme="minorHAnsi" w:hAnsiTheme="minorHAnsi" w:cstheme="minorHAnsi"/>
          <w:i/>
          <w:iCs/>
          <w:sz w:val="23"/>
          <w:szCs w:val="23"/>
        </w:rPr>
        <w:t>Explaining and questioning</w:t>
      </w:r>
      <w:r w:rsidRPr="009B5FB8">
        <w:rPr>
          <w:rFonts w:asciiTheme="minorHAnsi" w:hAnsiTheme="minorHAnsi" w:cstheme="minorHAnsi"/>
          <w:sz w:val="23"/>
          <w:szCs w:val="23"/>
        </w:rPr>
        <w:t xml:space="preserve">. Cheltenham: Nelson Thornes. </w:t>
      </w:r>
    </w:p>
    <w:p w14:paraId="5CEA496E" w14:textId="77777777" w:rsidR="00825020" w:rsidRDefault="00825020" w:rsidP="009B5FB8">
      <w:pPr>
        <w:pStyle w:val="Default"/>
        <w:spacing w:line="276" w:lineRule="auto"/>
        <w:rPr>
          <w:rFonts w:asciiTheme="minorHAnsi" w:hAnsiTheme="minorHAnsi" w:cstheme="minorHAnsi"/>
          <w:color w:val="auto"/>
          <w:sz w:val="23"/>
          <w:szCs w:val="23"/>
        </w:rPr>
      </w:pPr>
      <w:r w:rsidRPr="009B5FB8">
        <w:rPr>
          <w:rFonts w:asciiTheme="minorHAnsi" w:hAnsiTheme="minorHAnsi" w:cstheme="minorHAnsi"/>
          <w:color w:val="auto"/>
          <w:sz w:val="23"/>
          <w:szCs w:val="23"/>
        </w:rPr>
        <w:t xml:space="preserve">Kusuma, A.P., Rahmawati, N.K., Putra, F.G. and </w:t>
      </w:r>
      <w:proofErr w:type="spellStart"/>
      <w:r w:rsidRPr="009B5FB8">
        <w:rPr>
          <w:rFonts w:asciiTheme="minorHAnsi" w:hAnsiTheme="minorHAnsi" w:cstheme="minorHAnsi"/>
          <w:color w:val="auto"/>
          <w:sz w:val="23"/>
          <w:szCs w:val="23"/>
        </w:rPr>
        <w:t>Widyawati</w:t>
      </w:r>
      <w:proofErr w:type="spellEnd"/>
      <w:r w:rsidRPr="009B5FB8">
        <w:rPr>
          <w:rFonts w:asciiTheme="minorHAnsi" w:hAnsiTheme="minorHAnsi" w:cstheme="minorHAnsi"/>
          <w:color w:val="auto"/>
          <w:sz w:val="23"/>
          <w:szCs w:val="23"/>
        </w:rPr>
        <w:t xml:space="preserve">, S. (2019) ‘The Implementation of Think Pair Share (TPS), Think Talk Write (TTW), and Problem Based Instruction (PBI) Learning Model on Students’ Mathematics Learning Outcomes’, </w:t>
      </w:r>
      <w:r w:rsidRPr="009B5FB8">
        <w:rPr>
          <w:rFonts w:asciiTheme="minorHAnsi" w:hAnsiTheme="minorHAnsi" w:cstheme="minorHAnsi"/>
          <w:i/>
          <w:iCs/>
          <w:color w:val="auto"/>
          <w:sz w:val="23"/>
          <w:szCs w:val="23"/>
        </w:rPr>
        <w:t xml:space="preserve">Journal of Physics: Conference Series, </w:t>
      </w:r>
      <w:r w:rsidRPr="009B5FB8">
        <w:rPr>
          <w:rFonts w:asciiTheme="minorHAnsi" w:hAnsiTheme="minorHAnsi" w:cstheme="minorHAnsi"/>
          <w:color w:val="auto"/>
          <w:sz w:val="23"/>
          <w:szCs w:val="23"/>
        </w:rPr>
        <w:t>1467(012065), 1-6. DOI: 10.1088/1742-6596/1467/1/012065</w:t>
      </w:r>
    </w:p>
    <w:p w14:paraId="6C3EDF05" w14:textId="77777777" w:rsidR="00825020" w:rsidRPr="009B5FB8" w:rsidRDefault="00825020" w:rsidP="009B5FB8">
      <w:pPr>
        <w:pStyle w:val="Default"/>
        <w:spacing w:line="276" w:lineRule="auto"/>
        <w:rPr>
          <w:rFonts w:asciiTheme="minorHAnsi" w:hAnsiTheme="minorHAnsi" w:cstheme="minorHAnsi"/>
          <w:color w:val="auto"/>
          <w:sz w:val="23"/>
          <w:szCs w:val="23"/>
        </w:rPr>
      </w:pPr>
    </w:p>
    <w:p w14:paraId="230FD8DB"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Markkanen, P., Välimäki, M., Anttila, M. and </w:t>
      </w:r>
      <w:proofErr w:type="spellStart"/>
      <w:r w:rsidRPr="009B5FB8">
        <w:rPr>
          <w:rFonts w:cstheme="minorHAnsi"/>
          <w:sz w:val="23"/>
          <w:szCs w:val="23"/>
        </w:rPr>
        <w:t>Kuuskorpi</w:t>
      </w:r>
      <w:proofErr w:type="spellEnd"/>
      <w:r w:rsidRPr="009B5FB8">
        <w:rPr>
          <w:rFonts w:cstheme="minorHAnsi"/>
          <w:sz w:val="23"/>
          <w:szCs w:val="23"/>
        </w:rPr>
        <w:t xml:space="preserve">, M. (2020) ‘A Reflective Cycle: Understanding Challenging Situations in a School’, </w:t>
      </w:r>
      <w:r w:rsidRPr="009B5FB8">
        <w:rPr>
          <w:rFonts w:cstheme="minorHAnsi"/>
          <w:i/>
          <w:iCs/>
          <w:sz w:val="23"/>
          <w:szCs w:val="23"/>
        </w:rPr>
        <w:t xml:space="preserve">Educational Research, </w:t>
      </w:r>
      <w:r w:rsidRPr="009B5FB8">
        <w:rPr>
          <w:rFonts w:cstheme="minorHAnsi"/>
          <w:sz w:val="23"/>
          <w:szCs w:val="23"/>
        </w:rPr>
        <w:t xml:space="preserve">62(1), 46-62. DOI: </w:t>
      </w:r>
      <w:hyperlink r:id="rId11" w:history="1">
        <w:r w:rsidRPr="009B5FB8">
          <w:rPr>
            <w:rStyle w:val="Hyperlink"/>
            <w:rFonts w:cstheme="minorHAnsi"/>
            <w:sz w:val="23"/>
            <w:szCs w:val="23"/>
          </w:rPr>
          <w:t>https://doi.org/10.1080/00131881.20</w:t>
        </w:r>
        <w:r w:rsidRPr="009B5FB8">
          <w:rPr>
            <w:rStyle w:val="Hyperlink"/>
            <w:rFonts w:cstheme="minorHAnsi"/>
            <w:sz w:val="23"/>
            <w:szCs w:val="23"/>
          </w:rPr>
          <w:t>2</w:t>
        </w:r>
        <w:r w:rsidRPr="009B5FB8">
          <w:rPr>
            <w:rStyle w:val="Hyperlink"/>
            <w:rFonts w:cstheme="minorHAnsi"/>
            <w:sz w:val="23"/>
            <w:szCs w:val="23"/>
          </w:rPr>
          <w:t>0.1711790</w:t>
        </w:r>
      </w:hyperlink>
      <w:r w:rsidRPr="009B5FB8">
        <w:rPr>
          <w:rFonts w:cstheme="minorHAnsi"/>
          <w:sz w:val="23"/>
          <w:szCs w:val="23"/>
        </w:rPr>
        <w:t xml:space="preserve"> </w:t>
      </w:r>
    </w:p>
    <w:p w14:paraId="31FEFF82" w14:textId="77777777" w:rsidR="00825020" w:rsidRDefault="00825020" w:rsidP="009B5FB8">
      <w:pPr>
        <w:pStyle w:val="Default"/>
        <w:spacing w:line="276" w:lineRule="auto"/>
        <w:rPr>
          <w:rFonts w:asciiTheme="minorHAnsi" w:hAnsiTheme="minorHAnsi" w:cstheme="minorHAnsi"/>
          <w:color w:val="auto"/>
          <w:sz w:val="23"/>
          <w:szCs w:val="23"/>
        </w:rPr>
      </w:pPr>
      <w:proofErr w:type="spellStart"/>
      <w:r w:rsidRPr="009B5FB8">
        <w:rPr>
          <w:rFonts w:asciiTheme="minorHAnsi" w:hAnsiTheme="minorHAnsi" w:cstheme="minorHAnsi"/>
          <w:color w:val="3A3A3A"/>
          <w:sz w:val="23"/>
          <w:szCs w:val="23"/>
          <w:shd w:val="clear" w:color="auto" w:fill="FFFFFF"/>
        </w:rPr>
        <w:t>Nurlaila</w:t>
      </w:r>
      <w:proofErr w:type="spellEnd"/>
      <w:r w:rsidRPr="009B5FB8">
        <w:rPr>
          <w:rFonts w:asciiTheme="minorHAnsi" w:hAnsiTheme="minorHAnsi" w:cstheme="minorHAnsi"/>
          <w:color w:val="3A3A3A"/>
          <w:sz w:val="23"/>
          <w:szCs w:val="23"/>
          <w:shd w:val="clear" w:color="auto" w:fill="FFFFFF"/>
        </w:rPr>
        <w:t xml:space="preserve">, L., </w:t>
      </w:r>
      <w:proofErr w:type="spellStart"/>
      <w:r w:rsidRPr="009B5FB8">
        <w:rPr>
          <w:rFonts w:asciiTheme="minorHAnsi" w:hAnsiTheme="minorHAnsi" w:cstheme="minorHAnsi"/>
          <w:color w:val="3A3A3A"/>
          <w:sz w:val="23"/>
          <w:szCs w:val="23"/>
          <w:shd w:val="clear" w:color="auto" w:fill="FFFFFF"/>
        </w:rPr>
        <w:t>Sriyati</w:t>
      </w:r>
      <w:proofErr w:type="spellEnd"/>
      <w:r w:rsidRPr="009B5FB8">
        <w:rPr>
          <w:rFonts w:asciiTheme="minorHAnsi" w:hAnsiTheme="minorHAnsi" w:cstheme="minorHAnsi"/>
          <w:color w:val="3A3A3A"/>
          <w:sz w:val="23"/>
          <w:szCs w:val="23"/>
          <w:shd w:val="clear" w:color="auto" w:fill="FFFFFF"/>
        </w:rPr>
        <w:t xml:space="preserve">, S. and </w:t>
      </w:r>
      <w:proofErr w:type="spellStart"/>
      <w:r w:rsidRPr="009B5FB8">
        <w:rPr>
          <w:rFonts w:asciiTheme="minorHAnsi" w:hAnsiTheme="minorHAnsi" w:cstheme="minorHAnsi"/>
          <w:color w:val="3A3A3A"/>
          <w:sz w:val="23"/>
          <w:szCs w:val="23"/>
          <w:shd w:val="clear" w:color="auto" w:fill="FFFFFF"/>
        </w:rPr>
        <w:t>Riandi</w:t>
      </w:r>
      <w:proofErr w:type="spellEnd"/>
      <w:r w:rsidRPr="009B5FB8">
        <w:rPr>
          <w:rFonts w:asciiTheme="minorHAnsi" w:hAnsiTheme="minorHAnsi" w:cstheme="minorHAnsi"/>
          <w:color w:val="3A3A3A"/>
          <w:sz w:val="23"/>
          <w:szCs w:val="23"/>
          <w:shd w:val="clear" w:color="auto" w:fill="FFFFFF"/>
        </w:rPr>
        <w:t>. (2017) ‘</w:t>
      </w:r>
      <w:proofErr w:type="spellStart"/>
      <w:r w:rsidRPr="009B5FB8">
        <w:rPr>
          <w:rFonts w:asciiTheme="minorHAnsi" w:hAnsiTheme="minorHAnsi" w:cstheme="minorHAnsi"/>
          <w:sz w:val="23"/>
          <w:szCs w:val="23"/>
        </w:rPr>
        <w:t>Analizing</w:t>
      </w:r>
      <w:proofErr w:type="spellEnd"/>
      <w:r w:rsidRPr="009B5FB8">
        <w:rPr>
          <w:rFonts w:asciiTheme="minorHAnsi" w:hAnsiTheme="minorHAnsi" w:cstheme="minorHAnsi"/>
          <w:sz w:val="23"/>
          <w:szCs w:val="23"/>
        </w:rPr>
        <w:t xml:space="preserve"> Student Biology Education Misconception </w:t>
      </w:r>
      <w:proofErr w:type="gramStart"/>
      <w:r w:rsidRPr="009B5FB8">
        <w:rPr>
          <w:rFonts w:asciiTheme="minorHAnsi" w:hAnsiTheme="minorHAnsi" w:cstheme="minorHAnsi"/>
          <w:sz w:val="23"/>
          <w:szCs w:val="23"/>
        </w:rPr>
        <w:t>And</w:t>
      </w:r>
      <w:proofErr w:type="gramEnd"/>
      <w:r w:rsidRPr="009B5FB8">
        <w:rPr>
          <w:rFonts w:asciiTheme="minorHAnsi" w:hAnsiTheme="minorHAnsi" w:cstheme="minorHAnsi"/>
          <w:sz w:val="23"/>
          <w:szCs w:val="23"/>
        </w:rPr>
        <w:t xml:space="preserve"> Scientific Argumentation Ability Using Diagnostic Question Clusters (</w:t>
      </w:r>
      <w:proofErr w:type="spellStart"/>
      <w:r w:rsidRPr="009B5FB8">
        <w:rPr>
          <w:rFonts w:asciiTheme="minorHAnsi" w:hAnsiTheme="minorHAnsi" w:cstheme="minorHAnsi"/>
          <w:sz w:val="23"/>
          <w:szCs w:val="23"/>
        </w:rPr>
        <w:t>Dqcs</w:t>
      </w:r>
      <w:proofErr w:type="spellEnd"/>
      <w:r w:rsidRPr="009B5FB8">
        <w:rPr>
          <w:rFonts w:asciiTheme="minorHAnsi" w:hAnsiTheme="minorHAnsi" w:cstheme="minorHAnsi"/>
          <w:sz w:val="23"/>
          <w:szCs w:val="23"/>
        </w:rPr>
        <w:t xml:space="preserve">) Of Molecular Genetic Concept’, </w:t>
      </w:r>
      <w:r w:rsidRPr="009B5FB8">
        <w:rPr>
          <w:rFonts w:asciiTheme="minorHAnsi" w:hAnsiTheme="minorHAnsi" w:cstheme="minorHAnsi"/>
          <w:i/>
          <w:iCs/>
          <w:sz w:val="23"/>
          <w:szCs w:val="23"/>
        </w:rPr>
        <w:t xml:space="preserve">Journal of Physics: Conference Series, </w:t>
      </w:r>
      <w:r w:rsidRPr="009B5FB8">
        <w:rPr>
          <w:rFonts w:asciiTheme="minorHAnsi" w:hAnsiTheme="minorHAnsi" w:cstheme="minorHAnsi"/>
          <w:sz w:val="23"/>
          <w:szCs w:val="23"/>
        </w:rPr>
        <w:t xml:space="preserve">812(012112), 1-7. DOI: </w:t>
      </w:r>
      <w:r w:rsidRPr="009B5FB8">
        <w:rPr>
          <w:rFonts w:asciiTheme="minorHAnsi" w:hAnsiTheme="minorHAnsi" w:cstheme="minorHAnsi"/>
          <w:color w:val="auto"/>
          <w:sz w:val="23"/>
          <w:szCs w:val="23"/>
        </w:rPr>
        <w:t xml:space="preserve">10.1088/1742-6596/812/1/012112 </w:t>
      </w:r>
    </w:p>
    <w:p w14:paraId="3D8A623E" w14:textId="77777777" w:rsidR="00825020" w:rsidRPr="009B5FB8" w:rsidRDefault="00825020" w:rsidP="009B5FB8">
      <w:pPr>
        <w:pStyle w:val="Default"/>
        <w:spacing w:line="276" w:lineRule="auto"/>
        <w:rPr>
          <w:rFonts w:asciiTheme="minorHAnsi" w:hAnsiTheme="minorHAnsi" w:cstheme="minorHAnsi"/>
          <w:color w:val="auto"/>
          <w:sz w:val="23"/>
          <w:szCs w:val="23"/>
        </w:rPr>
      </w:pPr>
    </w:p>
    <w:p w14:paraId="1E9CEFAD"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Perrott, E. (1991) </w:t>
      </w:r>
      <w:r w:rsidRPr="009B5FB8">
        <w:rPr>
          <w:rFonts w:cstheme="minorHAnsi"/>
          <w:i/>
          <w:iCs/>
          <w:sz w:val="23"/>
          <w:szCs w:val="23"/>
        </w:rPr>
        <w:t xml:space="preserve">Effective Teaching: a Practical Guide to Improving Your Teaching. </w:t>
      </w:r>
      <w:r w:rsidRPr="009B5FB8">
        <w:rPr>
          <w:rFonts w:cstheme="minorHAnsi"/>
          <w:sz w:val="23"/>
          <w:szCs w:val="23"/>
        </w:rPr>
        <w:t>Singapore: Longman Singapore Publishers (Pte) Ltd.</w:t>
      </w:r>
    </w:p>
    <w:p w14:paraId="05A38456"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Postlethwaite, T.N. (1994) ‘Validity vs. Utility: Personal Experiences with the Taxonomy’, in Anderson, L., </w:t>
      </w:r>
      <w:proofErr w:type="spellStart"/>
      <w:r w:rsidRPr="009B5FB8">
        <w:rPr>
          <w:rFonts w:cstheme="minorHAnsi"/>
          <w:sz w:val="23"/>
          <w:szCs w:val="23"/>
        </w:rPr>
        <w:t>Sosniak</w:t>
      </w:r>
      <w:proofErr w:type="spellEnd"/>
      <w:r w:rsidRPr="009B5FB8">
        <w:rPr>
          <w:rFonts w:cstheme="minorHAnsi"/>
          <w:sz w:val="23"/>
          <w:szCs w:val="23"/>
        </w:rPr>
        <w:t xml:space="preserve">, L. (eds) </w:t>
      </w:r>
      <w:r w:rsidRPr="009B5FB8">
        <w:rPr>
          <w:rFonts w:cstheme="minorHAnsi"/>
          <w:i/>
          <w:iCs/>
          <w:sz w:val="23"/>
          <w:szCs w:val="23"/>
        </w:rPr>
        <w:t xml:space="preserve">Bloom’s Taxonomy: A Forty-Year Retrospective. </w:t>
      </w:r>
      <w:r w:rsidRPr="009B5FB8">
        <w:rPr>
          <w:rFonts w:cstheme="minorHAnsi"/>
          <w:sz w:val="23"/>
          <w:szCs w:val="23"/>
        </w:rPr>
        <w:t>Chicago: University of Chicago Press for National Society for the Study of Education, p174-180.</w:t>
      </w:r>
    </w:p>
    <w:p w14:paraId="6D188B77" w14:textId="77777777" w:rsidR="00825020" w:rsidRPr="009B5FB8" w:rsidRDefault="00825020" w:rsidP="009B5FB8">
      <w:pPr>
        <w:spacing w:line="276" w:lineRule="auto"/>
        <w:rPr>
          <w:rFonts w:cstheme="minorHAnsi"/>
          <w:color w:val="3A3A3A"/>
          <w:sz w:val="23"/>
          <w:szCs w:val="23"/>
          <w:shd w:val="clear" w:color="auto" w:fill="FFFFFF"/>
        </w:rPr>
      </w:pPr>
      <w:r w:rsidRPr="009B5FB8">
        <w:rPr>
          <w:rFonts w:cstheme="minorHAnsi"/>
          <w:color w:val="3A3A3A"/>
          <w:sz w:val="23"/>
          <w:szCs w:val="23"/>
          <w:shd w:val="clear" w:color="auto" w:fill="FFFFFF"/>
        </w:rPr>
        <w:t>Renshaw, S. (2015) ‘Creating and Deploying “Hinge” Questions’, </w:t>
      </w:r>
      <w:r w:rsidRPr="009B5FB8">
        <w:rPr>
          <w:rFonts w:cstheme="minorHAnsi"/>
          <w:i/>
          <w:iCs/>
          <w:color w:val="3A3A3A"/>
          <w:sz w:val="23"/>
          <w:szCs w:val="23"/>
          <w:shd w:val="clear" w:color="auto" w:fill="FFFFFF"/>
        </w:rPr>
        <w:t>Teaching geography</w:t>
      </w:r>
      <w:r w:rsidRPr="009B5FB8">
        <w:rPr>
          <w:rFonts w:cstheme="minorHAnsi"/>
          <w:color w:val="3A3A3A"/>
          <w:sz w:val="23"/>
          <w:szCs w:val="23"/>
          <w:shd w:val="clear" w:color="auto" w:fill="FFFFFF"/>
        </w:rPr>
        <w:t>, 40(3), 109–111. Available at:</w:t>
      </w:r>
      <w:r w:rsidRPr="009B5FB8">
        <w:rPr>
          <w:rFonts w:cstheme="minorHAnsi"/>
          <w:sz w:val="23"/>
          <w:szCs w:val="23"/>
        </w:rPr>
        <w:t xml:space="preserve"> </w:t>
      </w:r>
      <w:hyperlink r:id="rId12" w:history="1">
        <w:r w:rsidRPr="009B5FB8">
          <w:rPr>
            <w:rStyle w:val="Hyperlink"/>
            <w:rFonts w:cstheme="minorHAnsi"/>
            <w:sz w:val="23"/>
            <w:szCs w:val="23"/>
            <w:shd w:val="clear" w:color="auto" w:fill="FFFFFF"/>
          </w:rPr>
          <w:t>https://www.proquest.com/scholarly-journals/creating-deploying-hinge-questions/docview/1821767832/se-2?accountid=130472</w:t>
        </w:r>
      </w:hyperlink>
      <w:r w:rsidRPr="009B5FB8">
        <w:rPr>
          <w:rFonts w:cstheme="minorHAnsi"/>
          <w:color w:val="3A3A3A"/>
          <w:sz w:val="23"/>
          <w:szCs w:val="23"/>
          <w:shd w:val="clear" w:color="auto" w:fill="FFFFFF"/>
        </w:rPr>
        <w:t xml:space="preserve"> (Accessed: 20 October 2023)</w:t>
      </w:r>
    </w:p>
    <w:p w14:paraId="61AB4538"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Rosenshine, B. (2012) ‘Principles of Instruction: Research-Based Strategies That All Teachers Should Know’, </w:t>
      </w:r>
      <w:r w:rsidRPr="009B5FB8">
        <w:rPr>
          <w:rFonts w:cstheme="minorHAnsi"/>
          <w:i/>
          <w:iCs/>
          <w:sz w:val="23"/>
          <w:szCs w:val="23"/>
        </w:rPr>
        <w:t xml:space="preserve">American Educator, </w:t>
      </w:r>
      <w:r w:rsidRPr="009B5FB8">
        <w:rPr>
          <w:rFonts w:cstheme="minorHAnsi"/>
          <w:sz w:val="23"/>
          <w:szCs w:val="23"/>
        </w:rPr>
        <w:t xml:space="preserve">39(1), 12-19. Available at: </w:t>
      </w:r>
      <w:hyperlink r:id="rId13" w:history="1">
        <w:r w:rsidRPr="009B5FB8">
          <w:rPr>
            <w:rStyle w:val="Hyperlink"/>
            <w:rFonts w:cstheme="minorHAnsi"/>
            <w:sz w:val="23"/>
            <w:szCs w:val="23"/>
          </w:rPr>
          <w:t>https://eric.ed.gov/?id=EJ971753</w:t>
        </w:r>
      </w:hyperlink>
      <w:r w:rsidRPr="009B5FB8">
        <w:rPr>
          <w:rFonts w:cstheme="minorHAnsi"/>
          <w:sz w:val="23"/>
          <w:szCs w:val="23"/>
        </w:rPr>
        <w:t xml:space="preserve"> (Accessed: 25 September 2023)</w:t>
      </w:r>
    </w:p>
    <w:p w14:paraId="028B7241"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Sellars, M. (2012) ‘Teachers and Change: The Role of Reflective Practice’, </w:t>
      </w:r>
      <w:r w:rsidRPr="009B5FB8">
        <w:rPr>
          <w:rFonts w:cstheme="minorHAnsi"/>
          <w:i/>
          <w:iCs/>
          <w:sz w:val="23"/>
          <w:szCs w:val="23"/>
        </w:rPr>
        <w:t>Procedia - Social and Behavioural Sciences</w:t>
      </w:r>
      <w:r w:rsidRPr="009B5FB8">
        <w:rPr>
          <w:rFonts w:cstheme="minorHAnsi"/>
          <w:sz w:val="23"/>
          <w:szCs w:val="23"/>
        </w:rPr>
        <w:t xml:space="preserve">, 55(October), 461–469. DOI: </w:t>
      </w:r>
      <w:hyperlink r:id="rId14" w:history="1">
        <w:r w:rsidRPr="009B5FB8">
          <w:rPr>
            <w:rStyle w:val="Hyperlink"/>
            <w:rFonts w:cstheme="minorHAnsi"/>
            <w:sz w:val="23"/>
            <w:szCs w:val="23"/>
          </w:rPr>
          <w:t>https://doi.org/10.1016/j.sbspro.</w:t>
        </w:r>
        <w:r w:rsidRPr="009B5FB8">
          <w:rPr>
            <w:rStyle w:val="Hyperlink"/>
            <w:rFonts w:cstheme="minorHAnsi"/>
            <w:sz w:val="23"/>
            <w:szCs w:val="23"/>
          </w:rPr>
          <w:t>2</w:t>
        </w:r>
        <w:r w:rsidRPr="009B5FB8">
          <w:rPr>
            <w:rStyle w:val="Hyperlink"/>
            <w:rFonts w:cstheme="minorHAnsi"/>
            <w:sz w:val="23"/>
            <w:szCs w:val="23"/>
          </w:rPr>
          <w:t>012.09.525</w:t>
        </w:r>
      </w:hyperlink>
    </w:p>
    <w:p w14:paraId="3AAAD339"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Tripp, D. (2012) </w:t>
      </w:r>
      <w:r w:rsidRPr="009B5FB8">
        <w:rPr>
          <w:rFonts w:cstheme="minorHAnsi"/>
          <w:i/>
          <w:iCs/>
          <w:sz w:val="23"/>
          <w:szCs w:val="23"/>
        </w:rPr>
        <w:t xml:space="preserve">Critical Incidents in Teaching: Developing Professional Judgement. </w:t>
      </w:r>
      <w:r w:rsidRPr="009B5FB8">
        <w:rPr>
          <w:rFonts w:cstheme="minorHAnsi"/>
          <w:sz w:val="23"/>
          <w:szCs w:val="23"/>
        </w:rPr>
        <w:t>Abingdon: Routledge.</w:t>
      </w:r>
    </w:p>
    <w:p w14:paraId="4676009C" w14:textId="77777777" w:rsidR="00825020" w:rsidRDefault="00825020" w:rsidP="009B5FB8">
      <w:pPr>
        <w:pStyle w:val="Default"/>
        <w:spacing w:line="276" w:lineRule="auto"/>
        <w:jc w:val="both"/>
        <w:rPr>
          <w:rFonts w:asciiTheme="minorHAnsi" w:hAnsiTheme="minorHAnsi" w:cstheme="minorHAnsi"/>
          <w:color w:val="232323"/>
          <w:sz w:val="23"/>
          <w:szCs w:val="23"/>
          <w:shd w:val="clear" w:color="auto" w:fill="FFFFFF"/>
        </w:rPr>
      </w:pPr>
      <w:r w:rsidRPr="009B5FB8">
        <w:rPr>
          <w:rFonts w:asciiTheme="minorHAnsi" w:hAnsiTheme="minorHAnsi" w:cstheme="minorHAnsi"/>
          <w:color w:val="232323"/>
          <w:sz w:val="23"/>
          <w:szCs w:val="23"/>
          <w:shd w:val="clear" w:color="auto" w:fill="FFFFFF"/>
        </w:rPr>
        <w:t xml:space="preserve">Welsh Government (2020) </w:t>
      </w:r>
      <w:r w:rsidRPr="009B5FB8">
        <w:rPr>
          <w:rFonts w:asciiTheme="minorHAnsi" w:hAnsiTheme="minorHAnsi" w:cstheme="minorHAnsi"/>
          <w:i/>
          <w:iCs/>
          <w:color w:val="232323"/>
          <w:sz w:val="23"/>
          <w:szCs w:val="23"/>
          <w:shd w:val="clear" w:color="auto" w:fill="FFFFFF"/>
        </w:rPr>
        <w:t xml:space="preserve">Literacy Framework. </w:t>
      </w:r>
      <w:r w:rsidRPr="009B5FB8">
        <w:rPr>
          <w:rFonts w:asciiTheme="minorHAnsi" w:hAnsiTheme="minorHAnsi" w:cstheme="minorHAnsi"/>
          <w:color w:val="232323"/>
          <w:sz w:val="23"/>
          <w:szCs w:val="23"/>
          <w:shd w:val="clear" w:color="auto" w:fill="FFFFFF"/>
        </w:rPr>
        <w:t xml:space="preserve">Available at: </w:t>
      </w:r>
    </w:p>
    <w:p w14:paraId="47AD5C47" w14:textId="77777777" w:rsidR="00016803" w:rsidRPr="009B5FB8" w:rsidRDefault="00016803" w:rsidP="00016803">
      <w:pPr>
        <w:pStyle w:val="Default"/>
        <w:spacing w:line="276" w:lineRule="auto"/>
        <w:jc w:val="both"/>
        <w:rPr>
          <w:rFonts w:asciiTheme="minorHAnsi" w:hAnsiTheme="minorHAnsi" w:cstheme="minorHAnsi"/>
          <w:color w:val="auto"/>
          <w:sz w:val="23"/>
          <w:szCs w:val="23"/>
        </w:rPr>
      </w:pPr>
      <w:hyperlink r:id="rId15" w:history="1">
        <w:r w:rsidRPr="009B5FB8">
          <w:rPr>
            <w:rStyle w:val="Hyperlink"/>
            <w:rFonts w:asciiTheme="minorHAnsi" w:hAnsiTheme="minorHAnsi" w:cstheme="minorHAnsi"/>
            <w:sz w:val="23"/>
            <w:szCs w:val="23"/>
          </w:rPr>
          <w:t>https://hwb.gov.wales/api/storage/4d852cbe-03d6-4c36-8175-c281461c8690/literacy-framework.pdf</w:t>
        </w:r>
      </w:hyperlink>
      <w:r w:rsidRPr="009B5FB8">
        <w:rPr>
          <w:rFonts w:asciiTheme="minorHAnsi" w:hAnsiTheme="minorHAnsi" w:cstheme="minorHAnsi"/>
          <w:color w:val="auto"/>
          <w:sz w:val="23"/>
          <w:szCs w:val="23"/>
        </w:rPr>
        <w:t xml:space="preserve"> (Accessed 15 October 2023)</w:t>
      </w:r>
    </w:p>
    <w:p w14:paraId="55F4A227" w14:textId="77777777" w:rsidR="00825020" w:rsidRPr="009B5FB8" w:rsidRDefault="00825020" w:rsidP="009B5FB8">
      <w:pPr>
        <w:pStyle w:val="Default"/>
        <w:spacing w:line="276" w:lineRule="auto"/>
        <w:jc w:val="both"/>
        <w:rPr>
          <w:rFonts w:asciiTheme="minorHAnsi" w:hAnsiTheme="minorHAnsi" w:cstheme="minorHAnsi"/>
          <w:color w:val="232323"/>
          <w:sz w:val="23"/>
          <w:szCs w:val="23"/>
          <w:shd w:val="clear" w:color="auto" w:fill="FFFFFF"/>
        </w:rPr>
      </w:pPr>
    </w:p>
    <w:p w14:paraId="3802356B" w14:textId="77777777" w:rsidR="00825020" w:rsidRPr="009B5FB8" w:rsidRDefault="00825020" w:rsidP="009B5FB8">
      <w:pPr>
        <w:pStyle w:val="Default"/>
        <w:spacing w:line="276" w:lineRule="auto"/>
        <w:jc w:val="both"/>
        <w:rPr>
          <w:rFonts w:asciiTheme="minorHAnsi" w:hAnsiTheme="minorHAnsi" w:cstheme="minorHAnsi"/>
          <w:color w:val="auto"/>
          <w:sz w:val="23"/>
          <w:szCs w:val="23"/>
        </w:rPr>
      </w:pPr>
      <w:r w:rsidRPr="009B5FB8">
        <w:rPr>
          <w:rFonts w:asciiTheme="minorHAnsi" w:hAnsiTheme="minorHAnsi" w:cstheme="minorHAnsi"/>
          <w:color w:val="auto"/>
          <w:sz w:val="23"/>
          <w:szCs w:val="23"/>
        </w:rPr>
        <w:t xml:space="preserve">Welsh Government (2021) </w:t>
      </w:r>
      <w:r w:rsidRPr="009B5FB8">
        <w:rPr>
          <w:rFonts w:asciiTheme="minorHAnsi" w:hAnsiTheme="minorHAnsi" w:cstheme="minorHAnsi"/>
          <w:i/>
          <w:iCs/>
          <w:color w:val="auto"/>
          <w:sz w:val="23"/>
          <w:szCs w:val="23"/>
        </w:rPr>
        <w:t xml:space="preserve">Introduction to Curriculum for Wales Guidance. </w:t>
      </w:r>
      <w:r w:rsidRPr="009B5FB8">
        <w:rPr>
          <w:rFonts w:asciiTheme="minorHAnsi" w:hAnsiTheme="minorHAnsi" w:cstheme="minorHAnsi"/>
          <w:color w:val="auto"/>
          <w:sz w:val="23"/>
          <w:szCs w:val="23"/>
        </w:rPr>
        <w:t>Available at:</w:t>
      </w:r>
      <w:r w:rsidRPr="009B5FB8">
        <w:rPr>
          <w:rFonts w:asciiTheme="minorHAnsi" w:hAnsiTheme="minorHAnsi" w:cstheme="minorHAnsi"/>
          <w:sz w:val="23"/>
          <w:szCs w:val="23"/>
        </w:rPr>
        <w:t xml:space="preserve"> </w:t>
      </w:r>
      <w:hyperlink r:id="rId16" w:history="1">
        <w:r w:rsidRPr="009B5FB8">
          <w:rPr>
            <w:rStyle w:val="Hyperlink"/>
            <w:rFonts w:asciiTheme="minorHAnsi" w:hAnsiTheme="minorHAnsi" w:cstheme="minorHAnsi"/>
            <w:sz w:val="23"/>
            <w:szCs w:val="23"/>
          </w:rPr>
          <w:t>https://hwb.gov.wales/curriculum-for-wales/introduction/</w:t>
        </w:r>
      </w:hyperlink>
      <w:r w:rsidRPr="009B5FB8">
        <w:rPr>
          <w:rFonts w:asciiTheme="minorHAnsi" w:hAnsiTheme="minorHAnsi" w:cstheme="minorHAnsi"/>
          <w:color w:val="auto"/>
          <w:sz w:val="23"/>
          <w:szCs w:val="23"/>
        </w:rPr>
        <w:t xml:space="preserve"> (Accessed 18 October 2023)</w:t>
      </w:r>
    </w:p>
    <w:p w14:paraId="47C80E0E" w14:textId="77777777" w:rsidR="00825020" w:rsidRPr="009B5FB8" w:rsidRDefault="00825020" w:rsidP="009B5FB8">
      <w:pPr>
        <w:spacing w:line="276" w:lineRule="auto"/>
        <w:rPr>
          <w:rFonts w:cstheme="minorHAnsi"/>
          <w:sz w:val="23"/>
          <w:szCs w:val="23"/>
        </w:rPr>
      </w:pPr>
      <w:r w:rsidRPr="009B5FB8">
        <w:rPr>
          <w:rFonts w:cstheme="minorHAnsi"/>
          <w:sz w:val="23"/>
          <w:szCs w:val="23"/>
        </w:rPr>
        <w:t xml:space="preserve">Wiliam, D. (2017) </w:t>
      </w:r>
      <w:r w:rsidRPr="009B5FB8">
        <w:rPr>
          <w:rFonts w:cstheme="minorHAnsi"/>
          <w:i/>
          <w:iCs/>
          <w:sz w:val="23"/>
          <w:szCs w:val="23"/>
        </w:rPr>
        <w:t xml:space="preserve">Embedded Formative Assessment. </w:t>
      </w:r>
      <w:r w:rsidRPr="009B5FB8">
        <w:rPr>
          <w:rFonts w:cstheme="minorHAnsi"/>
          <w:sz w:val="23"/>
          <w:szCs w:val="23"/>
        </w:rPr>
        <w:t>Bloomington: Solution Tree Press</w:t>
      </w:r>
    </w:p>
    <w:p w14:paraId="271EBAA0" w14:textId="77777777" w:rsidR="00347F0A" w:rsidRPr="009B5FB8" w:rsidRDefault="00347F0A" w:rsidP="009B5FB8">
      <w:pPr>
        <w:pStyle w:val="Default"/>
        <w:spacing w:line="276" w:lineRule="auto"/>
        <w:jc w:val="both"/>
        <w:rPr>
          <w:rFonts w:asciiTheme="minorHAnsi" w:hAnsiTheme="minorHAnsi" w:cstheme="minorHAnsi"/>
          <w:color w:val="auto"/>
          <w:sz w:val="23"/>
          <w:szCs w:val="23"/>
        </w:rPr>
      </w:pPr>
    </w:p>
    <w:p w14:paraId="723C5AA3" w14:textId="77777777" w:rsidR="00347F0A" w:rsidRPr="009B5FB8" w:rsidRDefault="00347F0A" w:rsidP="009B5FB8">
      <w:pPr>
        <w:spacing w:line="276" w:lineRule="auto"/>
        <w:rPr>
          <w:rFonts w:cstheme="minorHAnsi"/>
          <w:sz w:val="23"/>
          <w:szCs w:val="23"/>
          <w:u w:val="single"/>
        </w:rPr>
      </w:pPr>
    </w:p>
    <w:p w14:paraId="12B8A6B0" w14:textId="77777777" w:rsidR="00121AD2" w:rsidRPr="009B5FB8" w:rsidRDefault="00121AD2" w:rsidP="009B5FB8">
      <w:pPr>
        <w:spacing w:line="276" w:lineRule="auto"/>
        <w:rPr>
          <w:rFonts w:cstheme="minorHAnsi"/>
          <w:sz w:val="23"/>
          <w:szCs w:val="23"/>
        </w:rPr>
      </w:pPr>
    </w:p>
    <w:sectPr w:rsidR="00121AD2" w:rsidRPr="009B5FB8" w:rsidSect="009B5F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7EC"/>
    <w:rsid w:val="00004E32"/>
    <w:rsid w:val="00016803"/>
    <w:rsid w:val="00025DF1"/>
    <w:rsid w:val="000C046A"/>
    <w:rsid w:val="0011690B"/>
    <w:rsid w:val="00121AD2"/>
    <w:rsid w:val="001246D7"/>
    <w:rsid w:val="00180446"/>
    <w:rsid w:val="001B4F00"/>
    <w:rsid w:val="001F309A"/>
    <w:rsid w:val="002477E6"/>
    <w:rsid w:val="0029614B"/>
    <w:rsid w:val="002C5E78"/>
    <w:rsid w:val="00301FED"/>
    <w:rsid w:val="00303E37"/>
    <w:rsid w:val="00347F0A"/>
    <w:rsid w:val="00384819"/>
    <w:rsid w:val="003A0116"/>
    <w:rsid w:val="004418BF"/>
    <w:rsid w:val="00443B1C"/>
    <w:rsid w:val="00452DC5"/>
    <w:rsid w:val="005767BF"/>
    <w:rsid w:val="00665A87"/>
    <w:rsid w:val="006977B7"/>
    <w:rsid w:val="006D5A9E"/>
    <w:rsid w:val="007A255B"/>
    <w:rsid w:val="007C1179"/>
    <w:rsid w:val="00825020"/>
    <w:rsid w:val="0087594A"/>
    <w:rsid w:val="008C3246"/>
    <w:rsid w:val="00965045"/>
    <w:rsid w:val="009738BF"/>
    <w:rsid w:val="00975C06"/>
    <w:rsid w:val="009B5FB8"/>
    <w:rsid w:val="009F2077"/>
    <w:rsid w:val="00A01C26"/>
    <w:rsid w:val="00A11FD3"/>
    <w:rsid w:val="00AA381E"/>
    <w:rsid w:val="00AE3264"/>
    <w:rsid w:val="00B47EC8"/>
    <w:rsid w:val="00B66786"/>
    <w:rsid w:val="00B84CC4"/>
    <w:rsid w:val="00C667EC"/>
    <w:rsid w:val="00CA54B8"/>
    <w:rsid w:val="00CA6ED6"/>
    <w:rsid w:val="00CB3BEF"/>
    <w:rsid w:val="00D0027E"/>
    <w:rsid w:val="00D50C1E"/>
    <w:rsid w:val="00EF0C5B"/>
    <w:rsid w:val="00F21CCE"/>
    <w:rsid w:val="00F53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D543"/>
  <w15:chartTrackingRefBased/>
  <w15:docId w15:val="{2E48A12C-EA48-45DF-B713-45F1BFB5E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67EC"/>
    <w:rPr>
      <w:sz w:val="16"/>
      <w:szCs w:val="16"/>
    </w:rPr>
  </w:style>
  <w:style w:type="paragraph" w:styleId="CommentText">
    <w:name w:val="annotation text"/>
    <w:basedOn w:val="Normal"/>
    <w:link w:val="CommentTextChar"/>
    <w:uiPriority w:val="99"/>
    <w:unhideWhenUsed/>
    <w:rsid w:val="00C667EC"/>
    <w:pPr>
      <w:spacing w:line="240" w:lineRule="auto"/>
    </w:pPr>
    <w:rPr>
      <w:sz w:val="20"/>
      <w:szCs w:val="20"/>
    </w:rPr>
  </w:style>
  <w:style w:type="character" w:customStyle="1" w:styleId="CommentTextChar">
    <w:name w:val="Comment Text Char"/>
    <w:basedOn w:val="DefaultParagraphFont"/>
    <w:link w:val="CommentText"/>
    <w:uiPriority w:val="99"/>
    <w:rsid w:val="00C667EC"/>
    <w:rPr>
      <w:sz w:val="20"/>
      <w:szCs w:val="20"/>
    </w:rPr>
  </w:style>
  <w:style w:type="paragraph" w:styleId="NormalWeb">
    <w:name w:val="Normal (Web)"/>
    <w:basedOn w:val="Normal"/>
    <w:uiPriority w:val="99"/>
    <w:semiHidden/>
    <w:unhideWhenUsed/>
    <w:rsid w:val="00121A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47F0A"/>
    <w:rPr>
      <w:color w:val="0563C1" w:themeColor="hyperlink"/>
      <w:u w:val="single"/>
    </w:rPr>
  </w:style>
  <w:style w:type="character" w:customStyle="1" w:styleId="anchor-text">
    <w:name w:val="anchor-text"/>
    <w:basedOn w:val="DefaultParagraphFont"/>
    <w:rsid w:val="00347F0A"/>
  </w:style>
  <w:style w:type="paragraph" w:customStyle="1" w:styleId="Default">
    <w:name w:val="Default"/>
    <w:rsid w:val="00347F0A"/>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FollowedHyperlink">
    <w:name w:val="FollowedHyperlink"/>
    <w:basedOn w:val="DefaultParagraphFont"/>
    <w:uiPriority w:val="99"/>
    <w:semiHidden/>
    <w:unhideWhenUsed/>
    <w:rsid w:val="00347F0A"/>
    <w:rPr>
      <w:color w:val="954F72" w:themeColor="followedHyperlink"/>
      <w:u w:val="single"/>
    </w:rPr>
  </w:style>
  <w:style w:type="paragraph" w:styleId="NoSpacing">
    <w:name w:val="No Spacing"/>
    <w:link w:val="NoSpacingChar"/>
    <w:uiPriority w:val="1"/>
    <w:qFormat/>
    <w:rsid w:val="009B5FB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B5FB8"/>
    <w:rPr>
      <w:rFonts w:eastAsiaTheme="minorEastAsia"/>
      <w:kern w:val="0"/>
      <w:lang w:eastAsia="en-GB"/>
      <w14:ligatures w14:val="none"/>
    </w:rPr>
  </w:style>
  <w:style w:type="character" w:styleId="UnresolvedMention">
    <w:name w:val="Unresolved Mention"/>
    <w:basedOn w:val="DefaultParagraphFont"/>
    <w:uiPriority w:val="99"/>
    <w:semiHidden/>
    <w:unhideWhenUsed/>
    <w:rsid w:val="00825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67624">
      <w:bodyDiv w:val="1"/>
      <w:marLeft w:val="0"/>
      <w:marRight w:val="0"/>
      <w:marTop w:val="0"/>
      <w:marBottom w:val="0"/>
      <w:divBdr>
        <w:top w:val="none" w:sz="0" w:space="0" w:color="auto"/>
        <w:left w:val="none" w:sz="0" w:space="0" w:color="auto"/>
        <w:bottom w:val="none" w:sz="0" w:space="0" w:color="auto"/>
        <w:right w:val="none" w:sz="0" w:space="0" w:color="auto"/>
      </w:divBdr>
    </w:div>
    <w:div w:id="171593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sful-futures.pdf" TargetMode="External"/><Relationship Id="rId13" Type="http://schemas.openxmlformats.org/officeDocument/2006/relationships/hyperlink" Target="https://eric.ed.gov/?id=EJ971753"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0742-051X(89)90018-8" TargetMode="External"/><Relationship Id="rId12" Type="http://schemas.openxmlformats.org/officeDocument/2006/relationships/hyperlink" Target="https://www.proquest.com/scholarly-journals/creating-deploying-hinge-questions/docview/1821767832/se-2?accountid=130472"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wb.gov.wales/curriculum-for-wales/introduction/" TargetMode="External"/><Relationship Id="rId1" Type="http://schemas.openxmlformats.org/officeDocument/2006/relationships/styles" Target="styles.xml"/><Relationship Id="rId6" Type="http://schemas.openxmlformats.org/officeDocument/2006/relationships/hyperlink" Target="https://beedie.sfu.ca/assets/files/PDF/faculty-portal/Teaching@Beedie/Critically-Reflective-Teaching-2.pdf" TargetMode="External"/><Relationship Id="rId11" Type="http://schemas.openxmlformats.org/officeDocument/2006/relationships/hyperlink" Target="https://doi.org/10.1080/00131881.2020.1711790" TargetMode="External"/><Relationship Id="rId5" Type="http://schemas.openxmlformats.org/officeDocument/2006/relationships/hyperlink" Target="https://www.sec-ed.co.uk/content/best-practice/a-questioning-classroom-13-techniques-for-teachers/?utm_campaign=SecEd%20-%20021123&amp;utm_content=A%20questioning%20classroom%3A%2013%20techniques%20for%20teachers&amp;utm_term=https%3A%2F%2Fwww.sec-ed.co.uk%2Fcontent%2Fbest-practice%2Fa-questioning-classroom-13-techniques-for-teachers%2F&amp;utm_medium=email&amp;utm_source=SecEd" TargetMode="External"/><Relationship Id="rId15" Type="http://schemas.openxmlformats.org/officeDocument/2006/relationships/hyperlink" Target="https://hwb.gov.wales/api/storage/4d852cbe-03d6-4c36-8175-c281461c8690/literacy-framework.pdf" TargetMode="External"/><Relationship Id="rId10" Type="http://schemas.openxmlformats.org/officeDocument/2006/relationships/hyperlink" Target="https://doi.org/10.16922/wje.22.1.3-en" TargetMode="External"/><Relationship Id="rId4" Type="http://schemas.openxmlformats.org/officeDocument/2006/relationships/hyperlink" Target="https://video-alexanderstreet-com.ezproxy.uwtsd.ac.uk/watch/teaching-strategies-think-pair-share?utm_campaign=Video&amp;utm_medium=MARC&amp;utm_source=aspresolver" TargetMode="External"/><Relationship Id="rId9" Type="http://schemas.openxmlformats.org/officeDocument/2006/relationships/hyperlink" Target="https://www.clinicaleducator.org/en-gb/resource/735#:~:text=They%20can%20be%20a%20really,for%20personal%20or%20professional%20development" TargetMode="External"/><Relationship Id="rId14" Type="http://schemas.openxmlformats.org/officeDocument/2006/relationships/hyperlink" Target="https://doi.org/10.1016/j.sbspro.2012.09.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4548</Words>
  <Characters>25924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Miles (2307054)</dc:creator>
  <cp:keywords/>
  <dc:description/>
  <cp:lastModifiedBy>Freddie Miles (2307054)</cp:lastModifiedBy>
  <cp:revision>7</cp:revision>
  <dcterms:created xsi:type="dcterms:W3CDTF">2023-11-06T19:36:00Z</dcterms:created>
  <dcterms:modified xsi:type="dcterms:W3CDTF">2023-11-06T19:42:00Z</dcterms:modified>
</cp:coreProperties>
</file>