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812D5" w14:textId="16E305CB" w:rsidR="00A7063B" w:rsidRPr="00881C6F" w:rsidRDefault="00A7063B" w:rsidP="00A7063B">
      <w:pPr>
        <w:spacing w:after="0" w:line="360" w:lineRule="auto"/>
        <w:jc w:val="center"/>
        <w:rPr>
          <w:rFonts w:ascii="Arial" w:hAnsi="Arial" w:cs="Arial"/>
          <w:b/>
          <w:sz w:val="24"/>
          <w:szCs w:val="24"/>
        </w:rPr>
      </w:pPr>
      <w:r w:rsidRPr="00881C6F">
        <w:rPr>
          <w:rFonts w:ascii="Arial" w:hAnsi="Arial" w:cs="Arial"/>
          <w:b/>
          <w:sz w:val="24"/>
          <w:szCs w:val="24"/>
        </w:rPr>
        <w:t xml:space="preserve">LCLM6003 – </w:t>
      </w:r>
      <w:r w:rsidRPr="00881C6F">
        <w:rPr>
          <w:rFonts w:ascii="Arial" w:hAnsi="Arial" w:cs="Arial"/>
          <w:b/>
        </w:rPr>
        <w:t>Leading and Implementing Change</w:t>
      </w:r>
    </w:p>
    <w:p w14:paraId="57874686" w14:textId="77777777" w:rsidR="00A7063B" w:rsidRPr="00881C6F" w:rsidRDefault="00A7063B" w:rsidP="00A7063B">
      <w:pPr>
        <w:spacing w:after="0" w:line="360" w:lineRule="auto"/>
        <w:jc w:val="center"/>
        <w:rPr>
          <w:rFonts w:ascii="Arial" w:hAnsi="Arial" w:cs="Arial"/>
          <w:sz w:val="24"/>
          <w:szCs w:val="24"/>
        </w:rPr>
      </w:pPr>
    </w:p>
    <w:p w14:paraId="7BA97804" w14:textId="77777777" w:rsidR="00A7063B" w:rsidRPr="00881C6F" w:rsidRDefault="00A7063B" w:rsidP="00A7063B">
      <w:pPr>
        <w:spacing w:after="0" w:line="360" w:lineRule="auto"/>
        <w:jc w:val="center"/>
        <w:rPr>
          <w:rFonts w:ascii="Arial" w:hAnsi="Arial" w:cs="Arial"/>
          <w:sz w:val="24"/>
          <w:szCs w:val="24"/>
        </w:rPr>
      </w:pPr>
    </w:p>
    <w:p w14:paraId="2F6E1C87" w14:textId="77777777" w:rsidR="00A7063B" w:rsidRPr="00881C6F" w:rsidRDefault="00A7063B" w:rsidP="00A7063B">
      <w:pPr>
        <w:spacing w:after="0" w:line="360" w:lineRule="auto"/>
        <w:jc w:val="center"/>
        <w:rPr>
          <w:rFonts w:ascii="Arial" w:hAnsi="Arial" w:cs="Arial"/>
          <w:sz w:val="24"/>
          <w:szCs w:val="24"/>
        </w:rPr>
      </w:pPr>
    </w:p>
    <w:p w14:paraId="2E493040" w14:textId="77777777" w:rsidR="00A7063B" w:rsidRPr="00881C6F" w:rsidRDefault="00A7063B" w:rsidP="00A7063B">
      <w:pPr>
        <w:spacing w:after="0" w:line="360" w:lineRule="auto"/>
        <w:jc w:val="center"/>
        <w:rPr>
          <w:rFonts w:ascii="Arial" w:hAnsi="Arial" w:cs="Arial"/>
          <w:sz w:val="24"/>
          <w:szCs w:val="24"/>
        </w:rPr>
      </w:pPr>
    </w:p>
    <w:p w14:paraId="48CCCC7C" w14:textId="77777777" w:rsidR="00A7063B" w:rsidRPr="00881C6F" w:rsidRDefault="00A7063B" w:rsidP="00A7063B">
      <w:pPr>
        <w:spacing w:after="0" w:line="360" w:lineRule="auto"/>
        <w:jc w:val="center"/>
        <w:rPr>
          <w:rFonts w:ascii="Arial" w:hAnsi="Arial" w:cs="Arial"/>
          <w:sz w:val="24"/>
          <w:szCs w:val="24"/>
        </w:rPr>
      </w:pPr>
    </w:p>
    <w:p w14:paraId="73CD8497" w14:textId="77777777" w:rsidR="00A7063B" w:rsidRPr="00881C6F" w:rsidRDefault="00A7063B" w:rsidP="00A7063B">
      <w:pPr>
        <w:spacing w:after="0" w:line="360" w:lineRule="auto"/>
        <w:jc w:val="center"/>
        <w:rPr>
          <w:rFonts w:ascii="Arial" w:hAnsi="Arial" w:cs="Arial"/>
          <w:sz w:val="24"/>
          <w:szCs w:val="24"/>
        </w:rPr>
      </w:pPr>
    </w:p>
    <w:p w14:paraId="2E648300" w14:textId="77777777" w:rsidR="00A7063B" w:rsidRPr="00881C6F" w:rsidRDefault="00A7063B" w:rsidP="00A7063B">
      <w:pPr>
        <w:spacing w:after="0" w:line="360" w:lineRule="auto"/>
        <w:jc w:val="center"/>
        <w:rPr>
          <w:rFonts w:ascii="Arial" w:hAnsi="Arial" w:cs="Arial"/>
          <w:sz w:val="24"/>
          <w:szCs w:val="24"/>
        </w:rPr>
      </w:pPr>
    </w:p>
    <w:p w14:paraId="61027170" w14:textId="77777777" w:rsidR="00A7063B" w:rsidRPr="00881C6F" w:rsidRDefault="00A7063B" w:rsidP="00A7063B">
      <w:pPr>
        <w:spacing w:after="0" w:line="360" w:lineRule="auto"/>
        <w:jc w:val="center"/>
        <w:rPr>
          <w:rFonts w:ascii="Arial" w:hAnsi="Arial" w:cs="Arial"/>
          <w:sz w:val="24"/>
          <w:szCs w:val="24"/>
        </w:rPr>
      </w:pPr>
    </w:p>
    <w:p w14:paraId="35C6B8BE" w14:textId="77777777" w:rsidR="00A7063B" w:rsidRPr="00881C6F" w:rsidRDefault="00A7063B" w:rsidP="00A7063B">
      <w:pPr>
        <w:spacing w:after="0" w:line="360" w:lineRule="auto"/>
        <w:jc w:val="center"/>
        <w:rPr>
          <w:rFonts w:ascii="Arial" w:hAnsi="Arial" w:cs="Arial"/>
          <w:sz w:val="24"/>
          <w:szCs w:val="24"/>
        </w:rPr>
      </w:pPr>
    </w:p>
    <w:p w14:paraId="23AA2FCF" w14:textId="77777777" w:rsidR="00A7063B" w:rsidRPr="00881C6F" w:rsidRDefault="00A7063B" w:rsidP="00A7063B">
      <w:pPr>
        <w:spacing w:after="0" w:line="360" w:lineRule="auto"/>
        <w:jc w:val="center"/>
        <w:rPr>
          <w:rFonts w:ascii="Arial" w:hAnsi="Arial" w:cs="Arial"/>
          <w:sz w:val="24"/>
          <w:szCs w:val="24"/>
        </w:rPr>
      </w:pPr>
      <w:r w:rsidRPr="00881C6F">
        <w:rPr>
          <w:rFonts w:ascii="Arial" w:hAnsi="Arial" w:cs="Arial"/>
          <w:b/>
          <w:sz w:val="24"/>
          <w:szCs w:val="24"/>
        </w:rPr>
        <w:t>Name</w:t>
      </w:r>
      <w:r w:rsidRPr="00881C6F">
        <w:rPr>
          <w:rFonts w:ascii="Arial" w:hAnsi="Arial" w:cs="Arial"/>
          <w:sz w:val="24"/>
          <w:szCs w:val="24"/>
        </w:rPr>
        <w:t xml:space="preserve">: Ionela-Diana </w:t>
      </w:r>
      <w:proofErr w:type="spellStart"/>
      <w:r w:rsidRPr="00881C6F">
        <w:rPr>
          <w:rFonts w:ascii="Arial" w:hAnsi="Arial" w:cs="Arial"/>
          <w:sz w:val="24"/>
          <w:szCs w:val="24"/>
        </w:rPr>
        <w:t>Bojila</w:t>
      </w:r>
      <w:proofErr w:type="spellEnd"/>
    </w:p>
    <w:p w14:paraId="52F8E96C" w14:textId="77777777" w:rsidR="00A7063B" w:rsidRPr="00881C6F" w:rsidRDefault="00A7063B" w:rsidP="00A7063B">
      <w:pPr>
        <w:spacing w:after="0" w:line="360" w:lineRule="auto"/>
        <w:jc w:val="center"/>
        <w:rPr>
          <w:rFonts w:ascii="Arial" w:hAnsi="Arial" w:cs="Arial"/>
          <w:sz w:val="24"/>
          <w:szCs w:val="24"/>
        </w:rPr>
      </w:pPr>
      <w:r w:rsidRPr="00881C6F">
        <w:rPr>
          <w:rFonts w:ascii="Arial" w:hAnsi="Arial" w:cs="Arial"/>
          <w:b/>
          <w:sz w:val="24"/>
          <w:szCs w:val="24"/>
        </w:rPr>
        <w:t>Student ID</w:t>
      </w:r>
      <w:r w:rsidRPr="00881C6F">
        <w:rPr>
          <w:rFonts w:ascii="Arial" w:hAnsi="Arial" w:cs="Arial"/>
          <w:sz w:val="24"/>
          <w:szCs w:val="24"/>
        </w:rPr>
        <w:t>: 2121819</w:t>
      </w:r>
    </w:p>
    <w:p w14:paraId="321FAA2E" w14:textId="77777777" w:rsidR="00A7063B" w:rsidRPr="00881C6F" w:rsidRDefault="00A7063B" w:rsidP="00A7063B">
      <w:pPr>
        <w:spacing w:after="0" w:line="360" w:lineRule="auto"/>
        <w:jc w:val="center"/>
        <w:rPr>
          <w:rFonts w:ascii="Arial" w:hAnsi="Arial" w:cs="Arial"/>
          <w:sz w:val="24"/>
          <w:szCs w:val="24"/>
        </w:rPr>
      </w:pPr>
    </w:p>
    <w:p w14:paraId="03D0674E" w14:textId="77777777" w:rsidR="00A7063B" w:rsidRPr="00881C6F" w:rsidRDefault="00A7063B" w:rsidP="00A7063B">
      <w:pPr>
        <w:spacing w:after="0" w:line="360" w:lineRule="auto"/>
        <w:jc w:val="center"/>
        <w:rPr>
          <w:rFonts w:ascii="Arial" w:hAnsi="Arial" w:cs="Arial"/>
          <w:sz w:val="24"/>
          <w:szCs w:val="24"/>
        </w:rPr>
      </w:pPr>
    </w:p>
    <w:p w14:paraId="6D17BE7A" w14:textId="759747C2" w:rsidR="00A7063B" w:rsidRPr="00881C6F" w:rsidRDefault="00A7063B" w:rsidP="00A7063B">
      <w:pPr>
        <w:tabs>
          <w:tab w:val="center" w:pos="4680"/>
          <w:tab w:val="left" w:pos="5988"/>
        </w:tabs>
        <w:jc w:val="center"/>
        <w:rPr>
          <w:rFonts w:ascii="Arial" w:hAnsi="Arial" w:cs="Arial"/>
          <w:sz w:val="28"/>
          <w:szCs w:val="28"/>
        </w:rPr>
      </w:pPr>
      <w:r w:rsidRPr="00881C6F">
        <w:rPr>
          <w:rFonts w:ascii="Arial" w:hAnsi="Arial" w:cs="Arial"/>
          <w:b/>
          <w:sz w:val="28"/>
          <w:szCs w:val="28"/>
        </w:rPr>
        <w:t>Assignment title</w:t>
      </w:r>
      <w:r w:rsidRPr="00881C6F">
        <w:rPr>
          <w:rFonts w:ascii="Arial" w:hAnsi="Arial" w:cs="Arial"/>
          <w:sz w:val="28"/>
          <w:szCs w:val="28"/>
        </w:rPr>
        <w:t xml:space="preserve">: </w:t>
      </w:r>
      <w:r w:rsidRPr="00881C6F">
        <w:rPr>
          <w:rFonts w:ascii="Arial" w:hAnsi="Arial" w:cs="Arial"/>
          <w:b/>
          <w:sz w:val="28"/>
          <w:szCs w:val="28"/>
        </w:rPr>
        <w:t>A Strategic Change Plan – CHH Conex</w:t>
      </w:r>
      <w:r w:rsidRPr="00881C6F">
        <w:rPr>
          <w:rFonts w:ascii="Arial" w:hAnsi="Arial" w:cs="Arial"/>
          <w:sz w:val="28"/>
          <w:szCs w:val="28"/>
        </w:rPr>
        <w:tab/>
      </w:r>
    </w:p>
    <w:p w14:paraId="3EDDE9E6" w14:textId="77777777" w:rsidR="004171D6" w:rsidRPr="00881C6F" w:rsidRDefault="004171D6"/>
    <w:p w14:paraId="52609114" w14:textId="77777777" w:rsidR="00A7063B" w:rsidRPr="00881C6F" w:rsidRDefault="00A7063B"/>
    <w:p w14:paraId="71FFFA57" w14:textId="77777777" w:rsidR="00A7063B" w:rsidRPr="00881C6F" w:rsidRDefault="00A7063B"/>
    <w:p w14:paraId="546D66FB" w14:textId="77777777" w:rsidR="00A7063B" w:rsidRPr="00881C6F" w:rsidRDefault="00A7063B"/>
    <w:p w14:paraId="226B26EA" w14:textId="77777777" w:rsidR="00A7063B" w:rsidRPr="00881C6F" w:rsidRDefault="00A7063B"/>
    <w:p w14:paraId="0FEB37C3" w14:textId="77777777" w:rsidR="00A7063B" w:rsidRPr="00881C6F" w:rsidRDefault="00A7063B"/>
    <w:p w14:paraId="641D6F27" w14:textId="77777777" w:rsidR="00A7063B" w:rsidRPr="00881C6F" w:rsidRDefault="00A7063B"/>
    <w:p w14:paraId="639712BE" w14:textId="77777777" w:rsidR="00A7063B" w:rsidRPr="00881C6F" w:rsidRDefault="00A7063B"/>
    <w:p w14:paraId="46C1D3BD" w14:textId="77777777" w:rsidR="00A7063B" w:rsidRPr="00881C6F" w:rsidRDefault="00A7063B"/>
    <w:p w14:paraId="2728A2FB" w14:textId="77777777" w:rsidR="00A7063B" w:rsidRDefault="00A7063B"/>
    <w:p w14:paraId="5D8D257B" w14:textId="77777777" w:rsidR="00F36189" w:rsidRDefault="00F36189"/>
    <w:p w14:paraId="5D2BBD08" w14:textId="77777777" w:rsidR="00F36189" w:rsidRDefault="00F36189"/>
    <w:p w14:paraId="7C227894" w14:textId="77777777" w:rsidR="00F36189" w:rsidRDefault="00F36189"/>
    <w:sdt>
      <w:sdtPr>
        <w:rPr>
          <w:rFonts w:asciiTheme="minorHAnsi" w:eastAsiaTheme="minorEastAsia" w:hAnsiTheme="minorHAnsi" w:cstheme="minorBidi"/>
          <w:color w:val="auto"/>
          <w:sz w:val="22"/>
          <w:szCs w:val="22"/>
          <w:lang w:val="en-GB"/>
        </w:rPr>
        <w:id w:val="1976478557"/>
        <w:docPartObj>
          <w:docPartGallery w:val="Table of Contents"/>
          <w:docPartUnique/>
        </w:docPartObj>
      </w:sdtPr>
      <w:sdtEndPr>
        <w:rPr>
          <w:b/>
          <w:bCs/>
          <w:noProof/>
        </w:rPr>
      </w:sdtEndPr>
      <w:sdtContent>
        <w:p w14:paraId="2AE2D899" w14:textId="0A96166F" w:rsidR="00F36189" w:rsidRDefault="00F36189" w:rsidP="00F36189">
          <w:pPr>
            <w:pStyle w:val="TOCHeading"/>
            <w:spacing w:before="0" w:line="360" w:lineRule="auto"/>
            <w:jc w:val="center"/>
            <w:rPr>
              <w:rFonts w:ascii="Arial" w:hAnsi="Arial" w:cs="Arial"/>
              <w:b/>
              <w:bCs/>
              <w:color w:val="000000" w:themeColor="text1"/>
            </w:rPr>
          </w:pPr>
          <w:r w:rsidRPr="00F36189">
            <w:rPr>
              <w:rFonts w:ascii="Arial" w:hAnsi="Arial" w:cs="Arial"/>
              <w:b/>
              <w:bCs/>
              <w:color w:val="000000" w:themeColor="text1"/>
            </w:rPr>
            <w:t>Contents</w:t>
          </w:r>
        </w:p>
        <w:p w14:paraId="500184DC" w14:textId="77777777" w:rsidR="00F36189" w:rsidRPr="00F36189" w:rsidRDefault="00F36189" w:rsidP="00F36189">
          <w:pPr>
            <w:rPr>
              <w:lang w:val="en-US"/>
            </w:rPr>
          </w:pPr>
        </w:p>
        <w:p w14:paraId="7AB674C2" w14:textId="03F5FAC9" w:rsidR="00C8484E" w:rsidRDefault="00F36189">
          <w:pPr>
            <w:pStyle w:val="TOC1"/>
            <w:tabs>
              <w:tab w:val="right" w:leader="dot" w:pos="9350"/>
            </w:tabs>
            <w:rPr>
              <w:noProof/>
              <w:kern w:val="2"/>
              <w:sz w:val="24"/>
              <w:szCs w:val="24"/>
              <w:lang w:val="en-US"/>
              <w14:ligatures w14:val="standardContextual"/>
            </w:rPr>
          </w:pPr>
          <w:r>
            <w:fldChar w:fldCharType="begin"/>
          </w:r>
          <w:r>
            <w:instrText xml:space="preserve"> TOC \o "1-3" \h \z \u </w:instrText>
          </w:r>
          <w:r>
            <w:fldChar w:fldCharType="separate"/>
          </w:r>
          <w:hyperlink w:anchor="_Toc212294144" w:history="1">
            <w:r w:rsidR="00C8484E" w:rsidRPr="0059238C">
              <w:rPr>
                <w:rStyle w:val="Hyperlink"/>
                <w:rFonts w:ascii="Arial" w:hAnsi="Arial" w:cs="Arial"/>
                <w:b/>
                <w:bCs/>
                <w:noProof/>
              </w:rPr>
              <w:t>Introduction to CHH Conex</w:t>
            </w:r>
            <w:r w:rsidR="00C8484E">
              <w:rPr>
                <w:noProof/>
                <w:webHidden/>
              </w:rPr>
              <w:tab/>
            </w:r>
            <w:r w:rsidR="00C8484E">
              <w:rPr>
                <w:noProof/>
                <w:webHidden/>
              </w:rPr>
              <w:fldChar w:fldCharType="begin"/>
            </w:r>
            <w:r w:rsidR="00C8484E">
              <w:rPr>
                <w:noProof/>
                <w:webHidden/>
              </w:rPr>
              <w:instrText xml:space="preserve"> PAGEREF _Toc212294144 \h </w:instrText>
            </w:r>
            <w:r w:rsidR="00C8484E">
              <w:rPr>
                <w:noProof/>
                <w:webHidden/>
              </w:rPr>
            </w:r>
            <w:r w:rsidR="00C8484E">
              <w:rPr>
                <w:noProof/>
                <w:webHidden/>
              </w:rPr>
              <w:fldChar w:fldCharType="separate"/>
            </w:r>
            <w:r w:rsidR="00C8484E">
              <w:rPr>
                <w:noProof/>
                <w:webHidden/>
              </w:rPr>
              <w:t>3</w:t>
            </w:r>
            <w:r w:rsidR="00C8484E">
              <w:rPr>
                <w:noProof/>
                <w:webHidden/>
              </w:rPr>
              <w:fldChar w:fldCharType="end"/>
            </w:r>
          </w:hyperlink>
        </w:p>
        <w:p w14:paraId="44AA315C" w14:textId="1128A6D4" w:rsidR="00C8484E" w:rsidRDefault="00C8484E">
          <w:pPr>
            <w:pStyle w:val="TOC1"/>
            <w:tabs>
              <w:tab w:val="right" w:leader="dot" w:pos="9350"/>
            </w:tabs>
            <w:rPr>
              <w:noProof/>
              <w:kern w:val="2"/>
              <w:sz w:val="24"/>
              <w:szCs w:val="24"/>
              <w:lang w:val="en-US"/>
              <w14:ligatures w14:val="standardContextual"/>
            </w:rPr>
          </w:pPr>
          <w:hyperlink w:anchor="_Toc212294145" w:history="1">
            <w:r w:rsidRPr="0059238C">
              <w:rPr>
                <w:rStyle w:val="Hyperlink"/>
                <w:rFonts w:ascii="Arial" w:hAnsi="Arial" w:cs="Arial"/>
                <w:b/>
                <w:bCs/>
                <w:noProof/>
              </w:rPr>
              <w:t>1. Analysis of Internal and External Environmental Changes</w:t>
            </w:r>
            <w:r>
              <w:rPr>
                <w:noProof/>
                <w:webHidden/>
              </w:rPr>
              <w:tab/>
            </w:r>
            <w:r>
              <w:rPr>
                <w:noProof/>
                <w:webHidden/>
              </w:rPr>
              <w:fldChar w:fldCharType="begin"/>
            </w:r>
            <w:r>
              <w:rPr>
                <w:noProof/>
                <w:webHidden/>
              </w:rPr>
              <w:instrText xml:space="preserve"> PAGEREF _Toc212294145 \h </w:instrText>
            </w:r>
            <w:r>
              <w:rPr>
                <w:noProof/>
                <w:webHidden/>
              </w:rPr>
            </w:r>
            <w:r>
              <w:rPr>
                <w:noProof/>
                <w:webHidden/>
              </w:rPr>
              <w:fldChar w:fldCharType="separate"/>
            </w:r>
            <w:r>
              <w:rPr>
                <w:noProof/>
                <w:webHidden/>
              </w:rPr>
              <w:t>4</w:t>
            </w:r>
            <w:r>
              <w:rPr>
                <w:noProof/>
                <w:webHidden/>
              </w:rPr>
              <w:fldChar w:fldCharType="end"/>
            </w:r>
          </w:hyperlink>
        </w:p>
        <w:p w14:paraId="50346C10" w14:textId="6AA39507" w:rsidR="00C8484E" w:rsidRDefault="00C8484E">
          <w:pPr>
            <w:pStyle w:val="TOC1"/>
            <w:tabs>
              <w:tab w:val="right" w:leader="dot" w:pos="9350"/>
            </w:tabs>
            <w:rPr>
              <w:noProof/>
              <w:kern w:val="2"/>
              <w:sz w:val="24"/>
              <w:szCs w:val="24"/>
              <w:lang w:val="en-US"/>
              <w14:ligatures w14:val="standardContextual"/>
            </w:rPr>
          </w:pPr>
          <w:hyperlink w:anchor="_Toc212294146" w:history="1">
            <w:r w:rsidRPr="0059238C">
              <w:rPr>
                <w:rStyle w:val="Hyperlink"/>
                <w:rFonts w:ascii="Arial" w:hAnsi="Arial" w:cs="Arial"/>
                <w:b/>
                <w:bCs/>
                <w:noProof/>
              </w:rPr>
              <w:t>1.1. External Environment: Digital Disruption and Market Transformation</w:t>
            </w:r>
            <w:r>
              <w:rPr>
                <w:noProof/>
                <w:webHidden/>
              </w:rPr>
              <w:tab/>
            </w:r>
            <w:r>
              <w:rPr>
                <w:noProof/>
                <w:webHidden/>
              </w:rPr>
              <w:fldChar w:fldCharType="begin"/>
            </w:r>
            <w:r>
              <w:rPr>
                <w:noProof/>
                <w:webHidden/>
              </w:rPr>
              <w:instrText xml:space="preserve"> PAGEREF _Toc212294146 \h </w:instrText>
            </w:r>
            <w:r>
              <w:rPr>
                <w:noProof/>
                <w:webHidden/>
              </w:rPr>
            </w:r>
            <w:r>
              <w:rPr>
                <w:noProof/>
                <w:webHidden/>
              </w:rPr>
              <w:fldChar w:fldCharType="separate"/>
            </w:r>
            <w:r>
              <w:rPr>
                <w:noProof/>
                <w:webHidden/>
              </w:rPr>
              <w:t>4</w:t>
            </w:r>
            <w:r>
              <w:rPr>
                <w:noProof/>
                <w:webHidden/>
              </w:rPr>
              <w:fldChar w:fldCharType="end"/>
            </w:r>
          </w:hyperlink>
        </w:p>
        <w:p w14:paraId="06229342" w14:textId="2D9F9F87" w:rsidR="00C8484E" w:rsidRDefault="00C8484E">
          <w:pPr>
            <w:pStyle w:val="TOC1"/>
            <w:tabs>
              <w:tab w:val="right" w:leader="dot" w:pos="9350"/>
            </w:tabs>
            <w:rPr>
              <w:noProof/>
              <w:kern w:val="2"/>
              <w:sz w:val="24"/>
              <w:szCs w:val="24"/>
              <w:lang w:val="en-US"/>
              <w14:ligatures w14:val="standardContextual"/>
            </w:rPr>
          </w:pPr>
          <w:hyperlink w:anchor="_Toc212294147" w:history="1">
            <w:r w:rsidRPr="0059238C">
              <w:rPr>
                <w:rStyle w:val="Hyperlink"/>
                <w:rFonts w:ascii="Arial" w:hAnsi="Arial" w:cs="Arial"/>
                <w:b/>
                <w:bCs/>
                <w:noProof/>
              </w:rPr>
              <w:t>1.2. External Environment: Competitive and Regulatory Pressures</w:t>
            </w:r>
            <w:r>
              <w:rPr>
                <w:noProof/>
                <w:webHidden/>
              </w:rPr>
              <w:tab/>
            </w:r>
            <w:r>
              <w:rPr>
                <w:noProof/>
                <w:webHidden/>
              </w:rPr>
              <w:fldChar w:fldCharType="begin"/>
            </w:r>
            <w:r>
              <w:rPr>
                <w:noProof/>
                <w:webHidden/>
              </w:rPr>
              <w:instrText xml:space="preserve"> PAGEREF _Toc212294147 \h </w:instrText>
            </w:r>
            <w:r>
              <w:rPr>
                <w:noProof/>
                <w:webHidden/>
              </w:rPr>
            </w:r>
            <w:r>
              <w:rPr>
                <w:noProof/>
                <w:webHidden/>
              </w:rPr>
              <w:fldChar w:fldCharType="separate"/>
            </w:r>
            <w:r>
              <w:rPr>
                <w:noProof/>
                <w:webHidden/>
              </w:rPr>
              <w:t>5</w:t>
            </w:r>
            <w:r>
              <w:rPr>
                <w:noProof/>
                <w:webHidden/>
              </w:rPr>
              <w:fldChar w:fldCharType="end"/>
            </w:r>
          </w:hyperlink>
        </w:p>
        <w:p w14:paraId="7777FE99" w14:textId="29D956AC" w:rsidR="00C8484E" w:rsidRDefault="00C8484E">
          <w:pPr>
            <w:pStyle w:val="TOC1"/>
            <w:tabs>
              <w:tab w:val="right" w:leader="dot" w:pos="9350"/>
            </w:tabs>
            <w:rPr>
              <w:noProof/>
              <w:kern w:val="2"/>
              <w:sz w:val="24"/>
              <w:szCs w:val="24"/>
              <w:lang w:val="en-US"/>
              <w14:ligatures w14:val="standardContextual"/>
            </w:rPr>
          </w:pPr>
          <w:hyperlink w:anchor="_Toc212294148" w:history="1">
            <w:r w:rsidRPr="0059238C">
              <w:rPr>
                <w:rStyle w:val="Hyperlink"/>
                <w:rFonts w:ascii="Arial" w:hAnsi="Arial" w:cs="Arial"/>
                <w:b/>
                <w:bCs/>
                <w:noProof/>
              </w:rPr>
              <w:t>1.3. Internal Environment: Organisational Capabilities and Culture</w:t>
            </w:r>
            <w:r>
              <w:rPr>
                <w:noProof/>
                <w:webHidden/>
              </w:rPr>
              <w:tab/>
            </w:r>
            <w:r>
              <w:rPr>
                <w:noProof/>
                <w:webHidden/>
              </w:rPr>
              <w:fldChar w:fldCharType="begin"/>
            </w:r>
            <w:r>
              <w:rPr>
                <w:noProof/>
                <w:webHidden/>
              </w:rPr>
              <w:instrText xml:space="preserve"> PAGEREF _Toc212294148 \h </w:instrText>
            </w:r>
            <w:r>
              <w:rPr>
                <w:noProof/>
                <w:webHidden/>
              </w:rPr>
            </w:r>
            <w:r>
              <w:rPr>
                <w:noProof/>
                <w:webHidden/>
              </w:rPr>
              <w:fldChar w:fldCharType="separate"/>
            </w:r>
            <w:r>
              <w:rPr>
                <w:noProof/>
                <w:webHidden/>
              </w:rPr>
              <w:t>6</w:t>
            </w:r>
            <w:r>
              <w:rPr>
                <w:noProof/>
                <w:webHidden/>
              </w:rPr>
              <w:fldChar w:fldCharType="end"/>
            </w:r>
          </w:hyperlink>
        </w:p>
        <w:p w14:paraId="516F398E" w14:textId="2D46305C" w:rsidR="00C8484E" w:rsidRDefault="00C8484E">
          <w:pPr>
            <w:pStyle w:val="TOC1"/>
            <w:tabs>
              <w:tab w:val="right" w:leader="dot" w:pos="9350"/>
            </w:tabs>
            <w:rPr>
              <w:noProof/>
              <w:kern w:val="2"/>
              <w:sz w:val="24"/>
              <w:szCs w:val="24"/>
              <w:lang w:val="en-US"/>
              <w14:ligatures w14:val="standardContextual"/>
            </w:rPr>
          </w:pPr>
          <w:hyperlink w:anchor="_Toc212294149" w:history="1">
            <w:r w:rsidRPr="0059238C">
              <w:rPr>
                <w:rStyle w:val="Hyperlink"/>
                <w:rFonts w:ascii="Arial" w:hAnsi="Arial" w:cs="Arial"/>
                <w:b/>
                <w:bCs/>
                <w:noProof/>
              </w:rPr>
              <w:t>1.4. Strategic Implications</w:t>
            </w:r>
            <w:r>
              <w:rPr>
                <w:noProof/>
                <w:webHidden/>
              </w:rPr>
              <w:tab/>
            </w:r>
            <w:r>
              <w:rPr>
                <w:noProof/>
                <w:webHidden/>
              </w:rPr>
              <w:fldChar w:fldCharType="begin"/>
            </w:r>
            <w:r>
              <w:rPr>
                <w:noProof/>
                <w:webHidden/>
              </w:rPr>
              <w:instrText xml:space="preserve"> PAGEREF _Toc212294149 \h </w:instrText>
            </w:r>
            <w:r>
              <w:rPr>
                <w:noProof/>
                <w:webHidden/>
              </w:rPr>
            </w:r>
            <w:r>
              <w:rPr>
                <w:noProof/>
                <w:webHidden/>
              </w:rPr>
              <w:fldChar w:fldCharType="separate"/>
            </w:r>
            <w:r>
              <w:rPr>
                <w:noProof/>
                <w:webHidden/>
              </w:rPr>
              <w:t>6</w:t>
            </w:r>
            <w:r>
              <w:rPr>
                <w:noProof/>
                <w:webHidden/>
              </w:rPr>
              <w:fldChar w:fldCharType="end"/>
            </w:r>
          </w:hyperlink>
        </w:p>
        <w:p w14:paraId="32FFCDBC" w14:textId="15F4BDD7" w:rsidR="00C8484E" w:rsidRDefault="00C8484E">
          <w:pPr>
            <w:pStyle w:val="TOC1"/>
            <w:tabs>
              <w:tab w:val="right" w:leader="dot" w:pos="9350"/>
            </w:tabs>
            <w:rPr>
              <w:noProof/>
              <w:kern w:val="2"/>
              <w:sz w:val="24"/>
              <w:szCs w:val="24"/>
              <w:lang w:val="en-US"/>
              <w14:ligatures w14:val="standardContextual"/>
            </w:rPr>
          </w:pPr>
          <w:hyperlink w:anchor="_Toc212294150" w:history="1">
            <w:r w:rsidRPr="0059238C">
              <w:rPr>
                <w:rStyle w:val="Hyperlink"/>
                <w:rFonts w:ascii="Arial" w:hAnsi="Arial" w:cs="Arial"/>
                <w:b/>
                <w:bCs/>
                <w:noProof/>
              </w:rPr>
              <w:t>2. Evaluation of Change Management Models</w:t>
            </w:r>
            <w:r>
              <w:rPr>
                <w:noProof/>
                <w:webHidden/>
              </w:rPr>
              <w:tab/>
            </w:r>
            <w:r>
              <w:rPr>
                <w:noProof/>
                <w:webHidden/>
              </w:rPr>
              <w:fldChar w:fldCharType="begin"/>
            </w:r>
            <w:r>
              <w:rPr>
                <w:noProof/>
                <w:webHidden/>
              </w:rPr>
              <w:instrText xml:space="preserve"> PAGEREF _Toc212294150 \h </w:instrText>
            </w:r>
            <w:r>
              <w:rPr>
                <w:noProof/>
                <w:webHidden/>
              </w:rPr>
            </w:r>
            <w:r>
              <w:rPr>
                <w:noProof/>
                <w:webHidden/>
              </w:rPr>
              <w:fldChar w:fldCharType="separate"/>
            </w:r>
            <w:r>
              <w:rPr>
                <w:noProof/>
                <w:webHidden/>
              </w:rPr>
              <w:t>7</w:t>
            </w:r>
            <w:r>
              <w:rPr>
                <w:noProof/>
                <w:webHidden/>
              </w:rPr>
              <w:fldChar w:fldCharType="end"/>
            </w:r>
          </w:hyperlink>
        </w:p>
        <w:p w14:paraId="1A847446" w14:textId="19073BC3" w:rsidR="00C8484E" w:rsidRDefault="00C8484E">
          <w:pPr>
            <w:pStyle w:val="TOC1"/>
            <w:tabs>
              <w:tab w:val="right" w:leader="dot" w:pos="9350"/>
            </w:tabs>
            <w:rPr>
              <w:noProof/>
              <w:kern w:val="2"/>
              <w:sz w:val="24"/>
              <w:szCs w:val="24"/>
              <w:lang w:val="en-US"/>
              <w14:ligatures w14:val="standardContextual"/>
            </w:rPr>
          </w:pPr>
          <w:hyperlink w:anchor="_Toc212294151" w:history="1">
            <w:r w:rsidRPr="0059238C">
              <w:rPr>
                <w:rStyle w:val="Hyperlink"/>
                <w:rFonts w:ascii="Arial" w:hAnsi="Arial" w:cs="Arial"/>
                <w:b/>
                <w:bCs/>
                <w:noProof/>
              </w:rPr>
              <w:t>2.1. Lewin’s Three-Stage Model</w:t>
            </w:r>
            <w:r>
              <w:rPr>
                <w:noProof/>
                <w:webHidden/>
              </w:rPr>
              <w:tab/>
            </w:r>
            <w:r>
              <w:rPr>
                <w:noProof/>
                <w:webHidden/>
              </w:rPr>
              <w:fldChar w:fldCharType="begin"/>
            </w:r>
            <w:r>
              <w:rPr>
                <w:noProof/>
                <w:webHidden/>
              </w:rPr>
              <w:instrText xml:space="preserve"> PAGEREF _Toc212294151 \h </w:instrText>
            </w:r>
            <w:r>
              <w:rPr>
                <w:noProof/>
                <w:webHidden/>
              </w:rPr>
            </w:r>
            <w:r>
              <w:rPr>
                <w:noProof/>
                <w:webHidden/>
              </w:rPr>
              <w:fldChar w:fldCharType="separate"/>
            </w:r>
            <w:r>
              <w:rPr>
                <w:noProof/>
                <w:webHidden/>
              </w:rPr>
              <w:t>7</w:t>
            </w:r>
            <w:r>
              <w:rPr>
                <w:noProof/>
                <w:webHidden/>
              </w:rPr>
              <w:fldChar w:fldCharType="end"/>
            </w:r>
          </w:hyperlink>
        </w:p>
        <w:p w14:paraId="666D6623" w14:textId="38E212B2" w:rsidR="00C8484E" w:rsidRDefault="00C8484E">
          <w:pPr>
            <w:pStyle w:val="TOC1"/>
            <w:tabs>
              <w:tab w:val="right" w:leader="dot" w:pos="9350"/>
            </w:tabs>
            <w:rPr>
              <w:noProof/>
              <w:kern w:val="2"/>
              <w:sz w:val="24"/>
              <w:szCs w:val="24"/>
              <w:lang w:val="en-US"/>
              <w14:ligatures w14:val="standardContextual"/>
            </w:rPr>
          </w:pPr>
          <w:hyperlink w:anchor="_Toc212294152" w:history="1">
            <w:r w:rsidRPr="0059238C">
              <w:rPr>
                <w:rStyle w:val="Hyperlink"/>
                <w:rFonts w:ascii="Arial" w:hAnsi="Arial" w:cs="Arial"/>
                <w:b/>
                <w:bCs/>
                <w:noProof/>
              </w:rPr>
              <w:t>2.2. Kotter’s Eight-Step Change Model</w:t>
            </w:r>
            <w:r>
              <w:rPr>
                <w:noProof/>
                <w:webHidden/>
              </w:rPr>
              <w:tab/>
            </w:r>
            <w:r>
              <w:rPr>
                <w:noProof/>
                <w:webHidden/>
              </w:rPr>
              <w:fldChar w:fldCharType="begin"/>
            </w:r>
            <w:r>
              <w:rPr>
                <w:noProof/>
                <w:webHidden/>
              </w:rPr>
              <w:instrText xml:space="preserve"> PAGEREF _Toc212294152 \h </w:instrText>
            </w:r>
            <w:r>
              <w:rPr>
                <w:noProof/>
                <w:webHidden/>
              </w:rPr>
            </w:r>
            <w:r>
              <w:rPr>
                <w:noProof/>
                <w:webHidden/>
              </w:rPr>
              <w:fldChar w:fldCharType="separate"/>
            </w:r>
            <w:r>
              <w:rPr>
                <w:noProof/>
                <w:webHidden/>
              </w:rPr>
              <w:t>8</w:t>
            </w:r>
            <w:r>
              <w:rPr>
                <w:noProof/>
                <w:webHidden/>
              </w:rPr>
              <w:fldChar w:fldCharType="end"/>
            </w:r>
          </w:hyperlink>
        </w:p>
        <w:p w14:paraId="0DF43C36" w14:textId="54E4F9A3" w:rsidR="00C8484E" w:rsidRDefault="00C8484E">
          <w:pPr>
            <w:pStyle w:val="TOC1"/>
            <w:tabs>
              <w:tab w:val="right" w:leader="dot" w:pos="9350"/>
            </w:tabs>
            <w:rPr>
              <w:noProof/>
              <w:kern w:val="2"/>
              <w:sz w:val="24"/>
              <w:szCs w:val="24"/>
              <w:lang w:val="en-US"/>
              <w14:ligatures w14:val="standardContextual"/>
            </w:rPr>
          </w:pPr>
          <w:hyperlink w:anchor="_Toc212294153" w:history="1">
            <w:r w:rsidRPr="0059238C">
              <w:rPr>
                <w:rStyle w:val="Hyperlink"/>
                <w:rFonts w:ascii="Arial" w:hAnsi="Arial" w:cs="Arial"/>
                <w:b/>
                <w:bCs/>
                <w:noProof/>
              </w:rPr>
              <w:t>2.3. ADKAR Model</w:t>
            </w:r>
            <w:r>
              <w:rPr>
                <w:noProof/>
                <w:webHidden/>
              </w:rPr>
              <w:tab/>
            </w:r>
            <w:r>
              <w:rPr>
                <w:noProof/>
                <w:webHidden/>
              </w:rPr>
              <w:fldChar w:fldCharType="begin"/>
            </w:r>
            <w:r>
              <w:rPr>
                <w:noProof/>
                <w:webHidden/>
              </w:rPr>
              <w:instrText xml:space="preserve"> PAGEREF _Toc212294153 \h </w:instrText>
            </w:r>
            <w:r>
              <w:rPr>
                <w:noProof/>
                <w:webHidden/>
              </w:rPr>
            </w:r>
            <w:r>
              <w:rPr>
                <w:noProof/>
                <w:webHidden/>
              </w:rPr>
              <w:fldChar w:fldCharType="separate"/>
            </w:r>
            <w:r>
              <w:rPr>
                <w:noProof/>
                <w:webHidden/>
              </w:rPr>
              <w:t>9</w:t>
            </w:r>
            <w:r>
              <w:rPr>
                <w:noProof/>
                <w:webHidden/>
              </w:rPr>
              <w:fldChar w:fldCharType="end"/>
            </w:r>
          </w:hyperlink>
        </w:p>
        <w:p w14:paraId="6DB6A1E1" w14:textId="7E01D140" w:rsidR="00C8484E" w:rsidRDefault="00C8484E">
          <w:pPr>
            <w:pStyle w:val="TOC1"/>
            <w:tabs>
              <w:tab w:val="right" w:leader="dot" w:pos="9350"/>
            </w:tabs>
            <w:rPr>
              <w:noProof/>
              <w:kern w:val="2"/>
              <w:sz w:val="24"/>
              <w:szCs w:val="24"/>
              <w:lang w:val="en-US"/>
              <w14:ligatures w14:val="standardContextual"/>
            </w:rPr>
          </w:pPr>
          <w:hyperlink w:anchor="_Toc212294154" w:history="1">
            <w:r w:rsidRPr="0059238C">
              <w:rPr>
                <w:rStyle w:val="Hyperlink"/>
                <w:rFonts w:ascii="Arial" w:hAnsi="Arial" w:cs="Arial"/>
                <w:b/>
                <w:bCs/>
                <w:noProof/>
              </w:rPr>
              <w:t>2.4. Strategic Change Considerations</w:t>
            </w:r>
            <w:r>
              <w:rPr>
                <w:noProof/>
                <w:webHidden/>
              </w:rPr>
              <w:tab/>
            </w:r>
            <w:r>
              <w:rPr>
                <w:noProof/>
                <w:webHidden/>
              </w:rPr>
              <w:fldChar w:fldCharType="begin"/>
            </w:r>
            <w:r>
              <w:rPr>
                <w:noProof/>
                <w:webHidden/>
              </w:rPr>
              <w:instrText xml:space="preserve"> PAGEREF _Toc212294154 \h </w:instrText>
            </w:r>
            <w:r>
              <w:rPr>
                <w:noProof/>
                <w:webHidden/>
              </w:rPr>
            </w:r>
            <w:r>
              <w:rPr>
                <w:noProof/>
                <w:webHidden/>
              </w:rPr>
              <w:fldChar w:fldCharType="separate"/>
            </w:r>
            <w:r>
              <w:rPr>
                <w:noProof/>
                <w:webHidden/>
              </w:rPr>
              <w:t>9</w:t>
            </w:r>
            <w:r>
              <w:rPr>
                <w:noProof/>
                <w:webHidden/>
              </w:rPr>
              <w:fldChar w:fldCharType="end"/>
            </w:r>
          </w:hyperlink>
        </w:p>
        <w:p w14:paraId="126D32C5" w14:textId="0185B2C1" w:rsidR="00C8484E" w:rsidRDefault="00C8484E">
          <w:pPr>
            <w:pStyle w:val="TOC1"/>
            <w:tabs>
              <w:tab w:val="right" w:leader="dot" w:pos="9350"/>
            </w:tabs>
            <w:rPr>
              <w:noProof/>
              <w:kern w:val="2"/>
              <w:sz w:val="24"/>
              <w:szCs w:val="24"/>
              <w:lang w:val="en-US"/>
              <w14:ligatures w14:val="standardContextual"/>
            </w:rPr>
          </w:pPr>
          <w:hyperlink w:anchor="_Toc212294155" w:history="1">
            <w:r w:rsidRPr="0059238C">
              <w:rPr>
                <w:rStyle w:val="Hyperlink"/>
                <w:rFonts w:ascii="Arial" w:hAnsi="Arial" w:cs="Arial"/>
                <w:b/>
                <w:bCs/>
                <w:noProof/>
              </w:rPr>
              <w:t>2.5. Recommended Approach for CHH Conex</w:t>
            </w:r>
            <w:r>
              <w:rPr>
                <w:noProof/>
                <w:webHidden/>
              </w:rPr>
              <w:tab/>
            </w:r>
            <w:r>
              <w:rPr>
                <w:noProof/>
                <w:webHidden/>
              </w:rPr>
              <w:fldChar w:fldCharType="begin"/>
            </w:r>
            <w:r>
              <w:rPr>
                <w:noProof/>
                <w:webHidden/>
              </w:rPr>
              <w:instrText xml:space="preserve"> PAGEREF _Toc212294155 \h </w:instrText>
            </w:r>
            <w:r>
              <w:rPr>
                <w:noProof/>
                <w:webHidden/>
              </w:rPr>
            </w:r>
            <w:r>
              <w:rPr>
                <w:noProof/>
                <w:webHidden/>
              </w:rPr>
              <w:fldChar w:fldCharType="separate"/>
            </w:r>
            <w:r>
              <w:rPr>
                <w:noProof/>
                <w:webHidden/>
              </w:rPr>
              <w:t>10</w:t>
            </w:r>
            <w:r>
              <w:rPr>
                <w:noProof/>
                <w:webHidden/>
              </w:rPr>
              <w:fldChar w:fldCharType="end"/>
            </w:r>
          </w:hyperlink>
        </w:p>
        <w:p w14:paraId="02417721" w14:textId="5C5B8AB9" w:rsidR="00C8484E" w:rsidRDefault="00C8484E">
          <w:pPr>
            <w:pStyle w:val="TOC1"/>
            <w:tabs>
              <w:tab w:val="right" w:leader="dot" w:pos="9350"/>
            </w:tabs>
            <w:rPr>
              <w:noProof/>
              <w:kern w:val="2"/>
              <w:sz w:val="24"/>
              <w:szCs w:val="24"/>
              <w:lang w:val="en-US"/>
              <w14:ligatures w14:val="standardContextual"/>
            </w:rPr>
          </w:pPr>
          <w:hyperlink w:anchor="_Toc212294156" w:history="1">
            <w:r w:rsidRPr="0059238C">
              <w:rPr>
                <w:rStyle w:val="Hyperlink"/>
                <w:rFonts w:ascii="Arial" w:hAnsi="Arial" w:cs="Arial"/>
                <w:b/>
                <w:bCs/>
                <w:noProof/>
              </w:rPr>
              <w:t>3. Evaluation of Change Management and Leadership Influence</w:t>
            </w:r>
            <w:r>
              <w:rPr>
                <w:noProof/>
                <w:webHidden/>
              </w:rPr>
              <w:tab/>
            </w:r>
            <w:r>
              <w:rPr>
                <w:noProof/>
                <w:webHidden/>
              </w:rPr>
              <w:fldChar w:fldCharType="begin"/>
            </w:r>
            <w:r>
              <w:rPr>
                <w:noProof/>
                <w:webHidden/>
              </w:rPr>
              <w:instrText xml:space="preserve"> PAGEREF _Toc212294156 \h </w:instrText>
            </w:r>
            <w:r>
              <w:rPr>
                <w:noProof/>
                <w:webHidden/>
              </w:rPr>
            </w:r>
            <w:r>
              <w:rPr>
                <w:noProof/>
                <w:webHidden/>
              </w:rPr>
              <w:fldChar w:fldCharType="separate"/>
            </w:r>
            <w:r>
              <w:rPr>
                <w:noProof/>
                <w:webHidden/>
              </w:rPr>
              <w:t>10</w:t>
            </w:r>
            <w:r>
              <w:rPr>
                <w:noProof/>
                <w:webHidden/>
              </w:rPr>
              <w:fldChar w:fldCharType="end"/>
            </w:r>
          </w:hyperlink>
        </w:p>
        <w:p w14:paraId="2483CC03" w14:textId="1120CCCF" w:rsidR="00C8484E" w:rsidRDefault="00C8484E">
          <w:pPr>
            <w:pStyle w:val="TOC1"/>
            <w:tabs>
              <w:tab w:val="right" w:leader="dot" w:pos="9350"/>
            </w:tabs>
            <w:rPr>
              <w:noProof/>
              <w:kern w:val="2"/>
              <w:sz w:val="24"/>
              <w:szCs w:val="24"/>
              <w:lang w:val="en-US"/>
              <w14:ligatures w14:val="standardContextual"/>
            </w:rPr>
          </w:pPr>
          <w:hyperlink w:anchor="_Toc212294157" w:history="1">
            <w:r w:rsidRPr="0059238C">
              <w:rPr>
                <w:rStyle w:val="Hyperlink"/>
                <w:rFonts w:ascii="Arial" w:hAnsi="Arial" w:cs="Arial"/>
                <w:b/>
                <w:bCs/>
                <w:noProof/>
              </w:rPr>
              <w:t>4. Proposed Change Plan and Objectives</w:t>
            </w:r>
            <w:r>
              <w:rPr>
                <w:noProof/>
                <w:webHidden/>
              </w:rPr>
              <w:tab/>
            </w:r>
            <w:r>
              <w:rPr>
                <w:noProof/>
                <w:webHidden/>
              </w:rPr>
              <w:fldChar w:fldCharType="begin"/>
            </w:r>
            <w:r>
              <w:rPr>
                <w:noProof/>
                <w:webHidden/>
              </w:rPr>
              <w:instrText xml:space="preserve"> PAGEREF _Toc212294157 \h </w:instrText>
            </w:r>
            <w:r>
              <w:rPr>
                <w:noProof/>
                <w:webHidden/>
              </w:rPr>
            </w:r>
            <w:r>
              <w:rPr>
                <w:noProof/>
                <w:webHidden/>
              </w:rPr>
              <w:fldChar w:fldCharType="separate"/>
            </w:r>
            <w:r>
              <w:rPr>
                <w:noProof/>
                <w:webHidden/>
              </w:rPr>
              <w:t>12</w:t>
            </w:r>
            <w:r>
              <w:rPr>
                <w:noProof/>
                <w:webHidden/>
              </w:rPr>
              <w:fldChar w:fldCharType="end"/>
            </w:r>
          </w:hyperlink>
        </w:p>
        <w:p w14:paraId="6F364A35" w14:textId="56E8292C" w:rsidR="00C8484E" w:rsidRDefault="00C8484E">
          <w:pPr>
            <w:pStyle w:val="TOC1"/>
            <w:tabs>
              <w:tab w:val="right" w:leader="dot" w:pos="9350"/>
            </w:tabs>
            <w:rPr>
              <w:noProof/>
              <w:kern w:val="2"/>
              <w:sz w:val="24"/>
              <w:szCs w:val="24"/>
              <w:lang w:val="en-US"/>
              <w14:ligatures w14:val="standardContextual"/>
            </w:rPr>
          </w:pPr>
          <w:hyperlink w:anchor="_Toc212294158" w:history="1">
            <w:r w:rsidRPr="0059238C">
              <w:rPr>
                <w:rStyle w:val="Hyperlink"/>
                <w:rFonts w:ascii="Arial" w:hAnsi="Arial" w:cs="Arial"/>
                <w:b/>
                <w:bCs/>
                <w:noProof/>
              </w:rPr>
              <w:t>4.1. Proposed Change and Objectives</w:t>
            </w:r>
            <w:r>
              <w:rPr>
                <w:noProof/>
                <w:webHidden/>
              </w:rPr>
              <w:tab/>
            </w:r>
            <w:r>
              <w:rPr>
                <w:noProof/>
                <w:webHidden/>
              </w:rPr>
              <w:fldChar w:fldCharType="begin"/>
            </w:r>
            <w:r>
              <w:rPr>
                <w:noProof/>
                <w:webHidden/>
              </w:rPr>
              <w:instrText xml:space="preserve"> PAGEREF _Toc212294158 \h </w:instrText>
            </w:r>
            <w:r>
              <w:rPr>
                <w:noProof/>
                <w:webHidden/>
              </w:rPr>
            </w:r>
            <w:r>
              <w:rPr>
                <w:noProof/>
                <w:webHidden/>
              </w:rPr>
              <w:fldChar w:fldCharType="separate"/>
            </w:r>
            <w:r>
              <w:rPr>
                <w:noProof/>
                <w:webHidden/>
              </w:rPr>
              <w:t>12</w:t>
            </w:r>
            <w:r>
              <w:rPr>
                <w:noProof/>
                <w:webHidden/>
              </w:rPr>
              <w:fldChar w:fldCharType="end"/>
            </w:r>
          </w:hyperlink>
        </w:p>
        <w:p w14:paraId="10C9D02A" w14:textId="0D2DF2BA" w:rsidR="00C8484E" w:rsidRDefault="00C8484E">
          <w:pPr>
            <w:pStyle w:val="TOC1"/>
            <w:tabs>
              <w:tab w:val="right" w:leader="dot" w:pos="9350"/>
            </w:tabs>
            <w:rPr>
              <w:noProof/>
              <w:kern w:val="2"/>
              <w:sz w:val="24"/>
              <w:szCs w:val="24"/>
              <w:lang w:val="en-US"/>
              <w14:ligatures w14:val="standardContextual"/>
            </w:rPr>
          </w:pPr>
          <w:hyperlink w:anchor="_Toc212294159" w:history="1">
            <w:r w:rsidRPr="0059238C">
              <w:rPr>
                <w:rStyle w:val="Hyperlink"/>
                <w:rFonts w:ascii="Arial" w:hAnsi="Arial" w:cs="Arial"/>
                <w:b/>
                <w:bCs/>
                <w:noProof/>
              </w:rPr>
              <w:t>4.2. Financial plan</w:t>
            </w:r>
            <w:r>
              <w:rPr>
                <w:noProof/>
                <w:webHidden/>
              </w:rPr>
              <w:tab/>
            </w:r>
            <w:r>
              <w:rPr>
                <w:noProof/>
                <w:webHidden/>
              </w:rPr>
              <w:fldChar w:fldCharType="begin"/>
            </w:r>
            <w:r>
              <w:rPr>
                <w:noProof/>
                <w:webHidden/>
              </w:rPr>
              <w:instrText xml:space="preserve"> PAGEREF _Toc212294159 \h </w:instrText>
            </w:r>
            <w:r>
              <w:rPr>
                <w:noProof/>
                <w:webHidden/>
              </w:rPr>
            </w:r>
            <w:r>
              <w:rPr>
                <w:noProof/>
                <w:webHidden/>
              </w:rPr>
              <w:fldChar w:fldCharType="separate"/>
            </w:r>
            <w:r>
              <w:rPr>
                <w:noProof/>
                <w:webHidden/>
              </w:rPr>
              <w:t>13</w:t>
            </w:r>
            <w:r>
              <w:rPr>
                <w:noProof/>
                <w:webHidden/>
              </w:rPr>
              <w:fldChar w:fldCharType="end"/>
            </w:r>
          </w:hyperlink>
        </w:p>
        <w:p w14:paraId="294386F1" w14:textId="4F4A1ED4" w:rsidR="00C8484E" w:rsidRDefault="00C8484E">
          <w:pPr>
            <w:pStyle w:val="TOC1"/>
            <w:tabs>
              <w:tab w:val="right" w:leader="dot" w:pos="9350"/>
            </w:tabs>
            <w:rPr>
              <w:noProof/>
              <w:kern w:val="2"/>
              <w:sz w:val="24"/>
              <w:szCs w:val="24"/>
              <w:lang w:val="en-US"/>
              <w14:ligatures w14:val="standardContextual"/>
            </w:rPr>
          </w:pPr>
          <w:hyperlink w:anchor="_Toc212294160" w:history="1">
            <w:r w:rsidRPr="0059238C">
              <w:rPr>
                <w:rStyle w:val="Hyperlink"/>
                <w:rFonts w:ascii="Arial" w:hAnsi="Arial" w:cs="Arial"/>
                <w:b/>
                <w:bCs/>
                <w:noProof/>
              </w:rPr>
              <w:t>4.3. Communication plan</w:t>
            </w:r>
            <w:r>
              <w:rPr>
                <w:noProof/>
                <w:webHidden/>
              </w:rPr>
              <w:tab/>
            </w:r>
            <w:r>
              <w:rPr>
                <w:noProof/>
                <w:webHidden/>
              </w:rPr>
              <w:fldChar w:fldCharType="begin"/>
            </w:r>
            <w:r>
              <w:rPr>
                <w:noProof/>
                <w:webHidden/>
              </w:rPr>
              <w:instrText xml:space="preserve"> PAGEREF _Toc212294160 \h </w:instrText>
            </w:r>
            <w:r>
              <w:rPr>
                <w:noProof/>
                <w:webHidden/>
              </w:rPr>
            </w:r>
            <w:r>
              <w:rPr>
                <w:noProof/>
                <w:webHidden/>
              </w:rPr>
              <w:fldChar w:fldCharType="separate"/>
            </w:r>
            <w:r>
              <w:rPr>
                <w:noProof/>
                <w:webHidden/>
              </w:rPr>
              <w:t>14</w:t>
            </w:r>
            <w:r>
              <w:rPr>
                <w:noProof/>
                <w:webHidden/>
              </w:rPr>
              <w:fldChar w:fldCharType="end"/>
            </w:r>
          </w:hyperlink>
        </w:p>
        <w:p w14:paraId="1E9CA16C" w14:textId="73C46786" w:rsidR="00C8484E" w:rsidRDefault="00C8484E">
          <w:pPr>
            <w:pStyle w:val="TOC1"/>
            <w:tabs>
              <w:tab w:val="right" w:leader="dot" w:pos="9350"/>
            </w:tabs>
            <w:rPr>
              <w:noProof/>
              <w:kern w:val="2"/>
              <w:sz w:val="24"/>
              <w:szCs w:val="24"/>
              <w:lang w:val="en-US"/>
              <w14:ligatures w14:val="standardContextual"/>
            </w:rPr>
          </w:pPr>
          <w:hyperlink w:anchor="_Toc212294161" w:history="1">
            <w:r w:rsidRPr="0059238C">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_Toc212294161 \h </w:instrText>
            </w:r>
            <w:r>
              <w:rPr>
                <w:noProof/>
                <w:webHidden/>
              </w:rPr>
            </w:r>
            <w:r>
              <w:rPr>
                <w:noProof/>
                <w:webHidden/>
              </w:rPr>
              <w:fldChar w:fldCharType="separate"/>
            </w:r>
            <w:r>
              <w:rPr>
                <w:noProof/>
                <w:webHidden/>
              </w:rPr>
              <w:t>16</w:t>
            </w:r>
            <w:r>
              <w:rPr>
                <w:noProof/>
                <w:webHidden/>
              </w:rPr>
              <w:fldChar w:fldCharType="end"/>
            </w:r>
          </w:hyperlink>
        </w:p>
        <w:p w14:paraId="79E965DA" w14:textId="1AAD7268" w:rsidR="00C8484E" w:rsidRDefault="00C8484E">
          <w:pPr>
            <w:pStyle w:val="TOC1"/>
            <w:tabs>
              <w:tab w:val="right" w:leader="dot" w:pos="9350"/>
            </w:tabs>
            <w:rPr>
              <w:noProof/>
              <w:kern w:val="2"/>
              <w:sz w:val="24"/>
              <w:szCs w:val="24"/>
              <w:lang w:val="en-US"/>
              <w14:ligatures w14:val="standardContextual"/>
            </w:rPr>
          </w:pPr>
          <w:hyperlink w:anchor="_Toc212294162" w:history="1">
            <w:r w:rsidRPr="0059238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_Toc212294162 \h </w:instrText>
            </w:r>
            <w:r>
              <w:rPr>
                <w:noProof/>
                <w:webHidden/>
              </w:rPr>
            </w:r>
            <w:r>
              <w:rPr>
                <w:noProof/>
                <w:webHidden/>
              </w:rPr>
              <w:fldChar w:fldCharType="separate"/>
            </w:r>
            <w:r>
              <w:rPr>
                <w:noProof/>
                <w:webHidden/>
              </w:rPr>
              <w:t>17</w:t>
            </w:r>
            <w:r>
              <w:rPr>
                <w:noProof/>
                <w:webHidden/>
              </w:rPr>
              <w:fldChar w:fldCharType="end"/>
            </w:r>
          </w:hyperlink>
        </w:p>
        <w:p w14:paraId="5B9C3860" w14:textId="09F55030" w:rsidR="00F36189" w:rsidRDefault="00F36189">
          <w:r>
            <w:rPr>
              <w:b/>
              <w:bCs/>
              <w:noProof/>
            </w:rPr>
            <w:fldChar w:fldCharType="end"/>
          </w:r>
        </w:p>
      </w:sdtContent>
    </w:sdt>
    <w:p w14:paraId="20529839" w14:textId="77777777" w:rsidR="00F36189" w:rsidRPr="00881C6F" w:rsidRDefault="00F36189"/>
    <w:p w14:paraId="114A0182" w14:textId="77777777" w:rsidR="00A7063B" w:rsidRPr="00881C6F" w:rsidRDefault="00A7063B"/>
    <w:p w14:paraId="33A3919F" w14:textId="77777777" w:rsidR="00A7063B" w:rsidRDefault="00A7063B"/>
    <w:p w14:paraId="3608FE07" w14:textId="77777777" w:rsidR="00F36189" w:rsidRDefault="00F36189"/>
    <w:p w14:paraId="0EFBDEA5" w14:textId="77777777" w:rsidR="00F36189" w:rsidRDefault="00F36189"/>
    <w:p w14:paraId="5CD5D533" w14:textId="77777777" w:rsidR="00F36189" w:rsidRDefault="00F36189"/>
    <w:p w14:paraId="61EC15A9" w14:textId="77777777" w:rsidR="00F36189" w:rsidRDefault="00F36189" w:rsidP="00881C6F">
      <w:pPr>
        <w:pStyle w:val="Heading1"/>
        <w:spacing w:before="0" w:after="0" w:line="360" w:lineRule="auto"/>
        <w:jc w:val="center"/>
        <w:rPr>
          <w:rFonts w:ascii="Arial" w:hAnsi="Arial" w:cs="Arial"/>
          <w:b/>
          <w:bCs/>
          <w:color w:val="000000" w:themeColor="text1"/>
          <w:sz w:val="24"/>
          <w:szCs w:val="24"/>
        </w:rPr>
        <w:sectPr w:rsidR="00F36189">
          <w:footerReference w:type="default" r:id="rId7"/>
          <w:pgSz w:w="12240" w:h="15840"/>
          <w:pgMar w:top="1440" w:right="1440" w:bottom="1440" w:left="1440" w:header="720" w:footer="720" w:gutter="0"/>
          <w:cols w:space="720"/>
          <w:docGrid w:linePitch="360"/>
        </w:sectPr>
      </w:pPr>
    </w:p>
    <w:p w14:paraId="5854DFF6" w14:textId="1AF73EB5" w:rsidR="00A7063B" w:rsidRPr="00881C6F" w:rsidRDefault="00A7063B" w:rsidP="00881C6F">
      <w:pPr>
        <w:pStyle w:val="Heading1"/>
        <w:spacing w:before="0" w:after="0" w:line="360" w:lineRule="auto"/>
        <w:jc w:val="center"/>
        <w:rPr>
          <w:rFonts w:ascii="Arial" w:hAnsi="Arial" w:cs="Arial"/>
          <w:b/>
          <w:bCs/>
          <w:color w:val="000000" w:themeColor="text1"/>
          <w:sz w:val="24"/>
          <w:szCs w:val="24"/>
        </w:rPr>
      </w:pPr>
      <w:bookmarkStart w:id="0" w:name="_Toc212294144"/>
      <w:r w:rsidRPr="00881C6F">
        <w:rPr>
          <w:rFonts w:ascii="Arial" w:hAnsi="Arial" w:cs="Arial"/>
          <w:b/>
          <w:bCs/>
          <w:color w:val="000000" w:themeColor="text1"/>
          <w:sz w:val="24"/>
          <w:szCs w:val="24"/>
        </w:rPr>
        <w:lastRenderedPageBreak/>
        <w:t>Introduction to CHH Conex</w:t>
      </w:r>
      <w:bookmarkEnd w:id="0"/>
    </w:p>
    <w:p w14:paraId="59ADF8D0" w14:textId="77777777" w:rsidR="00881C6F" w:rsidRPr="00881C6F" w:rsidRDefault="00881C6F" w:rsidP="00881C6F"/>
    <w:p w14:paraId="1DD4CBC7" w14:textId="4715EB2A" w:rsidR="00881C6F" w:rsidRDefault="00881C6F" w:rsidP="00881C6F">
      <w:pPr>
        <w:spacing w:after="0" w:line="360" w:lineRule="auto"/>
        <w:ind w:firstLine="720"/>
        <w:jc w:val="both"/>
        <w:rPr>
          <w:rFonts w:ascii="Arial" w:hAnsi="Arial" w:cs="Arial"/>
        </w:rPr>
      </w:pPr>
      <w:r w:rsidRPr="00881C6F">
        <w:rPr>
          <w:rFonts w:ascii="Arial" w:hAnsi="Arial" w:cs="Arial"/>
        </w:rPr>
        <w:t>CHH Conex is a mid-sized, UK-based retail logistics and fulfilment solutions company. It was incorporated in 2004 with its head office based out of Birmingham. Originally, it offered warehouse storage and distribution services targeted at small and medium retailers within the Midlands region. Over the last twenty years, CHH Conex has transformed itself into a multi-service logistics provider offering warehousing, inventory management, packaging solutions as well as last mile delivery to both national and international clients. The company has approximately 1,200 employees working across four main operational sites located in Birmingham, Manchester,</w:t>
      </w:r>
      <w:r>
        <w:rPr>
          <w:rFonts w:ascii="Arial" w:hAnsi="Arial" w:cs="Arial"/>
        </w:rPr>
        <w:t xml:space="preserve"> </w:t>
      </w:r>
      <w:r w:rsidRPr="00881C6F">
        <w:rPr>
          <w:rFonts w:ascii="Arial" w:hAnsi="Arial" w:cs="Arial"/>
        </w:rPr>
        <w:t>Glasgow and London together with several satellite offices supporting e-commerce fulfilment.</w:t>
      </w:r>
    </w:p>
    <w:p w14:paraId="17A51C2F" w14:textId="77777777" w:rsidR="00881C6F" w:rsidRDefault="00881C6F" w:rsidP="00881C6F">
      <w:pPr>
        <w:spacing w:after="0" w:line="360" w:lineRule="auto"/>
        <w:ind w:firstLine="720"/>
        <w:jc w:val="both"/>
        <w:rPr>
          <w:rFonts w:ascii="Arial" w:hAnsi="Arial" w:cs="Arial"/>
        </w:rPr>
      </w:pPr>
      <w:r w:rsidRPr="00881C6F">
        <w:rPr>
          <w:rFonts w:ascii="Arial" w:hAnsi="Arial" w:cs="Arial"/>
        </w:rPr>
        <w:t>Initial growth came through agreements with actual store retailers primarily in fashion, homeware, and electronics. CHH Conex developed an emerging reputation for dependable service, flexible distribution schedules, and low pricing that it secured long-term contracts with several national retail chains. By the year 2015, over 250 retail brands had trusted CHH Conex as their logistics partner growing strongly year on year with revenue and a loyal client base.</w:t>
      </w:r>
    </w:p>
    <w:p w14:paraId="1F6BF6C5" w14:textId="77777777" w:rsidR="00881C6F" w:rsidRDefault="00881C6F" w:rsidP="00881C6F">
      <w:pPr>
        <w:spacing w:after="0" w:line="360" w:lineRule="auto"/>
        <w:ind w:firstLine="720"/>
        <w:jc w:val="both"/>
        <w:rPr>
          <w:rFonts w:ascii="Arial" w:hAnsi="Arial" w:cs="Arial"/>
        </w:rPr>
      </w:pPr>
      <w:r w:rsidRPr="00881C6F">
        <w:rPr>
          <w:rFonts w:ascii="Arial" w:hAnsi="Arial" w:cs="Arial"/>
        </w:rPr>
        <w:t>Yet within the last decade, this retailer-dominated landscape has been swiftly upended by the emergence of e-commerce and digital platforms, not to mention trends in retail toward speed and flexibility. Thus, this was and continues to be a challenge to CHH Conex’s traditional business model which depends on a somewhat predictable pattern of distribution and high-volume contracts from brick-and-mortar retailers. As and when consumer habits changed toward online shopping- same-day delivery-real-time tracking; competition intensified for CHH Conex from digitally enabled logistics firms like Amazon Logistics, DPD, and DHL using technology including artificial intelligence-driven routing as well as automation plus data analytics.</w:t>
      </w:r>
    </w:p>
    <w:p w14:paraId="534B8713" w14:textId="77777777" w:rsidR="00881C6F" w:rsidRDefault="00881C6F" w:rsidP="00881C6F">
      <w:pPr>
        <w:spacing w:after="0" w:line="360" w:lineRule="auto"/>
        <w:ind w:firstLine="720"/>
        <w:jc w:val="both"/>
        <w:rPr>
          <w:rFonts w:ascii="Arial" w:hAnsi="Arial" w:cs="Arial"/>
        </w:rPr>
      </w:pPr>
      <w:r w:rsidRPr="00881C6F">
        <w:rPr>
          <w:rFonts w:ascii="Arial" w:hAnsi="Arial" w:cs="Arial"/>
        </w:rPr>
        <w:t>CHH Conex has therefore launched a strategic transformation programme aimed at modernising its operations and keeping it competitive in the implementation of key initiatives. Digital warehouse management systems include better real-time visibility of inventory, investment in AI and automation technology that incorporates robotic picking systems as well as tools for predictive demand forecasting among other enhancements to e-commerce fulfilment capabilities such as packaging customization and direct-to-consumer delivery solutions besides upskilling its workforce through targeted training plus introducing digital literacy programs.</w:t>
      </w:r>
    </w:p>
    <w:p w14:paraId="030C598A" w14:textId="77777777" w:rsidR="00881C6F" w:rsidRDefault="00881C6F" w:rsidP="00881C6F">
      <w:pPr>
        <w:spacing w:after="0" w:line="360" w:lineRule="auto"/>
        <w:ind w:firstLine="720"/>
        <w:jc w:val="both"/>
        <w:rPr>
          <w:rFonts w:ascii="Arial" w:hAnsi="Arial" w:cs="Arial"/>
        </w:rPr>
      </w:pPr>
    </w:p>
    <w:p w14:paraId="1F97CF08" w14:textId="77777777" w:rsidR="00C8484E" w:rsidRPr="00881C6F" w:rsidRDefault="00C8484E" w:rsidP="00881C6F">
      <w:pPr>
        <w:spacing w:after="0" w:line="360" w:lineRule="auto"/>
        <w:ind w:firstLine="720"/>
        <w:jc w:val="both"/>
        <w:rPr>
          <w:rFonts w:ascii="Arial" w:hAnsi="Arial" w:cs="Arial"/>
        </w:rPr>
      </w:pPr>
    </w:p>
    <w:p w14:paraId="2EFAB059" w14:textId="24818BA4" w:rsidR="00A7063B" w:rsidRPr="00881C6F" w:rsidRDefault="00881C6F" w:rsidP="00881C6F">
      <w:pPr>
        <w:pStyle w:val="Heading1"/>
        <w:spacing w:before="0" w:after="0" w:line="360" w:lineRule="auto"/>
        <w:jc w:val="center"/>
        <w:rPr>
          <w:rFonts w:ascii="Arial" w:hAnsi="Arial" w:cs="Arial"/>
          <w:b/>
          <w:bCs/>
          <w:color w:val="000000" w:themeColor="text1"/>
          <w:sz w:val="24"/>
          <w:szCs w:val="24"/>
        </w:rPr>
      </w:pPr>
      <w:bookmarkStart w:id="1" w:name="_Toc212294145"/>
      <w:r w:rsidRPr="00881C6F">
        <w:rPr>
          <w:rFonts w:ascii="Arial" w:hAnsi="Arial" w:cs="Arial"/>
          <w:b/>
          <w:bCs/>
          <w:color w:val="000000" w:themeColor="text1"/>
          <w:sz w:val="24"/>
          <w:szCs w:val="24"/>
        </w:rPr>
        <w:lastRenderedPageBreak/>
        <w:t>1. Analysis of Internal and External Environmental Changes</w:t>
      </w:r>
      <w:bookmarkEnd w:id="1"/>
    </w:p>
    <w:p w14:paraId="664DF5A8" w14:textId="77777777" w:rsidR="00881C6F" w:rsidRPr="00881C6F" w:rsidRDefault="00881C6F" w:rsidP="00881C6F">
      <w:pPr>
        <w:spacing w:after="0" w:line="360" w:lineRule="auto"/>
        <w:jc w:val="both"/>
        <w:rPr>
          <w:rFonts w:ascii="Arial" w:hAnsi="Arial" w:cs="Arial"/>
        </w:rPr>
      </w:pPr>
    </w:p>
    <w:p w14:paraId="54FD05BE" w14:textId="0988FC56" w:rsidR="00881C6F" w:rsidRPr="00881C6F" w:rsidRDefault="00881C6F" w:rsidP="00881C6F">
      <w:pPr>
        <w:spacing w:after="0" w:line="360" w:lineRule="auto"/>
        <w:ind w:firstLine="720"/>
        <w:jc w:val="both"/>
        <w:rPr>
          <w:rFonts w:ascii="Arial" w:hAnsi="Arial" w:cs="Arial"/>
        </w:rPr>
      </w:pPr>
      <w:r w:rsidRPr="00881C6F">
        <w:rPr>
          <w:rFonts w:ascii="Arial" w:hAnsi="Arial" w:cs="Arial"/>
        </w:rPr>
        <w:t>The business environment for CHH Conex is rapidly evolving. It is being driven by technological disruption, changing consumer behaviour, global competition and regulatory developments. An understanding of how these internal and external dynamics are shaping the company would be critical in developing a change management plan.</w:t>
      </w:r>
    </w:p>
    <w:p w14:paraId="6A142EA4" w14:textId="77777777" w:rsidR="00881C6F" w:rsidRPr="00881C6F" w:rsidRDefault="00881C6F" w:rsidP="00881C6F"/>
    <w:p w14:paraId="25765E11" w14:textId="788DD587"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2" w:name="_Toc212294146"/>
      <w:r w:rsidRPr="00881C6F">
        <w:rPr>
          <w:rFonts w:ascii="Arial" w:hAnsi="Arial" w:cs="Arial"/>
          <w:b/>
          <w:bCs/>
          <w:color w:val="000000" w:themeColor="text1"/>
          <w:sz w:val="24"/>
          <w:szCs w:val="24"/>
        </w:rPr>
        <w:t>1.1. External Environment: Digital Disruption and Market Transformation</w:t>
      </w:r>
      <w:bookmarkEnd w:id="2"/>
    </w:p>
    <w:p w14:paraId="3AA7DF2D" w14:textId="77777777" w:rsidR="00881C6F" w:rsidRDefault="00881C6F" w:rsidP="00881C6F">
      <w:pPr>
        <w:spacing w:after="0" w:line="360" w:lineRule="auto"/>
        <w:ind w:firstLine="720"/>
        <w:jc w:val="both"/>
        <w:rPr>
          <w:rFonts w:ascii="Arial" w:hAnsi="Arial" w:cs="Arial"/>
        </w:rPr>
      </w:pPr>
      <w:r w:rsidRPr="00881C6F">
        <w:rPr>
          <w:rFonts w:ascii="Arial" w:hAnsi="Arial" w:cs="Arial"/>
        </w:rPr>
        <w:t>Technological Disruption: Over the last decade, profound technological transformation has taken place in logistics and retail. However, artificial intelligence (AI), automation, Internet of Things (IoT), and advanced analytics are now fundamentally changing the way goods are stored, tracked, and delivered (Heizer et al., 2020). The leading firms in the industry increasingly depend on predictive analytics to optimize delivery routing, dynamic inventory management, and customer experience enhancement. Amazon and other similar firms have set new standards by creating highly responsive supply chains through the integration of AI warehouse robotics and real-time data analytics.</w:t>
      </w:r>
    </w:p>
    <w:p w14:paraId="158BE314" w14:textId="77777777" w:rsidR="00881C6F" w:rsidRDefault="00881C6F" w:rsidP="00881C6F">
      <w:pPr>
        <w:spacing w:after="0" w:line="360" w:lineRule="auto"/>
        <w:ind w:firstLine="720"/>
        <w:jc w:val="both"/>
        <w:rPr>
          <w:rFonts w:ascii="Arial" w:hAnsi="Arial" w:cs="Arial"/>
        </w:rPr>
      </w:pPr>
      <w:r w:rsidRPr="00881C6F">
        <w:rPr>
          <w:rFonts w:ascii="Arial" w:hAnsi="Arial" w:cs="Arial"/>
        </w:rPr>
        <w:t>For CHH Conex, whose infrastructure was initially built for traditional retail distribution, this technological development presents both opportunities and a challenge. On one side of the ledger is the potential for digital technologies to make operations more efficient, accurate, and scalable. On the other side is the fact that they involve a capital investment in systems integration and training employees not only with new skills but also culturally adopting more agile, data-driven ways of working.</w:t>
      </w:r>
    </w:p>
    <w:p w14:paraId="619B47B8" w14:textId="77777777" w:rsidR="00881C6F" w:rsidRDefault="00881C6F" w:rsidP="00881C6F">
      <w:pPr>
        <w:spacing w:after="0" w:line="360" w:lineRule="auto"/>
        <w:ind w:firstLine="720"/>
        <w:jc w:val="both"/>
        <w:rPr>
          <w:rFonts w:ascii="Arial" w:hAnsi="Arial" w:cs="Arial"/>
        </w:rPr>
      </w:pPr>
      <w:r w:rsidRPr="00881C6F">
        <w:rPr>
          <w:rFonts w:ascii="Arial" w:hAnsi="Arial" w:cs="Arial"/>
        </w:rPr>
        <w:t>Online shopping and consumer behaviour: The rise of online shopping has fundamentally altered logistics. U K e-commerce as a percentage of total retail sales stood at 26.5% in 2022, from 7% a decade earlier (O N S, 2023). Faster delivery has been demanded by consumers together with real-time tracking and flexible return options. Such last mile delivery solutions include last mile delivery options between retailers' warehouses and the end consumer that logistics firms must enable digitally over an interface with them all (Kotler and Keller, 2021).</w:t>
      </w:r>
    </w:p>
    <w:p w14:paraId="32FD8DBF" w14:textId="77777777" w:rsidR="00881C6F" w:rsidRDefault="00881C6F" w:rsidP="00881C6F">
      <w:pPr>
        <w:spacing w:after="0" w:line="360" w:lineRule="auto"/>
        <w:ind w:firstLine="720"/>
        <w:jc w:val="both"/>
        <w:rPr>
          <w:rFonts w:ascii="Arial" w:hAnsi="Arial" w:cs="Arial"/>
        </w:rPr>
      </w:pPr>
      <w:r w:rsidRPr="00881C6F">
        <w:rPr>
          <w:rFonts w:ascii="Arial" w:hAnsi="Arial" w:cs="Arial"/>
        </w:rPr>
        <w:t>CHH Conex used to work on delivering large shipments to retail stores, with predictable lead times. Now it has to fulfil individual online orders, requiring different operational capabilities-smaller batch sizes, real-time inventory updates, and direct-to-consumer logistics. If it does not get this done, then digitally native competitors more effective in getting this done will simply take the contracts.</w:t>
      </w:r>
    </w:p>
    <w:p w14:paraId="3A09ED68" w14:textId="31FC8A60" w:rsidR="00881C6F" w:rsidRDefault="00881C6F" w:rsidP="00881C6F">
      <w:pPr>
        <w:spacing w:after="0" w:line="360" w:lineRule="auto"/>
        <w:ind w:firstLine="720"/>
        <w:jc w:val="both"/>
        <w:rPr>
          <w:rFonts w:ascii="Arial" w:hAnsi="Arial" w:cs="Arial"/>
        </w:rPr>
      </w:pPr>
      <w:r w:rsidRPr="00881C6F">
        <w:rPr>
          <w:rFonts w:ascii="Arial" w:hAnsi="Arial" w:cs="Arial"/>
        </w:rPr>
        <w:lastRenderedPageBreak/>
        <w:t>AI and Automation</w:t>
      </w:r>
      <w:r>
        <w:rPr>
          <w:rFonts w:ascii="Arial" w:hAnsi="Arial" w:cs="Arial"/>
        </w:rPr>
        <w:t>:</w:t>
      </w:r>
      <w:r w:rsidRPr="00881C6F">
        <w:rPr>
          <w:rFonts w:ascii="Arial" w:hAnsi="Arial" w:cs="Arial"/>
        </w:rPr>
        <w:t xml:space="preserve"> AI technologies are transforming logistics operations by automating routine tasks, improving the accuracy of forecasts, and optimising resource allocation (Cascio </w:t>
      </w:r>
      <w:r>
        <w:rPr>
          <w:rFonts w:ascii="Arial" w:hAnsi="Arial" w:cs="Arial"/>
        </w:rPr>
        <w:t>and</w:t>
      </w:r>
      <w:r w:rsidRPr="00881C6F">
        <w:rPr>
          <w:rFonts w:ascii="Arial" w:hAnsi="Arial" w:cs="Arial"/>
        </w:rPr>
        <w:t xml:space="preserve"> Boudreau, 2016). For example, an AI application for traffic analysis incorporating weather conditions and historical delivery data would provide better routing efficiency with cost-and-emission savings as added benefits. Warehouse automation allows companies to achieve rapid scaling with top-level accuracy comparable to that ensured by humans through technologies such as robotic picking systems.</w:t>
      </w:r>
    </w:p>
    <w:p w14:paraId="14736C5D" w14:textId="062E51EF" w:rsidR="00881C6F" w:rsidRPr="00881C6F" w:rsidRDefault="00881C6F" w:rsidP="00881C6F">
      <w:pPr>
        <w:spacing w:after="0" w:line="360" w:lineRule="auto"/>
        <w:ind w:firstLine="720"/>
        <w:jc w:val="both"/>
        <w:rPr>
          <w:rFonts w:ascii="Arial" w:hAnsi="Arial" w:cs="Arial"/>
        </w:rPr>
      </w:pPr>
      <w:r w:rsidRPr="00881C6F">
        <w:rPr>
          <w:rFonts w:ascii="Arial" w:hAnsi="Arial" w:cs="Arial"/>
        </w:rPr>
        <w:t>CHH Conex has initiated investments in AI and automation to be kept at par with its competitors. However, the investment remains largely a pilot project in some warehouses because there is minimal integration of the entire organization by digital infrastructure-alignment or data standardization; not to mention that scant adoption of digital skills has also slowed down worker's adoption.</w:t>
      </w:r>
    </w:p>
    <w:p w14:paraId="65FE8AC8" w14:textId="77777777" w:rsidR="00881C6F" w:rsidRPr="00881C6F" w:rsidRDefault="00881C6F" w:rsidP="00881C6F"/>
    <w:p w14:paraId="550F00B0" w14:textId="7C85AEC7"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3" w:name="_Toc212294147"/>
      <w:r w:rsidRPr="00881C6F">
        <w:rPr>
          <w:rFonts w:ascii="Arial" w:hAnsi="Arial" w:cs="Arial"/>
          <w:b/>
          <w:bCs/>
          <w:color w:val="000000" w:themeColor="text1"/>
          <w:sz w:val="24"/>
          <w:szCs w:val="24"/>
        </w:rPr>
        <w:t>1.2. External Environment: Competitive and Regulatory Pressures</w:t>
      </w:r>
      <w:bookmarkEnd w:id="3"/>
    </w:p>
    <w:p w14:paraId="7BE7383B" w14:textId="77777777" w:rsidR="00465722" w:rsidRDefault="00465722" w:rsidP="00465722">
      <w:pPr>
        <w:spacing w:after="0" w:line="360" w:lineRule="auto"/>
        <w:ind w:firstLine="720"/>
        <w:jc w:val="both"/>
        <w:rPr>
          <w:rFonts w:ascii="Arial" w:hAnsi="Arial" w:cs="Arial"/>
        </w:rPr>
      </w:pPr>
      <w:r w:rsidRPr="00465722">
        <w:rPr>
          <w:rFonts w:ascii="Arial" w:hAnsi="Arial" w:cs="Arial"/>
        </w:rPr>
        <w:t>Competition in the UK logistics market remains extremely high with global giants DHL, DPD, and Amazon Logistics leading the market. These companies are highly advanced technologically, have huge capital resources, and possess international networks that allow them to provide quick service delivery, transparent operations, and low costs per parcel (Christopher 2016). Conex’s old core strengths-reliability, personalized attention, and a regional presence-are simply not strong differentiators anymore.</w:t>
      </w:r>
    </w:p>
    <w:p w14:paraId="02B734F4" w14:textId="77777777" w:rsidR="00465722" w:rsidRDefault="00465722" w:rsidP="00465722">
      <w:pPr>
        <w:spacing w:after="0" w:line="360" w:lineRule="auto"/>
        <w:ind w:firstLine="720"/>
        <w:jc w:val="both"/>
        <w:rPr>
          <w:rFonts w:ascii="Arial" w:hAnsi="Arial" w:cs="Arial"/>
        </w:rPr>
      </w:pPr>
      <w:r>
        <w:rPr>
          <w:rFonts w:ascii="Arial" w:hAnsi="Arial" w:cs="Arial"/>
        </w:rPr>
        <w:t>\</w:t>
      </w:r>
      <w:r w:rsidRPr="00465722">
        <w:rPr>
          <w:rFonts w:ascii="Arial" w:hAnsi="Arial" w:cs="Arial"/>
        </w:rPr>
        <w:t>In addition to new challengers who enter the market with very niche service offers-such as green last-mile delivery or instant same-day city logistics-and take over parts of CHH Conex’s business, increasing competition is putting downward pressure on margins. This, in turn, forces a rethink of the operating model and value proposition.</w:t>
      </w:r>
    </w:p>
    <w:p w14:paraId="02CFC80C" w14:textId="77777777" w:rsidR="00465722" w:rsidRDefault="00465722" w:rsidP="00465722">
      <w:pPr>
        <w:spacing w:after="0" w:line="360" w:lineRule="auto"/>
        <w:ind w:firstLine="720"/>
        <w:jc w:val="both"/>
        <w:rPr>
          <w:rFonts w:ascii="Arial" w:hAnsi="Arial" w:cs="Arial"/>
        </w:rPr>
      </w:pPr>
      <w:r w:rsidRPr="00465722">
        <w:rPr>
          <w:rFonts w:ascii="Arial" w:hAnsi="Arial" w:cs="Arial"/>
        </w:rPr>
        <w:t>Regulatory and Sustainability Factors: Regulations are also coming into play. Post-Brexit, there are new rules in cross-border trade logistics to be complied with in the complexities. More important is that regulations set by environmental sustainability emphasize reducing carbon emissions in logistics operations (Johnson et al., 2020) Companies must implement green technologies, electric delivery vans or energy-saving warehouses, and transparent reporting of the environmental impact.</w:t>
      </w:r>
    </w:p>
    <w:p w14:paraId="0D221904" w14:textId="702627BF" w:rsidR="00881C6F" w:rsidRPr="00465722" w:rsidRDefault="00465722" w:rsidP="00465722">
      <w:pPr>
        <w:spacing w:after="0" w:line="360" w:lineRule="auto"/>
        <w:ind w:firstLine="720"/>
        <w:jc w:val="both"/>
        <w:rPr>
          <w:rFonts w:ascii="Arial" w:hAnsi="Arial" w:cs="Arial"/>
        </w:rPr>
      </w:pPr>
      <w:r w:rsidRPr="00465722">
        <w:rPr>
          <w:rFonts w:ascii="Arial" w:hAnsi="Arial" w:cs="Arial"/>
        </w:rPr>
        <w:t>This is both a challenge and an opportunity for CHH Conex. While sustainability requirements increase cost towards compliance, in return green logistics will enhance the company’s brand image and put it on a good standing to win tenders from environmentally conscious retailers.</w:t>
      </w:r>
    </w:p>
    <w:p w14:paraId="2255F59E" w14:textId="77777777" w:rsidR="00465722" w:rsidRPr="00881C6F" w:rsidRDefault="00465722" w:rsidP="00881C6F"/>
    <w:p w14:paraId="3CB55586" w14:textId="4CC2DDBE"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4" w:name="_Toc212294148"/>
      <w:r w:rsidRPr="00881C6F">
        <w:rPr>
          <w:rFonts w:ascii="Arial" w:hAnsi="Arial" w:cs="Arial"/>
          <w:b/>
          <w:bCs/>
          <w:color w:val="000000" w:themeColor="text1"/>
          <w:sz w:val="24"/>
          <w:szCs w:val="24"/>
        </w:rPr>
        <w:t>1.3. Internal Environment: Organisational Capabilities and Culture</w:t>
      </w:r>
      <w:bookmarkEnd w:id="4"/>
    </w:p>
    <w:p w14:paraId="6B345BD7" w14:textId="677B8E20" w:rsidR="00465722" w:rsidRDefault="00465722" w:rsidP="00465722">
      <w:pPr>
        <w:spacing w:after="0" w:line="360" w:lineRule="auto"/>
        <w:ind w:firstLine="720"/>
        <w:jc w:val="both"/>
        <w:rPr>
          <w:rFonts w:ascii="Arial" w:hAnsi="Arial" w:cs="Arial"/>
        </w:rPr>
      </w:pPr>
      <w:r w:rsidRPr="00465722">
        <w:rPr>
          <w:rFonts w:ascii="Arial" w:hAnsi="Arial" w:cs="Arial"/>
        </w:rPr>
        <w:t>Legacy Systems and Infrastructure</w:t>
      </w:r>
      <w:r>
        <w:rPr>
          <w:rFonts w:ascii="Arial" w:hAnsi="Arial" w:cs="Arial"/>
        </w:rPr>
        <w:t>:</w:t>
      </w:r>
      <w:r w:rsidRPr="00465722">
        <w:rPr>
          <w:rFonts w:ascii="Arial" w:hAnsi="Arial" w:cs="Arial"/>
        </w:rPr>
        <w:t xml:space="preserve"> Internally, CHH Conex’s IT systems and warehouse infrastructure were built to support bulk retail distribution, not digital commerce. Many of its legacy systems lack interoperability, making data integration and real-time visibility difficult. This technological fragmentation reduces operational agility and hinders the successful scaling of digital initiatives (Reilly, 2018).</w:t>
      </w:r>
    </w:p>
    <w:p w14:paraId="0AEF6B7E" w14:textId="6640948D" w:rsidR="00881C6F" w:rsidRPr="00465722" w:rsidRDefault="00465722" w:rsidP="00465722">
      <w:pPr>
        <w:spacing w:after="0" w:line="360" w:lineRule="auto"/>
        <w:ind w:firstLine="720"/>
        <w:jc w:val="both"/>
        <w:rPr>
          <w:rFonts w:ascii="Arial" w:hAnsi="Arial" w:cs="Arial"/>
        </w:rPr>
      </w:pPr>
      <w:r w:rsidRPr="00465722">
        <w:rPr>
          <w:rFonts w:ascii="Arial" w:hAnsi="Arial" w:cs="Arial"/>
        </w:rPr>
        <w:t>Workforce Skills and Culture</w:t>
      </w:r>
      <w:r>
        <w:rPr>
          <w:rFonts w:ascii="Arial" w:hAnsi="Arial" w:cs="Arial"/>
        </w:rPr>
        <w:t>:</w:t>
      </w:r>
      <w:r w:rsidRPr="00465722">
        <w:rPr>
          <w:rFonts w:ascii="Arial" w:hAnsi="Arial" w:cs="Arial"/>
        </w:rPr>
        <w:t xml:space="preserve"> The company’s workforce possesses strong operational skills in traditional logistics but displays limited digital literacy. This is supported by anecdotal evidence of resistance to changes in technology among the long-term employees who have worked for the company over a significant period. Cultural stability is manifested through the norms that encourage steady, stabilising behaviour and hierarchical decision-making which dampens innovation (Armstrong and Taylor, 2020). Top management has conceived a cultural transformation towards adaptability and continuous learning as immediate necessity systematic initiatives are underway since recently.</w:t>
      </w:r>
    </w:p>
    <w:p w14:paraId="1E5418A4" w14:textId="77777777" w:rsidR="00465722" w:rsidRPr="00881C6F" w:rsidRDefault="00465722" w:rsidP="00881C6F"/>
    <w:p w14:paraId="1B575821" w14:textId="10AB4721" w:rsidR="00881C6F" w:rsidRPr="00881C6F" w:rsidRDefault="00881C6F" w:rsidP="00465722">
      <w:pPr>
        <w:pStyle w:val="Heading1"/>
        <w:spacing w:before="0" w:after="0" w:line="360" w:lineRule="auto"/>
        <w:ind w:firstLine="720"/>
        <w:rPr>
          <w:rFonts w:ascii="Arial" w:hAnsi="Arial" w:cs="Arial"/>
          <w:b/>
          <w:bCs/>
          <w:color w:val="000000" w:themeColor="text1"/>
          <w:sz w:val="24"/>
          <w:szCs w:val="24"/>
        </w:rPr>
      </w:pPr>
      <w:bookmarkStart w:id="5" w:name="_Toc212294149"/>
      <w:r w:rsidRPr="00881C6F">
        <w:rPr>
          <w:rFonts w:ascii="Arial" w:hAnsi="Arial" w:cs="Arial"/>
          <w:b/>
          <w:bCs/>
          <w:color w:val="000000" w:themeColor="text1"/>
          <w:sz w:val="24"/>
          <w:szCs w:val="24"/>
        </w:rPr>
        <w:t>1.4. Strategic Implications</w:t>
      </w:r>
      <w:bookmarkEnd w:id="5"/>
    </w:p>
    <w:p w14:paraId="51A2AB1E" w14:textId="77777777" w:rsidR="00465722" w:rsidRDefault="00465722" w:rsidP="00465722">
      <w:pPr>
        <w:spacing w:after="0" w:line="360" w:lineRule="auto"/>
        <w:ind w:firstLine="720"/>
        <w:jc w:val="both"/>
        <w:rPr>
          <w:rFonts w:ascii="Arial" w:hAnsi="Arial" w:cs="Arial"/>
        </w:rPr>
      </w:pPr>
      <w:r w:rsidRPr="00465722">
        <w:rPr>
          <w:rFonts w:ascii="Arial" w:hAnsi="Arial" w:cs="Arial"/>
        </w:rPr>
        <w:t>External and internal changes have together brought about strategic inflection points for CHH Conex.</w:t>
      </w:r>
    </w:p>
    <w:p w14:paraId="1FAC1519" w14:textId="77777777" w:rsidR="00465722" w:rsidRDefault="00465722" w:rsidP="00465722">
      <w:pPr>
        <w:spacing w:after="0" w:line="360" w:lineRule="auto"/>
        <w:ind w:firstLine="720"/>
        <w:jc w:val="both"/>
        <w:rPr>
          <w:rFonts w:ascii="Arial" w:hAnsi="Arial" w:cs="Arial"/>
        </w:rPr>
      </w:pPr>
      <w:r w:rsidRPr="00465722">
        <w:rPr>
          <w:rFonts w:ascii="Arial" w:hAnsi="Arial" w:cs="Arial"/>
        </w:rPr>
        <w:t>Business Model Transformation: Bulk retail logistics will have to shift toward digitally enabled, omnichannel fulfilment that sustains the business.</w:t>
      </w:r>
    </w:p>
    <w:p w14:paraId="716DF67E" w14:textId="77777777" w:rsidR="00465722" w:rsidRDefault="00465722" w:rsidP="00465722">
      <w:pPr>
        <w:spacing w:after="0" w:line="360" w:lineRule="auto"/>
        <w:ind w:firstLine="720"/>
        <w:jc w:val="both"/>
        <w:rPr>
          <w:rFonts w:ascii="Arial" w:hAnsi="Arial" w:cs="Arial"/>
        </w:rPr>
      </w:pPr>
      <w:r w:rsidRPr="00465722">
        <w:rPr>
          <w:rFonts w:ascii="Arial" w:hAnsi="Arial" w:cs="Arial"/>
        </w:rPr>
        <w:t>Technological Modernisation: Infrastructure upgrade to support automation, data integration, and real-time visibility. Legacy systems need to be replaced with new ones.</w:t>
      </w:r>
      <w:r w:rsidRPr="00465722">
        <w:rPr>
          <w:rFonts w:ascii="Arial" w:hAnsi="Arial" w:cs="Arial"/>
        </w:rPr>
        <w:br/>
      </w:r>
    </w:p>
    <w:p w14:paraId="2D755C62" w14:textId="77777777" w:rsidR="00465722" w:rsidRDefault="00465722" w:rsidP="00465722">
      <w:pPr>
        <w:spacing w:after="0" w:line="360" w:lineRule="auto"/>
        <w:ind w:firstLine="720"/>
        <w:jc w:val="both"/>
        <w:rPr>
          <w:rFonts w:ascii="Arial" w:hAnsi="Arial" w:cs="Arial"/>
        </w:rPr>
      </w:pPr>
      <w:r w:rsidRPr="00465722">
        <w:rPr>
          <w:rFonts w:ascii="Arial" w:hAnsi="Arial" w:cs="Arial"/>
        </w:rPr>
        <w:t>Workforce Transformation: The workforce will need to be reskilled to operate and succeed in a transformed, digital environment.</w:t>
      </w:r>
    </w:p>
    <w:p w14:paraId="464E37D2" w14:textId="77777777" w:rsidR="00465722" w:rsidRDefault="00465722" w:rsidP="00465722">
      <w:pPr>
        <w:spacing w:after="0" w:line="360" w:lineRule="auto"/>
        <w:ind w:firstLine="720"/>
        <w:jc w:val="both"/>
        <w:rPr>
          <w:rFonts w:ascii="Arial" w:hAnsi="Arial" w:cs="Arial"/>
        </w:rPr>
      </w:pPr>
      <w:r w:rsidRPr="00465722">
        <w:rPr>
          <w:rFonts w:ascii="Arial" w:hAnsi="Arial" w:cs="Arial"/>
        </w:rPr>
        <w:t>Competitive Repositioning: The value proposition has to be redefined. Maybe digital excellence can be found together with a personalised service.</w:t>
      </w:r>
    </w:p>
    <w:p w14:paraId="5E7D291D" w14:textId="77777777" w:rsidR="00465722" w:rsidRDefault="00465722" w:rsidP="00465722">
      <w:pPr>
        <w:spacing w:after="0" w:line="360" w:lineRule="auto"/>
        <w:ind w:firstLine="720"/>
        <w:jc w:val="both"/>
        <w:rPr>
          <w:rFonts w:ascii="Arial" w:hAnsi="Arial" w:cs="Arial"/>
        </w:rPr>
      </w:pPr>
      <w:r w:rsidRPr="00465722">
        <w:rPr>
          <w:rFonts w:ascii="Arial" w:hAnsi="Arial" w:cs="Arial"/>
        </w:rPr>
        <w:t>Cultural Change: Agility, innovation, and continuous improvement must be inculcated within leadership and organisational culture.</w:t>
      </w:r>
    </w:p>
    <w:p w14:paraId="53094886" w14:textId="074ADFED" w:rsidR="00881C6F" w:rsidRPr="00465722" w:rsidRDefault="00465722" w:rsidP="00465722">
      <w:pPr>
        <w:spacing w:after="0" w:line="360" w:lineRule="auto"/>
        <w:ind w:firstLine="720"/>
        <w:jc w:val="both"/>
        <w:rPr>
          <w:rFonts w:ascii="Arial" w:hAnsi="Arial" w:cs="Arial"/>
        </w:rPr>
      </w:pPr>
      <w:r w:rsidRPr="00465722">
        <w:rPr>
          <w:rFonts w:ascii="Arial" w:hAnsi="Arial" w:cs="Arial"/>
        </w:rPr>
        <w:t xml:space="preserve">This therefore implies the development of an all-rounded change management program that will see technology implemented while at the same time repositioning the organisation </w:t>
      </w:r>
      <w:r w:rsidRPr="00465722">
        <w:rPr>
          <w:rFonts w:ascii="Arial" w:hAnsi="Arial" w:cs="Arial"/>
        </w:rPr>
        <w:lastRenderedPageBreak/>
        <w:t>strategically through human capital. In the absence of such change, further erosion of market share accompanied by declining profitability and eventual firm weakness is likely.</w:t>
      </w:r>
    </w:p>
    <w:p w14:paraId="0FDDDFA7" w14:textId="77777777" w:rsidR="00465722" w:rsidRPr="00881C6F" w:rsidRDefault="00465722" w:rsidP="00881C6F"/>
    <w:p w14:paraId="7E59C882" w14:textId="3A8D41AC" w:rsidR="00881C6F" w:rsidRPr="00881C6F" w:rsidRDefault="00881C6F" w:rsidP="00881C6F">
      <w:pPr>
        <w:pStyle w:val="Heading1"/>
        <w:spacing w:before="0" w:after="0" w:line="360" w:lineRule="auto"/>
        <w:jc w:val="center"/>
        <w:rPr>
          <w:rFonts w:ascii="Arial" w:hAnsi="Arial" w:cs="Arial"/>
          <w:b/>
          <w:bCs/>
          <w:color w:val="000000" w:themeColor="text1"/>
          <w:sz w:val="24"/>
          <w:szCs w:val="24"/>
        </w:rPr>
      </w:pPr>
      <w:bookmarkStart w:id="6" w:name="_Toc212294150"/>
      <w:r w:rsidRPr="00881C6F">
        <w:rPr>
          <w:rFonts w:ascii="Arial" w:hAnsi="Arial" w:cs="Arial"/>
          <w:b/>
          <w:bCs/>
          <w:color w:val="000000" w:themeColor="text1"/>
          <w:sz w:val="24"/>
          <w:szCs w:val="24"/>
        </w:rPr>
        <w:t>2. Evaluation of Change Management Models</w:t>
      </w:r>
      <w:bookmarkEnd w:id="6"/>
    </w:p>
    <w:p w14:paraId="1FCB27BF" w14:textId="77777777" w:rsidR="00881C6F" w:rsidRDefault="00881C6F" w:rsidP="00881C6F"/>
    <w:p w14:paraId="2EFCB0C5" w14:textId="6494AA37" w:rsidR="00465722" w:rsidRPr="00465722" w:rsidRDefault="00465722" w:rsidP="00465722">
      <w:pPr>
        <w:spacing w:after="0" w:line="360" w:lineRule="auto"/>
        <w:ind w:firstLine="720"/>
        <w:jc w:val="both"/>
        <w:rPr>
          <w:rFonts w:ascii="Arial" w:hAnsi="Arial" w:cs="Arial"/>
        </w:rPr>
      </w:pPr>
      <w:r w:rsidRPr="00465722">
        <w:rPr>
          <w:rFonts w:ascii="Arial" w:hAnsi="Arial" w:cs="Arial"/>
        </w:rPr>
        <w:t>Change management involves frameworks that are structured around planning, implementation, and sustaining strategic transformation within an organization. However, in the case of CHH Conex where substantial pressures for change both technologically and culturally are present, the application of well-articulated models will facilitate clarity and structure to ensure digital transformation through employee engagement mechanisms.</w:t>
      </w:r>
    </w:p>
    <w:p w14:paraId="62098EAD" w14:textId="77777777" w:rsidR="00465722" w:rsidRPr="00881C6F" w:rsidRDefault="00465722" w:rsidP="00881C6F"/>
    <w:p w14:paraId="0042C440" w14:textId="66901CB6"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7" w:name="_Toc212294151"/>
      <w:r w:rsidRPr="00881C6F">
        <w:rPr>
          <w:rFonts w:ascii="Arial" w:hAnsi="Arial" w:cs="Arial"/>
          <w:b/>
          <w:bCs/>
          <w:color w:val="000000" w:themeColor="text1"/>
          <w:sz w:val="24"/>
          <w:szCs w:val="24"/>
        </w:rPr>
        <w:t>2.1. Lewin’s Three-Stage Model</w:t>
      </w:r>
      <w:bookmarkEnd w:id="7"/>
    </w:p>
    <w:p w14:paraId="7BEA6CFA" w14:textId="77777777" w:rsidR="00465722" w:rsidRDefault="00465722" w:rsidP="00465722">
      <w:pPr>
        <w:spacing w:after="0" w:line="360" w:lineRule="auto"/>
        <w:ind w:firstLine="720"/>
        <w:jc w:val="both"/>
        <w:rPr>
          <w:rFonts w:ascii="Arial" w:hAnsi="Arial" w:cs="Arial"/>
        </w:rPr>
      </w:pPr>
      <w:r w:rsidRPr="00465722">
        <w:rPr>
          <w:rFonts w:ascii="Arial" w:hAnsi="Arial" w:cs="Arial"/>
        </w:rPr>
        <w:t xml:space="preserve">Kurt Lewin’s Three-Stage Model—Unfreeze, Change, </w:t>
      </w:r>
      <w:proofErr w:type="gramStart"/>
      <w:r w:rsidRPr="00465722">
        <w:rPr>
          <w:rFonts w:ascii="Arial" w:hAnsi="Arial" w:cs="Arial"/>
        </w:rPr>
        <w:t>Refreeze</w:t>
      </w:r>
      <w:proofErr w:type="gramEnd"/>
      <w:r w:rsidRPr="00465722">
        <w:rPr>
          <w:rFonts w:ascii="Arial" w:hAnsi="Arial" w:cs="Arial"/>
        </w:rPr>
        <w:t>—is one of the earliest and most influential frameworks in organisational change (Burnes, 2017).</w:t>
      </w:r>
    </w:p>
    <w:p w14:paraId="1B7F18A4" w14:textId="77777777" w:rsidR="00465722" w:rsidRDefault="00465722" w:rsidP="00465722">
      <w:pPr>
        <w:spacing w:after="0" w:line="360" w:lineRule="auto"/>
        <w:ind w:firstLine="720"/>
        <w:jc w:val="both"/>
        <w:rPr>
          <w:rFonts w:ascii="Arial" w:hAnsi="Arial" w:cs="Arial"/>
        </w:rPr>
      </w:pPr>
      <w:r w:rsidRPr="00465722">
        <w:rPr>
          <w:rFonts w:ascii="Arial" w:hAnsi="Arial" w:cs="Arial"/>
        </w:rPr>
        <w:t>Unfreeze: Challenge old behaviour. Create awareness for the need for change. In CHH Conex, admit inadequacies of legacy logistics systems. Discuss competitive threats of AI-driven firms. Explain why digital transformation is necessary just to stay alive. Compelling evidence by leadership—market share trends, operational inefficiencies—anything that moves the stakeholders to be convinced (Cummings et al., 2016).</w:t>
      </w:r>
    </w:p>
    <w:p w14:paraId="66EBA4C6" w14:textId="77777777" w:rsidR="00465722" w:rsidRDefault="00465722" w:rsidP="00465722">
      <w:pPr>
        <w:spacing w:after="0" w:line="360" w:lineRule="auto"/>
        <w:ind w:firstLine="720"/>
        <w:jc w:val="both"/>
        <w:rPr>
          <w:rFonts w:ascii="Arial" w:hAnsi="Arial" w:cs="Arial"/>
        </w:rPr>
      </w:pPr>
      <w:r w:rsidRPr="00465722">
        <w:rPr>
          <w:rFonts w:ascii="Arial" w:hAnsi="Arial" w:cs="Arial"/>
        </w:rPr>
        <w:t>This is the phase in which new processes, technologies and cultural behaviours are introduced. CHH Conex can introduce digital warehousing systems, automation and new communication structures while also reskilling employees through targeted training programmes. Most importantly meanwhile</w:t>
      </w:r>
      <w:r>
        <w:rPr>
          <w:rFonts w:ascii="Arial" w:hAnsi="Arial" w:cs="Arial"/>
        </w:rPr>
        <w:t xml:space="preserve"> </w:t>
      </w:r>
      <w:r w:rsidRPr="00465722">
        <w:rPr>
          <w:rFonts w:ascii="Arial" w:hAnsi="Arial" w:cs="Arial"/>
        </w:rPr>
        <w:t>active leadership support and cross-functional collaboration are critical to overcoming resistance (Hayes, 2018).</w:t>
      </w:r>
    </w:p>
    <w:p w14:paraId="00F60DDB" w14:textId="77777777" w:rsidR="00465722" w:rsidRDefault="00465722" w:rsidP="00465722">
      <w:pPr>
        <w:spacing w:after="0" w:line="360" w:lineRule="auto"/>
        <w:ind w:firstLine="720"/>
        <w:jc w:val="both"/>
        <w:rPr>
          <w:rFonts w:ascii="Arial" w:hAnsi="Arial" w:cs="Arial"/>
        </w:rPr>
      </w:pPr>
      <w:r w:rsidRPr="00465722">
        <w:rPr>
          <w:rFonts w:ascii="Arial" w:hAnsi="Arial" w:cs="Arial"/>
        </w:rPr>
        <w:t>Refreeze: Through institutionalisation, which is the embedding of digital practices into day-to-day operations, policy updates, and recognition of employees who have adopted new behaviours, changes are stabilised. In this case, changes are not made temporarily but rather emphasised to be part of the organisational DNA.</w:t>
      </w:r>
    </w:p>
    <w:p w14:paraId="299A7713" w14:textId="38F68B5A" w:rsidR="00881C6F" w:rsidRPr="00465722" w:rsidRDefault="00465722" w:rsidP="00465722">
      <w:pPr>
        <w:spacing w:after="0" w:line="360" w:lineRule="auto"/>
        <w:ind w:firstLine="720"/>
        <w:jc w:val="both"/>
        <w:rPr>
          <w:rFonts w:ascii="Arial" w:hAnsi="Arial" w:cs="Arial"/>
        </w:rPr>
      </w:pPr>
      <w:r w:rsidRPr="00465722">
        <w:rPr>
          <w:rFonts w:ascii="Arial" w:hAnsi="Arial" w:cs="Arial"/>
        </w:rPr>
        <w:t xml:space="preserve">Lewin’s model is simple and clear, applicable to beginning cultural changes at CHH Conex. However, it has also attracted criticism that supposedly under a linear sequence of changes which again hardly tallies with the continuously unfolding nature of digital transformation (Burnes </w:t>
      </w:r>
      <w:r>
        <w:rPr>
          <w:rFonts w:ascii="Arial" w:hAnsi="Arial" w:cs="Arial"/>
        </w:rPr>
        <w:t>and</w:t>
      </w:r>
      <w:r w:rsidRPr="00465722">
        <w:rPr>
          <w:rFonts w:ascii="Arial" w:hAnsi="Arial" w:cs="Arial"/>
        </w:rPr>
        <w:t xml:space="preserve"> Cooke, 2013). Change at CHH Conex takes place within an emergent context </w:t>
      </w:r>
      <w:r w:rsidRPr="00465722">
        <w:rPr>
          <w:rFonts w:ascii="Arial" w:hAnsi="Arial" w:cs="Arial"/>
        </w:rPr>
        <w:lastRenderedPageBreak/>
        <w:t>implying constant change therefore Lewin’s model can be applied as a baseline framework together with more iterative models.</w:t>
      </w:r>
    </w:p>
    <w:p w14:paraId="23366A7C" w14:textId="77777777" w:rsidR="00465722" w:rsidRPr="00881C6F" w:rsidRDefault="00465722" w:rsidP="00881C6F"/>
    <w:p w14:paraId="146E0B17" w14:textId="7DAC4135"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8" w:name="_Toc212294152"/>
      <w:r w:rsidRPr="00881C6F">
        <w:rPr>
          <w:rFonts w:ascii="Arial" w:hAnsi="Arial" w:cs="Arial"/>
          <w:b/>
          <w:bCs/>
          <w:color w:val="000000" w:themeColor="text1"/>
          <w:sz w:val="24"/>
          <w:szCs w:val="24"/>
        </w:rPr>
        <w:t>2.2. Kotter’s Eight-Step Change Model</w:t>
      </w:r>
      <w:bookmarkEnd w:id="8"/>
    </w:p>
    <w:p w14:paraId="2D6966FE" w14:textId="77777777" w:rsidR="00465722" w:rsidRDefault="00465722" w:rsidP="00465722">
      <w:pPr>
        <w:spacing w:after="0" w:line="360" w:lineRule="auto"/>
        <w:ind w:firstLine="720"/>
        <w:jc w:val="both"/>
        <w:rPr>
          <w:rFonts w:ascii="Arial" w:hAnsi="Arial" w:cs="Arial"/>
        </w:rPr>
      </w:pPr>
      <w:r>
        <w:rPr>
          <w:rFonts w:ascii="Arial" w:hAnsi="Arial" w:cs="Arial"/>
        </w:rPr>
        <w:t>J</w:t>
      </w:r>
      <w:r w:rsidRPr="00465722">
        <w:rPr>
          <w:rFonts w:ascii="Arial" w:hAnsi="Arial" w:cs="Arial"/>
        </w:rPr>
        <w:t>ohn Kotter’s 8-step model offers a much wider roadmap in the application of strategic change, and is better suited to changes of large magnitude (Kotter, 2021).</w:t>
      </w:r>
    </w:p>
    <w:p w14:paraId="27DFEC3C" w14:textId="77777777" w:rsidR="00465722" w:rsidRDefault="00465722" w:rsidP="00465722">
      <w:pPr>
        <w:spacing w:after="0" w:line="360" w:lineRule="auto"/>
        <w:ind w:firstLine="720"/>
        <w:jc w:val="both"/>
        <w:rPr>
          <w:rFonts w:ascii="Arial" w:hAnsi="Arial" w:cs="Arial"/>
        </w:rPr>
      </w:pPr>
      <w:r w:rsidRPr="00465722">
        <w:rPr>
          <w:rFonts w:ascii="Arial" w:hAnsi="Arial" w:cs="Arial"/>
        </w:rPr>
        <w:t>Create Urgency – Communicate external threats (ex: AI rivals, increase in online shopping) to build momentum.</w:t>
      </w:r>
    </w:p>
    <w:p w14:paraId="01F53FC6" w14:textId="77777777" w:rsidR="00465722" w:rsidRDefault="00465722" w:rsidP="00465722">
      <w:pPr>
        <w:spacing w:after="0" w:line="360" w:lineRule="auto"/>
        <w:ind w:firstLine="720"/>
        <w:jc w:val="both"/>
        <w:rPr>
          <w:rFonts w:ascii="Arial" w:hAnsi="Arial" w:cs="Arial"/>
        </w:rPr>
      </w:pPr>
      <w:r w:rsidRPr="00465722">
        <w:rPr>
          <w:rFonts w:ascii="Arial" w:hAnsi="Arial" w:cs="Arial"/>
        </w:rPr>
        <w:t>Form Guiding Coalition – Build a cross-functional leadership team as members.</w:t>
      </w:r>
    </w:p>
    <w:p w14:paraId="317780BE" w14:textId="77777777" w:rsidR="00465722" w:rsidRDefault="00465722" w:rsidP="00465722">
      <w:pPr>
        <w:spacing w:after="0" w:line="360" w:lineRule="auto"/>
        <w:ind w:firstLine="720"/>
        <w:jc w:val="both"/>
        <w:rPr>
          <w:rFonts w:ascii="Arial" w:hAnsi="Arial" w:cs="Arial"/>
        </w:rPr>
      </w:pPr>
      <w:r w:rsidRPr="00465722">
        <w:rPr>
          <w:rFonts w:ascii="Arial" w:hAnsi="Arial" w:cs="Arial"/>
        </w:rPr>
        <w:t>Develop Strategic Vision and Initiatives – Clearly articulate the vision to become a digitally enabled logistics provider.</w:t>
      </w:r>
    </w:p>
    <w:p w14:paraId="156CF81D" w14:textId="77777777" w:rsidR="00465722" w:rsidRDefault="00465722" w:rsidP="00465722">
      <w:pPr>
        <w:spacing w:after="0" w:line="360" w:lineRule="auto"/>
        <w:ind w:firstLine="720"/>
        <w:jc w:val="both"/>
        <w:rPr>
          <w:rFonts w:ascii="Arial" w:hAnsi="Arial" w:cs="Arial"/>
        </w:rPr>
      </w:pPr>
      <w:r w:rsidRPr="00465722">
        <w:rPr>
          <w:rFonts w:ascii="Arial" w:hAnsi="Arial" w:cs="Arial"/>
        </w:rPr>
        <w:t>Enlist a Volunteer Army – Involve employees at all levels in idea generation and becoming champions of change.</w:t>
      </w:r>
    </w:p>
    <w:p w14:paraId="5E43CC86" w14:textId="77777777" w:rsidR="00465722" w:rsidRDefault="00465722" w:rsidP="00465722">
      <w:pPr>
        <w:spacing w:after="0" w:line="360" w:lineRule="auto"/>
        <w:ind w:firstLine="720"/>
        <w:jc w:val="both"/>
        <w:rPr>
          <w:rFonts w:ascii="Arial" w:hAnsi="Arial" w:cs="Arial"/>
        </w:rPr>
      </w:pPr>
      <w:r w:rsidRPr="00465722">
        <w:rPr>
          <w:rFonts w:ascii="Arial" w:hAnsi="Arial" w:cs="Arial"/>
        </w:rPr>
        <w:t>Enable Action by Removing Barriers – Upgrade IT systems, reduce the number of decisions required, address skills gap.</w:t>
      </w:r>
    </w:p>
    <w:p w14:paraId="684B2128" w14:textId="77777777" w:rsidR="00465722" w:rsidRDefault="00465722" w:rsidP="00465722">
      <w:pPr>
        <w:spacing w:after="0" w:line="360" w:lineRule="auto"/>
        <w:ind w:firstLine="720"/>
        <w:jc w:val="both"/>
        <w:rPr>
          <w:rFonts w:ascii="Arial" w:hAnsi="Arial" w:cs="Arial"/>
        </w:rPr>
      </w:pPr>
      <w:r w:rsidRPr="00465722">
        <w:rPr>
          <w:rFonts w:ascii="Arial" w:hAnsi="Arial" w:cs="Arial"/>
        </w:rPr>
        <w:t>Generate Short-Term Wins – Pilot automation projects within a single warehouse to be able to showcase benefits.</w:t>
      </w:r>
    </w:p>
    <w:p w14:paraId="33DD7204" w14:textId="77777777" w:rsidR="00465722" w:rsidRDefault="00465722" w:rsidP="00465722">
      <w:pPr>
        <w:spacing w:after="0" w:line="360" w:lineRule="auto"/>
        <w:ind w:firstLine="720"/>
        <w:jc w:val="both"/>
        <w:rPr>
          <w:rFonts w:ascii="Arial" w:hAnsi="Arial" w:cs="Arial"/>
        </w:rPr>
      </w:pPr>
      <w:r w:rsidRPr="00465722">
        <w:rPr>
          <w:rFonts w:ascii="Arial" w:hAnsi="Arial" w:cs="Arial"/>
        </w:rPr>
        <w:t>Sustain Acceleration – Rollout successful initiatives across sites with continued focus from leadership.</w:t>
      </w:r>
    </w:p>
    <w:p w14:paraId="34E9A872" w14:textId="77777777" w:rsidR="00465722" w:rsidRDefault="00465722" w:rsidP="00465722">
      <w:pPr>
        <w:spacing w:after="0" w:line="360" w:lineRule="auto"/>
        <w:ind w:firstLine="720"/>
        <w:jc w:val="both"/>
        <w:rPr>
          <w:rFonts w:ascii="Arial" w:hAnsi="Arial" w:cs="Arial"/>
        </w:rPr>
      </w:pPr>
      <w:r w:rsidRPr="00465722">
        <w:rPr>
          <w:rFonts w:ascii="Arial" w:hAnsi="Arial" w:cs="Arial"/>
        </w:rPr>
        <w:t>Institute Change – Put policies, KPIs, and recognition in place to reinforce digital transformation.</w:t>
      </w:r>
    </w:p>
    <w:p w14:paraId="00CC94DE" w14:textId="77777777" w:rsidR="00465722" w:rsidRDefault="00465722" w:rsidP="00465722">
      <w:pPr>
        <w:spacing w:after="0" w:line="360" w:lineRule="auto"/>
        <w:ind w:firstLine="720"/>
        <w:jc w:val="both"/>
        <w:rPr>
          <w:rFonts w:ascii="Arial" w:hAnsi="Arial" w:cs="Arial"/>
        </w:rPr>
      </w:pPr>
      <w:r w:rsidRPr="00465722">
        <w:rPr>
          <w:rFonts w:ascii="Arial" w:hAnsi="Arial" w:cs="Arial"/>
        </w:rPr>
        <w:t>Application to CHH Conex: Kotter’s model aligns well with CHH Conex’s strategic transformation journey. Creating urgency is straightforward, given declining margins and competitive pressures. A guiding coalition could include operations, IT, HR, and customer service leaders. Short-term wins, such as successful AI routing implementation, can build credibility for further change.</w:t>
      </w:r>
    </w:p>
    <w:p w14:paraId="40856E0B" w14:textId="4377B861" w:rsidR="00881C6F" w:rsidRPr="00465722" w:rsidRDefault="00465722" w:rsidP="00465722">
      <w:pPr>
        <w:spacing w:after="0" w:line="360" w:lineRule="auto"/>
        <w:ind w:firstLine="720"/>
        <w:jc w:val="both"/>
        <w:rPr>
          <w:rFonts w:ascii="Arial" w:hAnsi="Arial" w:cs="Arial"/>
        </w:rPr>
      </w:pPr>
      <w:r w:rsidRPr="00465722">
        <w:rPr>
          <w:rFonts w:ascii="Arial" w:hAnsi="Arial" w:cs="Arial"/>
        </w:rPr>
        <w:t>Kotter’s model emphasises leadership engagement, communication and momentum, practises which are</w:t>
      </w:r>
      <w:r>
        <w:rPr>
          <w:rFonts w:ascii="Arial" w:hAnsi="Arial" w:cs="Arial"/>
        </w:rPr>
        <w:t xml:space="preserve"> </w:t>
      </w:r>
      <w:r w:rsidRPr="00465722">
        <w:rPr>
          <w:rFonts w:ascii="Arial" w:hAnsi="Arial" w:cs="Arial"/>
        </w:rPr>
        <w:t>beliefs necessary to the success of CHH Conex. In return, this can be perceived as giving much on resources and the top management leaders’ commitment (Appelbaum et al., 2018). Besides, it assumes a clearly defined structure for order steps that may be tested by real-life unplanned techno disruptions hence provides an applicable strategy framework for big transformations.</w:t>
      </w:r>
    </w:p>
    <w:p w14:paraId="02D65061" w14:textId="77777777" w:rsidR="00465722" w:rsidRPr="00881C6F" w:rsidRDefault="00465722" w:rsidP="00881C6F"/>
    <w:p w14:paraId="606990AE" w14:textId="381F1D4B"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9" w:name="_Toc212294153"/>
      <w:r w:rsidRPr="00881C6F">
        <w:rPr>
          <w:rFonts w:ascii="Arial" w:hAnsi="Arial" w:cs="Arial"/>
          <w:b/>
          <w:bCs/>
          <w:color w:val="000000" w:themeColor="text1"/>
          <w:sz w:val="24"/>
          <w:szCs w:val="24"/>
        </w:rPr>
        <w:lastRenderedPageBreak/>
        <w:t>2.3. ADKAR Model</w:t>
      </w:r>
      <w:bookmarkEnd w:id="9"/>
    </w:p>
    <w:p w14:paraId="3AF21137" w14:textId="77777777" w:rsidR="00465722" w:rsidRDefault="00465722" w:rsidP="00465722">
      <w:pPr>
        <w:spacing w:after="0" w:line="360" w:lineRule="auto"/>
        <w:ind w:firstLine="720"/>
        <w:jc w:val="both"/>
        <w:rPr>
          <w:rFonts w:ascii="Arial" w:hAnsi="Arial" w:cs="Arial"/>
        </w:rPr>
      </w:pPr>
      <w:r w:rsidRPr="00465722">
        <w:rPr>
          <w:rFonts w:ascii="Arial" w:hAnsi="Arial" w:cs="Arial"/>
        </w:rPr>
        <w:t xml:space="preserve">The ADKAR Model, developed by </w:t>
      </w:r>
      <w:proofErr w:type="spellStart"/>
      <w:r w:rsidRPr="00465722">
        <w:rPr>
          <w:rFonts w:ascii="Arial" w:hAnsi="Arial" w:cs="Arial"/>
        </w:rPr>
        <w:t>Prosci</w:t>
      </w:r>
      <w:proofErr w:type="spellEnd"/>
      <w:r w:rsidRPr="00465722">
        <w:rPr>
          <w:rFonts w:ascii="Arial" w:hAnsi="Arial" w:cs="Arial"/>
        </w:rPr>
        <w:t>, is based on the change at the individual level. Therefore, it suitably applies to CHH Conex’s workforce transformation (Hiatt, 2018). Its elements include:</w:t>
      </w:r>
    </w:p>
    <w:p w14:paraId="000A1C26" w14:textId="77777777" w:rsidR="00465722" w:rsidRDefault="00465722" w:rsidP="00465722">
      <w:pPr>
        <w:spacing w:after="0" w:line="360" w:lineRule="auto"/>
        <w:ind w:firstLine="720"/>
        <w:jc w:val="both"/>
        <w:rPr>
          <w:rFonts w:ascii="Arial" w:hAnsi="Arial" w:cs="Arial"/>
        </w:rPr>
      </w:pPr>
      <w:r w:rsidRPr="00465722">
        <w:rPr>
          <w:rFonts w:ascii="Arial" w:hAnsi="Arial" w:cs="Arial"/>
        </w:rPr>
        <w:t>Awareness – Employees become aware of the reasons for change (example: market threats).</w:t>
      </w:r>
    </w:p>
    <w:p w14:paraId="5E3CFDAD" w14:textId="77777777" w:rsidR="00465722" w:rsidRDefault="00465722" w:rsidP="00465722">
      <w:pPr>
        <w:spacing w:after="0" w:line="360" w:lineRule="auto"/>
        <w:ind w:firstLine="720"/>
        <w:jc w:val="both"/>
        <w:rPr>
          <w:rFonts w:ascii="Arial" w:hAnsi="Arial" w:cs="Arial"/>
        </w:rPr>
      </w:pPr>
      <w:r w:rsidRPr="00465722">
        <w:rPr>
          <w:rFonts w:ascii="Arial" w:hAnsi="Arial" w:cs="Arial"/>
        </w:rPr>
        <w:t>Desire – Employees want to participate in change, inculcated through communication and incentives.</w:t>
      </w:r>
    </w:p>
    <w:p w14:paraId="0BB0F636" w14:textId="77777777" w:rsidR="00465722" w:rsidRDefault="00465722" w:rsidP="00465722">
      <w:pPr>
        <w:spacing w:after="0" w:line="360" w:lineRule="auto"/>
        <w:ind w:firstLine="720"/>
        <w:jc w:val="both"/>
        <w:rPr>
          <w:rFonts w:ascii="Arial" w:hAnsi="Arial" w:cs="Arial"/>
        </w:rPr>
      </w:pPr>
      <w:r w:rsidRPr="00465722">
        <w:rPr>
          <w:rFonts w:ascii="Arial" w:hAnsi="Arial" w:cs="Arial"/>
        </w:rPr>
        <w:t>Knowledge – Training programs should build the required digital skills.</w:t>
      </w:r>
    </w:p>
    <w:p w14:paraId="4E729C7A" w14:textId="77777777" w:rsidR="00465722" w:rsidRDefault="00465722" w:rsidP="00465722">
      <w:pPr>
        <w:spacing w:after="0" w:line="360" w:lineRule="auto"/>
        <w:ind w:firstLine="720"/>
        <w:jc w:val="both"/>
        <w:rPr>
          <w:rFonts w:ascii="Arial" w:hAnsi="Arial" w:cs="Arial"/>
        </w:rPr>
      </w:pPr>
      <w:r w:rsidRPr="00465722">
        <w:rPr>
          <w:rFonts w:ascii="Arial" w:hAnsi="Arial" w:cs="Arial"/>
        </w:rPr>
        <w:t>Ability – Employees must be given opportunities to apply skills through on-the-job support.</w:t>
      </w:r>
    </w:p>
    <w:p w14:paraId="3CD6066C" w14:textId="77777777" w:rsidR="00465722" w:rsidRDefault="00465722" w:rsidP="00465722">
      <w:pPr>
        <w:spacing w:after="0" w:line="360" w:lineRule="auto"/>
        <w:ind w:firstLine="720"/>
        <w:jc w:val="both"/>
        <w:rPr>
          <w:rFonts w:ascii="Arial" w:hAnsi="Arial" w:cs="Arial"/>
        </w:rPr>
      </w:pPr>
      <w:r w:rsidRPr="00465722">
        <w:rPr>
          <w:rFonts w:ascii="Arial" w:hAnsi="Arial" w:cs="Arial"/>
        </w:rPr>
        <w:t>Reinforcement – Recognition and rewards embed the change in behaviour.</w:t>
      </w:r>
    </w:p>
    <w:p w14:paraId="64626EC0" w14:textId="77777777" w:rsidR="00465722" w:rsidRDefault="00465722" w:rsidP="00465722">
      <w:pPr>
        <w:spacing w:after="0" w:line="360" w:lineRule="auto"/>
        <w:ind w:firstLine="720"/>
        <w:jc w:val="both"/>
        <w:rPr>
          <w:rFonts w:ascii="Arial" w:hAnsi="Arial" w:cs="Arial"/>
        </w:rPr>
      </w:pPr>
      <w:r w:rsidRPr="00465722">
        <w:rPr>
          <w:rFonts w:ascii="Arial" w:hAnsi="Arial" w:cs="Arial"/>
        </w:rPr>
        <w:t>Application to CHH Conex: ADKAR suits well to address the major barrier identified by CHH Conex’s internal analysis-employee resistance. It builds individual commitment towards transformation through awareness campaigns, targeted digital literacy training, and on-the-job support. Behaviour reinforcement mechanisms-such as recognition programs-can ensure the sustainability of behaviours in daily routines.</w:t>
      </w:r>
    </w:p>
    <w:p w14:paraId="50DD4017" w14:textId="2674A81F" w:rsidR="00881C6F" w:rsidRPr="00465722" w:rsidRDefault="00465722" w:rsidP="00465722">
      <w:pPr>
        <w:spacing w:after="0" w:line="360" w:lineRule="auto"/>
        <w:ind w:firstLine="720"/>
        <w:jc w:val="both"/>
        <w:rPr>
          <w:rFonts w:ascii="Arial" w:hAnsi="Arial" w:cs="Arial"/>
        </w:rPr>
      </w:pPr>
      <w:r w:rsidRPr="00465722">
        <w:rPr>
          <w:rFonts w:ascii="Arial" w:hAnsi="Arial" w:cs="Arial"/>
        </w:rPr>
        <w:t>Critical evaluation: The ADKAR approach effectively addresses the human side of change, which is often omitted in transformations led by technology. However, its focus on strategic organisational structures is minimal hence it should be integrated with models such as Kotter’s for a more holistic coverage (Hayes, 2018).</w:t>
      </w:r>
    </w:p>
    <w:p w14:paraId="41F10F95" w14:textId="77777777" w:rsidR="00465722" w:rsidRPr="00881C6F" w:rsidRDefault="00465722" w:rsidP="00881C6F"/>
    <w:p w14:paraId="4BFD0708" w14:textId="269B6A6A"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10" w:name="_Toc212294154"/>
      <w:r w:rsidRPr="00881C6F">
        <w:rPr>
          <w:rFonts w:ascii="Arial" w:hAnsi="Arial" w:cs="Arial"/>
          <w:b/>
          <w:bCs/>
          <w:color w:val="000000" w:themeColor="text1"/>
          <w:sz w:val="24"/>
          <w:szCs w:val="24"/>
        </w:rPr>
        <w:t>2.4. Strategic Change Considerations</w:t>
      </w:r>
      <w:bookmarkEnd w:id="10"/>
    </w:p>
    <w:p w14:paraId="72DD3FDB" w14:textId="77777777" w:rsidR="00F36189" w:rsidRDefault="00F36189" w:rsidP="00F36189">
      <w:pPr>
        <w:spacing w:after="0" w:line="360" w:lineRule="auto"/>
        <w:ind w:firstLine="720"/>
        <w:jc w:val="both"/>
        <w:rPr>
          <w:rFonts w:ascii="Arial" w:hAnsi="Arial" w:cs="Arial"/>
        </w:rPr>
      </w:pPr>
      <w:r w:rsidRPr="00F36189">
        <w:rPr>
          <w:rFonts w:ascii="Arial" w:hAnsi="Arial" w:cs="Arial"/>
        </w:rPr>
        <w:t>Leadership and Culture: Transformational leadership is required at CHH Conex to support leaders in inspiring, communication of a compelling vision and leading by example of digital behaviours (Northouse, 2021). The leadership aligns the cultural values with the goals of transformation by adaptability, innovation and teamwork. In the absence of aligned leadership, a well-designed change model can also fail.</w:t>
      </w:r>
    </w:p>
    <w:p w14:paraId="65793F95" w14:textId="77777777" w:rsidR="00F36189" w:rsidRDefault="00F36189" w:rsidP="00F36189">
      <w:pPr>
        <w:spacing w:after="0" w:line="360" w:lineRule="auto"/>
        <w:ind w:firstLine="720"/>
        <w:jc w:val="both"/>
        <w:rPr>
          <w:rFonts w:ascii="Arial" w:hAnsi="Arial" w:cs="Arial"/>
        </w:rPr>
      </w:pPr>
      <w:r w:rsidRPr="00F36189">
        <w:rPr>
          <w:rFonts w:ascii="Arial" w:hAnsi="Arial" w:cs="Arial"/>
        </w:rPr>
        <w:t>Digital Transformation as Continuous Change: Digital transformation is not a one-off project but a continuous journey (Westerman et al., 2018). This requires CHH Conex to adopt adaptive, iterative change approaches, with feedback loops and learning embedded in each phase. Combining Lewin (for cultural unfreezing), Kotter (for structured strategic execution), and ADKAR (for workforce engagement) provides a multi-layered approach suitable for ongoing transformation.</w:t>
      </w:r>
    </w:p>
    <w:p w14:paraId="711CAD63" w14:textId="358C6130" w:rsidR="00881C6F" w:rsidRDefault="00F36189" w:rsidP="00F36189">
      <w:pPr>
        <w:spacing w:after="0" w:line="360" w:lineRule="auto"/>
        <w:ind w:firstLine="720"/>
        <w:jc w:val="both"/>
        <w:rPr>
          <w:rFonts w:ascii="Arial" w:hAnsi="Arial" w:cs="Arial"/>
        </w:rPr>
      </w:pPr>
      <w:r w:rsidRPr="00F36189">
        <w:rPr>
          <w:rFonts w:ascii="Arial" w:hAnsi="Arial" w:cs="Arial"/>
        </w:rPr>
        <w:lastRenderedPageBreak/>
        <w:t>Communication and Engagement: Transparent, two-way communication is necessary to build trust with employees and reduce resistance (Kotter, 2021). At CHH Conex, communication must cover both the strategic rationale (competition) and the personal impacts (job roles, training opportunities).</w:t>
      </w:r>
    </w:p>
    <w:p w14:paraId="647BBC4D" w14:textId="77777777" w:rsidR="00F36189" w:rsidRPr="00F36189" w:rsidRDefault="00F36189" w:rsidP="00F36189">
      <w:pPr>
        <w:spacing w:after="0" w:line="360" w:lineRule="auto"/>
        <w:ind w:firstLine="720"/>
        <w:jc w:val="both"/>
        <w:rPr>
          <w:rFonts w:ascii="Arial" w:hAnsi="Arial" w:cs="Arial"/>
        </w:rPr>
      </w:pPr>
    </w:p>
    <w:p w14:paraId="4E84B11F" w14:textId="582337E5" w:rsidR="00881C6F" w:rsidRPr="00881C6F" w:rsidRDefault="00881C6F" w:rsidP="00881C6F">
      <w:pPr>
        <w:pStyle w:val="Heading1"/>
        <w:spacing w:before="0" w:after="0" w:line="360" w:lineRule="auto"/>
        <w:ind w:firstLine="720"/>
        <w:rPr>
          <w:rFonts w:ascii="Arial" w:hAnsi="Arial" w:cs="Arial"/>
          <w:b/>
          <w:bCs/>
          <w:color w:val="000000" w:themeColor="text1"/>
          <w:sz w:val="24"/>
          <w:szCs w:val="24"/>
        </w:rPr>
      </w:pPr>
      <w:bookmarkStart w:id="11" w:name="_Toc212294155"/>
      <w:r w:rsidRPr="00881C6F">
        <w:rPr>
          <w:rFonts w:ascii="Arial" w:hAnsi="Arial" w:cs="Arial"/>
          <w:b/>
          <w:bCs/>
          <w:color w:val="000000" w:themeColor="text1"/>
          <w:sz w:val="24"/>
          <w:szCs w:val="24"/>
        </w:rPr>
        <w:t>2.5. Recommended Approach for CHH Conex</w:t>
      </w:r>
      <w:bookmarkEnd w:id="11"/>
    </w:p>
    <w:p w14:paraId="5944C18D" w14:textId="77777777" w:rsidR="00F36189" w:rsidRDefault="00F36189" w:rsidP="00F36189">
      <w:pPr>
        <w:spacing w:after="0" w:line="360" w:lineRule="auto"/>
        <w:ind w:firstLine="720"/>
        <w:jc w:val="both"/>
        <w:rPr>
          <w:rFonts w:ascii="Arial" w:hAnsi="Arial" w:cs="Arial"/>
        </w:rPr>
      </w:pPr>
      <w:r w:rsidRPr="00F36189">
        <w:rPr>
          <w:rFonts w:ascii="Arial" w:hAnsi="Arial" w:cs="Arial"/>
        </w:rPr>
        <w:t>CHH Conex should apply change management using a hybrid model in context.</w:t>
      </w:r>
    </w:p>
    <w:p w14:paraId="097737FD" w14:textId="77777777" w:rsidR="00F36189" w:rsidRDefault="00F36189" w:rsidP="00F36189">
      <w:pPr>
        <w:spacing w:after="0" w:line="360" w:lineRule="auto"/>
        <w:ind w:firstLine="720"/>
        <w:jc w:val="both"/>
        <w:rPr>
          <w:rFonts w:ascii="Arial" w:hAnsi="Arial" w:cs="Arial"/>
        </w:rPr>
      </w:pPr>
      <w:r w:rsidRPr="00F36189">
        <w:rPr>
          <w:rFonts w:ascii="Arial" w:hAnsi="Arial" w:cs="Arial"/>
        </w:rPr>
        <w:t>Use Lewin’s model to unfreeze legacy culture and build awareness of the need for change.</w:t>
      </w:r>
    </w:p>
    <w:p w14:paraId="6F58F61A" w14:textId="77777777" w:rsidR="00F36189" w:rsidRDefault="00F36189" w:rsidP="00F36189">
      <w:pPr>
        <w:spacing w:after="0" w:line="360" w:lineRule="auto"/>
        <w:ind w:firstLine="720"/>
        <w:jc w:val="both"/>
        <w:rPr>
          <w:rFonts w:ascii="Arial" w:hAnsi="Arial" w:cs="Arial"/>
        </w:rPr>
      </w:pPr>
      <w:r w:rsidRPr="00F36189">
        <w:rPr>
          <w:rFonts w:ascii="Arial" w:hAnsi="Arial" w:cs="Arial"/>
        </w:rPr>
        <w:t>Apply Kotter’s 8-Step model to drive strategic digital transformation, ensuring leadership engagement and structured execution.</w:t>
      </w:r>
    </w:p>
    <w:p w14:paraId="142C83DB" w14:textId="77777777" w:rsidR="00F36189" w:rsidRDefault="00F36189" w:rsidP="00F36189">
      <w:pPr>
        <w:spacing w:after="0" w:line="360" w:lineRule="auto"/>
        <w:ind w:firstLine="720"/>
        <w:jc w:val="both"/>
        <w:rPr>
          <w:rFonts w:ascii="Arial" w:hAnsi="Arial" w:cs="Arial"/>
        </w:rPr>
      </w:pPr>
      <w:r w:rsidRPr="00F36189">
        <w:rPr>
          <w:rFonts w:ascii="Arial" w:hAnsi="Arial" w:cs="Arial"/>
        </w:rPr>
        <w:t>Integrate ADKAR to address individual resistance, build digital skills, and sustain behavioural change.</w:t>
      </w:r>
    </w:p>
    <w:p w14:paraId="7E89E27C" w14:textId="77777777" w:rsidR="00F36189" w:rsidRDefault="00F36189" w:rsidP="00F36189">
      <w:pPr>
        <w:spacing w:after="0" w:line="360" w:lineRule="auto"/>
        <w:ind w:firstLine="720"/>
        <w:jc w:val="both"/>
        <w:rPr>
          <w:rFonts w:ascii="Arial" w:hAnsi="Arial" w:cs="Arial"/>
        </w:rPr>
      </w:pPr>
      <w:r w:rsidRPr="00F36189">
        <w:rPr>
          <w:rFonts w:ascii="Arial" w:hAnsi="Arial" w:cs="Arial"/>
        </w:rPr>
        <w:t>The approach aligns the strategic factors, organisation factors, and people factors towards success of transformation.</w:t>
      </w:r>
    </w:p>
    <w:p w14:paraId="56E57CD8" w14:textId="77777777" w:rsidR="00F36189" w:rsidRDefault="00F36189" w:rsidP="00F36189">
      <w:pPr>
        <w:spacing w:after="0" w:line="360" w:lineRule="auto"/>
        <w:ind w:firstLine="720"/>
        <w:jc w:val="both"/>
        <w:rPr>
          <w:rFonts w:ascii="Arial" w:hAnsi="Arial" w:cs="Arial"/>
        </w:rPr>
      </w:pPr>
      <w:r w:rsidRPr="00F36189">
        <w:rPr>
          <w:rFonts w:ascii="Arial" w:hAnsi="Arial" w:cs="Arial"/>
        </w:rPr>
        <w:t>Technological disruption, competitive pressures and changing consumer behaviour are the strategic challenges confronting CHH Conex. Change is not successfully managed through technology but through structured change models that engage leadership, align organisational strategy and support employees.</w:t>
      </w:r>
    </w:p>
    <w:p w14:paraId="20094639" w14:textId="2AC807F1" w:rsidR="00881C6F" w:rsidRPr="00F36189" w:rsidRDefault="00F36189" w:rsidP="00F36189">
      <w:pPr>
        <w:spacing w:after="0" w:line="360" w:lineRule="auto"/>
        <w:ind w:firstLine="720"/>
        <w:jc w:val="both"/>
        <w:rPr>
          <w:rFonts w:ascii="Arial" w:hAnsi="Arial" w:cs="Arial"/>
        </w:rPr>
      </w:pPr>
      <w:r w:rsidRPr="00F36189">
        <w:rPr>
          <w:rFonts w:ascii="Arial" w:hAnsi="Arial" w:cs="Arial"/>
        </w:rPr>
        <w:t>Lewin delivers baseline cultural readiness, Kotter articulates a plan for practical implementation, and ADKAR drives personal commitment. Collectively, they present an end-to-end change management process which can assist CHH Conex evolve from a conventional logistics firm into a digitally empowered, flexible enterprise equipped to contend in today’s market.</w:t>
      </w:r>
    </w:p>
    <w:p w14:paraId="31B72236" w14:textId="77777777" w:rsidR="00C8484E" w:rsidRPr="00881C6F" w:rsidRDefault="00C8484E" w:rsidP="00881C6F"/>
    <w:p w14:paraId="20D4B65E" w14:textId="7A56F989" w:rsidR="00881C6F" w:rsidRDefault="00E0388A" w:rsidP="00E0388A">
      <w:pPr>
        <w:pStyle w:val="Heading1"/>
        <w:spacing w:before="0" w:after="0" w:line="360" w:lineRule="auto"/>
        <w:jc w:val="center"/>
        <w:rPr>
          <w:rFonts w:ascii="Arial" w:hAnsi="Arial" w:cs="Arial"/>
          <w:b/>
          <w:bCs/>
          <w:color w:val="000000" w:themeColor="text1"/>
          <w:sz w:val="24"/>
          <w:szCs w:val="24"/>
        </w:rPr>
      </w:pPr>
      <w:bookmarkStart w:id="12" w:name="_Toc212294156"/>
      <w:r w:rsidRPr="00E0388A">
        <w:rPr>
          <w:rFonts w:ascii="Arial" w:hAnsi="Arial" w:cs="Arial"/>
          <w:b/>
          <w:bCs/>
          <w:color w:val="000000" w:themeColor="text1"/>
          <w:sz w:val="24"/>
          <w:szCs w:val="24"/>
        </w:rPr>
        <w:t xml:space="preserve">3. </w:t>
      </w:r>
      <w:r w:rsidRPr="00E0388A">
        <w:rPr>
          <w:rFonts w:ascii="Arial" w:hAnsi="Arial" w:cs="Arial"/>
          <w:b/>
          <w:bCs/>
          <w:color w:val="000000" w:themeColor="text1"/>
          <w:sz w:val="24"/>
          <w:szCs w:val="24"/>
        </w:rPr>
        <w:t>Evaluation of Change Management and Leadership Influence</w:t>
      </w:r>
      <w:bookmarkEnd w:id="12"/>
    </w:p>
    <w:p w14:paraId="399715BE" w14:textId="77777777" w:rsidR="00E0388A" w:rsidRDefault="00E0388A" w:rsidP="00E0388A"/>
    <w:p w14:paraId="2FD8C002" w14:textId="77777777" w:rsidR="00C8484E" w:rsidRDefault="00C8484E" w:rsidP="00C8484E">
      <w:pPr>
        <w:spacing w:after="0" w:line="360" w:lineRule="auto"/>
        <w:ind w:firstLine="720"/>
        <w:jc w:val="both"/>
        <w:rPr>
          <w:rFonts w:ascii="Arial" w:hAnsi="Arial" w:cs="Arial"/>
        </w:rPr>
      </w:pPr>
      <w:r w:rsidRPr="00C8484E">
        <w:rPr>
          <w:rFonts w:ascii="Arial" w:hAnsi="Arial" w:cs="Arial"/>
        </w:rPr>
        <w:t>The recent transformation initiative at CHH Conex aimed at enhancing digital integration and operational efficiency was primarily driven by strategic realignment in response to market competition and technological evolution. The management of this change relied heavily on leadership engagement, communication and the ability to balance short-term performance with long-term vision.</w:t>
      </w:r>
    </w:p>
    <w:p w14:paraId="2AEA2C86" w14:textId="227C0103" w:rsidR="00C8484E" w:rsidRDefault="00C8484E" w:rsidP="00C8484E">
      <w:pPr>
        <w:spacing w:after="0" w:line="360" w:lineRule="auto"/>
        <w:ind w:firstLine="720"/>
        <w:jc w:val="both"/>
        <w:rPr>
          <w:rFonts w:ascii="Arial" w:hAnsi="Arial" w:cs="Arial"/>
        </w:rPr>
      </w:pPr>
      <w:r w:rsidRPr="00C8484E">
        <w:rPr>
          <w:rFonts w:ascii="Arial" w:hAnsi="Arial" w:cs="Arial"/>
        </w:rPr>
        <w:t xml:space="preserve">Leadership was instrumental in making this transition possible. Top leaders of the organization practiced transformational leadership that is based on vision, motivation, and empowerment of employees (Bass </w:t>
      </w:r>
      <w:r>
        <w:rPr>
          <w:rFonts w:ascii="Arial" w:hAnsi="Arial" w:cs="Arial"/>
        </w:rPr>
        <w:t>and</w:t>
      </w:r>
      <w:r w:rsidRPr="00C8484E">
        <w:rPr>
          <w:rFonts w:ascii="Arial" w:hAnsi="Arial" w:cs="Arial"/>
        </w:rPr>
        <w:t xml:space="preserve"> Riggio, 2018). It provided an enabling environment for a </w:t>
      </w:r>
      <w:r w:rsidRPr="00C8484E">
        <w:rPr>
          <w:rFonts w:ascii="Arial" w:hAnsi="Arial" w:cs="Arial"/>
        </w:rPr>
        <w:lastRenderedPageBreak/>
        <w:t xml:space="preserve">shared commitment toward digital innovation and operational excellence to take root within the organization. Transformational leaders articulate inspirational appeals to employees through both personal and organizational goal alignment thus encouraging them to work beyond self-interest (Avolio </w:t>
      </w:r>
      <w:r>
        <w:rPr>
          <w:rFonts w:ascii="Arial" w:hAnsi="Arial" w:cs="Arial"/>
        </w:rPr>
        <w:t>and</w:t>
      </w:r>
      <w:r w:rsidRPr="00C8484E">
        <w:rPr>
          <w:rFonts w:ascii="Arial" w:hAnsi="Arial" w:cs="Arial"/>
        </w:rPr>
        <w:t xml:space="preserve"> </w:t>
      </w:r>
      <w:proofErr w:type="spellStart"/>
      <w:r w:rsidRPr="00C8484E">
        <w:rPr>
          <w:rFonts w:ascii="Arial" w:hAnsi="Arial" w:cs="Arial"/>
        </w:rPr>
        <w:t>Yammarino</w:t>
      </w:r>
      <w:proofErr w:type="spellEnd"/>
      <w:r w:rsidRPr="00C8484E">
        <w:rPr>
          <w:rFonts w:ascii="Arial" w:hAnsi="Arial" w:cs="Arial"/>
        </w:rPr>
        <w:t>, 2013). CHH Conex management addressed resistance by fostering collaborative learning and sharing transparency within the organization.</w:t>
      </w:r>
    </w:p>
    <w:p w14:paraId="16D00062" w14:textId="77777777" w:rsidR="00C8484E" w:rsidRDefault="00C8484E" w:rsidP="00C8484E">
      <w:pPr>
        <w:spacing w:after="0" w:line="360" w:lineRule="auto"/>
        <w:ind w:firstLine="720"/>
        <w:jc w:val="both"/>
        <w:rPr>
          <w:rFonts w:ascii="Arial" w:hAnsi="Arial" w:cs="Arial"/>
        </w:rPr>
      </w:pPr>
      <w:r w:rsidRPr="00C8484E">
        <w:rPr>
          <w:rFonts w:ascii="Arial" w:hAnsi="Arial" w:cs="Arial"/>
        </w:rPr>
        <w:t>Communication played a major role in the success of the change initiative. Transformational leaders, according to Gill (2019), develop trust through regular communication and by practising what they preach. Managers at CHH Conex practised open forums and regular feedback sessions where employees could air their concerns and suggestions. This participatory approach minimized resistance and maximized morale in an environment of structural change.</w:t>
      </w:r>
    </w:p>
    <w:p w14:paraId="218E3127" w14:textId="77777777" w:rsidR="00C8484E" w:rsidRDefault="00C8484E" w:rsidP="00C8484E">
      <w:pPr>
        <w:spacing w:after="0" w:line="360" w:lineRule="auto"/>
        <w:ind w:firstLine="720"/>
        <w:jc w:val="both"/>
        <w:rPr>
          <w:rFonts w:ascii="Arial" w:hAnsi="Arial" w:cs="Arial"/>
        </w:rPr>
      </w:pPr>
      <w:r w:rsidRPr="00C8484E">
        <w:rPr>
          <w:rFonts w:ascii="Arial" w:hAnsi="Arial" w:cs="Arial"/>
        </w:rPr>
        <w:t>Organisational culture determined the outcome of change. CHH Conex practised hierarchical culture with rigid communication channels. However, the digital transformation emphasized agility and innovation-conducive values of a more adaptive culture (Schein, 2017). Leaders therefore promoted an open learning-oriented culture where employees were encouraged to share insights and use new technologies. Deal and Kennedy’s (2017) concept of culture as the foundation of corporate identity supports this initiative and describes how people respond to change.</w:t>
      </w:r>
    </w:p>
    <w:p w14:paraId="05465FB2" w14:textId="461A7768" w:rsidR="00C8484E" w:rsidRDefault="00C8484E" w:rsidP="00C8484E">
      <w:pPr>
        <w:spacing w:after="0" w:line="360" w:lineRule="auto"/>
        <w:ind w:firstLine="720"/>
        <w:jc w:val="both"/>
        <w:rPr>
          <w:rFonts w:ascii="Arial" w:hAnsi="Arial" w:cs="Arial"/>
        </w:rPr>
      </w:pPr>
      <w:r w:rsidRPr="00C8484E">
        <w:rPr>
          <w:rFonts w:ascii="Arial" w:hAnsi="Arial" w:cs="Arial"/>
        </w:rPr>
        <w:t xml:space="preserve">However, the cultural changeover was difficult. Most of the employees who were used to conventional systems and processes largely manifested passive resistance due to inertia and a fear of redundancy (Cameron </w:t>
      </w:r>
      <w:r>
        <w:rPr>
          <w:rFonts w:ascii="Arial" w:hAnsi="Arial" w:cs="Arial"/>
        </w:rPr>
        <w:t>and</w:t>
      </w:r>
      <w:r w:rsidRPr="00C8484E">
        <w:rPr>
          <w:rFonts w:ascii="Arial" w:hAnsi="Arial" w:cs="Arial"/>
        </w:rPr>
        <w:t xml:space="preserve"> Green, 2019). The leaders banked on empathy accompanied by strategic reinforcement which happens to be a component of emotional intelligence leadership</w:t>
      </w:r>
      <w:r>
        <w:rPr>
          <w:rFonts w:ascii="Arial" w:hAnsi="Arial" w:cs="Arial"/>
        </w:rPr>
        <w:t xml:space="preserve"> </w:t>
      </w:r>
      <w:r w:rsidRPr="00C8484E">
        <w:rPr>
          <w:rFonts w:ascii="Arial" w:hAnsi="Arial" w:cs="Arial"/>
        </w:rPr>
        <w:t>(Goleman, 2017). CHH Conex managers proved this by stressing employee participation and providing training programs with constant adaptability rewards.</w:t>
      </w:r>
    </w:p>
    <w:p w14:paraId="51970847" w14:textId="2A257B83" w:rsidR="00C8484E" w:rsidRDefault="00C8484E" w:rsidP="00C8484E">
      <w:pPr>
        <w:spacing w:after="0" w:line="360" w:lineRule="auto"/>
        <w:ind w:firstLine="720"/>
        <w:jc w:val="both"/>
        <w:rPr>
          <w:rFonts w:ascii="Arial" w:hAnsi="Arial" w:cs="Arial"/>
        </w:rPr>
      </w:pPr>
      <w:r w:rsidRPr="00C8484E">
        <w:rPr>
          <w:rFonts w:ascii="Arial" w:hAnsi="Arial" w:cs="Arial"/>
        </w:rPr>
        <w:t xml:space="preserve">The application of Lewin’s three-step </w:t>
      </w:r>
      <w:proofErr w:type="gramStart"/>
      <w:r w:rsidRPr="00C8484E">
        <w:rPr>
          <w:rFonts w:ascii="Arial" w:hAnsi="Arial" w:cs="Arial"/>
        </w:rPr>
        <w:t>change</w:t>
      </w:r>
      <w:proofErr w:type="gramEnd"/>
      <w:r w:rsidRPr="00C8484E">
        <w:rPr>
          <w:rFonts w:ascii="Arial" w:hAnsi="Arial" w:cs="Arial"/>
        </w:rPr>
        <w:t xml:space="preserve"> model-unfreezing, changing and refreezing-was also implied in the way transformation took place (Bamford and Forrester, 2018). Leaders broke up the</w:t>
      </w:r>
      <w:r>
        <w:rPr>
          <w:rFonts w:ascii="Arial" w:hAnsi="Arial" w:cs="Arial"/>
        </w:rPr>
        <w:t xml:space="preserve"> </w:t>
      </w:r>
      <w:r w:rsidRPr="00C8484E">
        <w:rPr>
          <w:rFonts w:ascii="Arial" w:hAnsi="Arial" w:cs="Arial"/>
        </w:rPr>
        <w:t>existing norms by communication on the need for innovation and implemented technological upgrades during the change phase thereafter institutionalising new practices through constant assessment and reinforcement.</w:t>
      </w:r>
    </w:p>
    <w:p w14:paraId="7FE0430B" w14:textId="77777777" w:rsidR="00C8484E" w:rsidRDefault="00C8484E" w:rsidP="00C8484E">
      <w:pPr>
        <w:spacing w:after="0" w:line="360" w:lineRule="auto"/>
        <w:ind w:firstLine="720"/>
        <w:jc w:val="both"/>
        <w:rPr>
          <w:rFonts w:ascii="Arial" w:hAnsi="Arial" w:cs="Arial"/>
        </w:rPr>
      </w:pPr>
      <w:r w:rsidRPr="00C8484E">
        <w:rPr>
          <w:rFonts w:ascii="Arial" w:hAnsi="Arial" w:cs="Arial"/>
        </w:rPr>
        <w:t>The leadership focus on transformational engagement fostered long-term benefits of digital competence and process improvements that ultimately led to customer satisfaction. However, cultural alignment remains to be continuously inculcated so that change outcomes can be sustained. As emphasized by Cameron and Quinn (2019), transformation of culture has to be continuously reinforced and integrated in the reward systems and values of the organisation.</w:t>
      </w:r>
    </w:p>
    <w:p w14:paraId="11A4BE8E" w14:textId="40E0969C" w:rsidR="00C8484E" w:rsidRPr="00C8484E" w:rsidRDefault="00C8484E" w:rsidP="00C8484E">
      <w:pPr>
        <w:spacing w:after="0" w:line="360" w:lineRule="auto"/>
        <w:ind w:firstLine="720"/>
        <w:jc w:val="both"/>
        <w:rPr>
          <w:rFonts w:ascii="Arial" w:hAnsi="Arial" w:cs="Arial"/>
        </w:rPr>
      </w:pPr>
    </w:p>
    <w:p w14:paraId="189AA7AE" w14:textId="2D27A188" w:rsidR="00E0388A" w:rsidRDefault="00E0388A" w:rsidP="00E0388A">
      <w:pPr>
        <w:pStyle w:val="Heading1"/>
        <w:spacing w:before="0" w:after="0" w:line="360" w:lineRule="auto"/>
        <w:jc w:val="center"/>
        <w:rPr>
          <w:rFonts w:ascii="Arial" w:hAnsi="Arial" w:cs="Arial"/>
          <w:b/>
          <w:bCs/>
          <w:color w:val="000000" w:themeColor="text1"/>
          <w:sz w:val="24"/>
          <w:szCs w:val="24"/>
        </w:rPr>
      </w:pPr>
      <w:bookmarkStart w:id="13" w:name="_Toc212294157"/>
      <w:r w:rsidRPr="00E0388A">
        <w:rPr>
          <w:rFonts w:ascii="Arial" w:hAnsi="Arial" w:cs="Arial"/>
          <w:b/>
          <w:bCs/>
          <w:color w:val="000000" w:themeColor="text1"/>
          <w:sz w:val="24"/>
          <w:szCs w:val="24"/>
        </w:rPr>
        <w:lastRenderedPageBreak/>
        <w:t xml:space="preserve">4. </w:t>
      </w:r>
      <w:r w:rsidRPr="00E0388A">
        <w:rPr>
          <w:rFonts w:ascii="Arial" w:hAnsi="Arial" w:cs="Arial"/>
          <w:b/>
          <w:bCs/>
          <w:color w:val="000000" w:themeColor="text1"/>
          <w:sz w:val="24"/>
          <w:szCs w:val="24"/>
        </w:rPr>
        <w:t>Proposed Change</w:t>
      </w:r>
      <w:r w:rsidRPr="00E0388A">
        <w:rPr>
          <w:rFonts w:ascii="Arial" w:hAnsi="Arial" w:cs="Arial"/>
          <w:b/>
          <w:bCs/>
          <w:color w:val="000000" w:themeColor="text1"/>
          <w:sz w:val="24"/>
          <w:szCs w:val="24"/>
        </w:rPr>
        <w:t xml:space="preserve"> Plan</w:t>
      </w:r>
      <w:r w:rsidRPr="00E0388A">
        <w:rPr>
          <w:rFonts w:ascii="Arial" w:hAnsi="Arial" w:cs="Arial"/>
          <w:b/>
          <w:bCs/>
          <w:color w:val="000000" w:themeColor="text1"/>
          <w:sz w:val="24"/>
          <w:szCs w:val="24"/>
        </w:rPr>
        <w:t xml:space="preserve"> and Objectives</w:t>
      </w:r>
      <w:bookmarkEnd w:id="13"/>
    </w:p>
    <w:p w14:paraId="07D67E76" w14:textId="77777777" w:rsidR="00E0388A" w:rsidRPr="00E0388A" w:rsidRDefault="00E0388A" w:rsidP="00E0388A"/>
    <w:p w14:paraId="7D607B27" w14:textId="640C7C9F" w:rsidR="00E0388A" w:rsidRPr="00C8484E" w:rsidRDefault="00E0388A" w:rsidP="00C8484E">
      <w:pPr>
        <w:pStyle w:val="Heading1"/>
        <w:spacing w:before="0" w:after="0" w:line="360" w:lineRule="auto"/>
        <w:ind w:firstLine="720"/>
        <w:rPr>
          <w:rFonts w:ascii="Arial" w:hAnsi="Arial" w:cs="Arial"/>
          <w:b/>
          <w:bCs/>
          <w:color w:val="000000" w:themeColor="text1"/>
          <w:sz w:val="24"/>
          <w:szCs w:val="24"/>
        </w:rPr>
      </w:pPr>
      <w:bookmarkStart w:id="14" w:name="_Toc212294158"/>
      <w:r w:rsidRPr="00E0388A">
        <w:rPr>
          <w:rFonts w:ascii="Arial" w:hAnsi="Arial" w:cs="Arial"/>
          <w:b/>
          <w:bCs/>
          <w:color w:val="000000" w:themeColor="text1"/>
          <w:sz w:val="24"/>
          <w:szCs w:val="24"/>
        </w:rPr>
        <w:t xml:space="preserve">4.1. </w:t>
      </w:r>
      <w:r w:rsidRPr="00E0388A">
        <w:rPr>
          <w:rFonts w:ascii="Arial" w:hAnsi="Arial" w:cs="Arial"/>
          <w:b/>
          <w:bCs/>
          <w:color w:val="000000" w:themeColor="text1"/>
          <w:sz w:val="24"/>
          <w:szCs w:val="24"/>
        </w:rPr>
        <w:t>Proposed Change and Objectives</w:t>
      </w:r>
      <w:bookmarkEnd w:id="14"/>
    </w:p>
    <w:p w14:paraId="3448E5F8" w14:textId="343CCBCD" w:rsidR="00C8484E" w:rsidRDefault="00C8484E" w:rsidP="00C8484E">
      <w:pPr>
        <w:spacing w:after="0" w:line="360" w:lineRule="auto"/>
        <w:ind w:firstLine="720"/>
        <w:jc w:val="both"/>
        <w:rPr>
          <w:rFonts w:ascii="Arial" w:hAnsi="Arial" w:cs="Arial"/>
        </w:rPr>
      </w:pPr>
      <w:r w:rsidRPr="00C8484E">
        <w:rPr>
          <w:rFonts w:ascii="Arial" w:hAnsi="Arial" w:cs="Arial"/>
        </w:rPr>
        <w:t xml:space="preserve">CHH Conex must accelerate its transition to a more digital, efficient, and sustainable way of operating to remain competitive in a fast-changing industrial landscape. It is therefore the strategy of CHH Conex to implement an integrated digital supply chain management system encapsulating automation, analytics, and eco-innovation technologies for better transparency, efficiency as well as environmental performance in operations. The proposed change is thus a response to external market pressures and technological developments (Cameron </w:t>
      </w:r>
      <w:r>
        <w:rPr>
          <w:rFonts w:ascii="Arial" w:hAnsi="Arial" w:cs="Arial"/>
        </w:rPr>
        <w:t>and</w:t>
      </w:r>
      <w:r w:rsidRPr="00C8484E">
        <w:rPr>
          <w:rFonts w:ascii="Arial" w:hAnsi="Arial" w:cs="Arial"/>
        </w:rPr>
        <w:t xml:space="preserve"> Green 2019) but reflects internal aspirations to optimize processes with minimal environmental footprint while creating long-term stakeholder value.</w:t>
      </w:r>
    </w:p>
    <w:p w14:paraId="3B1F52EB" w14:textId="3425B001" w:rsidR="00C8484E" w:rsidRDefault="00C8484E" w:rsidP="00C8484E">
      <w:pPr>
        <w:spacing w:after="0" w:line="360" w:lineRule="auto"/>
        <w:ind w:firstLine="720"/>
        <w:jc w:val="both"/>
        <w:rPr>
          <w:rFonts w:ascii="Arial" w:hAnsi="Arial" w:cs="Arial"/>
        </w:rPr>
      </w:pPr>
      <w:r w:rsidRPr="00C8484E">
        <w:rPr>
          <w:rFonts w:ascii="Arial" w:hAnsi="Arial" w:cs="Arial"/>
        </w:rPr>
        <w:t>The rationale behind this change is in the growing demand for data-driven decision-making and the sustainability of production in modern manufacturing. As defined by Daft (2021), digital transformation becomes a strategic imperative that makes operational agility accompanied by strategic insight possible for organizations. For CHH Conex, this would be an approach to foster technology adoption with human capability development</w:t>
      </w:r>
      <w:r>
        <w:rPr>
          <w:rFonts w:ascii="Arial" w:hAnsi="Arial" w:cs="Arial"/>
        </w:rPr>
        <w:t xml:space="preserve"> </w:t>
      </w:r>
      <w:r w:rsidRPr="00C8484E">
        <w:rPr>
          <w:rFonts w:ascii="Arial" w:hAnsi="Arial" w:cs="Arial"/>
        </w:rPr>
        <w:t>(Goleman, 2017).</w:t>
      </w:r>
    </w:p>
    <w:p w14:paraId="65E925E2" w14:textId="2BC50A84" w:rsidR="00C8484E" w:rsidRDefault="00C8484E" w:rsidP="00C8484E">
      <w:pPr>
        <w:spacing w:after="0" w:line="360" w:lineRule="auto"/>
        <w:ind w:firstLine="720"/>
        <w:jc w:val="both"/>
        <w:rPr>
          <w:rFonts w:ascii="Arial" w:hAnsi="Arial" w:cs="Arial"/>
        </w:rPr>
      </w:pPr>
      <w:r w:rsidRPr="00C8484E">
        <w:rPr>
          <w:rFonts w:ascii="Arial" w:hAnsi="Arial" w:cs="Arial"/>
        </w:rPr>
        <w:t>A core objective of this initiative is to use Internet of Things (IoT) digital tracking systems for materials monitoring, logistics optimisation and waste reduction. IoT-based traceability will allow CHH Conex to monitor supply chain flows in real time, enhancing transparency and accountability among suppliers. As soon as enterprises are able to utilise digital visibility in strengthening partner relationships by making bottlenecks visible at an early stage, sustainability through resource efficiency can be achieved; hence, minimal environmental impact supports corporate sustainability that involves minimal environmental impact.</w:t>
      </w:r>
    </w:p>
    <w:p w14:paraId="6DAE40D0" w14:textId="3E245B7D" w:rsidR="00C8484E" w:rsidRDefault="00C8484E" w:rsidP="00C8484E">
      <w:pPr>
        <w:spacing w:after="0" w:line="360" w:lineRule="auto"/>
        <w:ind w:firstLine="720"/>
        <w:jc w:val="both"/>
        <w:rPr>
          <w:rFonts w:ascii="Arial" w:hAnsi="Arial" w:cs="Arial"/>
        </w:rPr>
      </w:pPr>
      <w:r w:rsidRPr="00C8484E">
        <w:rPr>
          <w:rFonts w:ascii="Arial" w:hAnsi="Arial" w:cs="Arial"/>
        </w:rPr>
        <w:t xml:space="preserve">A key target is to achieve at least 20% improvement in operational efficiency within the first year of going live, mainly from process automation and better data analytics. Digital tools remove manual repetitive tasks which free up human capacity that can be redeployed towards more strategic work in the function of health this is very much linked with lean </w:t>
      </w:r>
      <w:r>
        <w:rPr>
          <w:rFonts w:ascii="Arial" w:hAnsi="Arial" w:cs="Arial"/>
        </w:rPr>
        <w:t>and</w:t>
      </w:r>
      <w:r w:rsidRPr="00C8484E">
        <w:rPr>
          <w:rFonts w:ascii="Arial" w:hAnsi="Arial" w:cs="Arial"/>
        </w:rPr>
        <w:t xml:space="preserve"> six sigma methodologies where waste reduction and quality improvement are targeted (Slack and Brandon-Jones, 2022). Further enriched decision-making through data will allow decisions to be made just before problems happen about stock levels and demand forecasting (Bass </w:t>
      </w:r>
      <w:r>
        <w:rPr>
          <w:rFonts w:ascii="Arial" w:hAnsi="Arial" w:cs="Arial"/>
        </w:rPr>
        <w:t>and</w:t>
      </w:r>
      <w:r w:rsidRPr="00C8484E">
        <w:rPr>
          <w:rFonts w:ascii="Arial" w:hAnsi="Arial" w:cs="Arial"/>
        </w:rPr>
        <w:t xml:space="preserve"> Riggio, 2018). </w:t>
      </w:r>
    </w:p>
    <w:p w14:paraId="3A70F9E3" w14:textId="6E7AAD69" w:rsidR="00C8484E" w:rsidRDefault="00C8484E" w:rsidP="00C8484E">
      <w:pPr>
        <w:spacing w:after="0" w:line="360" w:lineRule="auto"/>
        <w:ind w:firstLine="720"/>
        <w:jc w:val="both"/>
        <w:rPr>
          <w:rFonts w:ascii="Arial" w:hAnsi="Arial" w:cs="Arial"/>
        </w:rPr>
      </w:pPr>
      <w:r w:rsidRPr="00C8484E">
        <w:rPr>
          <w:rFonts w:ascii="Arial" w:hAnsi="Arial" w:cs="Arial"/>
        </w:rPr>
        <w:t xml:space="preserve">The proposed change also targets a reduction of carbon emissions by 15% in the first year through the integration of digital energy monitoring systems. The objective is in line with the trend toward corporate sustainability and environmental responsibility worldwide. Sustainability, when </w:t>
      </w:r>
      <w:r w:rsidRPr="00C8484E">
        <w:rPr>
          <w:rFonts w:ascii="Arial" w:hAnsi="Arial" w:cs="Arial"/>
        </w:rPr>
        <w:lastRenderedPageBreak/>
        <w:t xml:space="preserve">inculcated within the organisation as part of its culture, drives long-term competitiveness while enhancing brand reputation, as posited by Cameron and Quinn (2019). </w:t>
      </w:r>
    </w:p>
    <w:p w14:paraId="5E093FF0" w14:textId="735B7979" w:rsidR="00C8484E" w:rsidRDefault="00C8484E" w:rsidP="00C8484E">
      <w:pPr>
        <w:spacing w:after="0" w:line="360" w:lineRule="auto"/>
        <w:ind w:firstLine="720"/>
        <w:jc w:val="both"/>
        <w:rPr>
          <w:rFonts w:ascii="Arial" w:hAnsi="Arial" w:cs="Arial"/>
        </w:rPr>
      </w:pPr>
      <w:r w:rsidRPr="00C8484E">
        <w:rPr>
          <w:rFonts w:ascii="Arial" w:hAnsi="Arial" w:cs="Arial"/>
        </w:rPr>
        <w:t xml:space="preserve">Lastly, the change initiative aims to institutionalize a continuous improvement framework in sustaining transformation outcomes. This will include regular performance assessments and feedback as well as reviewing strategies to ensure digital initiatives are aligned with business objectives per Bamford and Forrester (2018) who reported continuous improvement and adaptive leadership as important elements that prevent organizations from ending up in a state of inertia while sustaining transformation benefits. </w:t>
      </w:r>
    </w:p>
    <w:p w14:paraId="6E918599" w14:textId="174FF931" w:rsidR="00C8484E" w:rsidRDefault="00C8484E" w:rsidP="00C8484E">
      <w:pPr>
        <w:spacing w:after="0" w:line="360" w:lineRule="auto"/>
        <w:ind w:firstLine="720"/>
        <w:jc w:val="both"/>
        <w:rPr>
          <w:rFonts w:ascii="Arial" w:hAnsi="Arial" w:cs="Arial"/>
        </w:rPr>
      </w:pPr>
      <w:r w:rsidRPr="00C8484E">
        <w:rPr>
          <w:rFonts w:ascii="Arial" w:hAnsi="Arial" w:cs="Arial"/>
        </w:rPr>
        <w:t xml:space="preserve">The change shall be implemented in clearly defined phases of planned development and shall also incorporate recognised models of change management, including Lewin’s three-step model and the ADKAR framework. In application to government organisations, the unfreezing stage would comprise short preparation of employees for change through communication on necessity and benefits. New digital systems will be deployed during the change phase with training aimed at enhancing proficiency among users; </w:t>
      </w:r>
      <w:r>
        <w:rPr>
          <w:rFonts w:ascii="Arial" w:hAnsi="Arial" w:cs="Arial"/>
        </w:rPr>
        <w:t xml:space="preserve">thereafter </w:t>
      </w:r>
      <w:r w:rsidRPr="00C8484E">
        <w:rPr>
          <w:rFonts w:ascii="Arial" w:hAnsi="Arial" w:cs="Arial"/>
        </w:rPr>
        <w:t>(in refreezing), government organizations institutionalize new practices through performance monitoring accompanied continuously by feedback as well as recognition actions</w:t>
      </w:r>
      <w:r>
        <w:rPr>
          <w:rFonts w:ascii="Arial" w:hAnsi="Arial" w:cs="Arial"/>
        </w:rPr>
        <w:t xml:space="preserve"> </w:t>
      </w:r>
      <w:r w:rsidRPr="00C8484E">
        <w:rPr>
          <w:rFonts w:ascii="Arial" w:hAnsi="Arial" w:cs="Arial"/>
        </w:rPr>
        <w:t xml:space="preserve">(Bamford </w:t>
      </w:r>
      <w:r>
        <w:rPr>
          <w:rFonts w:ascii="Arial" w:hAnsi="Arial" w:cs="Arial"/>
        </w:rPr>
        <w:t>and</w:t>
      </w:r>
      <w:r w:rsidRPr="00C8484E">
        <w:rPr>
          <w:rFonts w:ascii="Arial" w:hAnsi="Arial" w:cs="Arial"/>
        </w:rPr>
        <w:t xml:space="preserve"> Forrester 2018; Hiatt 2019).</w:t>
      </w:r>
    </w:p>
    <w:p w14:paraId="658FDDA4" w14:textId="77777777" w:rsidR="00C8484E" w:rsidRDefault="00C8484E" w:rsidP="00C8484E">
      <w:pPr>
        <w:spacing w:after="0" w:line="360" w:lineRule="auto"/>
        <w:ind w:firstLine="720"/>
        <w:jc w:val="both"/>
        <w:rPr>
          <w:rFonts w:ascii="Arial" w:hAnsi="Arial" w:cs="Arial"/>
        </w:rPr>
      </w:pPr>
      <w:r w:rsidRPr="00C8484E">
        <w:rPr>
          <w:rFonts w:ascii="Arial" w:hAnsi="Arial" w:cs="Arial"/>
        </w:rPr>
        <w:t xml:space="preserve">Transformational leadership will also support this transformation through innovation and change by empowering and motivating employees (Avolio and </w:t>
      </w:r>
      <w:proofErr w:type="spellStart"/>
      <w:r w:rsidRPr="00C8484E">
        <w:rPr>
          <w:rFonts w:ascii="Arial" w:hAnsi="Arial" w:cs="Arial"/>
        </w:rPr>
        <w:t>Yammarino</w:t>
      </w:r>
      <w:proofErr w:type="spellEnd"/>
      <w:r w:rsidRPr="00C8484E">
        <w:rPr>
          <w:rFonts w:ascii="Arial" w:hAnsi="Arial" w:cs="Arial"/>
        </w:rPr>
        <w:t>, 2013). Leaders at CHH Conex will develop an enabling environment that permits failure of experiments while encouraging emotional intelligence and empathy among leaders, thus helping managers deal with employees’ anxieties and keeping morale high during the transition period (Goleman, 2017).</w:t>
      </w:r>
    </w:p>
    <w:p w14:paraId="506B1263" w14:textId="77777777" w:rsidR="00C8484E" w:rsidRPr="00C8484E" w:rsidRDefault="00C8484E" w:rsidP="00C8484E">
      <w:pPr>
        <w:spacing w:after="0" w:line="360" w:lineRule="auto"/>
        <w:ind w:firstLine="720"/>
        <w:jc w:val="both"/>
        <w:rPr>
          <w:rFonts w:ascii="Arial" w:hAnsi="Arial" w:cs="Arial"/>
        </w:rPr>
      </w:pPr>
    </w:p>
    <w:p w14:paraId="6C81B1A6" w14:textId="5A0A45D4" w:rsidR="00E0388A" w:rsidRDefault="00E0388A" w:rsidP="00E0388A">
      <w:pPr>
        <w:pStyle w:val="Heading1"/>
        <w:spacing w:before="0" w:after="0" w:line="360" w:lineRule="auto"/>
        <w:ind w:firstLine="720"/>
        <w:rPr>
          <w:rFonts w:ascii="Arial" w:hAnsi="Arial" w:cs="Arial"/>
          <w:b/>
          <w:bCs/>
          <w:color w:val="000000" w:themeColor="text1"/>
          <w:sz w:val="24"/>
          <w:szCs w:val="24"/>
        </w:rPr>
      </w:pPr>
      <w:bookmarkStart w:id="15" w:name="_Toc212294159"/>
      <w:r w:rsidRPr="00E0388A">
        <w:rPr>
          <w:rFonts w:ascii="Arial" w:hAnsi="Arial" w:cs="Arial"/>
          <w:b/>
          <w:bCs/>
          <w:color w:val="000000" w:themeColor="text1"/>
          <w:sz w:val="24"/>
          <w:szCs w:val="24"/>
        </w:rPr>
        <w:t>4.2. Financial plan</w:t>
      </w:r>
      <w:bookmarkEnd w:id="1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09"/>
        <w:gridCol w:w="4177"/>
        <w:gridCol w:w="1864"/>
      </w:tblGrid>
      <w:tr w:rsidR="00C8484E" w:rsidRPr="00C8484E" w14:paraId="3E2F6AF3" w14:textId="77777777" w:rsidTr="00C8484E">
        <w:trPr>
          <w:tblHeader/>
          <w:tblCellSpacing w:w="15" w:type="dxa"/>
        </w:trPr>
        <w:tc>
          <w:tcPr>
            <w:tcW w:w="0" w:type="auto"/>
            <w:vAlign w:val="center"/>
            <w:hideMark/>
          </w:tcPr>
          <w:p w14:paraId="739A0ED3"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Expense Category</w:t>
            </w:r>
          </w:p>
        </w:tc>
        <w:tc>
          <w:tcPr>
            <w:tcW w:w="0" w:type="auto"/>
            <w:vAlign w:val="center"/>
            <w:hideMark/>
          </w:tcPr>
          <w:p w14:paraId="7837A4F7"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Description</w:t>
            </w:r>
          </w:p>
        </w:tc>
        <w:tc>
          <w:tcPr>
            <w:tcW w:w="0" w:type="auto"/>
            <w:vAlign w:val="center"/>
            <w:hideMark/>
          </w:tcPr>
          <w:p w14:paraId="09C0A2BA"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Estimated Cost (£)</w:t>
            </w:r>
          </w:p>
        </w:tc>
      </w:tr>
      <w:tr w:rsidR="00C8484E" w:rsidRPr="00C8484E" w14:paraId="07D49B2B" w14:textId="77777777" w:rsidTr="00C8484E">
        <w:trPr>
          <w:tblCellSpacing w:w="15" w:type="dxa"/>
        </w:trPr>
        <w:tc>
          <w:tcPr>
            <w:tcW w:w="0" w:type="auto"/>
            <w:vAlign w:val="center"/>
            <w:hideMark/>
          </w:tcPr>
          <w:p w14:paraId="3C26BAA7"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 xml:space="preserve">Digital Software &amp; </w:t>
            </w:r>
            <w:proofErr w:type="spellStart"/>
            <w:r w:rsidRPr="00C8484E">
              <w:rPr>
                <w:rFonts w:ascii="Arial" w:hAnsi="Arial" w:cs="Arial"/>
                <w:lang w:val="en-US"/>
              </w:rPr>
              <w:t>Licences</w:t>
            </w:r>
            <w:proofErr w:type="spellEnd"/>
          </w:p>
        </w:tc>
        <w:tc>
          <w:tcPr>
            <w:tcW w:w="0" w:type="auto"/>
            <w:vAlign w:val="center"/>
            <w:hideMark/>
          </w:tcPr>
          <w:p w14:paraId="34D3725C"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Cloud systems, IoT integration tools</w:t>
            </w:r>
          </w:p>
        </w:tc>
        <w:tc>
          <w:tcPr>
            <w:tcW w:w="0" w:type="auto"/>
            <w:vAlign w:val="center"/>
            <w:hideMark/>
          </w:tcPr>
          <w:p w14:paraId="2ED6F729"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1,800,000</w:t>
            </w:r>
          </w:p>
        </w:tc>
      </w:tr>
      <w:tr w:rsidR="00C8484E" w:rsidRPr="00C8484E" w14:paraId="40E36DA0" w14:textId="77777777" w:rsidTr="00C8484E">
        <w:trPr>
          <w:tblCellSpacing w:w="15" w:type="dxa"/>
        </w:trPr>
        <w:tc>
          <w:tcPr>
            <w:tcW w:w="0" w:type="auto"/>
            <w:vAlign w:val="center"/>
            <w:hideMark/>
          </w:tcPr>
          <w:p w14:paraId="025167BD"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Training &amp; Development</w:t>
            </w:r>
          </w:p>
        </w:tc>
        <w:tc>
          <w:tcPr>
            <w:tcW w:w="0" w:type="auto"/>
            <w:vAlign w:val="center"/>
            <w:hideMark/>
          </w:tcPr>
          <w:p w14:paraId="08056A19"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Staff digital training, workshops</w:t>
            </w:r>
          </w:p>
        </w:tc>
        <w:tc>
          <w:tcPr>
            <w:tcW w:w="0" w:type="auto"/>
            <w:vAlign w:val="center"/>
            <w:hideMark/>
          </w:tcPr>
          <w:p w14:paraId="52C3E98B"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400,000</w:t>
            </w:r>
          </w:p>
        </w:tc>
      </w:tr>
      <w:tr w:rsidR="00C8484E" w:rsidRPr="00C8484E" w14:paraId="7AA9836D" w14:textId="77777777" w:rsidTr="00C8484E">
        <w:trPr>
          <w:tblCellSpacing w:w="15" w:type="dxa"/>
        </w:trPr>
        <w:tc>
          <w:tcPr>
            <w:tcW w:w="0" w:type="auto"/>
            <w:vAlign w:val="center"/>
            <w:hideMark/>
          </w:tcPr>
          <w:p w14:paraId="6FF17282"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Hardware and Equipment</w:t>
            </w:r>
          </w:p>
        </w:tc>
        <w:tc>
          <w:tcPr>
            <w:tcW w:w="0" w:type="auto"/>
            <w:vAlign w:val="center"/>
            <w:hideMark/>
          </w:tcPr>
          <w:p w14:paraId="1CC2C7D6"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Digital devices, sensors, network upgrades</w:t>
            </w:r>
          </w:p>
        </w:tc>
        <w:tc>
          <w:tcPr>
            <w:tcW w:w="0" w:type="auto"/>
            <w:vAlign w:val="center"/>
            <w:hideMark/>
          </w:tcPr>
          <w:p w14:paraId="777911B7"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900,000</w:t>
            </w:r>
          </w:p>
        </w:tc>
      </w:tr>
      <w:tr w:rsidR="00C8484E" w:rsidRPr="00C8484E" w14:paraId="3B455D47" w14:textId="77777777" w:rsidTr="00C8484E">
        <w:trPr>
          <w:tblCellSpacing w:w="15" w:type="dxa"/>
        </w:trPr>
        <w:tc>
          <w:tcPr>
            <w:tcW w:w="0" w:type="auto"/>
            <w:vAlign w:val="center"/>
            <w:hideMark/>
          </w:tcPr>
          <w:p w14:paraId="5423E6CE"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Change Management &amp; Consultancy</w:t>
            </w:r>
          </w:p>
        </w:tc>
        <w:tc>
          <w:tcPr>
            <w:tcW w:w="0" w:type="auto"/>
            <w:vAlign w:val="center"/>
            <w:hideMark/>
          </w:tcPr>
          <w:p w14:paraId="005A5092"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Expert consultancy and facilitation</w:t>
            </w:r>
          </w:p>
        </w:tc>
        <w:tc>
          <w:tcPr>
            <w:tcW w:w="0" w:type="auto"/>
            <w:vAlign w:val="center"/>
            <w:hideMark/>
          </w:tcPr>
          <w:p w14:paraId="23D19B73"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350,000</w:t>
            </w:r>
          </w:p>
        </w:tc>
      </w:tr>
      <w:tr w:rsidR="00C8484E" w:rsidRPr="00C8484E" w14:paraId="11E39A55" w14:textId="77777777" w:rsidTr="00C8484E">
        <w:trPr>
          <w:tblCellSpacing w:w="15" w:type="dxa"/>
        </w:trPr>
        <w:tc>
          <w:tcPr>
            <w:tcW w:w="0" w:type="auto"/>
            <w:vAlign w:val="center"/>
            <w:hideMark/>
          </w:tcPr>
          <w:p w14:paraId="6F182E21"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lastRenderedPageBreak/>
              <w:t>Communication &amp; Engagement</w:t>
            </w:r>
          </w:p>
        </w:tc>
        <w:tc>
          <w:tcPr>
            <w:tcW w:w="0" w:type="auto"/>
            <w:vAlign w:val="center"/>
            <w:hideMark/>
          </w:tcPr>
          <w:p w14:paraId="0DAE90D1"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Campaigns, internal materials, intranet upgrades</w:t>
            </w:r>
          </w:p>
        </w:tc>
        <w:tc>
          <w:tcPr>
            <w:tcW w:w="0" w:type="auto"/>
            <w:vAlign w:val="center"/>
            <w:hideMark/>
          </w:tcPr>
          <w:p w14:paraId="7CF659E5"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150,000</w:t>
            </w:r>
          </w:p>
        </w:tc>
      </w:tr>
      <w:tr w:rsidR="00C8484E" w:rsidRPr="00C8484E" w14:paraId="25B2F827" w14:textId="77777777" w:rsidTr="00C8484E">
        <w:trPr>
          <w:tblCellSpacing w:w="15" w:type="dxa"/>
        </w:trPr>
        <w:tc>
          <w:tcPr>
            <w:tcW w:w="0" w:type="auto"/>
            <w:vAlign w:val="center"/>
            <w:hideMark/>
          </w:tcPr>
          <w:p w14:paraId="63A47755"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Monitoring &amp; Evaluation Systems</w:t>
            </w:r>
          </w:p>
        </w:tc>
        <w:tc>
          <w:tcPr>
            <w:tcW w:w="0" w:type="auto"/>
            <w:vAlign w:val="center"/>
            <w:hideMark/>
          </w:tcPr>
          <w:p w14:paraId="3782EA85"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KPI dashboards, performance tools</w:t>
            </w:r>
          </w:p>
        </w:tc>
        <w:tc>
          <w:tcPr>
            <w:tcW w:w="0" w:type="auto"/>
            <w:vAlign w:val="center"/>
            <w:hideMark/>
          </w:tcPr>
          <w:p w14:paraId="346BC6B6"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200,000</w:t>
            </w:r>
          </w:p>
        </w:tc>
      </w:tr>
      <w:tr w:rsidR="00C8484E" w:rsidRPr="00C8484E" w14:paraId="1A6B766B" w14:textId="77777777" w:rsidTr="00C8484E">
        <w:trPr>
          <w:tblCellSpacing w:w="15" w:type="dxa"/>
        </w:trPr>
        <w:tc>
          <w:tcPr>
            <w:tcW w:w="0" w:type="auto"/>
            <w:vAlign w:val="center"/>
            <w:hideMark/>
          </w:tcPr>
          <w:p w14:paraId="5DE6C74F" w14:textId="77777777" w:rsidR="00C8484E" w:rsidRPr="00C8484E" w:rsidRDefault="00C8484E" w:rsidP="00C8484E">
            <w:pPr>
              <w:spacing w:after="0" w:line="360" w:lineRule="auto"/>
              <w:rPr>
                <w:rFonts w:ascii="Arial" w:hAnsi="Arial" w:cs="Arial"/>
                <w:lang w:val="en-US"/>
              </w:rPr>
            </w:pPr>
            <w:r w:rsidRPr="00C8484E">
              <w:rPr>
                <w:rFonts w:ascii="Arial" w:hAnsi="Arial" w:cs="Arial"/>
                <w:b/>
                <w:bCs/>
                <w:lang w:val="en-US"/>
              </w:rPr>
              <w:t>Total Estimated Cost</w:t>
            </w:r>
          </w:p>
        </w:tc>
        <w:tc>
          <w:tcPr>
            <w:tcW w:w="0" w:type="auto"/>
            <w:vAlign w:val="center"/>
            <w:hideMark/>
          </w:tcPr>
          <w:p w14:paraId="7979050D" w14:textId="77777777" w:rsidR="00C8484E" w:rsidRPr="00C8484E" w:rsidRDefault="00C8484E" w:rsidP="00C8484E">
            <w:pPr>
              <w:spacing w:after="0" w:line="360" w:lineRule="auto"/>
              <w:rPr>
                <w:rFonts w:ascii="Arial" w:hAnsi="Arial" w:cs="Arial"/>
                <w:lang w:val="en-US"/>
              </w:rPr>
            </w:pPr>
          </w:p>
        </w:tc>
        <w:tc>
          <w:tcPr>
            <w:tcW w:w="0" w:type="auto"/>
            <w:vAlign w:val="center"/>
            <w:hideMark/>
          </w:tcPr>
          <w:p w14:paraId="32C3BE62" w14:textId="77777777" w:rsidR="00C8484E" w:rsidRPr="00C8484E" w:rsidRDefault="00C8484E" w:rsidP="00C8484E">
            <w:pPr>
              <w:spacing w:after="0" w:line="360" w:lineRule="auto"/>
              <w:rPr>
                <w:rFonts w:ascii="Arial" w:hAnsi="Arial" w:cs="Arial"/>
                <w:lang w:val="en-US"/>
              </w:rPr>
            </w:pPr>
            <w:r w:rsidRPr="00C8484E">
              <w:rPr>
                <w:rFonts w:ascii="Arial" w:hAnsi="Arial" w:cs="Arial"/>
                <w:b/>
                <w:bCs/>
                <w:lang w:val="en-US"/>
              </w:rPr>
              <w:t>3,800,000</w:t>
            </w:r>
          </w:p>
        </w:tc>
      </w:tr>
    </w:tbl>
    <w:p w14:paraId="2D53DC1B" w14:textId="77777777" w:rsidR="00E0388A" w:rsidRDefault="00E0388A" w:rsidP="00E0388A"/>
    <w:p w14:paraId="7A11B349" w14:textId="77777777" w:rsidR="00C8484E" w:rsidRDefault="00C8484E" w:rsidP="00C8484E">
      <w:pPr>
        <w:spacing w:after="0" w:line="360" w:lineRule="auto"/>
        <w:ind w:firstLine="720"/>
        <w:jc w:val="both"/>
        <w:rPr>
          <w:rFonts w:ascii="Arial" w:hAnsi="Arial" w:cs="Arial"/>
        </w:rPr>
      </w:pPr>
      <w:r w:rsidRPr="00C8484E">
        <w:rPr>
          <w:rFonts w:ascii="Arial" w:hAnsi="Arial" w:cs="Arial"/>
        </w:rPr>
        <w:t>The financial plan shares its allocations in a manner that supports an easy digital transformation. The biggest share goes to digital software and infrastructure because technology integration is capital intensive (Slack and Brandon-Jones, 2022). Training and development will ensure that employees attain and maintain the required competencies to support the successful implementation of automation and analytics.</w:t>
      </w:r>
    </w:p>
    <w:p w14:paraId="486D61B6" w14:textId="1417FE05" w:rsidR="00C8484E" w:rsidRPr="00C8484E" w:rsidRDefault="00C8484E" w:rsidP="00C8484E">
      <w:pPr>
        <w:spacing w:after="0" w:line="360" w:lineRule="auto"/>
        <w:ind w:firstLine="720"/>
        <w:jc w:val="both"/>
        <w:rPr>
          <w:rFonts w:ascii="Arial" w:hAnsi="Arial" w:cs="Arial"/>
        </w:rPr>
      </w:pPr>
      <w:r w:rsidRPr="00C8484E">
        <w:rPr>
          <w:rFonts w:ascii="Arial" w:hAnsi="Arial" w:cs="Arial"/>
        </w:rPr>
        <w:t>Consultancy and change management costs include expert guidance plus stakeholder alignment all through the process</w:t>
      </w:r>
      <w:r>
        <w:rPr>
          <w:rFonts w:ascii="Arial" w:hAnsi="Arial" w:cs="Arial"/>
        </w:rPr>
        <w:t xml:space="preserve"> </w:t>
      </w:r>
      <w:r w:rsidRPr="00C8484E">
        <w:rPr>
          <w:rFonts w:ascii="Arial" w:hAnsi="Arial" w:cs="Arial"/>
        </w:rPr>
        <w:t>(Cameron and Green, 2019). Provisions made for communication and evaluation emphasize internal transparency as a channel of keeping the scores on performance which has been critical in sustaining momentum. By aligning expenditure to strategic objectives, it reflects financial prudence hence-long term organizational growth.</w:t>
      </w:r>
    </w:p>
    <w:p w14:paraId="24B72B02" w14:textId="77777777" w:rsidR="00C8484E" w:rsidRPr="00E0388A" w:rsidRDefault="00C8484E" w:rsidP="00E0388A"/>
    <w:p w14:paraId="13DE7DC2" w14:textId="5DEC6C64" w:rsidR="00E0388A" w:rsidRPr="00C8484E" w:rsidRDefault="00E0388A" w:rsidP="00C8484E">
      <w:pPr>
        <w:pStyle w:val="Heading1"/>
        <w:spacing w:before="0" w:after="0" w:line="360" w:lineRule="auto"/>
        <w:ind w:firstLine="720"/>
        <w:rPr>
          <w:rFonts w:ascii="Arial" w:hAnsi="Arial" w:cs="Arial"/>
          <w:b/>
          <w:bCs/>
          <w:color w:val="000000" w:themeColor="text1"/>
          <w:sz w:val="24"/>
          <w:szCs w:val="24"/>
        </w:rPr>
      </w:pPr>
      <w:bookmarkStart w:id="16" w:name="_Toc212294160"/>
      <w:r w:rsidRPr="00E0388A">
        <w:rPr>
          <w:rFonts w:ascii="Arial" w:hAnsi="Arial" w:cs="Arial"/>
          <w:b/>
          <w:bCs/>
          <w:color w:val="000000" w:themeColor="text1"/>
          <w:sz w:val="24"/>
          <w:szCs w:val="24"/>
        </w:rPr>
        <w:t>4.3. Communication plan</w:t>
      </w:r>
      <w:bookmarkEnd w:id="16"/>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8"/>
        <w:gridCol w:w="2261"/>
        <w:gridCol w:w="1193"/>
        <w:gridCol w:w="2379"/>
        <w:gridCol w:w="1719"/>
      </w:tblGrid>
      <w:tr w:rsidR="00C8484E" w:rsidRPr="00C8484E" w14:paraId="6F924503" w14:textId="77777777" w:rsidTr="00C8484E">
        <w:trPr>
          <w:tblHeader/>
          <w:tblCellSpacing w:w="15" w:type="dxa"/>
          <w:jc w:val="center"/>
        </w:trPr>
        <w:tc>
          <w:tcPr>
            <w:tcW w:w="0" w:type="auto"/>
            <w:vAlign w:val="center"/>
            <w:hideMark/>
          </w:tcPr>
          <w:p w14:paraId="4DA1FD81"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Stakeholder Group</w:t>
            </w:r>
          </w:p>
        </w:tc>
        <w:tc>
          <w:tcPr>
            <w:tcW w:w="0" w:type="auto"/>
            <w:vAlign w:val="center"/>
            <w:hideMark/>
          </w:tcPr>
          <w:p w14:paraId="5A87100F"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Communication Channel</w:t>
            </w:r>
          </w:p>
        </w:tc>
        <w:tc>
          <w:tcPr>
            <w:tcW w:w="0" w:type="auto"/>
            <w:vAlign w:val="center"/>
            <w:hideMark/>
          </w:tcPr>
          <w:p w14:paraId="0A7FF342"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Frequency</w:t>
            </w:r>
          </w:p>
        </w:tc>
        <w:tc>
          <w:tcPr>
            <w:tcW w:w="0" w:type="auto"/>
            <w:vAlign w:val="center"/>
            <w:hideMark/>
          </w:tcPr>
          <w:p w14:paraId="69A3DC5A"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Purpose</w:t>
            </w:r>
          </w:p>
        </w:tc>
        <w:tc>
          <w:tcPr>
            <w:tcW w:w="0" w:type="auto"/>
            <w:vAlign w:val="center"/>
            <w:hideMark/>
          </w:tcPr>
          <w:p w14:paraId="4E495D6F" w14:textId="77777777" w:rsidR="00C8484E" w:rsidRPr="00C8484E" w:rsidRDefault="00C8484E" w:rsidP="00C8484E">
            <w:pPr>
              <w:spacing w:after="0" w:line="360" w:lineRule="auto"/>
              <w:rPr>
                <w:rFonts w:ascii="Arial" w:hAnsi="Arial" w:cs="Arial"/>
                <w:b/>
                <w:bCs/>
                <w:lang w:val="en-US"/>
              </w:rPr>
            </w:pPr>
            <w:r w:rsidRPr="00C8484E">
              <w:rPr>
                <w:rFonts w:ascii="Arial" w:hAnsi="Arial" w:cs="Arial"/>
                <w:b/>
                <w:bCs/>
                <w:lang w:val="en-US"/>
              </w:rPr>
              <w:t>Responsible Party</w:t>
            </w:r>
          </w:p>
        </w:tc>
      </w:tr>
      <w:tr w:rsidR="00C8484E" w:rsidRPr="00C8484E" w14:paraId="36833CD2" w14:textId="77777777" w:rsidTr="00C8484E">
        <w:trPr>
          <w:tblCellSpacing w:w="15" w:type="dxa"/>
          <w:jc w:val="center"/>
        </w:trPr>
        <w:tc>
          <w:tcPr>
            <w:tcW w:w="0" w:type="auto"/>
            <w:vAlign w:val="center"/>
            <w:hideMark/>
          </w:tcPr>
          <w:p w14:paraId="596E6E30"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Senior Management</w:t>
            </w:r>
          </w:p>
        </w:tc>
        <w:tc>
          <w:tcPr>
            <w:tcW w:w="0" w:type="auto"/>
            <w:vAlign w:val="center"/>
            <w:hideMark/>
          </w:tcPr>
          <w:p w14:paraId="7C860911"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Meetings, reports</w:t>
            </w:r>
          </w:p>
        </w:tc>
        <w:tc>
          <w:tcPr>
            <w:tcW w:w="0" w:type="auto"/>
            <w:vAlign w:val="center"/>
            <w:hideMark/>
          </w:tcPr>
          <w:p w14:paraId="3D16C504"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Weekly</w:t>
            </w:r>
          </w:p>
        </w:tc>
        <w:tc>
          <w:tcPr>
            <w:tcW w:w="0" w:type="auto"/>
            <w:vAlign w:val="center"/>
            <w:hideMark/>
          </w:tcPr>
          <w:p w14:paraId="2D90FD66"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Progress updates, decision-making</w:t>
            </w:r>
          </w:p>
        </w:tc>
        <w:tc>
          <w:tcPr>
            <w:tcW w:w="0" w:type="auto"/>
            <w:vAlign w:val="center"/>
            <w:hideMark/>
          </w:tcPr>
          <w:p w14:paraId="2E560ED1"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Project Director</w:t>
            </w:r>
          </w:p>
        </w:tc>
      </w:tr>
      <w:tr w:rsidR="00C8484E" w:rsidRPr="00C8484E" w14:paraId="454BB626" w14:textId="77777777" w:rsidTr="00C8484E">
        <w:trPr>
          <w:tblCellSpacing w:w="15" w:type="dxa"/>
          <w:jc w:val="center"/>
        </w:trPr>
        <w:tc>
          <w:tcPr>
            <w:tcW w:w="0" w:type="auto"/>
            <w:vAlign w:val="center"/>
            <w:hideMark/>
          </w:tcPr>
          <w:p w14:paraId="63C11669"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Employees</w:t>
            </w:r>
          </w:p>
        </w:tc>
        <w:tc>
          <w:tcPr>
            <w:tcW w:w="0" w:type="auto"/>
            <w:vAlign w:val="center"/>
            <w:hideMark/>
          </w:tcPr>
          <w:p w14:paraId="018596FC"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Workshops, intranet</w:t>
            </w:r>
          </w:p>
        </w:tc>
        <w:tc>
          <w:tcPr>
            <w:tcW w:w="0" w:type="auto"/>
            <w:vAlign w:val="center"/>
            <w:hideMark/>
          </w:tcPr>
          <w:p w14:paraId="7CFDF70B"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Biweekly</w:t>
            </w:r>
          </w:p>
        </w:tc>
        <w:tc>
          <w:tcPr>
            <w:tcW w:w="0" w:type="auto"/>
            <w:vAlign w:val="center"/>
            <w:hideMark/>
          </w:tcPr>
          <w:p w14:paraId="35FB555D"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Training, engagement, feedback collection</w:t>
            </w:r>
          </w:p>
        </w:tc>
        <w:tc>
          <w:tcPr>
            <w:tcW w:w="0" w:type="auto"/>
            <w:vAlign w:val="center"/>
            <w:hideMark/>
          </w:tcPr>
          <w:p w14:paraId="06069340"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HR &amp; Training Lead</w:t>
            </w:r>
          </w:p>
        </w:tc>
      </w:tr>
      <w:tr w:rsidR="00C8484E" w:rsidRPr="00C8484E" w14:paraId="5C08CC85" w14:textId="77777777" w:rsidTr="00C8484E">
        <w:trPr>
          <w:tblCellSpacing w:w="15" w:type="dxa"/>
          <w:jc w:val="center"/>
        </w:trPr>
        <w:tc>
          <w:tcPr>
            <w:tcW w:w="0" w:type="auto"/>
            <w:vAlign w:val="center"/>
            <w:hideMark/>
          </w:tcPr>
          <w:p w14:paraId="0497969E"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Suppliers &amp; Partners</w:t>
            </w:r>
          </w:p>
        </w:tc>
        <w:tc>
          <w:tcPr>
            <w:tcW w:w="0" w:type="auto"/>
            <w:vAlign w:val="center"/>
            <w:hideMark/>
          </w:tcPr>
          <w:p w14:paraId="4679D176"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Emails, video calls</w:t>
            </w:r>
          </w:p>
        </w:tc>
        <w:tc>
          <w:tcPr>
            <w:tcW w:w="0" w:type="auto"/>
            <w:vAlign w:val="center"/>
            <w:hideMark/>
          </w:tcPr>
          <w:p w14:paraId="4A658032"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Monthly</w:t>
            </w:r>
          </w:p>
        </w:tc>
        <w:tc>
          <w:tcPr>
            <w:tcW w:w="0" w:type="auto"/>
            <w:vAlign w:val="center"/>
            <w:hideMark/>
          </w:tcPr>
          <w:p w14:paraId="32F3E052"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Coordination, system integration updates</w:t>
            </w:r>
          </w:p>
        </w:tc>
        <w:tc>
          <w:tcPr>
            <w:tcW w:w="0" w:type="auto"/>
            <w:vAlign w:val="center"/>
            <w:hideMark/>
          </w:tcPr>
          <w:p w14:paraId="50F181AE"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Supply Chain Manager</w:t>
            </w:r>
          </w:p>
        </w:tc>
      </w:tr>
      <w:tr w:rsidR="00C8484E" w:rsidRPr="00C8484E" w14:paraId="7F47189C" w14:textId="77777777" w:rsidTr="00C8484E">
        <w:trPr>
          <w:tblCellSpacing w:w="15" w:type="dxa"/>
          <w:jc w:val="center"/>
        </w:trPr>
        <w:tc>
          <w:tcPr>
            <w:tcW w:w="0" w:type="auto"/>
            <w:vAlign w:val="center"/>
            <w:hideMark/>
          </w:tcPr>
          <w:p w14:paraId="589B0220"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Investors &amp; Shareholders</w:t>
            </w:r>
          </w:p>
        </w:tc>
        <w:tc>
          <w:tcPr>
            <w:tcW w:w="0" w:type="auto"/>
            <w:vAlign w:val="center"/>
            <w:hideMark/>
          </w:tcPr>
          <w:p w14:paraId="4DAD7079"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Reports, newsletters</w:t>
            </w:r>
          </w:p>
        </w:tc>
        <w:tc>
          <w:tcPr>
            <w:tcW w:w="0" w:type="auto"/>
            <w:vAlign w:val="center"/>
            <w:hideMark/>
          </w:tcPr>
          <w:p w14:paraId="11C0AC8C"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Quarterly</w:t>
            </w:r>
          </w:p>
        </w:tc>
        <w:tc>
          <w:tcPr>
            <w:tcW w:w="0" w:type="auto"/>
            <w:vAlign w:val="center"/>
            <w:hideMark/>
          </w:tcPr>
          <w:p w14:paraId="27A8417D"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Financial transparency and performance</w:t>
            </w:r>
          </w:p>
        </w:tc>
        <w:tc>
          <w:tcPr>
            <w:tcW w:w="0" w:type="auto"/>
            <w:vAlign w:val="center"/>
            <w:hideMark/>
          </w:tcPr>
          <w:p w14:paraId="7CE52EF3"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CFO</w:t>
            </w:r>
          </w:p>
        </w:tc>
      </w:tr>
      <w:tr w:rsidR="00C8484E" w:rsidRPr="00C8484E" w14:paraId="63FD9117" w14:textId="77777777" w:rsidTr="00C8484E">
        <w:trPr>
          <w:tblCellSpacing w:w="15" w:type="dxa"/>
          <w:jc w:val="center"/>
        </w:trPr>
        <w:tc>
          <w:tcPr>
            <w:tcW w:w="0" w:type="auto"/>
            <w:vAlign w:val="center"/>
            <w:hideMark/>
          </w:tcPr>
          <w:p w14:paraId="65880E15"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lastRenderedPageBreak/>
              <w:t>Customers</w:t>
            </w:r>
          </w:p>
        </w:tc>
        <w:tc>
          <w:tcPr>
            <w:tcW w:w="0" w:type="auto"/>
            <w:vAlign w:val="center"/>
            <w:hideMark/>
          </w:tcPr>
          <w:p w14:paraId="2F912DBF"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Website updates, press releases</w:t>
            </w:r>
          </w:p>
        </w:tc>
        <w:tc>
          <w:tcPr>
            <w:tcW w:w="0" w:type="auto"/>
            <w:vAlign w:val="center"/>
            <w:hideMark/>
          </w:tcPr>
          <w:p w14:paraId="6F94C45D"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Quarterly</w:t>
            </w:r>
          </w:p>
        </w:tc>
        <w:tc>
          <w:tcPr>
            <w:tcW w:w="0" w:type="auto"/>
            <w:vAlign w:val="center"/>
            <w:hideMark/>
          </w:tcPr>
          <w:p w14:paraId="393E04AB"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Communicate sustainability milestones</w:t>
            </w:r>
          </w:p>
        </w:tc>
        <w:tc>
          <w:tcPr>
            <w:tcW w:w="0" w:type="auto"/>
            <w:vAlign w:val="center"/>
            <w:hideMark/>
          </w:tcPr>
          <w:p w14:paraId="1B45E8B8" w14:textId="77777777" w:rsidR="00C8484E" w:rsidRPr="00C8484E" w:rsidRDefault="00C8484E" w:rsidP="00C8484E">
            <w:pPr>
              <w:spacing w:after="0" w:line="360" w:lineRule="auto"/>
              <w:rPr>
                <w:rFonts w:ascii="Arial" w:hAnsi="Arial" w:cs="Arial"/>
                <w:lang w:val="en-US"/>
              </w:rPr>
            </w:pPr>
            <w:r w:rsidRPr="00C8484E">
              <w:rPr>
                <w:rFonts w:ascii="Arial" w:hAnsi="Arial" w:cs="Arial"/>
                <w:lang w:val="en-US"/>
              </w:rPr>
              <w:t>Marketing Team</w:t>
            </w:r>
          </w:p>
        </w:tc>
      </w:tr>
    </w:tbl>
    <w:p w14:paraId="4F1FDB09" w14:textId="77777777" w:rsidR="00C8484E" w:rsidRDefault="00C8484E" w:rsidP="00E0388A"/>
    <w:p w14:paraId="62D06830" w14:textId="77777777" w:rsidR="00C8484E" w:rsidRDefault="00C8484E" w:rsidP="00C8484E">
      <w:pPr>
        <w:spacing w:after="0" w:line="360" w:lineRule="auto"/>
        <w:ind w:firstLine="720"/>
        <w:jc w:val="both"/>
        <w:rPr>
          <w:rFonts w:ascii="Arial" w:hAnsi="Arial" w:cs="Arial"/>
        </w:rPr>
      </w:pPr>
      <w:r w:rsidRPr="00C8484E">
        <w:rPr>
          <w:rFonts w:ascii="Arial" w:hAnsi="Arial" w:cs="Arial"/>
        </w:rPr>
        <w:t>The communication plan engages stakeholders by being specific, transparent, and frequent. Timely and clear communication reduces resistance that emanates due to a collective conception of an ownership towards change (Gill, 2019). The internal communication prioritizes sharing knowledge through workshops and feedback loops, consistent with Robbins and Judge’s (2022) principles of participatory communication.</w:t>
      </w:r>
    </w:p>
    <w:p w14:paraId="7A8679B2" w14:textId="24DDDD2C" w:rsidR="00C8484E" w:rsidRDefault="00C8484E" w:rsidP="00C8484E">
      <w:pPr>
        <w:spacing w:after="0" w:line="360" w:lineRule="auto"/>
        <w:ind w:firstLine="720"/>
        <w:jc w:val="both"/>
        <w:rPr>
          <w:rFonts w:ascii="Arial" w:hAnsi="Arial" w:cs="Arial"/>
        </w:rPr>
      </w:pPr>
      <w:r w:rsidRPr="00C8484E">
        <w:rPr>
          <w:rFonts w:ascii="Arial" w:hAnsi="Arial" w:cs="Arial"/>
        </w:rPr>
        <w:t>It enhances credibility in the eyes of suppliers, investors, and customers. Transparent updates about sustainability progress are shared regularly with stakeholders to keep them engaged, wherein trust is reinforced with the commitment that they will stay aligned with organisational goals. This is a multi-tiered communication structure that brings about accountability through top-down cascading of responsible message content at every stage of change.</w:t>
      </w:r>
    </w:p>
    <w:p w14:paraId="0B646CAD" w14:textId="77777777" w:rsidR="00C8484E" w:rsidRDefault="00C8484E" w:rsidP="00C8484E">
      <w:pPr>
        <w:spacing w:after="0" w:line="360" w:lineRule="auto"/>
        <w:ind w:firstLine="720"/>
        <w:jc w:val="both"/>
        <w:rPr>
          <w:rFonts w:ascii="Arial" w:hAnsi="Arial" w:cs="Arial"/>
        </w:rPr>
      </w:pPr>
    </w:p>
    <w:p w14:paraId="5BAA4284" w14:textId="77777777" w:rsidR="00C8484E" w:rsidRDefault="00C8484E" w:rsidP="00C8484E">
      <w:pPr>
        <w:spacing w:after="0" w:line="360" w:lineRule="auto"/>
        <w:ind w:firstLine="720"/>
        <w:jc w:val="both"/>
        <w:rPr>
          <w:rFonts w:ascii="Arial" w:hAnsi="Arial" w:cs="Arial"/>
        </w:rPr>
      </w:pPr>
    </w:p>
    <w:p w14:paraId="385640C8" w14:textId="77777777" w:rsidR="00C8484E" w:rsidRDefault="00C8484E" w:rsidP="00C8484E">
      <w:pPr>
        <w:spacing w:after="0" w:line="360" w:lineRule="auto"/>
        <w:ind w:firstLine="720"/>
        <w:jc w:val="both"/>
        <w:rPr>
          <w:rFonts w:ascii="Arial" w:hAnsi="Arial" w:cs="Arial"/>
        </w:rPr>
      </w:pPr>
    </w:p>
    <w:p w14:paraId="79EA10D0" w14:textId="77777777" w:rsidR="00C8484E" w:rsidRDefault="00C8484E" w:rsidP="00C8484E">
      <w:pPr>
        <w:spacing w:after="0" w:line="360" w:lineRule="auto"/>
        <w:ind w:firstLine="720"/>
        <w:jc w:val="both"/>
        <w:rPr>
          <w:rFonts w:ascii="Arial" w:hAnsi="Arial" w:cs="Arial"/>
        </w:rPr>
      </w:pPr>
    </w:p>
    <w:p w14:paraId="537B88D3" w14:textId="77777777" w:rsidR="00C8484E" w:rsidRDefault="00C8484E" w:rsidP="00C8484E">
      <w:pPr>
        <w:spacing w:after="0" w:line="360" w:lineRule="auto"/>
        <w:ind w:firstLine="720"/>
        <w:jc w:val="both"/>
        <w:rPr>
          <w:rFonts w:ascii="Arial" w:hAnsi="Arial" w:cs="Arial"/>
        </w:rPr>
      </w:pPr>
    </w:p>
    <w:p w14:paraId="1CBA64DD" w14:textId="77777777" w:rsidR="00C8484E" w:rsidRDefault="00C8484E" w:rsidP="00C8484E">
      <w:pPr>
        <w:spacing w:after="0" w:line="360" w:lineRule="auto"/>
        <w:ind w:firstLine="720"/>
        <w:jc w:val="both"/>
        <w:rPr>
          <w:rFonts w:ascii="Arial" w:hAnsi="Arial" w:cs="Arial"/>
        </w:rPr>
      </w:pPr>
    </w:p>
    <w:p w14:paraId="0FF884E2" w14:textId="77777777" w:rsidR="00C8484E" w:rsidRDefault="00C8484E" w:rsidP="00C8484E">
      <w:pPr>
        <w:spacing w:after="0" w:line="360" w:lineRule="auto"/>
        <w:ind w:firstLine="720"/>
        <w:jc w:val="both"/>
        <w:rPr>
          <w:rFonts w:ascii="Arial" w:hAnsi="Arial" w:cs="Arial"/>
        </w:rPr>
      </w:pPr>
    </w:p>
    <w:p w14:paraId="653E23E4" w14:textId="77777777" w:rsidR="00C8484E" w:rsidRDefault="00C8484E" w:rsidP="00C8484E">
      <w:pPr>
        <w:spacing w:after="0" w:line="360" w:lineRule="auto"/>
        <w:ind w:firstLine="720"/>
        <w:jc w:val="both"/>
        <w:rPr>
          <w:rFonts w:ascii="Arial" w:hAnsi="Arial" w:cs="Arial"/>
        </w:rPr>
      </w:pPr>
    </w:p>
    <w:p w14:paraId="73B7DB28" w14:textId="77777777" w:rsidR="00C8484E" w:rsidRDefault="00C8484E" w:rsidP="00C8484E">
      <w:pPr>
        <w:spacing w:after="0" w:line="360" w:lineRule="auto"/>
        <w:ind w:firstLine="720"/>
        <w:jc w:val="both"/>
        <w:rPr>
          <w:rFonts w:ascii="Arial" w:hAnsi="Arial" w:cs="Arial"/>
        </w:rPr>
      </w:pPr>
    </w:p>
    <w:p w14:paraId="3E3DA8F2" w14:textId="77777777" w:rsidR="00C8484E" w:rsidRDefault="00C8484E" w:rsidP="00C8484E">
      <w:pPr>
        <w:spacing w:after="0" w:line="360" w:lineRule="auto"/>
        <w:ind w:firstLine="720"/>
        <w:jc w:val="both"/>
        <w:rPr>
          <w:rFonts w:ascii="Arial" w:hAnsi="Arial" w:cs="Arial"/>
        </w:rPr>
      </w:pPr>
    </w:p>
    <w:p w14:paraId="014D33F6" w14:textId="77777777" w:rsidR="00C8484E" w:rsidRDefault="00C8484E" w:rsidP="00C8484E">
      <w:pPr>
        <w:spacing w:after="0" w:line="360" w:lineRule="auto"/>
        <w:ind w:firstLine="720"/>
        <w:jc w:val="both"/>
        <w:rPr>
          <w:rFonts w:ascii="Arial" w:hAnsi="Arial" w:cs="Arial"/>
        </w:rPr>
      </w:pPr>
    </w:p>
    <w:p w14:paraId="6A763842" w14:textId="77777777" w:rsidR="00C8484E" w:rsidRDefault="00C8484E" w:rsidP="00C8484E">
      <w:pPr>
        <w:spacing w:after="0" w:line="360" w:lineRule="auto"/>
        <w:ind w:firstLine="720"/>
        <w:jc w:val="both"/>
        <w:rPr>
          <w:rFonts w:ascii="Arial" w:hAnsi="Arial" w:cs="Arial"/>
        </w:rPr>
      </w:pPr>
    </w:p>
    <w:p w14:paraId="7C206C9B" w14:textId="77777777" w:rsidR="00C8484E" w:rsidRDefault="00C8484E" w:rsidP="00C8484E">
      <w:pPr>
        <w:spacing w:after="0" w:line="360" w:lineRule="auto"/>
        <w:ind w:firstLine="720"/>
        <w:jc w:val="both"/>
        <w:rPr>
          <w:rFonts w:ascii="Arial" w:hAnsi="Arial" w:cs="Arial"/>
        </w:rPr>
      </w:pPr>
    </w:p>
    <w:p w14:paraId="501F1C75" w14:textId="77777777" w:rsidR="00C8484E" w:rsidRDefault="00C8484E" w:rsidP="00C8484E">
      <w:pPr>
        <w:spacing w:after="0" w:line="360" w:lineRule="auto"/>
        <w:ind w:firstLine="720"/>
        <w:jc w:val="both"/>
        <w:rPr>
          <w:rFonts w:ascii="Arial" w:hAnsi="Arial" w:cs="Arial"/>
        </w:rPr>
      </w:pPr>
    </w:p>
    <w:p w14:paraId="7B90C997" w14:textId="77777777" w:rsidR="00C8484E" w:rsidRPr="00E0388A" w:rsidRDefault="00C8484E" w:rsidP="00C8484E">
      <w:pPr>
        <w:spacing w:after="0" w:line="360" w:lineRule="auto"/>
        <w:ind w:firstLine="720"/>
        <w:jc w:val="both"/>
      </w:pPr>
    </w:p>
    <w:p w14:paraId="3F9C2EF7" w14:textId="3B4AB8E5" w:rsidR="00E0388A" w:rsidRDefault="00E0388A" w:rsidP="00E0388A">
      <w:pPr>
        <w:pStyle w:val="Heading1"/>
        <w:spacing w:before="0" w:after="0" w:line="360" w:lineRule="auto"/>
        <w:jc w:val="center"/>
        <w:rPr>
          <w:rFonts w:ascii="Arial" w:hAnsi="Arial" w:cs="Arial"/>
          <w:b/>
          <w:bCs/>
          <w:color w:val="000000" w:themeColor="text1"/>
          <w:sz w:val="24"/>
          <w:szCs w:val="24"/>
        </w:rPr>
      </w:pPr>
      <w:bookmarkStart w:id="17" w:name="_Toc212294161"/>
      <w:r w:rsidRPr="00E0388A">
        <w:rPr>
          <w:rFonts w:ascii="Arial" w:hAnsi="Arial" w:cs="Arial"/>
          <w:b/>
          <w:bCs/>
          <w:color w:val="000000" w:themeColor="text1"/>
          <w:sz w:val="24"/>
          <w:szCs w:val="24"/>
        </w:rPr>
        <w:lastRenderedPageBreak/>
        <w:t xml:space="preserve">5. </w:t>
      </w:r>
      <w:r w:rsidRPr="00E0388A">
        <w:rPr>
          <w:rFonts w:ascii="Arial" w:hAnsi="Arial" w:cs="Arial"/>
          <w:b/>
          <w:bCs/>
          <w:color w:val="000000" w:themeColor="text1"/>
          <w:sz w:val="24"/>
          <w:szCs w:val="24"/>
        </w:rPr>
        <w:t>Conclusion</w:t>
      </w:r>
      <w:bookmarkEnd w:id="17"/>
    </w:p>
    <w:p w14:paraId="4EC57395" w14:textId="77777777" w:rsidR="00E0388A" w:rsidRDefault="00E0388A" w:rsidP="00E0388A"/>
    <w:p w14:paraId="1C543F73" w14:textId="77777777" w:rsidR="001F5BD9" w:rsidRDefault="001F5BD9" w:rsidP="001F5BD9">
      <w:pPr>
        <w:spacing w:after="0" w:line="360" w:lineRule="auto"/>
        <w:ind w:firstLine="720"/>
        <w:jc w:val="both"/>
        <w:rPr>
          <w:rFonts w:ascii="Arial" w:hAnsi="Arial" w:cs="Arial"/>
        </w:rPr>
      </w:pPr>
      <w:r w:rsidRPr="001F5BD9">
        <w:rPr>
          <w:rFonts w:ascii="Arial" w:hAnsi="Arial" w:cs="Arial"/>
        </w:rPr>
        <w:t>The intended digital transformation at CHH Conex meets internal efficiency objectives as well as external market demands. By way of transformational leadership combined with planned financial investment and clear communication within the organisation, innovation can be kept constant meanwhile ensuring cultural cohesion.</w:t>
      </w:r>
    </w:p>
    <w:p w14:paraId="3A810C3C" w14:textId="77777777" w:rsidR="001F5BD9" w:rsidRDefault="001F5BD9" w:rsidP="001F5BD9">
      <w:pPr>
        <w:spacing w:after="0" w:line="360" w:lineRule="auto"/>
        <w:ind w:firstLine="720"/>
        <w:jc w:val="both"/>
        <w:rPr>
          <w:rFonts w:ascii="Arial" w:hAnsi="Arial" w:cs="Arial"/>
        </w:rPr>
      </w:pPr>
      <w:r w:rsidRPr="001F5BD9">
        <w:rPr>
          <w:rFonts w:ascii="Arial" w:hAnsi="Arial" w:cs="Arial"/>
        </w:rPr>
        <w:t xml:space="preserve">Environmental factors include digital disruption and stakeholder expectations. Leaders must always be ready with pre-emptive strategies. (Daft, 2021) Using the ADKAR and Lewin change </w:t>
      </w:r>
      <w:r w:rsidRPr="001F5BD9">
        <w:rPr>
          <w:rFonts w:ascii="Arial" w:hAnsi="Arial" w:cs="Arial"/>
        </w:rPr>
        <w:t>models’</w:t>
      </w:r>
      <w:r w:rsidRPr="001F5BD9">
        <w:rPr>
          <w:rFonts w:ascii="Arial" w:hAnsi="Arial" w:cs="Arial"/>
        </w:rPr>
        <w:t xml:space="preserve"> places emphasis on people in the change process by reducing resistance to changes and making such changes durable.</w:t>
      </w:r>
    </w:p>
    <w:p w14:paraId="39E09FCA" w14:textId="32C13E55" w:rsidR="001F5BD9" w:rsidRDefault="001F5BD9" w:rsidP="001F5BD9">
      <w:pPr>
        <w:spacing w:after="0" w:line="360" w:lineRule="auto"/>
        <w:ind w:firstLine="720"/>
        <w:jc w:val="both"/>
        <w:rPr>
          <w:rFonts w:ascii="Arial" w:hAnsi="Arial" w:cs="Arial"/>
        </w:rPr>
      </w:pPr>
      <w:r w:rsidRPr="001F5BD9">
        <w:rPr>
          <w:rFonts w:ascii="Arial" w:hAnsi="Arial" w:cs="Arial"/>
        </w:rPr>
        <w:t>The CHH Conex’s success is reliant</w:t>
      </w:r>
      <w:r w:rsidRPr="001F5BD9">
        <w:rPr>
          <w:rFonts w:ascii="Arial" w:hAnsi="Arial" w:cs="Arial"/>
        </w:rPr>
        <w:t xml:space="preserve"> </w:t>
      </w:r>
      <w:r w:rsidRPr="001F5BD9">
        <w:rPr>
          <w:rFonts w:ascii="Arial" w:hAnsi="Arial" w:cs="Arial"/>
        </w:rPr>
        <w:t>on leadership vision being aligned with employee engagement and cultural adaptation.</w:t>
      </w:r>
      <w:r w:rsidRPr="001F5BD9">
        <w:rPr>
          <w:rFonts w:ascii="Arial" w:hAnsi="Arial" w:cs="Arial"/>
        </w:rPr>
        <w:t xml:space="preserve"> </w:t>
      </w:r>
      <w:r w:rsidRPr="001F5BD9">
        <w:rPr>
          <w:rFonts w:ascii="Arial" w:hAnsi="Arial" w:cs="Arial"/>
        </w:rPr>
        <w:t>At operational levels, digital competence can be inculcated within its corporate culture to enhance market resilience,</w:t>
      </w:r>
      <w:r w:rsidRPr="001F5BD9">
        <w:rPr>
          <w:rFonts w:ascii="Arial" w:hAnsi="Arial" w:cs="Arial"/>
        </w:rPr>
        <w:t xml:space="preserve"> </w:t>
      </w:r>
      <w:r w:rsidRPr="001F5BD9">
        <w:rPr>
          <w:rFonts w:ascii="Arial" w:hAnsi="Arial" w:cs="Arial"/>
        </w:rPr>
        <w:t>sustainability performance</w:t>
      </w:r>
      <w:r w:rsidRPr="001F5BD9">
        <w:rPr>
          <w:rFonts w:ascii="Arial" w:hAnsi="Arial" w:cs="Arial"/>
        </w:rPr>
        <w:t xml:space="preserve"> </w:t>
      </w:r>
      <w:r w:rsidRPr="001F5BD9">
        <w:rPr>
          <w:rFonts w:ascii="Arial" w:hAnsi="Arial" w:cs="Arial"/>
        </w:rPr>
        <w:t>and profitability.</w:t>
      </w:r>
    </w:p>
    <w:p w14:paraId="582CF165" w14:textId="77777777" w:rsidR="001F5BD9" w:rsidRDefault="001F5BD9" w:rsidP="001F5BD9">
      <w:pPr>
        <w:spacing w:after="0" w:line="360" w:lineRule="auto"/>
        <w:ind w:firstLine="720"/>
        <w:jc w:val="both"/>
        <w:rPr>
          <w:rFonts w:ascii="Arial" w:hAnsi="Arial" w:cs="Arial"/>
        </w:rPr>
      </w:pPr>
    </w:p>
    <w:p w14:paraId="3E21739D" w14:textId="77777777" w:rsidR="00C8484E" w:rsidRDefault="00C8484E" w:rsidP="001F5BD9">
      <w:pPr>
        <w:spacing w:after="0" w:line="360" w:lineRule="auto"/>
        <w:ind w:firstLine="720"/>
        <w:jc w:val="both"/>
        <w:rPr>
          <w:rFonts w:ascii="Arial" w:hAnsi="Arial" w:cs="Arial"/>
        </w:rPr>
      </w:pPr>
    </w:p>
    <w:p w14:paraId="268A3A22" w14:textId="77777777" w:rsidR="00C8484E" w:rsidRDefault="00C8484E" w:rsidP="001F5BD9">
      <w:pPr>
        <w:spacing w:after="0" w:line="360" w:lineRule="auto"/>
        <w:ind w:firstLine="720"/>
        <w:jc w:val="both"/>
        <w:rPr>
          <w:rFonts w:ascii="Arial" w:hAnsi="Arial" w:cs="Arial"/>
        </w:rPr>
      </w:pPr>
    </w:p>
    <w:p w14:paraId="3E673828" w14:textId="77777777" w:rsidR="00C8484E" w:rsidRDefault="00C8484E" w:rsidP="001F5BD9">
      <w:pPr>
        <w:spacing w:after="0" w:line="360" w:lineRule="auto"/>
        <w:ind w:firstLine="720"/>
        <w:jc w:val="both"/>
        <w:rPr>
          <w:rFonts w:ascii="Arial" w:hAnsi="Arial" w:cs="Arial"/>
        </w:rPr>
      </w:pPr>
    </w:p>
    <w:p w14:paraId="663EA344" w14:textId="77777777" w:rsidR="00C8484E" w:rsidRDefault="00C8484E" w:rsidP="001F5BD9">
      <w:pPr>
        <w:spacing w:after="0" w:line="360" w:lineRule="auto"/>
        <w:ind w:firstLine="720"/>
        <w:jc w:val="both"/>
        <w:rPr>
          <w:rFonts w:ascii="Arial" w:hAnsi="Arial" w:cs="Arial"/>
        </w:rPr>
      </w:pPr>
    </w:p>
    <w:p w14:paraId="58327273" w14:textId="77777777" w:rsidR="00C8484E" w:rsidRDefault="00C8484E" w:rsidP="001F5BD9">
      <w:pPr>
        <w:spacing w:after="0" w:line="360" w:lineRule="auto"/>
        <w:ind w:firstLine="720"/>
        <w:jc w:val="both"/>
        <w:rPr>
          <w:rFonts w:ascii="Arial" w:hAnsi="Arial" w:cs="Arial"/>
        </w:rPr>
      </w:pPr>
    </w:p>
    <w:p w14:paraId="73E754E3" w14:textId="77777777" w:rsidR="00C8484E" w:rsidRDefault="00C8484E" w:rsidP="001F5BD9">
      <w:pPr>
        <w:spacing w:after="0" w:line="360" w:lineRule="auto"/>
        <w:ind w:firstLine="720"/>
        <w:jc w:val="both"/>
        <w:rPr>
          <w:rFonts w:ascii="Arial" w:hAnsi="Arial" w:cs="Arial"/>
        </w:rPr>
      </w:pPr>
    </w:p>
    <w:p w14:paraId="5F3F6F66" w14:textId="77777777" w:rsidR="00C8484E" w:rsidRDefault="00C8484E" w:rsidP="001F5BD9">
      <w:pPr>
        <w:spacing w:after="0" w:line="360" w:lineRule="auto"/>
        <w:ind w:firstLine="720"/>
        <w:jc w:val="both"/>
        <w:rPr>
          <w:rFonts w:ascii="Arial" w:hAnsi="Arial" w:cs="Arial"/>
        </w:rPr>
      </w:pPr>
    </w:p>
    <w:p w14:paraId="063541BC" w14:textId="77777777" w:rsidR="00C8484E" w:rsidRDefault="00C8484E" w:rsidP="001F5BD9">
      <w:pPr>
        <w:spacing w:after="0" w:line="360" w:lineRule="auto"/>
        <w:ind w:firstLine="720"/>
        <w:jc w:val="both"/>
        <w:rPr>
          <w:rFonts w:ascii="Arial" w:hAnsi="Arial" w:cs="Arial"/>
        </w:rPr>
      </w:pPr>
    </w:p>
    <w:p w14:paraId="773BE3A6" w14:textId="77777777" w:rsidR="00C8484E" w:rsidRDefault="00C8484E" w:rsidP="001F5BD9">
      <w:pPr>
        <w:spacing w:after="0" w:line="360" w:lineRule="auto"/>
        <w:ind w:firstLine="720"/>
        <w:jc w:val="both"/>
        <w:rPr>
          <w:rFonts w:ascii="Arial" w:hAnsi="Arial" w:cs="Arial"/>
        </w:rPr>
      </w:pPr>
    </w:p>
    <w:p w14:paraId="0BE62F40" w14:textId="77777777" w:rsidR="00C8484E" w:rsidRDefault="00C8484E" w:rsidP="001F5BD9">
      <w:pPr>
        <w:spacing w:after="0" w:line="360" w:lineRule="auto"/>
        <w:ind w:firstLine="720"/>
        <w:jc w:val="both"/>
        <w:rPr>
          <w:rFonts w:ascii="Arial" w:hAnsi="Arial" w:cs="Arial"/>
        </w:rPr>
      </w:pPr>
    </w:p>
    <w:p w14:paraId="2388F136" w14:textId="77777777" w:rsidR="00C8484E" w:rsidRDefault="00C8484E" w:rsidP="001F5BD9">
      <w:pPr>
        <w:spacing w:after="0" w:line="360" w:lineRule="auto"/>
        <w:ind w:firstLine="720"/>
        <w:jc w:val="both"/>
        <w:rPr>
          <w:rFonts w:ascii="Arial" w:hAnsi="Arial" w:cs="Arial"/>
        </w:rPr>
      </w:pPr>
    </w:p>
    <w:p w14:paraId="658FE44E" w14:textId="77777777" w:rsidR="00C8484E" w:rsidRDefault="00C8484E" w:rsidP="001F5BD9">
      <w:pPr>
        <w:spacing w:after="0" w:line="360" w:lineRule="auto"/>
        <w:ind w:firstLine="720"/>
        <w:jc w:val="both"/>
        <w:rPr>
          <w:rFonts w:ascii="Arial" w:hAnsi="Arial" w:cs="Arial"/>
        </w:rPr>
      </w:pPr>
    </w:p>
    <w:p w14:paraId="1C8D5A2D" w14:textId="77777777" w:rsidR="00C8484E" w:rsidRDefault="00C8484E" w:rsidP="001F5BD9">
      <w:pPr>
        <w:spacing w:after="0" w:line="360" w:lineRule="auto"/>
        <w:ind w:firstLine="720"/>
        <w:jc w:val="both"/>
        <w:rPr>
          <w:rFonts w:ascii="Arial" w:hAnsi="Arial" w:cs="Arial"/>
        </w:rPr>
      </w:pPr>
    </w:p>
    <w:p w14:paraId="4F2B46EE" w14:textId="77777777" w:rsidR="00C8484E" w:rsidRDefault="00C8484E" w:rsidP="001F5BD9">
      <w:pPr>
        <w:spacing w:after="0" w:line="360" w:lineRule="auto"/>
        <w:ind w:firstLine="720"/>
        <w:jc w:val="both"/>
        <w:rPr>
          <w:rFonts w:ascii="Arial" w:hAnsi="Arial" w:cs="Arial"/>
        </w:rPr>
      </w:pPr>
    </w:p>
    <w:p w14:paraId="785C146A" w14:textId="77777777" w:rsidR="00C8484E" w:rsidRDefault="00C8484E" w:rsidP="001F5BD9">
      <w:pPr>
        <w:spacing w:after="0" w:line="360" w:lineRule="auto"/>
        <w:ind w:firstLine="720"/>
        <w:jc w:val="both"/>
        <w:rPr>
          <w:rFonts w:ascii="Arial" w:hAnsi="Arial" w:cs="Arial"/>
        </w:rPr>
      </w:pPr>
    </w:p>
    <w:p w14:paraId="2558D001" w14:textId="77777777" w:rsidR="00C8484E" w:rsidRDefault="00C8484E" w:rsidP="001F5BD9">
      <w:pPr>
        <w:spacing w:after="0" w:line="360" w:lineRule="auto"/>
        <w:ind w:firstLine="720"/>
        <w:jc w:val="both"/>
        <w:rPr>
          <w:rFonts w:ascii="Arial" w:hAnsi="Arial" w:cs="Arial"/>
        </w:rPr>
      </w:pPr>
    </w:p>
    <w:p w14:paraId="30021DA7" w14:textId="77777777" w:rsidR="00C8484E" w:rsidRPr="001F5BD9" w:rsidRDefault="00C8484E" w:rsidP="001F5BD9">
      <w:pPr>
        <w:spacing w:after="0" w:line="360" w:lineRule="auto"/>
        <w:ind w:firstLine="720"/>
        <w:jc w:val="both"/>
        <w:rPr>
          <w:rFonts w:ascii="Arial" w:hAnsi="Arial" w:cs="Arial"/>
        </w:rPr>
      </w:pPr>
    </w:p>
    <w:p w14:paraId="11EF6B18" w14:textId="5FB3D88B" w:rsidR="00881C6F" w:rsidRPr="00881C6F" w:rsidRDefault="00881C6F" w:rsidP="00881C6F">
      <w:pPr>
        <w:pStyle w:val="Heading1"/>
        <w:spacing w:before="0" w:after="0" w:line="360" w:lineRule="auto"/>
        <w:jc w:val="center"/>
        <w:rPr>
          <w:rFonts w:ascii="Arial" w:hAnsi="Arial" w:cs="Arial"/>
          <w:b/>
          <w:bCs/>
          <w:color w:val="000000" w:themeColor="text1"/>
          <w:sz w:val="24"/>
          <w:szCs w:val="24"/>
        </w:rPr>
      </w:pPr>
      <w:bookmarkStart w:id="18" w:name="_Toc212294162"/>
      <w:r w:rsidRPr="00881C6F">
        <w:rPr>
          <w:rFonts w:ascii="Arial" w:hAnsi="Arial" w:cs="Arial"/>
          <w:b/>
          <w:bCs/>
          <w:color w:val="000000" w:themeColor="text1"/>
          <w:sz w:val="24"/>
          <w:szCs w:val="24"/>
        </w:rPr>
        <w:lastRenderedPageBreak/>
        <w:t>References</w:t>
      </w:r>
      <w:bookmarkEnd w:id="18"/>
    </w:p>
    <w:p w14:paraId="75A2AAF7" w14:textId="77777777" w:rsidR="00881C6F" w:rsidRPr="00881C6F" w:rsidRDefault="00881C6F"/>
    <w:p w14:paraId="66806BCF" w14:textId="5FE5A556" w:rsidR="00881C6F" w:rsidRPr="00881C6F" w:rsidRDefault="00881C6F" w:rsidP="00881C6F">
      <w:pPr>
        <w:spacing w:after="0" w:line="360" w:lineRule="auto"/>
        <w:jc w:val="both"/>
        <w:rPr>
          <w:rFonts w:ascii="Arial" w:hAnsi="Arial" w:cs="Arial"/>
        </w:rPr>
      </w:pPr>
      <w:r w:rsidRPr="00881C6F">
        <w:rPr>
          <w:rFonts w:ascii="Arial" w:hAnsi="Arial" w:cs="Arial"/>
        </w:rPr>
        <w:t xml:space="preserve">Appelbaum, S., Habashy, S., Malo, J. and Shafiq, H. (2018) </w:t>
      </w:r>
      <w:r w:rsidRPr="00881C6F">
        <w:rPr>
          <w:rFonts w:ascii="Arial" w:hAnsi="Arial" w:cs="Arial"/>
          <w:i/>
          <w:iCs/>
        </w:rPr>
        <w:t>Back to the Future: Revisiting Kotter’s 1996 Change Model</w:t>
      </w:r>
      <w:r w:rsidRPr="00881C6F">
        <w:rPr>
          <w:rFonts w:ascii="Arial" w:hAnsi="Arial" w:cs="Arial"/>
        </w:rPr>
        <w:t>. London: Routledge.</w:t>
      </w:r>
    </w:p>
    <w:p w14:paraId="67B4D809" w14:textId="3A3D9EBF" w:rsidR="00881C6F" w:rsidRDefault="00881C6F" w:rsidP="00881C6F">
      <w:pPr>
        <w:spacing w:after="0" w:line="360" w:lineRule="auto"/>
        <w:jc w:val="both"/>
        <w:rPr>
          <w:rFonts w:ascii="Arial" w:hAnsi="Arial" w:cs="Arial"/>
        </w:rPr>
      </w:pPr>
      <w:r w:rsidRPr="00881C6F">
        <w:rPr>
          <w:rFonts w:ascii="Arial" w:hAnsi="Arial" w:cs="Arial"/>
        </w:rPr>
        <w:t xml:space="preserve">Armstrong, M. and Taylor, S. (2020) </w:t>
      </w:r>
      <w:r w:rsidRPr="00881C6F">
        <w:rPr>
          <w:rFonts w:ascii="Arial" w:hAnsi="Arial" w:cs="Arial"/>
          <w:i/>
          <w:iCs/>
        </w:rPr>
        <w:t>Armstrong’s Handbook of Human Resource Management Practice</w:t>
      </w:r>
      <w:r w:rsidRPr="00881C6F">
        <w:rPr>
          <w:rFonts w:ascii="Arial" w:hAnsi="Arial" w:cs="Arial"/>
        </w:rPr>
        <w:t>. 15th ed. London: Kogan Page.</w:t>
      </w:r>
    </w:p>
    <w:p w14:paraId="5711B3BD" w14:textId="234D7817" w:rsidR="001F5BD9" w:rsidRDefault="001F5BD9" w:rsidP="00881C6F">
      <w:pPr>
        <w:spacing w:after="0" w:line="360" w:lineRule="auto"/>
        <w:jc w:val="both"/>
        <w:rPr>
          <w:rFonts w:ascii="Arial" w:hAnsi="Arial" w:cs="Arial"/>
        </w:rPr>
      </w:pPr>
      <w:r w:rsidRPr="001F5BD9">
        <w:rPr>
          <w:rFonts w:ascii="Arial" w:hAnsi="Arial" w:cs="Arial"/>
        </w:rPr>
        <w:t xml:space="preserve">Avolio, B.J. and </w:t>
      </w:r>
      <w:proofErr w:type="spellStart"/>
      <w:r w:rsidRPr="001F5BD9">
        <w:rPr>
          <w:rFonts w:ascii="Arial" w:hAnsi="Arial" w:cs="Arial"/>
        </w:rPr>
        <w:t>Yammarino</w:t>
      </w:r>
      <w:proofErr w:type="spellEnd"/>
      <w:r w:rsidRPr="001F5BD9">
        <w:rPr>
          <w:rFonts w:ascii="Arial" w:hAnsi="Arial" w:cs="Arial"/>
        </w:rPr>
        <w:t xml:space="preserve">, F.J. (2013) </w:t>
      </w:r>
      <w:r w:rsidRPr="001F5BD9">
        <w:rPr>
          <w:rFonts w:ascii="Arial" w:hAnsi="Arial" w:cs="Arial"/>
          <w:i/>
          <w:iCs/>
        </w:rPr>
        <w:t>Transformational and Charismatic Leadership: The Road Ahead</w:t>
      </w:r>
      <w:r w:rsidRPr="001F5BD9">
        <w:rPr>
          <w:rFonts w:ascii="Arial" w:hAnsi="Arial" w:cs="Arial"/>
        </w:rPr>
        <w:t xml:space="preserve">. 2nd </w:t>
      </w:r>
      <w:proofErr w:type="spellStart"/>
      <w:r w:rsidRPr="001F5BD9">
        <w:rPr>
          <w:rFonts w:ascii="Arial" w:hAnsi="Arial" w:cs="Arial"/>
        </w:rPr>
        <w:t>edn</w:t>
      </w:r>
      <w:proofErr w:type="spellEnd"/>
      <w:r w:rsidRPr="001F5BD9">
        <w:rPr>
          <w:rFonts w:ascii="Arial" w:hAnsi="Arial" w:cs="Arial"/>
        </w:rPr>
        <w:t>. Bingley: Emerald Group Publishing.</w:t>
      </w:r>
    </w:p>
    <w:p w14:paraId="793FF596" w14:textId="13E84027" w:rsidR="001F5BD9" w:rsidRDefault="001F5BD9" w:rsidP="00881C6F">
      <w:pPr>
        <w:spacing w:after="0" w:line="360" w:lineRule="auto"/>
        <w:jc w:val="both"/>
        <w:rPr>
          <w:rFonts w:ascii="Arial" w:hAnsi="Arial" w:cs="Arial"/>
        </w:rPr>
      </w:pPr>
      <w:r w:rsidRPr="001F5BD9">
        <w:rPr>
          <w:rFonts w:ascii="Arial" w:hAnsi="Arial" w:cs="Arial"/>
        </w:rPr>
        <w:t xml:space="preserve">Bamford, D.R. and Forrester, P.L. (2018) </w:t>
      </w:r>
      <w:r w:rsidRPr="001F5BD9">
        <w:rPr>
          <w:rFonts w:ascii="Arial" w:hAnsi="Arial" w:cs="Arial"/>
          <w:i/>
          <w:iCs/>
        </w:rPr>
        <w:t>Essential Guide to Managing Change and Transformation</w:t>
      </w:r>
      <w:r w:rsidRPr="001F5BD9">
        <w:rPr>
          <w:rFonts w:ascii="Arial" w:hAnsi="Arial" w:cs="Arial"/>
        </w:rPr>
        <w:t xml:space="preserve">. 2nd </w:t>
      </w:r>
      <w:proofErr w:type="spellStart"/>
      <w:r w:rsidRPr="001F5BD9">
        <w:rPr>
          <w:rFonts w:ascii="Arial" w:hAnsi="Arial" w:cs="Arial"/>
        </w:rPr>
        <w:t>edn</w:t>
      </w:r>
      <w:proofErr w:type="spellEnd"/>
      <w:r w:rsidRPr="001F5BD9">
        <w:rPr>
          <w:rFonts w:ascii="Arial" w:hAnsi="Arial" w:cs="Arial"/>
        </w:rPr>
        <w:t>. London: Routledge.</w:t>
      </w:r>
    </w:p>
    <w:p w14:paraId="28A84E2D" w14:textId="0651619D" w:rsidR="001F5BD9" w:rsidRPr="00881C6F" w:rsidRDefault="001F5BD9" w:rsidP="00881C6F">
      <w:pPr>
        <w:spacing w:after="0" w:line="360" w:lineRule="auto"/>
        <w:jc w:val="both"/>
        <w:rPr>
          <w:rFonts w:ascii="Arial" w:hAnsi="Arial" w:cs="Arial"/>
        </w:rPr>
      </w:pPr>
      <w:r w:rsidRPr="001F5BD9">
        <w:rPr>
          <w:rFonts w:ascii="Arial" w:hAnsi="Arial" w:cs="Arial"/>
        </w:rPr>
        <w:t xml:space="preserve">Bass, B.M. and Riggio, R.E. (2018) </w:t>
      </w:r>
      <w:r w:rsidRPr="001F5BD9">
        <w:rPr>
          <w:rFonts w:ascii="Arial" w:hAnsi="Arial" w:cs="Arial"/>
          <w:i/>
          <w:iCs/>
        </w:rPr>
        <w:t>Transformational Leadership</w:t>
      </w:r>
      <w:r w:rsidRPr="001F5BD9">
        <w:rPr>
          <w:rFonts w:ascii="Arial" w:hAnsi="Arial" w:cs="Arial"/>
        </w:rPr>
        <w:t xml:space="preserve">. 3rd </w:t>
      </w:r>
      <w:proofErr w:type="spellStart"/>
      <w:r w:rsidRPr="001F5BD9">
        <w:rPr>
          <w:rFonts w:ascii="Arial" w:hAnsi="Arial" w:cs="Arial"/>
        </w:rPr>
        <w:t>edn</w:t>
      </w:r>
      <w:proofErr w:type="spellEnd"/>
      <w:r w:rsidRPr="001F5BD9">
        <w:rPr>
          <w:rFonts w:ascii="Arial" w:hAnsi="Arial" w:cs="Arial"/>
        </w:rPr>
        <w:t>. New York: Routledge.</w:t>
      </w:r>
    </w:p>
    <w:p w14:paraId="1FD0CA6E" w14:textId="3E8251CB" w:rsidR="00881C6F" w:rsidRPr="00881C6F" w:rsidRDefault="00881C6F" w:rsidP="00881C6F">
      <w:pPr>
        <w:spacing w:after="0" w:line="360" w:lineRule="auto"/>
        <w:jc w:val="both"/>
        <w:rPr>
          <w:rFonts w:ascii="Arial" w:hAnsi="Arial" w:cs="Arial"/>
        </w:rPr>
      </w:pPr>
      <w:r w:rsidRPr="00881C6F">
        <w:rPr>
          <w:rFonts w:ascii="Arial" w:hAnsi="Arial" w:cs="Arial"/>
        </w:rPr>
        <w:t xml:space="preserve">Burnes, B. (2017) </w:t>
      </w:r>
      <w:r w:rsidRPr="00881C6F">
        <w:rPr>
          <w:rFonts w:ascii="Arial" w:hAnsi="Arial" w:cs="Arial"/>
          <w:i/>
          <w:iCs/>
        </w:rPr>
        <w:t>Managing Change</w:t>
      </w:r>
      <w:r w:rsidRPr="00881C6F">
        <w:rPr>
          <w:rFonts w:ascii="Arial" w:hAnsi="Arial" w:cs="Arial"/>
        </w:rPr>
        <w:t>. 7th ed. Harlow: Pearson.</w:t>
      </w:r>
    </w:p>
    <w:p w14:paraId="27F2ACCA" w14:textId="22C101F0" w:rsidR="00881C6F" w:rsidRDefault="00881C6F" w:rsidP="00881C6F">
      <w:pPr>
        <w:spacing w:after="0" w:line="360" w:lineRule="auto"/>
        <w:jc w:val="both"/>
        <w:rPr>
          <w:rFonts w:ascii="Arial" w:hAnsi="Arial" w:cs="Arial"/>
        </w:rPr>
      </w:pPr>
      <w:r w:rsidRPr="00881C6F">
        <w:rPr>
          <w:rFonts w:ascii="Arial" w:hAnsi="Arial" w:cs="Arial"/>
        </w:rPr>
        <w:t xml:space="preserve">Burnes, B. and Cooke, B. (2013) </w:t>
      </w:r>
      <w:r w:rsidRPr="00881C6F">
        <w:rPr>
          <w:rFonts w:ascii="Arial" w:hAnsi="Arial" w:cs="Arial"/>
          <w:i/>
          <w:iCs/>
        </w:rPr>
        <w:t>Kurt Lewin’s Field Theory: A Review and Re-evaluation</w:t>
      </w:r>
      <w:r w:rsidRPr="00881C6F">
        <w:rPr>
          <w:rFonts w:ascii="Arial" w:hAnsi="Arial" w:cs="Arial"/>
        </w:rPr>
        <w:t>. London: Routledge.</w:t>
      </w:r>
    </w:p>
    <w:p w14:paraId="5127FFEA" w14:textId="0D291741" w:rsidR="001F5BD9" w:rsidRPr="001F5BD9" w:rsidRDefault="001F5BD9" w:rsidP="001F5BD9">
      <w:pPr>
        <w:spacing w:after="0" w:line="360" w:lineRule="auto"/>
        <w:jc w:val="both"/>
        <w:rPr>
          <w:rFonts w:ascii="Arial" w:hAnsi="Arial" w:cs="Arial"/>
          <w:lang w:val="en-US"/>
        </w:rPr>
      </w:pPr>
      <w:r w:rsidRPr="001F5BD9">
        <w:rPr>
          <w:rFonts w:ascii="Arial" w:hAnsi="Arial" w:cs="Arial"/>
          <w:lang w:val="en-US"/>
        </w:rPr>
        <w:t xml:space="preserve">Cameron, E. and Green, M. (2019) </w:t>
      </w:r>
      <w:r w:rsidRPr="001F5BD9">
        <w:rPr>
          <w:rFonts w:ascii="Arial" w:hAnsi="Arial" w:cs="Arial"/>
          <w:i/>
          <w:iCs/>
          <w:lang w:val="en-US"/>
        </w:rPr>
        <w:t>Making Sense of Change Management</w:t>
      </w:r>
      <w:r w:rsidRPr="001F5BD9">
        <w:rPr>
          <w:rFonts w:ascii="Arial" w:hAnsi="Arial" w:cs="Arial"/>
          <w:lang w:val="en-US"/>
        </w:rPr>
        <w:t xml:space="preserve">. 6th </w:t>
      </w:r>
      <w:proofErr w:type="spellStart"/>
      <w:r w:rsidRPr="001F5BD9">
        <w:rPr>
          <w:rFonts w:ascii="Arial" w:hAnsi="Arial" w:cs="Arial"/>
          <w:lang w:val="en-US"/>
        </w:rPr>
        <w:t>edn</w:t>
      </w:r>
      <w:proofErr w:type="spellEnd"/>
      <w:r w:rsidRPr="001F5BD9">
        <w:rPr>
          <w:rFonts w:ascii="Arial" w:hAnsi="Arial" w:cs="Arial"/>
          <w:lang w:val="en-US"/>
        </w:rPr>
        <w:t>. London: Kogan Page.</w:t>
      </w:r>
    </w:p>
    <w:p w14:paraId="234AB6BB" w14:textId="7648A998" w:rsidR="001F5BD9" w:rsidRPr="001F5BD9" w:rsidRDefault="001F5BD9" w:rsidP="00881C6F">
      <w:pPr>
        <w:spacing w:after="0" w:line="360" w:lineRule="auto"/>
        <w:jc w:val="both"/>
        <w:rPr>
          <w:rFonts w:ascii="Arial" w:hAnsi="Arial" w:cs="Arial"/>
          <w:lang w:val="en-US"/>
        </w:rPr>
      </w:pPr>
      <w:r w:rsidRPr="001F5BD9">
        <w:rPr>
          <w:rFonts w:ascii="Arial" w:hAnsi="Arial" w:cs="Arial"/>
          <w:lang w:val="en-US"/>
        </w:rPr>
        <w:t xml:space="preserve">Cameron, K.S. and Quinn, R.E. (2019) </w:t>
      </w:r>
      <w:r w:rsidRPr="001F5BD9">
        <w:rPr>
          <w:rFonts w:ascii="Arial" w:hAnsi="Arial" w:cs="Arial"/>
          <w:i/>
          <w:iCs/>
          <w:lang w:val="en-US"/>
        </w:rPr>
        <w:t>Diagnosing and Changing Organizational Culture</w:t>
      </w:r>
      <w:r w:rsidRPr="001F5BD9">
        <w:rPr>
          <w:rFonts w:ascii="Arial" w:hAnsi="Arial" w:cs="Arial"/>
          <w:lang w:val="en-US"/>
        </w:rPr>
        <w:t xml:space="preserve">. 4th </w:t>
      </w:r>
      <w:proofErr w:type="spellStart"/>
      <w:r w:rsidRPr="001F5BD9">
        <w:rPr>
          <w:rFonts w:ascii="Arial" w:hAnsi="Arial" w:cs="Arial"/>
          <w:lang w:val="en-US"/>
        </w:rPr>
        <w:t>edn</w:t>
      </w:r>
      <w:proofErr w:type="spellEnd"/>
      <w:r w:rsidRPr="001F5BD9">
        <w:rPr>
          <w:rFonts w:ascii="Arial" w:hAnsi="Arial" w:cs="Arial"/>
          <w:lang w:val="en-US"/>
        </w:rPr>
        <w:t>. San Francisco: Jossey-Bass.</w:t>
      </w:r>
    </w:p>
    <w:p w14:paraId="5B33A0B6" w14:textId="77777777" w:rsidR="00881C6F" w:rsidRPr="00881C6F" w:rsidRDefault="00881C6F" w:rsidP="00881C6F">
      <w:pPr>
        <w:spacing w:after="0" w:line="360" w:lineRule="auto"/>
        <w:jc w:val="both"/>
        <w:rPr>
          <w:rFonts w:ascii="Arial" w:hAnsi="Arial" w:cs="Arial"/>
        </w:rPr>
      </w:pPr>
      <w:r w:rsidRPr="00881C6F">
        <w:rPr>
          <w:rFonts w:ascii="Arial" w:hAnsi="Arial" w:cs="Arial"/>
        </w:rPr>
        <w:t xml:space="preserve">Cascio, W. and Boudreau, J. (2016) </w:t>
      </w:r>
      <w:r w:rsidRPr="00881C6F">
        <w:rPr>
          <w:rFonts w:ascii="Arial" w:hAnsi="Arial" w:cs="Arial"/>
          <w:i/>
          <w:iCs/>
        </w:rPr>
        <w:t>The Search for Global Competence</w:t>
      </w:r>
      <w:r w:rsidRPr="00881C6F">
        <w:rPr>
          <w:rFonts w:ascii="Arial" w:hAnsi="Arial" w:cs="Arial"/>
        </w:rPr>
        <w:t>. San Francisco: Jossey-Bass.</w:t>
      </w:r>
    </w:p>
    <w:p w14:paraId="377A6928" w14:textId="77777777" w:rsidR="00881C6F" w:rsidRPr="00881C6F" w:rsidRDefault="00881C6F" w:rsidP="00881C6F">
      <w:pPr>
        <w:spacing w:after="0" w:line="360" w:lineRule="auto"/>
        <w:jc w:val="both"/>
        <w:rPr>
          <w:rFonts w:ascii="Arial" w:hAnsi="Arial" w:cs="Arial"/>
        </w:rPr>
      </w:pPr>
      <w:r w:rsidRPr="00881C6F">
        <w:rPr>
          <w:rFonts w:ascii="Arial" w:hAnsi="Arial" w:cs="Arial"/>
        </w:rPr>
        <w:t xml:space="preserve">Christopher, M. (2016) </w:t>
      </w:r>
      <w:r w:rsidRPr="00881C6F">
        <w:rPr>
          <w:rFonts w:ascii="Arial" w:hAnsi="Arial" w:cs="Arial"/>
          <w:i/>
          <w:iCs/>
        </w:rPr>
        <w:t>Logistics and Supply Chain Management</w:t>
      </w:r>
      <w:r w:rsidRPr="00881C6F">
        <w:rPr>
          <w:rFonts w:ascii="Arial" w:hAnsi="Arial" w:cs="Arial"/>
        </w:rPr>
        <w:t>. 5th ed. Harlow: Pearson.</w:t>
      </w:r>
    </w:p>
    <w:p w14:paraId="3EF8A1D9" w14:textId="3D16BF32" w:rsidR="00881C6F" w:rsidRDefault="00881C6F" w:rsidP="00881C6F">
      <w:pPr>
        <w:spacing w:after="0" w:line="360" w:lineRule="auto"/>
        <w:jc w:val="both"/>
        <w:rPr>
          <w:rFonts w:ascii="Arial" w:hAnsi="Arial" w:cs="Arial"/>
        </w:rPr>
      </w:pPr>
      <w:r w:rsidRPr="00881C6F">
        <w:rPr>
          <w:rFonts w:ascii="Arial" w:hAnsi="Arial" w:cs="Arial"/>
        </w:rPr>
        <w:t xml:space="preserve">Cummings, T., Bridgman, T. and Brown, K. (2016) </w:t>
      </w:r>
      <w:r w:rsidRPr="00881C6F">
        <w:rPr>
          <w:rFonts w:ascii="Arial" w:hAnsi="Arial" w:cs="Arial"/>
          <w:i/>
          <w:iCs/>
        </w:rPr>
        <w:t>Unfreezing Change as Three Steps</w:t>
      </w:r>
      <w:r w:rsidRPr="00881C6F">
        <w:rPr>
          <w:rFonts w:ascii="Arial" w:hAnsi="Arial" w:cs="Arial"/>
        </w:rPr>
        <w:t>. London: Sage.</w:t>
      </w:r>
    </w:p>
    <w:p w14:paraId="61D9B895" w14:textId="71F05CA2" w:rsidR="001F5BD9" w:rsidRDefault="001F5BD9" w:rsidP="00881C6F">
      <w:pPr>
        <w:spacing w:after="0" w:line="360" w:lineRule="auto"/>
        <w:jc w:val="both"/>
        <w:rPr>
          <w:rFonts w:ascii="Arial" w:hAnsi="Arial" w:cs="Arial"/>
        </w:rPr>
      </w:pPr>
      <w:r w:rsidRPr="001F5BD9">
        <w:rPr>
          <w:rFonts w:ascii="Arial" w:hAnsi="Arial" w:cs="Arial"/>
        </w:rPr>
        <w:t xml:space="preserve">Daft, R.L. (2021) </w:t>
      </w:r>
      <w:r w:rsidRPr="001F5BD9">
        <w:rPr>
          <w:rFonts w:ascii="Arial" w:hAnsi="Arial" w:cs="Arial"/>
          <w:i/>
          <w:iCs/>
        </w:rPr>
        <w:t>The Leadership Experience</w:t>
      </w:r>
      <w:r w:rsidRPr="001F5BD9">
        <w:rPr>
          <w:rFonts w:ascii="Arial" w:hAnsi="Arial" w:cs="Arial"/>
        </w:rPr>
        <w:t xml:space="preserve">. 8th </w:t>
      </w:r>
      <w:proofErr w:type="spellStart"/>
      <w:r w:rsidRPr="001F5BD9">
        <w:rPr>
          <w:rFonts w:ascii="Arial" w:hAnsi="Arial" w:cs="Arial"/>
        </w:rPr>
        <w:t>edn</w:t>
      </w:r>
      <w:proofErr w:type="spellEnd"/>
      <w:r w:rsidRPr="001F5BD9">
        <w:rPr>
          <w:rFonts w:ascii="Arial" w:hAnsi="Arial" w:cs="Arial"/>
        </w:rPr>
        <w:t>. Boston: Cengage Learning.</w:t>
      </w:r>
    </w:p>
    <w:p w14:paraId="69846618" w14:textId="0D15DBDF" w:rsidR="001F5BD9" w:rsidRDefault="001F5BD9" w:rsidP="00881C6F">
      <w:pPr>
        <w:spacing w:after="0" w:line="360" w:lineRule="auto"/>
        <w:jc w:val="both"/>
        <w:rPr>
          <w:rFonts w:ascii="Arial" w:hAnsi="Arial" w:cs="Arial"/>
        </w:rPr>
      </w:pPr>
      <w:r w:rsidRPr="001F5BD9">
        <w:rPr>
          <w:rFonts w:ascii="Arial" w:hAnsi="Arial" w:cs="Arial"/>
        </w:rPr>
        <w:t xml:space="preserve">Deal, T.E. and Kennedy, A.A. (2017) </w:t>
      </w:r>
      <w:r w:rsidRPr="001F5BD9">
        <w:rPr>
          <w:rFonts w:ascii="Arial" w:hAnsi="Arial" w:cs="Arial"/>
          <w:i/>
          <w:iCs/>
        </w:rPr>
        <w:t>Corporate Cultures: The Rites and Rituals of Corporate Life</w:t>
      </w:r>
      <w:r w:rsidRPr="001F5BD9">
        <w:rPr>
          <w:rFonts w:ascii="Arial" w:hAnsi="Arial" w:cs="Arial"/>
        </w:rPr>
        <w:t xml:space="preserve">. 3rd </w:t>
      </w:r>
      <w:proofErr w:type="spellStart"/>
      <w:r w:rsidRPr="001F5BD9">
        <w:rPr>
          <w:rFonts w:ascii="Arial" w:hAnsi="Arial" w:cs="Arial"/>
        </w:rPr>
        <w:t>edn</w:t>
      </w:r>
      <w:proofErr w:type="spellEnd"/>
      <w:r w:rsidRPr="001F5BD9">
        <w:rPr>
          <w:rFonts w:ascii="Arial" w:hAnsi="Arial" w:cs="Arial"/>
        </w:rPr>
        <w:t>. Boston: Perseus Books.</w:t>
      </w:r>
    </w:p>
    <w:p w14:paraId="304A71DE" w14:textId="17F00DA3" w:rsidR="001F5BD9" w:rsidRPr="001F5BD9" w:rsidRDefault="001F5BD9" w:rsidP="001F5BD9">
      <w:pPr>
        <w:spacing w:after="0" w:line="360" w:lineRule="auto"/>
        <w:jc w:val="both"/>
        <w:rPr>
          <w:rFonts w:ascii="Arial" w:hAnsi="Arial" w:cs="Arial"/>
          <w:lang w:val="en-US"/>
        </w:rPr>
      </w:pPr>
      <w:r w:rsidRPr="001F5BD9">
        <w:rPr>
          <w:rFonts w:ascii="Arial" w:hAnsi="Arial" w:cs="Arial"/>
          <w:lang w:val="en-US"/>
        </w:rPr>
        <w:t xml:space="preserve">Gill, R. (2019) </w:t>
      </w:r>
      <w:r w:rsidRPr="001F5BD9">
        <w:rPr>
          <w:rFonts w:ascii="Arial" w:hAnsi="Arial" w:cs="Arial"/>
          <w:i/>
          <w:iCs/>
          <w:lang w:val="en-US"/>
        </w:rPr>
        <w:t>Theory and Practice of Leadership</w:t>
      </w:r>
      <w:r w:rsidRPr="001F5BD9">
        <w:rPr>
          <w:rFonts w:ascii="Arial" w:hAnsi="Arial" w:cs="Arial"/>
          <w:lang w:val="en-US"/>
        </w:rPr>
        <w:t xml:space="preserve">. 3rd </w:t>
      </w:r>
      <w:proofErr w:type="spellStart"/>
      <w:r w:rsidRPr="001F5BD9">
        <w:rPr>
          <w:rFonts w:ascii="Arial" w:hAnsi="Arial" w:cs="Arial"/>
          <w:lang w:val="en-US"/>
        </w:rPr>
        <w:t>edn</w:t>
      </w:r>
      <w:proofErr w:type="spellEnd"/>
      <w:r w:rsidRPr="001F5BD9">
        <w:rPr>
          <w:rFonts w:ascii="Arial" w:hAnsi="Arial" w:cs="Arial"/>
          <w:lang w:val="en-US"/>
        </w:rPr>
        <w:t>. London: Sage Publications.</w:t>
      </w:r>
    </w:p>
    <w:p w14:paraId="22795C2E" w14:textId="365F7FF8" w:rsidR="001F5BD9" w:rsidRPr="001F5BD9" w:rsidRDefault="001F5BD9" w:rsidP="00881C6F">
      <w:pPr>
        <w:spacing w:after="0" w:line="360" w:lineRule="auto"/>
        <w:jc w:val="both"/>
        <w:rPr>
          <w:rFonts w:ascii="Arial" w:hAnsi="Arial" w:cs="Arial"/>
          <w:lang w:val="en-US"/>
        </w:rPr>
      </w:pPr>
      <w:r w:rsidRPr="001F5BD9">
        <w:rPr>
          <w:rFonts w:ascii="Arial" w:hAnsi="Arial" w:cs="Arial"/>
          <w:lang w:val="en-US"/>
        </w:rPr>
        <w:t xml:space="preserve">Goleman, D. (2017) </w:t>
      </w:r>
      <w:r w:rsidRPr="001F5BD9">
        <w:rPr>
          <w:rFonts w:ascii="Arial" w:hAnsi="Arial" w:cs="Arial"/>
          <w:i/>
          <w:iCs/>
          <w:lang w:val="en-US"/>
        </w:rPr>
        <w:t>Leadership: The Power of Emotional Intelligence</w:t>
      </w:r>
      <w:r w:rsidRPr="001F5BD9">
        <w:rPr>
          <w:rFonts w:ascii="Arial" w:hAnsi="Arial" w:cs="Arial"/>
          <w:lang w:val="en-US"/>
        </w:rPr>
        <w:t>. Northampton, MA: More Than Sound.</w:t>
      </w:r>
    </w:p>
    <w:p w14:paraId="13F19CF2" w14:textId="77777777" w:rsidR="00881C6F" w:rsidRPr="00881C6F" w:rsidRDefault="00881C6F" w:rsidP="00881C6F">
      <w:pPr>
        <w:spacing w:after="0" w:line="360" w:lineRule="auto"/>
        <w:jc w:val="both"/>
        <w:rPr>
          <w:rFonts w:ascii="Arial" w:hAnsi="Arial" w:cs="Arial"/>
        </w:rPr>
      </w:pPr>
      <w:r w:rsidRPr="00881C6F">
        <w:rPr>
          <w:rFonts w:ascii="Arial" w:hAnsi="Arial" w:cs="Arial"/>
        </w:rPr>
        <w:t xml:space="preserve">Hayes, J. (2018) </w:t>
      </w:r>
      <w:r w:rsidRPr="00881C6F">
        <w:rPr>
          <w:rFonts w:ascii="Arial" w:hAnsi="Arial" w:cs="Arial"/>
          <w:i/>
          <w:iCs/>
        </w:rPr>
        <w:t>The Theory and Practice of Change Management</w:t>
      </w:r>
      <w:r w:rsidRPr="00881C6F">
        <w:rPr>
          <w:rFonts w:ascii="Arial" w:hAnsi="Arial" w:cs="Arial"/>
        </w:rPr>
        <w:t>. 5th ed. London: Palgrave.</w:t>
      </w:r>
    </w:p>
    <w:p w14:paraId="53279649" w14:textId="6E9FF8C5" w:rsidR="00881C6F" w:rsidRPr="00881C6F" w:rsidRDefault="00881C6F" w:rsidP="00881C6F">
      <w:pPr>
        <w:spacing w:after="0" w:line="360" w:lineRule="auto"/>
        <w:jc w:val="both"/>
        <w:rPr>
          <w:rFonts w:ascii="Arial" w:hAnsi="Arial" w:cs="Arial"/>
        </w:rPr>
      </w:pPr>
      <w:r w:rsidRPr="00881C6F">
        <w:rPr>
          <w:rFonts w:ascii="Arial" w:hAnsi="Arial" w:cs="Arial"/>
        </w:rPr>
        <w:t xml:space="preserve">Heizer, J., Render, B. and Munson, C. (2020) </w:t>
      </w:r>
      <w:r w:rsidRPr="00881C6F">
        <w:rPr>
          <w:rFonts w:ascii="Arial" w:hAnsi="Arial" w:cs="Arial"/>
          <w:i/>
          <w:iCs/>
        </w:rPr>
        <w:t>Operations Management: Sustainability and Supply Chain Management</w:t>
      </w:r>
      <w:r w:rsidRPr="00881C6F">
        <w:rPr>
          <w:rFonts w:ascii="Arial" w:hAnsi="Arial" w:cs="Arial"/>
        </w:rPr>
        <w:t>. Harlow: Pearson.</w:t>
      </w:r>
    </w:p>
    <w:p w14:paraId="1CCFDCEC" w14:textId="77777777" w:rsidR="00881C6F" w:rsidRDefault="00881C6F" w:rsidP="00881C6F">
      <w:pPr>
        <w:spacing w:after="0" w:line="360" w:lineRule="auto"/>
        <w:jc w:val="both"/>
        <w:rPr>
          <w:rFonts w:ascii="Arial" w:hAnsi="Arial" w:cs="Arial"/>
        </w:rPr>
      </w:pPr>
      <w:r w:rsidRPr="00881C6F">
        <w:rPr>
          <w:rFonts w:ascii="Arial" w:hAnsi="Arial" w:cs="Arial"/>
        </w:rPr>
        <w:t xml:space="preserve">Hiatt, J. (2018) </w:t>
      </w:r>
      <w:r w:rsidRPr="00881C6F">
        <w:rPr>
          <w:rFonts w:ascii="Arial" w:hAnsi="Arial" w:cs="Arial"/>
          <w:i/>
          <w:iCs/>
        </w:rPr>
        <w:t>ADKAR: A Model for Change in Business, Government and Our Community</w:t>
      </w:r>
      <w:r w:rsidRPr="00881C6F">
        <w:rPr>
          <w:rFonts w:ascii="Arial" w:hAnsi="Arial" w:cs="Arial"/>
        </w:rPr>
        <w:t xml:space="preserve">. Loveland, CO: </w:t>
      </w:r>
      <w:proofErr w:type="spellStart"/>
      <w:r w:rsidRPr="00881C6F">
        <w:rPr>
          <w:rFonts w:ascii="Arial" w:hAnsi="Arial" w:cs="Arial"/>
        </w:rPr>
        <w:t>Prosci</w:t>
      </w:r>
      <w:proofErr w:type="spellEnd"/>
      <w:r w:rsidRPr="00881C6F">
        <w:rPr>
          <w:rFonts w:ascii="Arial" w:hAnsi="Arial" w:cs="Arial"/>
        </w:rPr>
        <w:t>.</w:t>
      </w:r>
    </w:p>
    <w:p w14:paraId="594C8A5C" w14:textId="6882FF8A" w:rsidR="001F5BD9" w:rsidRPr="00881C6F" w:rsidRDefault="001F5BD9" w:rsidP="00881C6F">
      <w:pPr>
        <w:spacing w:after="0" w:line="360" w:lineRule="auto"/>
        <w:jc w:val="both"/>
        <w:rPr>
          <w:rFonts w:ascii="Arial" w:hAnsi="Arial" w:cs="Arial"/>
        </w:rPr>
      </w:pPr>
      <w:r w:rsidRPr="001F5BD9">
        <w:rPr>
          <w:rFonts w:ascii="Arial" w:hAnsi="Arial" w:cs="Arial"/>
        </w:rPr>
        <w:lastRenderedPageBreak/>
        <w:t xml:space="preserve">Hiatt, J.M. (2019) </w:t>
      </w:r>
      <w:r w:rsidRPr="001F5BD9">
        <w:rPr>
          <w:rFonts w:ascii="Arial" w:hAnsi="Arial" w:cs="Arial"/>
          <w:i/>
          <w:iCs/>
        </w:rPr>
        <w:t>ADKAR: A Model for Change in Business, Government and Our Community</w:t>
      </w:r>
      <w:r w:rsidRPr="001F5BD9">
        <w:rPr>
          <w:rFonts w:ascii="Arial" w:hAnsi="Arial" w:cs="Arial"/>
        </w:rPr>
        <w:t xml:space="preserve">. 2nd </w:t>
      </w:r>
      <w:proofErr w:type="spellStart"/>
      <w:r w:rsidRPr="001F5BD9">
        <w:rPr>
          <w:rFonts w:ascii="Arial" w:hAnsi="Arial" w:cs="Arial"/>
        </w:rPr>
        <w:t>edn</w:t>
      </w:r>
      <w:proofErr w:type="spellEnd"/>
      <w:r w:rsidRPr="001F5BD9">
        <w:rPr>
          <w:rFonts w:ascii="Arial" w:hAnsi="Arial" w:cs="Arial"/>
        </w:rPr>
        <w:t xml:space="preserve">. Loveland, CO: </w:t>
      </w:r>
      <w:proofErr w:type="spellStart"/>
      <w:r w:rsidRPr="001F5BD9">
        <w:rPr>
          <w:rFonts w:ascii="Arial" w:hAnsi="Arial" w:cs="Arial"/>
        </w:rPr>
        <w:t>Prosci</w:t>
      </w:r>
      <w:proofErr w:type="spellEnd"/>
      <w:r w:rsidRPr="001F5BD9">
        <w:rPr>
          <w:rFonts w:ascii="Arial" w:hAnsi="Arial" w:cs="Arial"/>
        </w:rPr>
        <w:t xml:space="preserve"> Research.</w:t>
      </w:r>
    </w:p>
    <w:p w14:paraId="2FEB9BC6" w14:textId="565BAF5B" w:rsidR="00881C6F" w:rsidRPr="00881C6F" w:rsidRDefault="00881C6F" w:rsidP="00881C6F">
      <w:pPr>
        <w:spacing w:after="0" w:line="360" w:lineRule="auto"/>
        <w:jc w:val="both"/>
        <w:rPr>
          <w:rFonts w:ascii="Arial" w:hAnsi="Arial" w:cs="Arial"/>
        </w:rPr>
      </w:pPr>
      <w:r w:rsidRPr="00881C6F">
        <w:rPr>
          <w:rFonts w:ascii="Arial" w:hAnsi="Arial" w:cs="Arial"/>
        </w:rPr>
        <w:t xml:space="preserve">Johnson, G., Whittington, R., Scholes, K., Angwin, D. and </w:t>
      </w:r>
      <w:proofErr w:type="spellStart"/>
      <w:r w:rsidRPr="00881C6F">
        <w:rPr>
          <w:rFonts w:ascii="Arial" w:hAnsi="Arial" w:cs="Arial"/>
        </w:rPr>
        <w:t>Regnér</w:t>
      </w:r>
      <w:proofErr w:type="spellEnd"/>
      <w:r w:rsidRPr="00881C6F">
        <w:rPr>
          <w:rFonts w:ascii="Arial" w:hAnsi="Arial" w:cs="Arial"/>
        </w:rPr>
        <w:t xml:space="preserve">, P. (2020) </w:t>
      </w:r>
      <w:r w:rsidRPr="00881C6F">
        <w:rPr>
          <w:rFonts w:ascii="Arial" w:hAnsi="Arial" w:cs="Arial"/>
          <w:i/>
          <w:iCs/>
        </w:rPr>
        <w:t>Exploring Strategy</w:t>
      </w:r>
      <w:r w:rsidRPr="00881C6F">
        <w:rPr>
          <w:rFonts w:ascii="Arial" w:hAnsi="Arial" w:cs="Arial"/>
        </w:rPr>
        <w:t>. 12th ed. Harlow: Pearson.</w:t>
      </w:r>
    </w:p>
    <w:p w14:paraId="5FD9BB43" w14:textId="77777777" w:rsidR="00881C6F" w:rsidRPr="00881C6F" w:rsidRDefault="00881C6F" w:rsidP="00881C6F">
      <w:pPr>
        <w:spacing w:after="0" w:line="360" w:lineRule="auto"/>
        <w:jc w:val="both"/>
        <w:rPr>
          <w:rFonts w:ascii="Arial" w:hAnsi="Arial" w:cs="Arial"/>
        </w:rPr>
      </w:pPr>
      <w:r w:rsidRPr="00881C6F">
        <w:rPr>
          <w:rFonts w:ascii="Arial" w:hAnsi="Arial" w:cs="Arial"/>
        </w:rPr>
        <w:t xml:space="preserve">Kotter, J. (2021) </w:t>
      </w:r>
      <w:r w:rsidRPr="00881C6F">
        <w:rPr>
          <w:rFonts w:ascii="Arial" w:hAnsi="Arial" w:cs="Arial"/>
          <w:i/>
          <w:iCs/>
        </w:rPr>
        <w:t>Change: How Organisations Achieve Hard-to-Imagine Results in Uncertain Times</w:t>
      </w:r>
      <w:r w:rsidRPr="00881C6F">
        <w:rPr>
          <w:rFonts w:ascii="Arial" w:hAnsi="Arial" w:cs="Arial"/>
        </w:rPr>
        <w:t>. New York: Scribner.</w:t>
      </w:r>
    </w:p>
    <w:p w14:paraId="445568A3" w14:textId="77777777" w:rsidR="00881C6F" w:rsidRPr="00881C6F" w:rsidRDefault="00881C6F" w:rsidP="00881C6F">
      <w:pPr>
        <w:spacing w:after="0" w:line="360" w:lineRule="auto"/>
        <w:jc w:val="both"/>
        <w:rPr>
          <w:rFonts w:ascii="Arial" w:hAnsi="Arial" w:cs="Arial"/>
        </w:rPr>
      </w:pPr>
      <w:r w:rsidRPr="00881C6F">
        <w:rPr>
          <w:rFonts w:ascii="Arial" w:hAnsi="Arial" w:cs="Arial"/>
        </w:rPr>
        <w:t xml:space="preserve">Northouse, P. (2021) </w:t>
      </w:r>
      <w:r w:rsidRPr="00881C6F">
        <w:rPr>
          <w:rFonts w:ascii="Arial" w:hAnsi="Arial" w:cs="Arial"/>
          <w:i/>
          <w:iCs/>
        </w:rPr>
        <w:t>Leadership: Theory and Practice</w:t>
      </w:r>
      <w:r w:rsidRPr="00881C6F">
        <w:rPr>
          <w:rFonts w:ascii="Arial" w:hAnsi="Arial" w:cs="Arial"/>
        </w:rPr>
        <w:t>. 9th ed. London: Sage.</w:t>
      </w:r>
    </w:p>
    <w:p w14:paraId="0D33B959" w14:textId="77777777" w:rsidR="00881C6F" w:rsidRDefault="00881C6F" w:rsidP="00881C6F">
      <w:pPr>
        <w:spacing w:after="0" w:line="360" w:lineRule="auto"/>
        <w:jc w:val="both"/>
        <w:rPr>
          <w:rFonts w:ascii="Arial" w:hAnsi="Arial" w:cs="Arial"/>
        </w:rPr>
      </w:pPr>
      <w:r w:rsidRPr="00881C6F">
        <w:rPr>
          <w:rFonts w:ascii="Arial" w:hAnsi="Arial" w:cs="Arial"/>
        </w:rPr>
        <w:t xml:space="preserve">Reilly, P. (2018) </w:t>
      </w:r>
      <w:r w:rsidRPr="00881C6F">
        <w:rPr>
          <w:rFonts w:ascii="Arial" w:hAnsi="Arial" w:cs="Arial"/>
          <w:i/>
          <w:iCs/>
        </w:rPr>
        <w:t>Strategic HR: Building the Capability to Deliver</w:t>
      </w:r>
      <w:r w:rsidRPr="00881C6F">
        <w:rPr>
          <w:rFonts w:ascii="Arial" w:hAnsi="Arial" w:cs="Arial"/>
        </w:rPr>
        <w:t>. Farnham: Gower.</w:t>
      </w:r>
    </w:p>
    <w:p w14:paraId="735E371E" w14:textId="31A6242F" w:rsidR="001F5BD9" w:rsidRDefault="001F5BD9" w:rsidP="00881C6F">
      <w:pPr>
        <w:spacing w:after="0" w:line="360" w:lineRule="auto"/>
        <w:jc w:val="both"/>
        <w:rPr>
          <w:rFonts w:ascii="Arial" w:hAnsi="Arial" w:cs="Arial"/>
        </w:rPr>
      </w:pPr>
      <w:r w:rsidRPr="001F5BD9">
        <w:rPr>
          <w:rFonts w:ascii="Arial" w:hAnsi="Arial" w:cs="Arial"/>
        </w:rPr>
        <w:t xml:space="preserve">Robbins, S.P. and Judge, T.A. (2022) </w:t>
      </w:r>
      <w:r w:rsidRPr="001F5BD9">
        <w:rPr>
          <w:rFonts w:ascii="Arial" w:hAnsi="Arial" w:cs="Arial"/>
          <w:i/>
          <w:iCs/>
        </w:rPr>
        <w:t>Organisational Behaviour</w:t>
      </w:r>
      <w:r w:rsidRPr="001F5BD9">
        <w:rPr>
          <w:rFonts w:ascii="Arial" w:hAnsi="Arial" w:cs="Arial"/>
        </w:rPr>
        <w:t xml:space="preserve">. 19th </w:t>
      </w:r>
      <w:proofErr w:type="spellStart"/>
      <w:r w:rsidRPr="001F5BD9">
        <w:rPr>
          <w:rFonts w:ascii="Arial" w:hAnsi="Arial" w:cs="Arial"/>
        </w:rPr>
        <w:t>edn</w:t>
      </w:r>
      <w:proofErr w:type="spellEnd"/>
      <w:r w:rsidRPr="001F5BD9">
        <w:rPr>
          <w:rFonts w:ascii="Arial" w:hAnsi="Arial" w:cs="Arial"/>
        </w:rPr>
        <w:t>. Harlow: Pearson Education.</w:t>
      </w:r>
    </w:p>
    <w:p w14:paraId="4C581A1D" w14:textId="783D7842" w:rsidR="001F5BD9" w:rsidRPr="001F5BD9" w:rsidRDefault="001F5BD9" w:rsidP="001F5BD9">
      <w:pPr>
        <w:spacing w:after="0" w:line="360" w:lineRule="auto"/>
        <w:jc w:val="both"/>
        <w:rPr>
          <w:rFonts w:ascii="Arial" w:hAnsi="Arial" w:cs="Arial"/>
          <w:lang w:val="en-US"/>
        </w:rPr>
      </w:pPr>
      <w:r w:rsidRPr="001F5BD9">
        <w:rPr>
          <w:rFonts w:ascii="Arial" w:hAnsi="Arial" w:cs="Arial"/>
          <w:lang w:val="en-US"/>
        </w:rPr>
        <w:t xml:space="preserve">Schein, E.H. (2017) </w:t>
      </w:r>
      <w:r w:rsidRPr="001F5BD9">
        <w:rPr>
          <w:rFonts w:ascii="Arial" w:hAnsi="Arial" w:cs="Arial"/>
          <w:i/>
          <w:iCs/>
          <w:lang w:val="en-US"/>
        </w:rPr>
        <w:t>Organizational Culture and Leadership</w:t>
      </w:r>
      <w:r w:rsidRPr="001F5BD9">
        <w:rPr>
          <w:rFonts w:ascii="Arial" w:hAnsi="Arial" w:cs="Arial"/>
          <w:lang w:val="en-US"/>
        </w:rPr>
        <w:t xml:space="preserve">. 5th </w:t>
      </w:r>
      <w:proofErr w:type="spellStart"/>
      <w:r w:rsidRPr="001F5BD9">
        <w:rPr>
          <w:rFonts w:ascii="Arial" w:hAnsi="Arial" w:cs="Arial"/>
          <w:lang w:val="en-US"/>
        </w:rPr>
        <w:t>edn</w:t>
      </w:r>
      <w:proofErr w:type="spellEnd"/>
      <w:r w:rsidRPr="001F5BD9">
        <w:rPr>
          <w:rFonts w:ascii="Arial" w:hAnsi="Arial" w:cs="Arial"/>
          <w:lang w:val="en-US"/>
        </w:rPr>
        <w:t>. Hoboken, NJ: Wiley.</w:t>
      </w:r>
    </w:p>
    <w:p w14:paraId="1C94202B" w14:textId="693B6373" w:rsidR="001F5BD9" w:rsidRPr="001F5BD9" w:rsidRDefault="001F5BD9" w:rsidP="00881C6F">
      <w:pPr>
        <w:spacing w:after="0" w:line="360" w:lineRule="auto"/>
        <w:jc w:val="both"/>
        <w:rPr>
          <w:rFonts w:ascii="Arial" w:hAnsi="Arial" w:cs="Arial"/>
          <w:lang w:val="en-US"/>
        </w:rPr>
      </w:pPr>
      <w:r w:rsidRPr="001F5BD9">
        <w:rPr>
          <w:rFonts w:ascii="Arial" w:hAnsi="Arial" w:cs="Arial"/>
          <w:lang w:val="en-US"/>
        </w:rPr>
        <w:t xml:space="preserve">Slack, N. and Brandon-Jones, A. (2022) </w:t>
      </w:r>
      <w:r w:rsidRPr="001F5BD9">
        <w:rPr>
          <w:rFonts w:ascii="Arial" w:hAnsi="Arial" w:cs="Arial"/>
          <w:i/>
          <w:iCs/>
          <w:lang w:val="en-US"/>
        </w:rPr>
        <w:t>Operations and Process Management</w:t>
      </w:r>
      <w:r w:rsidRPr="001F5BD9">
        <w:rPr>
          <w:rFonts w:ascii="Arial" w:hAnsi="Arial" w:cs="Arial"/>
          <w:lang w:val="en-US"/>
        </w:rPr>
        <w:t xml:space="preserve">. 6th </w:t>
      </w:r>
      <w:proofErr w:type="spellStart"/>
      <w:r w:rsidRPr="001F5BD9">
        <w:rPr>
          <w:rFonts w:ascii="Arial" w:hAnsi="Arial" w:cs="Arial"/>
          <w:lang w:val="en-US"/>
        </w:rPr>
        <w:t>edn</w:t>
      </w:r>
      <w:proofErr w:type="spellEnd"/>
      <w:r w:rsidRPr="001F5BD9">
        <w:rPr>
          <w:rFonts w:ascii="Arial" w:hAnsi="Arial" w:cs="Arial"/>
          <w:lang w:val="en-US"/>
        </w:rPr>
        <w:t>. Harlow: Pearson Education.</w:t>
      </w:r>
    </w:p>
    <w:p w14:paraId="5594585B" w14:textId="411E4D25" w:rsidR="00881C6F" w:rsidRPr="00881C6F" w:rsidRDefault="00881C6F" w:rsidP="00881C6F">
      <w:pPr>
        <w:spacing w:after="0" w:line="360" w:lineRule="auto"/>
        <w:jc w:val="both"/>
        <w:rPr>
          <w:rFonts w:ascii="Arial" w:hAnsi="Arial" w:cs="Arial"/>
        </w:rPr>
      </w:pPr>
      <w:r w:rsidRPr="00881C6F">
        <w:rPr>
          <w:rFonts w:ascii="Arial" w:hAnsi="Arial" w:cs="Arial"/>
        </w:rPr>
        <w:t xml:space="preserve">Westerman, G., Bonnet, D. and McAfee, A. (2018) </w:t>
      </w:r>
      <w:r w:rsidRPr="00881C6F">
        <w:rPr>
          <w:rFonts w:ascii="Arial" w:hAnsi="Arial" w:cs="Arial"/>
          <w:i/>
          <w:iCs/>
        </w:rPr>
        <w:t>Leading Digital: Turning Technology into Business Transformation</w:t>
      </w:r>
      <w:r w:rsidRPr="00881C6F">
        <w:rPr>
          <w:rFonts w:ascii="Arial" w:hAnsi="Arial" w:cs="Arial"/>
        </w:rPr>
        <w:t>. Boston, MA: Harvard Business Review Press.</w:t>
      </w:r>
    </w:p>
    <w:p w14:paraId="527C9E2D" w14:textId="77777777" w:rsidR="00881C6F" w:rsidRDefault="00881C6F"/>
    <w:sectPr w:rsidR="00881C6F" w:rsidSect="00F36189">
      <w:footerReference w:type="default" r:id="rId8"/>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E54EC" w14:textId="77777777" w:rsidR="00921E20" w:rsidRDefault="00921E20" w:rsidP="00F36189">
      <w:pPr>
        <w:spacing w:after="0" w:line="240" w:lineRule="auto"/>
      </w:pPr>
      <w:r>
        <w:separator/>
      </w:r>
    </w:p>
  </w:endnote>
  <w:endnote w:type="continuationSeparator" w:id="0">
    <w:p w14:paraId="755969B2" w14:textId="77777777" w:rsidR="00921E20" w:rsidRDefault="00921E20" w:rsidP="00F36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142DE" w14:textId="073FC39D" w:rsidR="00F36189" w:rsidRDefault="00F36189">
    <w:pPr>
      <w:pStyle w:val="Footer"/>
      <w:jc w:val="center"/>
    </w:pPr>
  </w:p>
  <w:p w14:paraId="5F9EF7C8" w14:textId="77777777" w:rsidR="00F36189" w:rsidRDefault="00F361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3250547"/>
      <w:docPartObj>
        <w:docPartGallery w:val="Page Numbers (Bottom of Page)"/>
        <w:docPartUnique/>
      </w:docPartObj>
    </w:sdtPr>
    <w:sdtEndPr>
      <w:rPr>
        <w:noProof/>
      </w:rPr>
    </w:sdtEndPr>
    <w:sdtContent>
      <w:p w14:paraId="143F0843" w14:textId="77777777" w:rsidR="00F36189" w:rsidRDefault="00F361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2CAF41" w14:textId="77777777" w:rsidR="00F36189" w:rsidRDefault="00F36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3450C" w14:textId="77777777" w:rsidR="00921E20" w:rsidRDefault="00921E20" w:rsidP="00F36189">
      <w:pPr>
        <w:spacing w:after="0" w:line="240" w:lineRule="auto"/>
      </w:pPr>
      <w:r>
        <w:separator/>
      </w:r>
    </w:p>
  </w:footnote>
  <w:footnote w:type="continuationSeparator" w:id="0">
    <w:p w14:paraId="504D982D" w14:textId="77777777" w:rsidR="00921E20" w:rsidRDefault="00921E20" w:rsidP="00F361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9A4"/>
    <w:rsid w:val="0000753D"/>
    <w:rsid w:val="0002483A"/>
    <w:rsid w:val="00154C45"/>
    <w:rsid w:val="001F5BD9"/>
    <w:rsid w:val="00303839"/>
    <w:rsid w:val="004171D6"/>
    <w:rsid w:val="00465722"/>
    <w:rsid w:val="0050612E"/>
    <w:rsid w:val="00524867"/>
    <w:rsid w:val="006209A4"/>
    <w:rsid w:val="00644B49"/>
    <w:rsid w:val="00753B51"/>
    <w:rsid w:val="0076780F"/>
    <w:rsid w:val="00881C6F"/>
    <w:rsid w:val="00921E20"/>
    <w:rsid w:val="0094066F"/>
    <w:rsid w:val="00963021"/>
    <w:rsid w:val="00A7063B"/>
    <w:rsid w:val="00BB74BD"/>
    <w:rsid w:val="00C2087F"/>
    <w:rsid w:val="00C8484E"/>
    <w:rsid w:val="00E0388A"/>
    <w:rsid w:val="00F36189"/>
    <w:rsid w:val="00F41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320B"/>
  <w15:chartTrackingRefBased/>
  <w15:docId w15:val="{B178E4EA-940A-4919-8F8A-196B0AD63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63B"/>
    <w:pPr>
      <w:spacing w:after="200" w:line="276" w:lineRule="auto"/>
    </w:pPr>
    <w:rPr>
      <w:rFonts w:eastAsiaTheme="minorEastAsia"/>
      <w:kern w:val="0"/>
      <w:sz w:val="22"/>
      <w:szCs w:val="22"/>
      <w:lang w:val="en-GB"/>
      <w14:ligatures w14:val="none"/>
    </w:rPr>
  </w:style>
  <w:style w:type="paragraph" w:styleId="Heading1">
    <w:name w:val="heading 1"/>
    <w:basedOn w:val="Normal"/>
    <w:next w:val="Normal"/>
    <w:link w:val="Heading1Char"/>
    <w:uiPriority w:val="9"/>
    <w:qFormat/>
    <w:rsid w:val="006209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09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09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09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09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09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9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9A4"/>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6209A4"/>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6209A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209A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209A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209A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209A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209A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209A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209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9A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20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9A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209A4"/>
    <w:pPr>
      <w:spacing w:before="160"/>
      <w:jc w:val="center"/>
    </w:pPr>
    <w:rPr>
      <w:i/>
      <w:iCs/>
      <w:color w:val="404040" w:themeColor="text1" w:themeTint="BF"/>
    </w:rPr>
  </w:style>
  <w:style w:type="character" w:customStyle="1" w:styleId="QuoteChar">
    <w:name w:val="Quote Char"/>
    <w:basedOn w:val="DefaultParagraphFont"/>
    <w:link w:val="Quote"/>
    <w:uiPriority w:val="29"/>
    <w:rsid w:val="006209A4"/>
    <w:rPr>
      <w:i/>
      <w:iCs/>
      <w:color w:val="404040" w:themeColor="text1" w:themeTint="BF"/>
      <w:lang w:val="en-GB"/>
    </w:rPr>
  </w:style>
  <w:style w:type="paragraph" w:styleId="ListParagraph">
    <w:name w:val="List Paragraph"/>
    <w:basedOn w:val="Normal"/>
    <w:uiPriority w:val="34"/>
    <w:qFormat/>
    <w:rsid w:val="006209A4"/>
    <w:pPr>
      <w:ind w:left="720"/>
      <w:contextualSpacing/>
    </w:pPr>
  </w:style>
  <w:style w:type="character" w:styleId="IntenseEmphasis">
    <w:name w:val="Intense Emphasis"/>
    <w:basedOn w:val="DefaultParagraphFont"/>
    <w:uiPriority w:val="21"/>
    <w:qFormat/>
    <w:rsid w:val="006209A4"/>
    <w:rPr>
      <w:i/>
      <w:iCs/>
      <w:color w:val="2F5496" w:themeColor="accent1" w:themeShade="BF"/>
    </w:rPr>
  </w:style>
  <w:style w:type="paragraph" w:styleId="IntenseQuote">
    <w:name w:val="Intense Quote"/>
    <w:basedOn w:val="Normal"/>
    <w:next w:val="Normal"/>
    <w:link w:val="IntenseQuoteChar"/>
    <w:uiPriority w:val="30"/>
    <w:qFormat/>
    <w:rsid w:val="006209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09A4"/>
    <w:rPr>
      <w:i/>
      <w:iCs/>
      <w:color w:val="2F5496" w:themeColor="accent1" w:themeShade="BF"/>
      <w:lang w:val="en-GB"/>
    </w:rPr>
  </w:style>
  <w:style w:type="character" w:styleId="IntenseReference">
    <w:name w:val="Intense Reference"/>
    <w:basedOn w:val="DefaultParagraphFont"/>
    <w:uiPriority w:val="32"/>
    <w:qFormat/>
    <w:rsid w:val="006209A4"/>
    <w:rPr>
      <w:b/>
      <w:bCs/>
      <w:smallCaps/>
      <w:color w:val="2F5496" w:themeColor="accent1" w:themeShade="BF"/>
      <w:spacing w:val="5"/>
    </w:rPr>
  </w:style>
  <w:style w:type="paragraph" w:styleId="TOCHeading">
    <w:name w:val="TOC Heading"/>
    <w:basedOn w:val="Heading1"/>
    <w:next w:val="Normal"/>
    <w:uiPriority w:val="39"/>
    <w:unhideWhenUsed/>
    <w:qFormat/>
    <w:rsid w:val="00F36189"/>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F36189"/>
    <w:pPr>
      <w:spacing w:after="100"/>
    </w:pPr>
  </w:style>
  <w:style w:type="character" w:styleId="Hyperlink">
    <w:name w:val="Hyperlink"/>
    <w:basedOn w:val="DefaultParagraphFont"/>
    <w:uiPriority w:val="99"/>
    <w:unhideWhenUsed/>
    <w:rsid w:val="00F36189"/>
    <w:rPr>
      <w:color w:val="0563C1" w:themeColor="hyperlink"/>
      <w:u w:val="single"/>
    </w:rPr>
  </w:style>
  <w:style w:type="paragraph" w:styleId="Header">
    <w:name w:val="header"/>
    <w:basedOn w:val="Normal"/>
    <w:link w:val="HeaderChar"/>
    <w:uiPriority w:val="99"/>
    <w:unhideWhenUsed/>
    <w:rsid w:val="00F36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189"/>
    <w:rPr>
      <w:rFonts w:eastAsiaTheme="minorEastAsia"/>
      <w:kern w:val="0"/>
      <w:sz w:val="22"/>
      <w:szCs w:val="22"/>
      <w:lang w:val="en-GB"/>
      <w14:ligatures w14:val="none"/>
    </w:rPr>
  </w:style>
  <w:style w:type="paragraph" w:styleId="Footer">
    <w:name w:val="footer"/>
    <w:basedOn w:val="Normal"/>
    <w:link w:val="FooterChar"/>
    <w:uiPriority w:val="99"/>
    <w:unhideWhenUsed/>
    <w:rsid w:val="00F36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189"/>
    <w:rPr>
      <w:rFonts w:eastAsiaTheme="minorEastAsia"/>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3A6F1-1809-46C2-B82F-14735C8A9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5294</Words>
  <Characters>30182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2025-10-12T09:12:00Z</dcterms:created>
  <dcterms:modified xsi:type="dcterms:W3CDTF">2025-10-25T11:15:00Z</dcterms:modified>
</cp:coreProperties>
</file>