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EB32F8" w14:textId="77777777" w:rsidR="00477317" w:rsidRDefault="00000000">
      <w:pPr>
        <w:spacing w:before="100" w:beforeAutospacing="1" w:after="100" w:afterAutospacing="1" w:line="24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LEVEL 4 ASSESSMENT</w:t>
      </w:r>
    </w:p>
    <w:p w14:paraId="000F38F4" w14:textId="77777777" w:rsidR="00477317" w:rsidRDefault="00000000">
      <w:pPr>
        <w:spacing w:before="100" w:beforeAutospacing="1" w:after="100" w:afterAutospacing="1" w:line="24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NETWORKS AND CYBER SECURITY ESSENTIALS</w:t>
      </w:r>
      <w:r>
        <w:rPr>
          <w:rFonts w:ascii="Times New Roman" w:eastAsia="Times New Roman" w:hAnsi="Times New Roman" w:cs="Times New Roman"/>
          <w:sz w:val="24"/>
          <w:szCs w:val="24"/>
        </w:rPr>
        <w:br/>
      </w:r>
    </w:p>
    <w:p w14:paraId="6308887C" w14:textId="77777777" w:rsidR="00477317" w:rsidRDefault="00000000">
      <w:pPr>
        <w:spacing w:before="100" w:beforeAutospacing="1" w:after="100" w:afterAutospacing="1" w:line="240" w:lineRule="auto"/>
        <w:jc w:val="center"/>
        <w:rPr>
          <w:rFonts w:ascii="Times New Roman" w:eastAsia="Times New Roman" w:hAnsi="Times New Roman" w:cs="Times New Roman"/>
          <w:b/>
          <w:bCs/>
          <w:color w:val="1F497D" w:themeColor="text2"/>
          <w:sz w:val="44"/>
          <w:szCs w:val="44"/>
        </w:rPr>
      </w:pPr>
      <w:r>
        <w:rPr>
          <w:rFonts w:ascii="Times New Roman" w:eastAsia="Times New Roman" w:hAnsi="Times New Roman" w:cs="Times New Roman"/>
          <w:b/>
          <w:bCs/>
          <w:color w:val="1F497D" w:themeColor="text2"/>
          <w:sz w:val="44"/>
          <w:szCs w:val="44"/>
        </w:rPr>
        <w:t>COMPREHENSIVE ZERO TRUST SECURITY FRAMEWORK FOR VIGILANT TRUST &amp; ASSET MANAGEMENT</w:t>
      </w:r>
    </w:p>
    <w:p w14:paraId="5968DE74" w14:textId="77777777" w:rsidR="00477317" w:rsidRDefault="00477317">
      <w:pPr>
        <w:spacing w:after="0" w:line="240" w:lineRule="auto"/>
        <w:rPr>
          <w:rFonts w:ascii="Times New Roman" w:eastAsia="Times New Roman" w:hAnsi="Times New Roman" w:cs="Times New Roman"/>
          <w:sz w:val="24"/>
          <w:szCs w:val="24"/>
        </w:rPr>
      </w:pPr>
    </w:p>
    <w:p w14:paraId="272AF4B7" w14:textId="77777777" w:rsidR="00477317" w:rsidRDefault="00581F25">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r>
      <w:r w:rsidR="00581F25">
        <w:rPr>
          <w:rFonts w:ascii="Times New Roman" w:eastAsia="Times New Roman" w:hAnsi="Times New Roman" w:cs="Times New Roman"/>
          <w:noProof/>
          <w:sz w:val="24"/>
          <w:szCs w:val="24"/>
        </w:rPr>
        <w:pict w14:anchorId="5C7B47DF">
          <v:rect id="_x0000_i1025" alt="" style="width:451.3pt;height:.05pt;mso-width-percent:0;mso-height-percent:0;mso-width-percent:0;mso-height-percent:0" o:hralign="center" o:hrstd="t" o:hr="t" fillcolor="#a0a0a0" stroked="f"/>
        </w:pict>
      </w:r>
    </w:p>
    <w:p w14:paraId="35FACB86" w14:textId="77777777" w:rsidR="00477317" w:rsidRDefault="00477317">
      <w:pPr>
        <w:spacing w:before="100" w:beforeAutospacing="1" w:after="100" w:afterAutospacing="1" w:line="240" w:lineRule="auto"/>
        <w:rPr>
          <w:rFonts w:ascii="Times New Roman" w:eastAsia="Times New Roman" w:hAnsi="Times New Roman" w:cs="Times New Roman"/>
          <w:sz w:val="24"/>
          <w:szCs w:val="24"/>
        </w:rPr>
      </w:pPr>
    </w:p>
    <w:p w14:paraId="715EB29C" w14:textId="03860ACE" w:rsidR="00477317" w:rsidRDefault="00000000">
      <w:pPr>
        <w:spacing w:after="0" w:line="360" w:lineRule="auto"/>
        <w:rPr>
          <w:rFonts w:ascii="Times New Roman" w:eastAsia="Times New Roman" w:hAnsi="Times New Roman" w:cs="Times New Roman"/>
          <w:i/>
          <w:sz w:val="30"/>
          <w:szCs w:val="30"/>
        </w:rPr>
      </w:pPr>
      <w:r>
        <w:rPr>
          <w:rFonts w:ascii="Times New Roman" w:eastAsia="Times New Roman" w:hAnsi="Times New Roman" w:cs="Times New Roman"/>
          <w:b/>
          <w:bCs/>
          <w:i/>
          <w:sz w:val="30"/>
          <w:szCs w:val="30"/>
        </w:rPr>
        <w:t>Student Name:</w:t>
      </w:r>
      <w:r>
        <w:rPr>
          <w:rFonts w:ascii="Times New Roman" w:eastAsia="Times New Roman" w:hAnsi="Times New Roman" w:cs="Times New Roman"/>
          <w:i/>
          <w:sz w:val="30"/>
          <w:szCs w:val="30"/>
        </w:rPr>
        <w:t xml:space="preserve"> </w:t>
      </w:r>
      <w:r w:rsidR="00ED45BB">
        <w:rPr>
          <w:rFonts w:ascii="Times New Roman" w:eastAsia="Times New Roman" w:hAnsi="Times New Roman" w:cs="Times New Roman"/>
          <w:i/>
          <w:sz w:val="30"/>
          <w:szCs w:val="30"/>
        </w:rPr>
        <w:t>Muhammad Waqas Akram</w:t>
      </w:r>
      <w:r>
        <w:rPr>
          <w:rFonts w:ascii="Times New Roman" w:eastAsia="Times New Roman" w:hAnsi="Times New Roman" w:cs="Times New Roman"/>
          <w:i/>
          <w:sz w:val="30"/>
          <w:szCs w:val="30"/>
        </w:rPr>
        <w:br/>
      </w:r>
      <w:r>
        <w:rPr>
          <w:rFonts w:ascii="Times New Roman" w:eastAsia="Times New Roman" w:hAnsi="Times New Roman" w:cs="Times New Roman"/>
          <w:b/>
          <w:bCs/>
          <w:i/>
          <w:sz w:val="30"/>
          <w:szCs w:val="30"/>
        </w:rPr>
        <w:t>Student ID:</w:t>
      </w:r>
      <w:r>
        <w:rPr>
          <w:rFonts w:ascii="Times New Roman" w:eastAsia="Times New Roman" w:hAnsi="Times New Roman" w:cs="Times New Roman"/>
          <w:i/>
          <w:sz w:val="30"/>
          <w:szCs w:val="30"/>
        </w:rPr>
        <w:t xml:space="preserve"> </w:t>
      </w:r>
      <w:r w:rsidR="00ED45BB">
        <w:rPr>
          <w:rFonts w:ascii="Times New Roman" w:eastAsia="Times New Roman" w:hAnsi="Times New Roman" w:cs="Times New Roman"/>
          <w:i/>
          <w:sz w:val="30"/>
          <w:szCs w:val="30"/>
        </w:rPr>
        <w:t>2429948</w:t>
      </w:r>
      <w:r>
        <w:rPr>
          <w:rFonts w:ascii="Times New Roman" w:eastAsia="Times New Roman" w:hAnsi="Times New Roman" w:cs="Times New Roman"/>
          <w:i/>
          <w:sz w:val="30"/>
          <w:szCs w:val="30"/>
        </w:rPr>
        <w:br/>
      </w:r>
      <w:r>
        <w:rPr>
          <w:rFonts w:ascii="Times New Roman" w:eastAsia="Times New Roman" w:hAnsi="Times New Roman" w:cs="Times New Roman"/>
          <w:b/>
          <w:bCs/>
          <w:i/>
          <w:sz w:val="30"/>
          <w:szCs w:val="30"/>
        </w:rPr>
        <w:t>Programme:</w:t>
      </w:r>
      <w:r>
        <w:rPr>
          <w:rFonts w:ascii="Times New Roman" w:eastAsia="Times New Roman" w:hAnsi="Times New Roman" w:cs="Times New Roman"/>
          <w:i/>
          <w:sz w:val="30"/>
          <w:szCs w:val="30"/>
        </w:rPr>
        <w:t xml:space="preserve"> CertHE Computing Skills for Workplace</w:t>
      </w:r>
    </w:p>
    <w:p w14:paraId="58F71031" w14:textId="77777777" w:rsidR="00477317" w:rsidRDefault="00000000">
      <w:pPr>
        <w:spacing w:after="0" w:line="360" w:lineRule="auto"/>
        <w:rPr>
          <w:rFonts w:ascii="Times New Roman" w:eastAsia="Times New Roman" w:hAnsi="Times New Roman" w:cs="Times New Roman"/>
          <w:i/>
          <w:sz w:val="30"/>
          <w:szCs w:val="30"/>
        </w:rPr>
      </w:pPr>
      <w:r>
        <w:rPr>
          <w:rFonts w:ascii="Times New Roman" w:eastAsia="Times New Roman" w:hAnsi="Times New Roman" w:cs="Times New Roman"/>
          <w:b/>
          <w:bCs/>
          <w:i/>
          <w:sz w:val="30"/>
          <w:szCs w:val="30"/>
        </w:rPr>
        <w:t>Module Code: ACCA4024</w:t>
      </w:r>
    </w:p>
    <w:p w14:paraId="19351BDE" w14:textId="6C9A7442" w:rsidR="00477317" w:rsidRDefault="00000000">
      <w:pPr>
        <w:spacing w:after="0" w:line="360" w:lineRule="auto"/>
        <w:rPr>
          <w:rFonts w:ascii="Times New Roman" w:eastAsia="Times New Roman" w:hAnsi="Times New Roman" w:cs="Times New Roman"/>
          <w:i/>
          <w:sz w:val="30"/>
          <w:szCs w:val="30"/>
        </w:rPr>
      </w:pPr>
      <w:r>
        <w:rPr>
          <w:rFonts w:ascii="Times New Roman" w:eastAsia="Times New Roman" w:hAnsi="Times New Roman" w:cs="Times New Roman"/>
          <w:b/>
          <w:bCs/>
          <w:i/>
          <w:sz w:val="30"/>
          <w:szCs w:val="30"/>
        </w:rPr>
        <w:t>Lecturer:</w:t>
      </w:r>
      <w:r>
        <w:rPr>
          <w:rFonts w:ascii="Times New Roman" w:eastAsia="Times New Roman" w:hAnsi="Times New Roman" w:cs="Times New Roman"/>
          <w:i/>
          <w:sz w:val="30"/>
          <w:szCs w:val="30"/>
        </w:rPr>
        <w:t xml:space="preserve"> Amit Naik</w:t>
      </w:r>
    </w:p>
    <w:p w14:paraId="257AD4FD" w14:textId="77777777" w:rsidR="00477317" w:rsidRDefault="00000000">
      <w:pPr>
        <w:spacing w:after="0" w:line="360" w:lineRule="auto"/>
        <w:rPr>
          <w:rFonts w:ascii="Times New Roman" w:eastAsia="Times New Roman" w:hAnsi="Times New Roman" w:cs="Times New Roman"/>
          <w:i/>
          <w:sz w:val="36"/>
          <w:szCs w:val="36"/>
        </w:rPr>
      </w:pPr>
      <w:r>
        <w:rPr>
          <w:rFonts w:ascii="Times New Roman" w:eastAsia="Times New Roman" w:hAnsi="Times New Roman" w:cs="Times New Roman"/>
          <w:b/>
          <w:bCs/>
          <w:i/>
          <w:sz w:val="30"/>
          <w:szCs w:val="30"/>
        </w:rPr>
        <w:t>Submission Date:</w:t>
      </w:r>
      <w:r>
        <w:rPr>
          <w:rFonts w:ascii="Times New Roman" w:eastAsia="Times New Roman" w:hAnsi="Times New Roman" w:cs="Times New Roman"/>
          <w:i/>
          <w:sz w:val="30"/>
          <w:szCs w:val="30"/>
        </w:rPr>
        <w:t xml:space="preserve"> 18th December 2025</w:t>
      </w:r>
      <w:r>
        <w:rPr>
          <w:rFonts w:ascii="Times New Roman" w:eastAsia="Times New Roman" w:hAnsi="Times New Roman" w:cs="Times New Roman"/>
          <w:i/>
          <w:sz w:val="36"/>
          <w:szCs w:val="36"/>
        </w:rPr>
        <w:br/>
      </w:r>
    </w:p>
    <w:p w14:paraId="7449B05E" w14:textId="77777777" w:rsidR="00477317" w:rsidRDefault="00477317">
      <w:pPr>
        <w:spacing w:before="100" w:beforeAutospacing="1" w:after="100" w:afterAutospacing="1" w:line="240" w:lineRule="auto"/>
        <w:rPr>
          <w:rFonts w:ascii="Times New Roman" w:eastAsia="Times New Roman" w:hAnsi="Times New Roman" w:cs="Times New Roman"/>
          <w:b/>
          <w:bCs/>
          <w:sz w:val="24"/>
          <w:szCs w:val="24"/>
        </w:rPr>
      </w:pPr>
    </w:p>
    <w:p w14:paraId="4A000AC5" w14:textId="77777777" w:rsidR="00477317" w:rsidRDefault="00477317">
      <w:pPr>
        <w:spacing w:before="100" w:beforeAutospacing="1" w:after="100" w:afterAutospacing="1" w:line="240" w:lineRule="auto"/>
        <w:rPr>
          <w:rFonts w:ascii="Times New Roman" w:eastAsia="Times New Roman" w:hAnsi="Times New Roman" w:cs="Times New Roman"/>
          <w:b/>
          <w:bCs/>
          <w:sz w:val="24"/>
          <w:szCs w:val="24"/>
        </w:rPr>
      </w:pPr>
    </w:p>
    <w:p w14:paraId="7EAA14BC" w14:textId="77777777" w:rsidR="00477317" w:rsidRDefault="00477317">
      <w:pPr>
        <w:spacing w:before="100" w:beforeAutospacing="1" w:after="100" w:afterAutospacing="1" w:line="240" w:lineRule="auto"/>
        <w:rPr>
          <w:rFonts w:ascii="Times New Roman" w:eastAsia="Times New Roman" w:hAnsi="Times New Roman" w:cs="Times New Roman"/>
          <w:b/>
          <w:bCs/>
          <w:sz w:val="24"/>
          <w:szCs w:val="24"/>
        </w:rPr>
      </w:pPr>
    </w:p>
    <w:p w14:paraId="5DEA6316" w14:textId="77777777" w:rsidR="00477317" w:rsidRDefault="00477317">
      <w:pPr>
        <w:spacing w:before="100" w:beforeAutospacing="1" w:after="100" w:afterAutospacing="1" w:line="240" w:lineRule="auto"/>
        <w:rPr>
          <w:rFonts w:ascii="Times New Roman" w:eastAsia="Times New Roman" w:hAnsi="Times New Roman" w:cs="Times New Roman"/>
          <w:b/>
          <w:bCs/>
          <w:sz w:val="24"/>
          <w:szCs w:val="24"/>
        </w:rPr>
      </w:pPr>
    </w:p>
    <w:p w14:paraId="03E82753" w14:textId="77777777" w:rsidR="00477317" w:rsidRDefault="00477317">
      <w:pPr>
        <w:spacing w:before="100" w:beforeAutospacing="1" w:after="100" w:afterAutospacing="1" w:line="240" w:lineRule="auto"/>
        <w:rPr>
          <w:rFonts w:ascii="Times New Roman" w:eastAsia="Times New Roman" w:hAnsi="Times New Roman" w:cs="Times New Roman"/>
          <w:b/>
          <w:bCs/>
          <w:sz w:val="24"/>
          <w:szCs w:val="24"/>
        </w:rPr>
      </w:pPr>
    </w:p>
    <w:p w14:paraId="7C3956F1" w14:textId="77777777" w:rsidR="00477317" w:rsidRDefault="00477317">
      <w:pPr>
        <w:spacing w:before="100" w:beforeAutospacing="1" w:after="100" w:afterAutospacing="1" w:line="240" w:lineRule="auto"/>
        <w:rPr>
          <w:rFonts w:ascii="Times New Roman" w:eastAsia="Times New Roman" w:hAnsi="Times New Roman" w:cs="Times New Roman"/>
          <w:b/>
          <w:bCs/>
          <w:sz w:val="24"/>
          <w:szCs w:val="24"/>
        </w:rPr>
      </w:pPr>
    </w:p>
    <w:p w14:paraId="3EC959CE" w14:textId="77777777" w:rsidR="00477317" w:rsidRDefault="00477317">
      <w:pPr>
        <w:spacing w:before="100" w:beforeAutospacing="1" w:after="100" w:afterAutospacing="1" w:line="240" w:lineRule="auto"/>
        <w:rPr>
          <w:rFonts w:ascii="Times New Roman" w:eastAsia="Times New Roman" w:hAnsi="Times New Roman" w:cs="Times New Roman"/>
          <w:b/>
          <w:bCs/>
          <w:sz w:val="24"/>
          <w:szCs w:val="24"/>
        </w:rPr>
      </w:pPr>
    </w:p>
    <w:p w14:paraId="4D871039" w14:textId="77777777" w:rsidR="00477317" w:rsidRDefault="00000000">
      <w:pPr>
        <w:spacing w:before="100" w:beforeAutospacing="1" w:after="100" w:afterAutospacing="1" w:line="240" w:lineRule="auto"/>
        <w:outlineLvl w:val="0"/>
        <w:rPr>
          <w:rFonts w:ascii="Times New Roman" w:eastAsia="Times New Roman" w:hAnsi="Times New Roman" w:cs="Times New Roman"/>
          <w:b/>
          <w:bCs/>
          <w:kern w:val="36"/>
          <w:sz w:val="48"/>
          <w:szCs w:val="48"/>
        </w:rPr>
      </w:pPr>
      <w:bookmarkStart w:id="0" w:name="_Toc214918563"/>
      <w:r>
        <w:rPr>
          <w:rFonts w:ascii="Times New Roman" w:eastAsia="Times New Roman" w:hAnsi="Times New Roman" w:cs="Times New Roman"/>
          <w:b/>
          <w:bCs/>
          <w:kern w:val="36"/>
          <w:sz w:val="48"/>
          <w:szCs w:val="48"/>
        </w:rPr>
        <w:lastRenderedPageBreak/>
        <w:t>ABSTRACT</w:t>
      </w:r>
      <w:bookmarkEnd w:id="0"/>
    </w:p>
    <w:p w14:paraId="5186331F" w14:textId="77777777" w:rsidR="00477317" w:rsidRDefault="00000000">
      <w:pPr>
        <w:spacing w:before="100" w:beforeAutospacing="1" w:after="100" w:afterAutospacing="1"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Vigilant Trust and asset management (VTAM) is experiencing a rising cyber threat in the form of advanced phishing attempts and Ransomware attempts. This report presents the proposal of a broad solution of the Zero Trust security framework and is compliant with NIST Cybersecurity Frameworks and ISO 27001. The most critical recommendations are the Multi-Factor Authentication, Security Information and Event Management systems, Cloud Security Posture Management, and ongoing security awareness training. The recommended design would establish more effective threat identification, decrease the size of the attack surface, and support a proactive culture of security to safeguard vulnerable financial information in the hybrid workplace.</w:t>
      </w:r>
    </w:p>
    <w:p w14:paraId="246412FE" w14:textId="77777777" w:rsidR="00477317" w:rsidRDefault="00477317">
      <w:pPr>
        <w:spacing w:before="100" w:beforeAutospacing="1" w:after="100" w:afterAutospacing="1" w:line="240" w:lineRule="auto"/>
        <w:outlineLvl w:val="0"/>
        <w:rPr>
          <w:rFonts w:ascii="Times New Roman" w:eastAsia="Times New Roman" w:hAnsi="Times New Roman" w:cs="Times New Roman"/>
          <w:b/>
          <w:bCs/>
          <w:kern w:val="36"/>
          <w:sz w:val="48"/>
          <w:szCs w:val="48"/>
        </w:rPr>
      </w:pPr>
    </w:p>
    <w:p w14:paraId="2E394EE0" w14:textId="77777777" w:rsidR="00477317" w:rsidRDefault="00477317">
      <w:pPr>
        <w:spacing w:before="100" w:beforeAutospacing="1" w:after="100" w:afterAutospacing="1" w:line="240" w:lineRule="auto"/>
        <w:outlineLvl w:val="0"/>
        <w:rPr>
          <w:rFonts w:ascii="Times New Roman" w:eastAsia="Times New Roman" w:hAnsi="Times New Roman" w:cs="Times New Roman"/>
          <w:b/>
          <w:bCs/>
          <w:kern w:val="36"/>
          <w:sz w:val="48"/>
          <w:szCs w:val="48"/>
        </w:rPr>
      </w:pPr>
    </w:p>
    <w:p w14:paraId="6793AE7B" w14:textId="77777777" w:rsidR="00477317" w:rsidRDefault="00477317">
      <w:pPr>
        <w:spacing w:before="100" w:beforeAutospacing="1" w:after="100" w:afterAutospacing="1" w:line="240" w:lineRule="auto"/>
        <w:outlineLvl w:val="0"/>
        <w:rPr>
          <w:rFonts w:ascii="Times New Roman" w:eastAsia="Times New Roman" w:hAnsi="Times New Roman" w:cs="Times New Roman"/>
          <w:b/>
          <w:bCs/>
          <w:kern w:val="36"/>
          <w:sz w:val="48"/>
          <w:szCs w:val="48"/>
        </w:rPr>
      </w:pPr>
    </w:p>
    <w:p w14:paraId="27998CFC" w14:textId="77777777" w:rsidR="00477317" w:rsidRDefault="00477317">
      <w:pPr>
        <w:spacing w:before="100" w:beforeAutospacing="1" w:after="100" w:afterAutospacing="1" w:line="240" w:lineRule="auto"/>
        <w:outlineLvl w:val="0"/>
        <w:rPr>
          <w:rFonts w:ascii="Times New Roman" w:eastAsia="Times New Roman" w:hAnsi="Times New Roman" w:cs="Times New Roman"/>
          <w:b/>
          <w:bCs/>
          <w:kern w:val="36"/>
          <w:sz w:val="48"/>
          <w:szCs w:val="48"/>
        </w:rPr>
      </w:pPr>
    </w:p>
    <w:p w14:paraId="48C27364" w14:textId="77777777" w:rsidR="00477317" w:rsidRDefault="00477317">
      <w:pPr>
        <w:spacing w:before="100" w:beforeAutospacing="1" w:after="100" w:afterAutospacing="1" w:line="240" w:lineRule="auto"/>
        <w:outlineLvl w:val="0"/>
        <w:rPr>
          <w:rFonts w:ascii="Times New Roman" w:eastAsia="Times New Roman" w:hAnsi="Times New Roman" w:cs="Times New Roman"/>
          <w:b/>
          <w:bCs/>
          <w:kern w:val="36"/>
          <w:sz w:val="48"/>
          <w:szCs w:val="48"/>
        </w:rPr>
      </w:pPr>
    </w:p>
    <w:p w14:paraId="66D1A6FB" w14:textId="77777777" w:rsidR="00477317" w:rsidRDefault="00477317">
      <w:pPr>
        <w:spacing w:before="100" w:beforeAutospacing="1" w:after="100" w:afterAutospacing="1" w:line="240" w:lineRule="auto"/>
        <w:outlineLvl w:val="0"/>
        <w:rPr>
          <w:rFonts w:ascii="Times New Roman" w:eastAsia="Times New Roman" w:hAnsi="Times New Roman" w:cs="Times New Roman"/>
          <w:b/>
          <w:bCs/>
          <w:kern w:val="36"/>
          <w:sz w:val="48"/>
          <w:szCs w:val="48"/>
        </w:rPr>
      </w:pPr>
    </w:p>
    <w:p w14:paraId="13FFDB5B" w14:textId="77777777" w:rsidR="00477317" w:rsidRDefault="00477317">
      <w:pPr>
        <w:spacing w:before="100" w:beforeAutospacing="1" w:after="100" w:afterAutospacing="1" w:line="240" w:lineRule="auto"/>
        <w:outlineLvl w:val="0"/>
        <w:rPr>
          <w:rFonts w:ascii="Times New Roman" w:eastAsia="Times New Roman" w:hAnsi="Times New Roman" w:cs="Times New Roman"/>
          <w:b/>
          <w:bCs/>
          <w:kern w:val="36"/>
          <w:sz w:val="48"/>
          <w:szCs w:val="48"/>
        </w:rPr>
      </w:pPr>
    </w:p>
    <w:p w14:paraId="598EE250" w14:textId="77777777" w:rsidR="00477317" w:rsidRDefault="00477317">
      <w:pPr>
        <w:spacing w:before="100" w:beforeAutospacing="1" w:after="100" w:afterAutospacing="1" w:line="240" w:lineRule="auto"/>
        <w:outlineLvl w:val="0"/>
        <w:rPr>
          <w:rFonts w:ascii="Times New Roman" w:eastAsia="Times New Roman" w:hAnsi="Times New Roman" w:cs="Times New Roman"/>
          <w:b/>
          <w:bCs/>
          <w:kern w:val="36"/>
          <w:sz w:val="48"/>
          <w:szCs w:val="48"/>
        </w:rPr>
      </w:pPr>
    </w:p>
    <w:sdt>
      <w:sdtPr>
        <w:rPr>
          <w:rFonts w:ascii="Times New Roman" w:eastAsiaTheme="minorHAnsi" w:hAnsi="Times New Roman" w:cs="Times New Roman"/>
          <w:b w:val="0"/>
          <w:bCs w:val="0"/>
          <w:color w:val="auto"/>
          <w:sz w:val="22"/>
          <w:szCs w:val="22"/>
          <w:lang w:eastAsia="en-US"/>
        </w:rPr>
        <w:id w:val="-85455579"/>
        <w:docPartObj>
          <w:docPartGallery w:val="Table of Contents"/>
          <w:docPartUnique/>
        </w:docPartObj>
      </w:sdtPr>
      <w:sdtContent>
        <w:p w14:paraId="598CF000" w14:textId="77777777" w:rsidR="00477317" w:rsidRDefault="00000000">
          <w:pPr>
            <w:pStyle w:val="TOCHeading1"/>
            <w:jc w:val="center"/>
            <w:rPr>
              <w:rFonts w:ascii="Times New Roman" w:hAnsi="Times New Roman" w:cs="Times New Roman"/>
              <w:sz w:val="44"/>
              <w:szCs w:val="44"/>
            </w:rPr>
          </w:pPr>
          <w:r>
            <w:rPr>
              <w:rFonts w:ascii="Times New Roman" w:hAnsi="Times New Roman" w:cs="Times New Roman"/>
              <w:sz w:val="44"/>
              <w:szCs w:val="44"/>
            </w:rPr>
            <w:t>Table of Contents</w:t>
          </w:r>
        </w:p>
        <w:p w14:paraId="0EE02125" w14:textId="77777777" w:rsidR="00477317" w:rsidRDefault="00000000">
          <w:pPr>
            <w:pStyle w:val="TOC1"/>
            <w:tabs>
              <w:tab w:val="right" w:leader="dot" w:pos="9350"/>
            </w:tabs>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214918563" w:history="1">
            <w:r w:rsidR="00477317">
              <w:rPr>
                <w:rStyle w:val="Hyperlink"/>
                <w:rFonts w:ascii="Times New Roman" w:eastAsia="Times New Roman" w:hAnsi="Times New Roman" w:cs="Times New Roman"/>
                <w:bCs/>
                <w:kern w:val="36"/>
                <w:sz w:val="24"/>
                <w:szCs w:val="24"/>
              </w:rPr>
              <w:t>ABSTRACT</w:t>
            </w:r>
            <w:r w:rsidR="00477317">
              <w:rPr>
                <w:rFonts w:ascii="Times New Roman" w:hAnsi="Times New Roman" w:cs="Times New Roman"/>
                <w:sz w:val="24"/>
                <w:szCs w:val="24"/>
              </w:rPr>
              <w:tab/>
            </w:r>
            <w:r w:rsidR="00477317">
              <w:rPr>
                <w:rFonts w:ascii="Times New Roman" w:hAnsi="Times New Roman" w:cs="Times New Roman"/>
                <w:sz w:val="24"/>
                <w:szCs w:val="24"/>
              </w:rPr>
              <w:fldChar w:fldCharType="begin"/>
            </w:r>
            <w:r w:rsidR="00477317">
              <w:rPr>
                <w:rFonts w:ascii="Times New Roman" w:hAnsi="Times New Roman" w:cs="Times New Roman"/>
                <w:sz w:val="24"/>
                <w:szCs w:val="24"/>
              </w:rPr>
              <w:instrText xml:space="preserve"> PAGEREF _Toc214918563 \h </w:instrText>
            </w:r>
            <w:r w:rsidR="00477317">
              <w:rPr>
                <w:rFonts w:ascii="Times New Roman" w:hAnsi="Times New Roman" w:cs="Times New Roman"/>
                <w:sz w:val="24"/>
                <w:szCs w:val="24"/>
              </w:rPr>
            </w:r>
            <w:r w:rsidR="00477317">
              <w:rPr>
                <w:rFonts w:ascii="Times New Roman" w:hAnsi="Times New Roman" w:cs="Times New Roman"/>
                <w:sz w:val="24"/>
                <w:szCs w:val="24"/>
              </w:rPr>
              <w:fldChar w:fldCharType="separate"/>
            </w:r>
            <w:r w:rsidR="00477317">
              <w:rPr>
                <w:rFonts w:ascii="Times New Roman" w:hAnsi="Times New Roman" w:cs="Times New Roman"/>
                <w:sz w:val="24"/>
                <w:szCs w:val="24"/>
              </w:rPr>
              <w:t>2</w:t>
            </w:r>
            <w:r w:rsidR="00477317">
              <w:rPr>
                <w:rFonts w:ascii="Times New Roman" w:hAnsi="Times New Roman" w:cs="Times New Roman"/>
                <w:sz w:val="24"/>
                <w:szCs w:val="24"/>
              </w:rPr>
              <w:fldChar w:fldCharType="end"/>
            </w:r>
          </w:hyperlink>
        </w:p>
        <w:p w14:paraId="4764468F" w14:textId="77777777" w:rsidR="00477317" w:rsidRDefault="00477317">
          <w:pPr>
            <w:pStyle w:val="TOC1"/>
            <w:tabs>
              <w:tab w:val="right" w:leader="dot" w:pos="9350"/>
            </w:tabs>
            <w:rPr>
              <w:rFonts w:ascii="Times New Roman" w:hAnsi="Times New Roman" w:cs="Times New Roman"/>
              <w:sz w:val="24"/>
              <w:szCs w:val="24"/>
            </w:rPr>
          </w:pPr>
          <w:hyperlink w:anchor="_Toc214918564" w:history="1">
            <w:r>
              <w:rPr>
                <w:rStyle w:val="Hyperlink"/>
                <w:rFonts w:ascii="Times New Roman" w:eastAsia="Times New Roman" w:hAnsi="Times New Roman" w:cs="Times New Roman"/>
                <w:bCs/>
                <w:kern w:val="36"/>
                <w:sz w:val="24"/>
                <w:szCs w:val="24"/>
              </w:rPr>
              <w:t>1. 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_Toc214918564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14:paraId="6CF3A5AD" w14:textId="77777777" w:rsidR="00477317" w:rsidRDefault="00477317">
          <w:pPr>
            <w:pStyle w:val="TOC2"/>
            <w:tabs>
              <w:tab w:val="right" w:leader="dot" w:pos="9350"/>
            </w:tabs>
            <w:rPr>
              <w:rFonts w:ascii="Times New Roman" w:hAnsi="Times New Roman" w:cs="Times New Roman"/>
              <w:sz w:val="24"/>
              <w:szCs w:val="24"/>
            </w:rPr>
          </w:pPr>
          <w:hyperlink w:anchor="_Toc214918565" w:history="1">
            <w:r>
              <w:rPr>
                <w:rStyle w:val="Hyperlink"/>
                <w:rFonts w:ascii="Times New Roman" w:hAnsi="Times New Roman" w:cs="Times New Roman"/>
                <w:sz w:val="24"/>
                <w:szCs w:val="24"/>
              </w:rPr>
              <w:t>2. IDENTIFICATION OF MODERN THREATS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_Toc214918565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14:paraId="5A27D3DC" w14:textId="77777777" w:rsidR="00477317" w:rsidRDefault="00477317">
          <w:pPr>
            <w:pStyle w:val="TOC3"/>
            <w:tabs>
              <w:tab w:val="right" w:leader="dot" w:pos="9350"/>
            </w:tabs>
            <w:rPr>
              <w:rFonts w:ascii="Times New Roman" w:hAnsi="Times New Roman" w:cs="Times New Roman"/>
              <w:sz w:val="24"/>
              <w:szCs w:val="24"/>
            </w:rPr>
          </w:pPr>
          <w:hyperlink w:anchor="_Toc214918566" w:history="1">
            <w:r>
              <w:rPr>
                <w:rStyle w:val="Hyperlink"/>
                <w:rFonts w:ascii="Times New Roman" w:hAnsi="Times New Roman" w:cs="Times New Roman"/>
                <w:sz w:val="24"/>
                <w:szCs w:val="24"/>
              </w:rPr>
              <w:t>2.1 External Threats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_Toc214918566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14:paraId="44F77C0F" w14:textId="77777777" w:rsidR="00477317" w:rsidRDefault="00477317">
          <w:pPr>
            <w:pStyle w:val="TOC3"/>
            <w:tabs>
              <w:tab w:val="right" w:leader="dot" w:pos="9350"/>
            </w:tabs>
            <w:rPr>
              <w:rFonts w:ascii="Times New Roman" w:hAnsi="Times New Roman" w:cs="Times New Roman"/>
              <w:sz w:val="24"/>
              <w:szCs w:val="24"/>
            </w:rPr>
          </w:pPr>
          <w:hyperlink w:anchor="_Toc214918567" w:history="1">
            <w:r>
              <w:rPr>
                <w:rStyle w:val="Hyperlink"/>
                <w:rFonts w:ascii="Times New Roman" w:hAnsi="Times New Roman" w:cs="Times New Roman"/>
                <w:sz w:val="24"/>
                <w:szCs w:val="24"/>
              </w:rPr>
              <w:t>2.2 Internal Threats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_Toc214918567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hyperlink>
        </w:p>
        <w:p w14:paraId="655F1CD2" w14:textId="77777777" w:rsidR="00477317" w:rsidRDefault="00477317">
          <w:pPr>
            <w:pStyle w:val="TOC2"/>
            <w:tabs>
              <w:tab w:val="right" w:leader="dot" w:pos="9350"/>
            </w:tabs>
            <w:rPr>
              <w:rFonts w:ascii="Times New Roman" w:hAnsi="Times New Roman" w:cs="Times New Roman"/>
              <w:sz w:val="24"/>
              <w:szCs w:val="24"/>
            </w:rPr>
          </w:pPr>
          <w:hyperlink w:anchor="_Toc214918568" w:history="1">
            <w:r>
              <w:rPr>
                <w:rStyle w:val="Hyperlink"/>
                <w:rFonts w:ascii="Times New Roman" w:hAnsi="Times New Roman" w:cs="Times New Roman"/>
                <w:sz w:val="24"/>
                <w:szCs w:val="24"/>
              </w:rPr>
              <w:t>3. MODERN SECURITY POLICIES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_Toc214918568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hyperlink>
        </w:p>
        <w:p w14:paraId="0CE1882C" w14:textId="77777777" w:rsidR="00477317" w:rsidRDefault="00477317">
          <w:pPr>
            <w:pStyle w:val="TOC3"/>
            <w:tabs>
              <w:tab w:val="right" w:leader="dot" w:pos="9350"/>
            </w:tabs>
            <w:rPr>
              <w:rFonts w:ascii="Times New Roman" w:hAnsi="Times New Roman" w:cs="Times New Roman"/>
              <w:sz w:val="24"/>
              <w:szCs w:val="24"/>
            </w:rPr>
          </w:pPr>
          <w:hyperlink w:anchor="_Toc214918569" w:history="1">
            <w:r>
              <w:rPr>
                <w:rStyle w:val="Hyperlink"/>
                <w:rFonts w:ascii="Times New Roman" w:hAnsi="Times New Roman" w:cs="Times New Roman"/>
                <w:sz w:val="24"/>
                <w:szCs w:val="24"/>
              </w:rPr>
              <w:t>3.1 Zero Trust Foundation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_Toc214918569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hyperlink>
        </w:p>
        <w:p w14:paraId="4331B855" w14:textId="77777777" w:rsidR="00477317" w:rsidRDefault="00477317">
          <w:pPr>
            <w:pStyle w:val="TOC3"/>
            <w:tabs>
              <w:tab w:val="right" w:leader="dot" w:pos="9350"/>
            </w:tabs>
            <w:rPr>
              <w:rFonts w:ascii="Times New Roman" w:hAnsi="Times New Roman" w:cs="Times New Roman"/>
              <w:sz w:val="24"/>
              <w:szCs w:val="24"/>
            </w:rPr>
          </w:pPr>
          <w:hyperlink w:anchor="_Toc214918570" w:history="1">
            <w:r>
              <w:rPr>
                <w:rStyle w:val="Hyperlink"/>
                <w:rFonts w:ascii="Times New Roman" w:hAnsi="Times New Roman" w:cs="Times New Roman"/>
                <w:sz w:val="24"/>
                <w:szCs w:val="24"/>
              </w:rPr>
              <w:t>3.2 NIST Cybersecurity Framework Alignment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_Toc214918570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hyperlink>
        </w:p>
        <w:p w14:paraId="65795F22" w14:textId="77777777" w:rsidR="00477317" w:rsidRDefault="00477317">
          <w:pPr>
            <w:pStyle w:val="TOC3"/>
            <w:tabs>
              <w:tab w:val="right" w:leader="dot" w:pos="9350"/>
            </w:tabs>
            <w:rPr>
              <w:rFonts w:ascii="Times New Roman" w:hAnsi="Times New Roman" w:cs="Times New Roman"/>
              <w:sz w:val="24"/>
              <w:szCs w:val="24"/>
            </w:rPr>
          </w:pPr>
          <w:hyperlink w:anchor="_Toc214918571" w:history="1">
            <w:r>
              <w:rPr>
                <w:rStyle w:val="Hyperlink"/>
                <w:rFonts w:ascii="Times New Roman" w:hAnsi="Times New Roman" w:cs="Times New Roman"/>
                <w:sz w:val="24"/>
                <w:szCs w:val="24"/>
              </w:rPr>
              <w:t>3.3 ISO 27001 Compliance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_Toc214918571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hyperlink>
        </w:p>
        <w:p w14:paraId="7C437569" w14:textId="77777777" w:rsidR="00477317" w:rsidRDefault="00477317">
          <w:pPr>
            <w:pStyle w:val="TOC2"/>
            <w:tabs>
              <w:tab w:val="right" w:leader="dot" w:pos="9350"/>
            </w:tabs>
            <w:rPr>
              <w:rFonts w:ascii="Times New Roman" w:hAnsi="Times New Roman" w:cs="Times New Roman"/>
              <w:sz w:val="24"/>
              <w:szCs w:val="24"/>
            </w:rPr>
          </w:pPr>
          <w:hyperlink w:anchor="_Toc214918572" w:history="1">
            <w:r>
              <w:rPr>
                <w:rStyle w:val="Hyperlink"/>
                <w:rFonts w:ascii="Times New Roman" w:hAnsi="Times New Roman" w:cs="Times New Roman"/>
                <w:sz w:val="24"/>
                <w:szCs w:val="24"/>
              </w:rPr>
              <w:t>4. TECHNICAL MITIGATION MEASURES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_Toc214918572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hyperlink>
        </w:p>
        <w:p w14:paraId="42FC4A16" w14:textId="77777777" w:rsidR="00477317" w:rsidRDefault="00477317">
          <w:pPr>
            <w:pStyle w:val="TOC3"/>
            <w:tabs>
              <w:tab w:val="right" w:leader="dot" w:pos="9350"/>
            </w:tabs>
            <w:rPr>
              <w:rFonts w:ascii="Times New Roman" w:hAnsi="Times New Roman" w:cs="Times New Roman"/>
              <w:sz w:val="24"/>
              <w:szCs w:val="24"/>
            </w:rPr>
          </w:pPr>
          <w:hyperlink w:anchor="_Toc214918573" w:history="1">
            <w:r>
              <w:rPr>
                <w:rStyle w:val="Hyperlink"/>
                <w:rFonts w:ascii="Times New Roman" w:hAnsi="Times New Roman" w:cs="Times New Roman"/>
                <w:sz w:val="24"/>
                <w:szCs w:val="24"/>
              </w:rPr>
              <w:t>4.1 Multi-Factor Authentication (MFA)</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_Toc214918573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hyperlink>
        </w:p>
        <w:p w14:paraId="63B2FB17" w14:textId="77777777" w:rsidR="00477317" w:rsidRDefault="00477317">
          <w:pPr>
            <w:pStyle w:val="TOC3"/>
            <w:tabs>
              <w:tab w:val="right" w:leader="dot" w:pos="9350"/>
            </w:tabs>
            <w:rPr>
              <w:rFonts w:ascii="Times New Roman" w:hAnsi="Times New Roman" w:cs="Times New Roman"/>
              <w:sz w:val="24"/>
              <w:szCs w:val="24"/>
            </w:rPr>
          </w:pPr>
          <w:hyperlink w:anchor="_Toc214918574" w:history="1">
            <w:r>
              <w:rPr>
                <w:rStyle w:val="Hyperlink"/>
                <w:rFonts w:ascii="Times New Roman" w:hAnsi="Times New Roman" w:cs="Times New Roman"/>
                <w:sz w:val="24"/>
                <w:szCs w:val="24"/>
              </w:rPr>
              <w:t>4.2 Security Information and Event Management (SIEM)</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_Toc214918574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hyperlink>
        </w:p>
        <w:p w14:paraId="64579E09" w14:textId="77777777" w:rsidR="00477317" w:rsidRDefault="00477317">
          <w:pPr>
            <w:pStyle w:val="TOC3"/>
            <w:tabs>
              <w:tab w:val="right" w:leader="dot" w:pos="9350"/>
            </w:tabs>
            <w:rPr>
              <w:rFonts w:ascii="Times New Roman" w:hAnsi="Times New Roman" w:cs="Times New Roman"/>
              <w:sz w:val="24"/>
              <w:szCs w:val="24"/>
            </w:rPr>
          </w:pPr>
          <w:hyperlink w:anchor="_Toc214918575" w:history="1">
            <w:r>
              <w:rPr>
                <w:rStyle w:val="Hyperlink"/>
                <w:rFonts w:ascii="Times New Roman" w:hAnsi="Times New Roman" w:cs="Times New Roman"/>
                <w:sz w:val="24"/>
                <w:szCs w:val="24"/>
              </w:rPr>
              <w:t>4.3 Cloud Security Posture Management (CSPM)</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_Toc214918575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hyperlink>
        </w:p>
        <w:p w14:paraId="1056A2B4" w14:textId="77777777" w:rsidR="00477317" w:rsidRDefault="00477317">
          <w:pPr>
            <w:pStyle w:val="TOC3"/>
            <w:tabs>
              <w:tab w:val="right" w:leader="dot" w:pos="9350"/>
            </w:tabs>
            <w:rPr>
              <w:rFonts w:ascii="Times New Roman" w:hAnsi="Times New Roman" w:cs="Times New Roman"/>
              <w:sz w:val="24"/>
              <w:szCs w:val="24"/>
            </w:rPr>
          </w:pPr>
          <w:hyperlink w:anchor="_Toc214918576" w:history="1">
            <w:r>
              <w:rPr>
                <w:rStyle w:val="Hyperlink"/>
                <w:rFonts w:ascii="Times New Roman" w:hAnsi="Times New Roman" w:cs="Times New Roman"/>
                <w:sz w:val="24"/>
                <w:szCs w:val="24"/>
              </w:rPr>
              <w:t>4.4 Immutable Backups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_Toc214918576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hyperlink>
        </w:p>
        <w:p w14:paraId="66AC884A" w14:textId="77777777" w:rsidR="00477317" w:rsidRDefault="00477317">
          <w:pPr>
            <w:pStyle w:val="TOC3"/>
            <w:tabs>
              <w:tab w:val="right" w:leader="dot" w:pos="9350"/>
            </w:tabs>
            <w:rPr>
              <w:rFonts w:ascii="Times New Roman" w:hAnsi="Times New Roman" w:cs="Times New Roman"/>
              <w:sz w:val="24"/>
              <w:szCs w:val="24"/>
            </w:rPr>
          </w:pPr>
          <w:hyperlink w:anchor="_Toc214918577" w:history="1">
            <w:r>
              <w:rPr>
                <w:rStyle w:val="Hyperlink"/>
                <w:rFonts w:ascii="Times New Roman" w:hAnsi="Times New Roman" w:cs="Times New Roman"/>
                <w:sz w:val="24"/>
                <w:szCs w:val="24"/>
              </w:rPr>
              <w:t>4.5 Patch Management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_Toc214918577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hyperlink>
        </w:p>
        <w:p w14:paraId="03F561DE" w14:textId="77777777" w:rsidR="00477317" w:rsidRDefault="00477317">
          <w:pPr>
            <w:pStyle w:val="TOC2"/>
            <w:tabs>
              <w:tab w:val="right" w:leader="dot" w:pos="9350"/>
            </w:tabs>
            <w:rPr>
              <w:rFonts w:ascii="Times New Roman" w:hAnsi="Times New Roman" w:cs="Times New Roman"/>
              <w:sz w:val="24"/>
              <w:szCs w:val="24"/>
            </w:rPr>
          </w:pPr>
          <w:hyperlink w:anchor="_Toc214918578" w:history="1">
            <w:r>
              <w:rPr>
                <w:rStyle w:val="Hyperlink"/>
                <w:rFonts w:ascii="Times New Roman" w:hAnsi="Times New Roman" w:cs="Times New Roman"/>
                <w:sz w:val="24"/>
                <w:szCs w:val="24"/>
              </w:rPr>
              <w:t>5. PROACTIVE MONITORING &amp; INCIDENT RESPONSE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_Toc214918578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hyperlink>
        </w:p>
        <w:p w14:paraId="77B83319" w14:textId="77777777" w:rsidR="00477317" w:rsidRDefault="00477317">
          <w:pPr>
            <w:pStyle w:val="TOC3"/>
            <w:tabs>
              <w:tab w:val="right" w:leader="dot" w:pos="9350"/>
            </w:tabs>
            <w:rPr>
              <w:rFonts w:ascii="Times New Roman" w:hAnsi="Times New Roman" w:cs="Times New Roman"/>
              <w:sz w:val="24"/>
              <w:szCs w:val="24"/>
            </w:rPr>
          </w:pPr>
          <w:hyperlink w:anchor="_Toc214918579" w:history="1">
            <w:r>
              <w:rPr>
                <w:rStyle w:val="Hyperlink"/>
                <w:rFonts w:ascii="Times New Roman" w:hAnsi="Times New Roman" w:cs="Times New Roman"/>
                <w:sz w:val="24"/>
                <w:szCs w:val="24"/>
              </w:rPr>
              <w:t>5.1 24/7 Security Operations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_Toc214918579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hyperlink>
        </w:p>
        <w:p w14:paraId="708D41C9" w14:textId="77777777" w:rsidR="00477317" w:rsidRDefault="00477317">
          <w:pPr>
            <w:pStyle w:val="TOC3"/>
            <w:tabs>
              <w:tab w:val="right" w:leader="dot" w:pos="9350"/>
            </w:tabs>
            <w:rPr>
              <w:rFonts w:ascii="Times New Roman" w:hAnsi="Times New Roman" w:cs="Times New Roman"/>
              <w:sz w:val="24"/>
              <w:szCs w:val="24"/>
            </w:rPr>
          </w:pPr>
          <w:hyperlink w:anchor="_Toc214918580" w:history="1">
            <w:r>
              <w:rPr>
                <w:rStyle w:val="Hyperlink"/>
                <w:rFonts w:ascii="Times New Roman" w:hAnsi="Times New Roman" w:cs="Times New Roman"/>
                <w:sz w:val="24"/>
                <w:szCs w:val="24"/>
              </w:rPr>
              <w:t>5.2 SIEM/SOAR Integration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_Toc214918580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hyperlink>
        </w:p>
        <w:p w14:paraId="7621B806" w14:textId="77777777" w:rsidR="00477317" w:rsidRDefault="00477317">
          <w:pPr>
            <w:pStyle w:val="TOC3"/>
            <w:tabs>
              <w:tab w:val="right" w:leader="dot" w:pos="9350"/>
            </w:tabs>
            <w:rPr>
              <w:rFonts w:ascii="Times New Roman" w:hAnsi="Times New Roman" w:cs="Times New Roman"/>
              <w:sz w:val="24"/>
              <w:szCs w:val="24"/>
            </w:rPr>
          </w:pPr>
          <w:hyperlink w:anchor="_Toc214918581" w:history="1">
            <w:r>
              <w:rPr>
                <w:rStyle w:val="Hyperlink"/>
                <w:rFonts w:ascii="Times New Roman" w:hAnsi="Times New Roman" w:cs="Times New Roman"/>
                <w:sz w:val="24"/>
                <w:szCs w:val="24"/>
              </w:rPr>
              <w:t>5.3 Ransomware Response Plan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_Toc214918581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hyperlink>
        </w:p>
        <w:p w14:paraId="069DAFB3" w14:textId="77777777" w:rsidR="00477317" w:rsidRDefault="00477317">
          <w:pPr>
            <w:pStyle w:val="TOC2"/>
            <w:tabs>
              <w:tab w:val="right" w:leader="dot" w:pos="9350"/>
            </w:tabs>
            <w:rPr>
              <w:rFonts w:ascii="Times New Roman" w:hAnsi="Times New Roman" w:cs="Times New Roman"/>
              <w:sz w:val="24"/>
              <w:szCs w:val="24"/>
            </w:rPr>
          </w:pPr>
          <w:hyperlink w:anchor="_Toc214918582" w:history="1">
            <w:r>
              <w:rPr>
                <w:rStyle w:val="Hyperlink"/>
                <w:rFonts w:ascii="Times New Roman" w:hAnsi="Times New Roman" w:cs="Times New Roman"/>
                <w:sz w:val="24"/>
                <w:szCs w:val="24"/>
              </w:rPr>
              <w:t>6. CONTINUOUS TRAINING &amp; AWARENESS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_Toc214918582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hyperlink>
        </w:p>
        <w:p w14:paraId="6A6A20B2" w14:textId="77777777" w:rsidR="00477317" w:rsidRDefault="00477317">
          <w:pPr>
            <w:pStyle w:val="TOC3"/>
            <w:tabs>
              <w:tab w:val="right" w:leader="dot" w:pos="9350"/>
            </w:tabs>
            <w:rPr>
              <w:rFonts w:ascii="Times New Roman" w:hAnsi="Times New Roman" w:cs="Times New Roman"/>
              <w:sz w:val="24"/>
              <w:szCs w:val="24"/>
            </w:rPr>
          </w:pPr>
          <w:hyperlink w:anchor="_Toc214918583" w:history="1">
            <w:r>
              <w:rPr>
                <w:rStyle w:val="Hyperlink"/>
                <w:rFonts w:ascii="Times New Roman" w:hAnsi="Times New Roman" w:cs="Times New Roman"/>
                <w:sz w:val="24"/>
                <w:szCs w:val="24"/>
              </w:rPr>
              <w:t>6.1 Phishing Simulation Program</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_Toc214918583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hyperlink>
        </w:p>
        <w:p w14:paraId="04752F20" w14:textId="77777777" w:rsidR="00477317" w:rsidRDefault="00477317">
          <w:pPr>
            <w:pStyle w:val="TOC3"/>
            <w:tabs>
              <w:tab w:val="right" w:leader="dot" w:pos="9350"/>
            </w:tabs>
            <w:rPr>
              <w:rFonts w:ascii="Times New Roman" w:hAnsi="Times New Roman" w:cs="Times New Roman"/>
              <w:sz w:val="24"/>
              <w:szCs w:val="24"/>
            </w:rPr>
          </w:pPr>
          <w:hyperlink w:anchor="_Toc214918584" w:history="1">
            <w:r>
              <w:rPr>
                <w:rStyle w:val="Hyperlink"/>
                <w:rFonts w:ascii="Times New Roman" w:hAnsi="Times New Roman" w:cs="Times New Roman"/>
                <w:sz w:val="24"/>
                <w:szCs w:val="24"/>
              </w:rPr>
              <w:t>6.2 Vishing Awareness Campaign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_Toc214918584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hyperlink>
        </w:p>
        <w:p w14:paraId="1E9D85AA" w14:textId="77777777" w:rsidR="00477317" w:rsidRDefault="00477317">
          <w:pPr>
            <w:pStyle w:val="TOC3"/>
            <w:tabs>
              <w:tab w:val="right" w:leader="dot" w:pos="9350"/>
            </w:tabs>
            <w:rPr>
              <w:rFonts w:ascii="Times New Roman" w:hAnsi="Times New Roman" w:cs="Times New Roman"/>
              <w:sz w:val="24"/>
              <w:szCs w:val="24"/>
            </w:rPr>
          </w:pPr>
          <w:hyperlink w:anchor="_Toc214918585" w:history="1">
            <w:r>
              <w:rPr>
                <w:rStyle w:val="Hyperlink"/>
                <w:rFonts w:ascii="Times New Roman" w:hAnsi="Times New Roman" w:cs="Times New Roman"/>
                <w:sz w:val="24"/>
                <w:szCs w:val="24"/>
              </w:rPr>
              <w:t>6.3 Role-Based Training Modules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_Toc214918585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hyperlink>
        </w:p>
        <w:p w14:paraId="1C1D9696" w14:textId="77777777" w:rsidR="00477317" w:rsidRDefault="00477317">
          <w:pPr>
            <w:pStyle w:val="TOC2"/>
            <w:tabs>
              <w:tab w:val="right" w:leader="dot" w:pos="9350"/>
            </w:tabs>
            <w:rPr>
              <w:rFonts w:ascii="Times New Roman" w:hAnsi="Times New Roman" w:cs="Times New Roman"/>
              <w:sz w:val="24"/>
              <w:szCs w:val="24"/>
            </w:rPr>
          </w:pPr>
          <w:hyperlink w:anchor="_Toc214918586" w:history="1">
            <w:r>
              <w:rPr>
                <w:rStyle w:val="Hyperlink"/>
                <w:rFonts w:ascii="Times New Roman" w:hAnsi="Times New Roman" w:cs="Times New Roman"/>
                <w:sz w:val="24"/>
                <w:szCs w:val="24"/>
              </w:rPr>
              <w:t>7. 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_Toc214918586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hyperlink>
        </w:p>
        <w:p w14:paraId="3626CB70" w14:textId="77777777" w:rsidR="00477317" w:rsidRDefault="00477317">
          <w:pPr>
            <w:pStyle w:val="TOC1"/>
            <w:tabs>
              <w:tab w:val="right" w:leader="dot" w:pos="9350"/>
            </w:tabs>
            <w:rPr>
              <w:rFonts w:ascii="Times New Roman" w:hAnsi="Times New Roman" w:cs="Times New Roman"/>
              <w:sz w:val="24"/>
              <w:szCs w:val="24"/>
            </w:rPr>
          </w:pPr>
          <w:hyperlink w:anchor="_Toc214918587" w:history="1">
            <w:r>
              <w:rPr>
                <w:rStyle w:val="Hyperlink"/>
                <w:rFonts w:ascii="Times New Roman" w:eastAsia="Times New Roman" w:hAnsi="Times New Roman" w:cs="Times New Roman"/>
                <w:bCs/>
                <w:kern w:val="36"/>
                <w:sz w:val="24"/>
                <w:szCs w:val="24"/>
              </w:rPr>
              <w:t>8. 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_Toc214918587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hyperlink>
        </w:p>
        <w:p w14:paraId="09576474" w14:textId="77777777" w:rsidR="00477317" w:rsidRDefault="00477317">
          <w:pPr>
            <w:pStyle w:val="TOC1"/>
            <w:tabs>
              <w:tab w:val="right" w:leader="dot" w:pos="9350"/>
            </w:tabs>
            <w:rPr>
              <w:rFonts w:ascii="Times New Roman" w:hAnsi="Times New Roman" w:cs="Times New Roman"/>
              <w:sz w:val="24"/>
              <w:szCs w:val="24"/>
            </w:rPr>
          </w:pPr>
          <w:hyperlink w:anchor="_Toc214918588" w:history="1">
            <w:r>
              <w:rPr>
                <w:rStyle w:val="Hyperlink"/>
                <w:rFonts w:ascii="Times New Roman" w:eastAsia="Times New Roman" w:hAnsi="Times New Roman" w:cs="Times New Roman"/>
                <w:bCs/>
                <w:kern w:val="36"/>
                <w:sz w:val="24"/>
                <w:szCs w:val="24"/>
              </w:rPr>
              <w:t>APPENDIX: BOARD PRESENTATION SLIDES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_Toc214918588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hyperlink>
        </w:p>
        <w:p w14:paraId="78B564AB" w14:textId="77777777" w:rsidR="00477317" w:rsidRDefault="00000000">
          <w:pPr>
            <w:rPr>
              <w:rFonts w:ascii="Times New Roman" w:hAnsi="Times New Roman" w:cs="Times New Roman"/>
            </w:rPr>
          </w:pPr>
          <w:r>
            <w:rPr>
              <w:rFonts w:ascii="Times New Roman" w:hAnsi="Times New Roman" w:cs="Times New Roman"/>
              <w:bCs/>
              <w:sz w:val="24"/>
              <w:szCs w:val="24"/>
            </w:rPr>
            <w:fldChar w:fldCharType="end"/>
          </w:r>
        </w:p>
      </w:sdtContent>
    </w:sdt>
    <w:p w14:paraId="61E3EC9B" w14:textId="77777777" w:rsidR="00477317" w:rsidRDefault="00477317">
      <w:pPr>
        <w:spacing w:before="100" w:beforeAutospacing="1" w:after="100" w:afterAutospacing="1" w:line="360" w:lineRule="auto"/>
        <w:outlineLvl w:val="0"/>
        <w:rPr>
          <w:rFonts w:ascii="Times New Roman" w:eastAsia="Times New Roman" w:hAnsi="Times New Roman" w:cs="Times New Roman"/>
          <w:b/>
          <w:bCs/>
          <w:kern w:val="36"/>
          <w:sz w:val="48"/>
          <w:szCs w:val="48"/>
        </w:rPr>
      </w:pPr>
      <w:bookmarkStart w:id="1" w:name="_Toc214918564"/>
    </w:p>
    <w:p w14:paraId="7FF8D324" w14:textId="77777777" w:rsidR="00477317" w:rsidRDefault="00000000">
      <w:pPr>
        <w:spacing w:before="100" w:beforeAutospacing="1" w:after="100" w:afterAutospacing="1" w:line="360" w:lineRule="auto"/>
        <w:outlineLvl w:val="0"/>
        <w:rPr>
          <w:rFonts w:ascii="Times New Roman" w:eastAsia="Times New Roman" w:hAnsi="Times New Roman" w:cs="Times New Roman"/>
          <w:b/>
          <w:bCs/>
          <w:kern w:val="36"/>
          <w:sz w:val="48"/>
          <w:szCs w:val="48"/>
        </w:rPr>
      </w:pPr>
      <w:r>
        <w:rPr>
          <w:rFonts w:ascii="Times New Roman" w:eastAsia="Times New Roman" w:hAnsi="Times New Roman" w:cs="Times New Roman"/>
          <w:b/>
          <w:bCs/>
          <w:kern w:val="36"/>
          <w:sz w:val="48"/>
          <w:szCs w:val="48"/>
        </w:rPr>
        <w:lastRenderedPageBreak/>
        <w:t>1. INTRODUCTION</w:t>
      </w:r>
      <w:bookmarkEnd w:id="1"/>
    </w:p>
    <w:p w14:paraId="07C90E4F" w14:textId="77777777" w:rsidR="00477317" w:rsidRDefault="00000000">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Vigilant trust and asset management (VTAM) is a medium-sized financial services firm that has undergone severe attack by security incidents such as advanced phishing attacks bypassing conventional email filters and unsuccessful ransomware attacks. The transition to structured work modalities as well as the augmentation of cloud usage has broadened the attack area of VTAM leaving the conventional perimeter-based security strategies irrelevant. This board mandate needs to be developed into a modern security framework that is founded on the Zero Trust principles. The present report presents a holistic solution that includes all the major aspects of modern threats, security policies, technical mitigation measures, proactive monitoring, and continuous training to improve the resiliency of cybersecurity of VTAM.</w:t>
      </w:r>
    </w:p>
    <w:p w14:paraId="47369456" w14:textId="77777777" w:rsidR="00477317" w:rsidRDefault="00000000">
      <w:pPr>
        <w:pStyle w:val="Heading2"/>
        <w:spacing w:line="360" w:lineRule="auto"/>
      </w:pPr>
      <w:bookmarkStart w:id="2" w:name="_Toc214918565"/>
      <w:r>
        <w:rPr>
          <w:rStyle w:val="Strong"/>
          <w:b/>
          <w:bCs/>
        </w:rPr>
        <w:t>2. IDENTIFICATION OF MODERN THREATS</w:t>
      </w:r>
      <w:bookmarkEnd w:id="2"/>
    </w:p>
    <w:p w14:paraId="13E58475" w14:textId="77777777" w:rsidR="00477317" w:rsidRDefault="00000000">
      <w:pPr>
        <w:pStyle w:val="Heading3"/>
        <w:spacing w:line="360" w:lineRule="auto"/>
        <w:rPr>
          <w:rFonts w:ascii="Times New Roman" w:hAnsi="Times New Roman" w:cs="Times New Roman"/>
          <w:color w:val="auto"/>
        </w:rPr>
      </w:pPr>
      <w:bookmarkStart w:id="3" w:name="_Toc214918566"/>
      <w:r>
        <w:rPr>
          <w:rStyle w:val="Strong"/>
          <w:rFonts w:ascii="Times New Roman" w:hAnsi="Times New Roman" w:cs="Times New Roman"/>
          <w:b/>
          <w:bCs/>
          <w:color w:val="auto"/>
        </w:rPr>
        <w:t>2.1 External Threats</w:t>
      </w:r>
      <w:bookmarkEnd w:id="3"/>
    </w:p>
    <w:p w14:paraId="67172E7B" w14:textId="77777777" w:rsidR="00477317" w:rsidRDefault="00000000">
      <w:pPr>
        <w:pStyle w:val="NormalWeb"/>
        <w:spacing w:line="360" w:lineRule="auto"/>
      </w:pPr>
      <w:r>
        <w:rPr>
          <w:rStyle w:val="Strong"/>
        </w:rPr>
        <w:t>Ransomware-as-a-Service (RaaS)</w:t>
      </w:r>
      <w:r>
        <w:t xml:space="preserve"> has also essentially made cybercrime democratic and allowed threat agents of lower skill competency to execute highly complex attacks with little technical understanding. Services such as </w:t>
      </w:r>
      <w:proofErr w:type="spellStart"/>
      <w:r>
        <w:t>LockBit</w:t>
      </w:r>
      <w:proofErr w:type="spellEnd"/>
      <w:r>
        <w:t xml:space="preserve"> and REvil have subscription plans that sell ransomware packages, receipt and payment programs, as well as support services, which has greatly increased the rate of attack of financial institutions.</w:t>
      </w:r>
    </w:p>
    <w:p w14:paraId="7F5F0470" w14:textId="77777777" w:rsidR="00477317" w:rsidRDefault="00000000">
      <w:pPr>
        <w:pStyle w:val="NormalWeb"/>
        <w:spacing w:line="360" w:lineRule="auto"/>
      </w:pPr>
      <w:r>
        <w:rPr>
          <w:rStyle w:val="Strong"/>
        </w:rPr>
        <w:t>AI-Powered Vishing</w:t>
      </w:r>
      <w:r>
        <w:t xml:space="preserve"> is an evolutionary leap of social engineering attacks, in which the concept of generative AI is leveraged to produce voice phishing campaigns that are extremely convincing. The voice synthesis systems of modern AI are capable of imitating the voice of an executive with 95 percent accuracy on a sample audio recording of just three seconds, virtually by-passing any conventional authentication mechanism and social engineering system.</w:t>
      </w:r>
    </w:p>
    <w:p w14:paraId="7B3A4222" w14:textId="77777777" w:rsidR="00477317" w:rsidRDefault="00000000">
      <w:pPr>
        <w:pStyle w:val="NormalWeb"/>
        <w:spacing w:line="360" w:lineRule="auto"/>
      </w:pPr>
      <w:r>
        <w:rPr>
          <w:rStyle w:val="Strong"/>
        </w:rPr>
        <w:t>Supply Chain Compromises</w:t>
      </w:r>
      <w:r>
        <w:t xml:space="preserve">, such as the massive </w:t>
      </w:r>
      <w:proofErr w:type="spellStart"/>
      <w:r>
        <w:t>MOVEit</w:t>
      </w:r>
      <w:proofErr w:type="spellEnd"/>
      <w:r>
        <w:t xml:space="preserve"> breach of 2023, show that the vulnerability of third parties can reveal sensitive financial information of a variety of organizations at the same time. The </w:t>
      </w:r>
      <w:proofErr w:type="spellStart"/>
      <w:r>
        <w:t>MOVEit</w:t>
      </w:r>
      <w:proofErr w:type="spellEnd"/>
      <w:r>
        <w:t xml:space="preserve"> 0-day vulnerability was applicable to more than 2,500 organizations globally, many of which are financial organizations and millions of customer </w:t>
      </w:r>
      <w:r>
        <w:lastRenderedPageBreak/>
        <w:t xml:space="preserve">records are compromised. Attackers are also attacking software suppliers and service providers as a single point of failure with a high degree of trusted relationships, bypassing perimeter defenses. </w:t>
      </w:r>
    </w:p>
    <w:p w14:paraId="0507FF87" w14:textId="77777777" w:rsidR="00477317" w:rsidRDefault="00000000">
      <w:pPr>
        <w:pStyle w:val="Heading3"/>
        <w:spacing w:line="360" w:lineRule="auto"/>
        <w:rPr>
          <w:rFonts w:ascii="Times New Roman" w:hAnsi="Times New Roman" w:cs="Times New Roman"/>
          <w:color w:val="auto"/>
        </w:rPr>
      </w:pPr>
      <w:bookmarkStart w:id="4" w:name="_Toc214918567"/>
      <w:r>
        <w:rPr>
          <w:rStyle w:val="Strong"/>
          <w:rFonts w:ascii="Times New Roman" w:hAnsi="Times New Roman" w:cs="Times New Roman"/>
          <w:b/>
          <w:bCs/>
          <w:color w:val="auto"/>
        </w:rPr>
        <w:t>2.2 Internal Threats</w:t>
      </w:r>
      <w:bookmarkEnd w:id="4"/>
    </w:p>
    <w:p w14:paraId="1EE2842F" w14:textId="77777777" w:rsidR="00477317" w:rsidRDefault="00000000">
      <w:pPr>
        <w:pStyle w:val="NormalWeb"/>
        <w:spacing w:line="360" w:lineRule="auto"/>
      </w:pPr>
      <w:r>
        <w:rPr>
          <w:rStyle w:val="Strong"/>
        </w:rPr>
        <w:t>Cloud Misconfigurations</w:t>
      </w:r>
      <w:r>
        <w:t xml:space="preserve"> in hybrid workplaces is a significant weakness that puts sensitive information at risk by being stored in a bucket that is not secured, as well as having their access permissions being weak. When Shared responsibility model is utilized in cloud computing, all forms of security gaps are created with the organization having the assumption that security will be taken by the cloud provider whilst the provider anticipates the client to ensure that their information and access is both secured.</w:t>
      </w:r>
    </w:p>
    <w:p w14:paraId="72F5C401" w14:textId="77777777" w:rsidR="00477317" w:rsidRDefault="00000000">
      <w:pPr>
        <w:pStyle w:val="NormalWeb"/>
        <w:spacing w:line="360" w:lineRule="auto"/>
      </w:pPr>
      <w:r>
        <w:rPr>
          <w:noProof/>
        </w:rPr>
        <w:drawing>
          <wp:anchor distT="0" distB="0" distL="114300" distR="114300" simplePos="0" relativeHeight="251659264" behindDoc="0" locked="0" layoutInCell="1" allowOverlap="1" wp14:anchorId="71D4152B" wp14:editId="703CFB85">
            <wp:simplePos x="0" y="0"/>
            <wp:positionH relativeFrom="column">
              <wp:posOffset>-741680</wp:posOffset>
            </wp:positionH>
            <wp:positionV relativeFrom="paragraph">
              <wp:posOffset>1476375</wp:posOffset>
            </wp:positionV>
            <wp:extent cx="7409180" cy="2402840"/>
            <wp:effectExtent l="171450" t="171450" r="363220" b="359410"/>
            <wp:wrapTopAndBottom/>
            <wp:docPr id="1" name="Picture 1" descr="C:\Users\Dell\Downloads\fig1.drawi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Dell\Downloads\fig1.drawio.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7409180" cy="2402840"/>
                    </a:xfrm>
                    <a:prstGeom prst="rect">
                      <a:avLst/>
                    </a:prstGeom>
                    <a:ln>
                      <a:noFill/>
                    </a:ln>
                    <a:effectLst>
                      <a:outerShdw blurRad="292100" dist="139700" dir="2700000" algn="tl" rotWithShape="0">
                        <a:srgbClr val="333333">
                          <a:alpha val="65000"/>
                        </a:srgbClr>
                      </a:outerShdw>
                    </a:effectLst>
                  </pic:spPr>
                </pic:pic>
              </a:graphicData>
            </a:graphic>
          </wp:anchor>
        </w:drawing>
      </w:r>
      <w:r>
        <w:rPr>
          <w:rStyle w:val="Strong"/>
        </w:rPr>
        <w:t>Insider Threats</w:t>
      </w:r>
      <w:r>
        <w:t xml:space="preserve"> have continued to be equally important either intentional or unintentional. Privileged users such as system administrators, top management, and financial controllers can either deliberately or accidentally disclose sensitive information through activities that include but not limited to their attempt to steal data, human error.</w:t>
      </w:r>
    </w:p>
    <w:p w14:paraId="596D5EC3" w14:textId="77777777" w:rsidR="00477317" w:rsidRDefault="00000000">
      <w:pPr>
        <w:pStyle w:val="NormalWeb"/>
        <w:spacing w:line="360" w:lineRule="auto"/>
        <w:jc w:val="center"/>
      </w:pPr>
      <w:r>
        <w:rPr>
          <w:rStyle w:val="Strong"/>
        </w:rPr>
        <w:t>Figure 1: Modern Cyber Threat Landscape for Financial Sector</w:t>
      </w:r>
      <w:r>
        <w:br/>
      </w:r>
    </w:p>
    <w:p w14:paraId="53D9372E" w14:textId="77777777" w:rsidR="00477317" w:rsidRDefault="00000000">
      <w:pPr>
        <w:pStyle w:val="Heading2"/>
        <w:spacing w:line="360" w:lineRule="auto"/>
      </w:pPr>
      <w:bookmarkStart w:id="5" w:name="_Toc214918568"/>
      <w:r>
        <w:rPr>
          <w:rStyle w:val="Strong"/>
          <w:b/>
          <w:bCs/>
        </w:rPr>
        <w:lastRenderedPageBreak/>
        <w:t>3. MODERN SECURITY POLICIES</w:t>
      </w:r>
      <w:bookmarkEnd w:id="5"/>
    </w:p>
    <w:p w14:paraId="4F26BF78" w14:textId="77777777" w:rsidR="00477317" w:rsidRDefault="00000000">
      <w:pPr>
        <w:pStyle w:val="Heading3"/>
        <w:spacing w:line="360" w:lineRule="auto"/>
        <w:rPr>
          <w:rFonts w:ascii="Times New Roman" w:hAnsi="Times New Roman" w:cs="Times New Roman"/>
          <w:color w:val="auto"/>
        </w:rPr>
      </w:pPr>
      <w:bookmarkStart w:id="6" w:name="_Toc214918569"/>
      <w:r>
        <w:rPr>
          <w:rStyle w:val="Strong"/>
          <w:rFonts w:ascii="Times New Roman" w:hAnsi="Times New Roman" w:cs="Times New Roman"/>
          <w:b/>
          <w:bCs/>
          <w:color w:val="auto"/>
        </w:rPr>
        <w:t>3.1 Zero Trust Foundation</w:t>
      </w:r>
      <w:bookmarkEnd w:id="6"/>
    </w:p>
    <w:p w14:paraId="1C8C3DAE" w14:textId="77777777" w:rsidR="00477317" w:rsidRDefault="00000000">
      <w:pPr>
        <w:pStyle w:val="NormalWeb"/>
        <w:spacing w:line="360" w:lineRule="auto"/>
      </w:pPr>
      <w:r>
        <w:t>Zero Trust security model works on the basis that nothing can be trusted initially, and it needs to be verified and that the model denies the security traditional framework where one believes that the traffic inside network is trusted. According to this architecture all access requests, both inside and outside, are considered to be potentially malicious and should pass through strict authentication and authorization procedures.</w:t>
      </w:r>
    </w:p>
    <w:p w14:paraId="4B2702F1" w14:textId="77777777" w:rsidR="00477317" w:rsidRDefault="00000000">
      <w:pPr>
        <w:pStyle w:val="Heading3"/>
        <w:spacing w:line="360" w:lineRule="auto"/>
        <w:rPr>
          <w:rFonts w:ascii="Times New Roman" w:hAnsi="Times New Roman" w:cs="Times New Roman"/>
          <w:color w:val="auto"/>
        </w:rPr>
      </w:pPr>
      <w:bookmarkStart w:id="7" w:name="_Toc214918570"/>
      <w:r>
        <w:rPr>
          <w:rStyle w:val="Strong"/>
          <w:rFonts w:ascii="Times New Roman" w:hAnsi="Times New Roman" w:cs="Times New Roman"/>
          <w:b/>
          <w:bCs/>
          <w:color w:val="auto"/>
        </w:rPr>
        <w:t>3.2 NIST Cybersecurity Framework Alignment</w:t>
      </w:r>
      <w:bookmarkEnd w:id="7"/>
    </w:p>
    <w:p w14:paraId="32A8C360" w14:textId="77777777" w:rsidR="00477317" w:rsidRDefault="00000000">
      <w:pPr>
        <w:pStyle w:val="NormalWeb"/>
        <w:spacing w:line="360" w:lineRule="auto"/>
      </w:pPr>
      <w:r>
        <w:rPr>
          <w:rStyle w:val="Strong"/>
        </w:rPr>
        <w:t>Identify:</w:t>
      </w:r>
      <w:r>
        <w:t xml:space="preserve"> Showcase Deliberate asset control list encompassing all hardware, computer software, data and people. Organize the formal risk assessment procedures to detect, rank and document cybersecurity risks to organizational functions, assets and persons.</w:t>
      </w:r>
    </w:p>
    <w:p w14:paraId="0F5BFBF7" w14:textId="77777777" w:rsidR="00477317" w:rsidRDefault="00000000">
      <w:pPr>
        <w:pStyle w:val="NormalWeb"/>
        <w:spacing w:line="360" w:lineRule="auto"/>
      </w:pPr>
      <w:r>
        <w:rPr>
          <w:rStyle w:val="Strong"/>
        </w:rPr>
        <w:t>Protect:</w:t>
      </w:r>
      <w:r>
        <w:t xml:space="preserve"> Have in place effective identity management and access control policies that are built on principle of least privilege. Implement security consciousness training schemes, data protection systems, and fixation procedures to restrain or restrain the effects of probable cybersecurity attacks.</w:t>
      </w:r>
    </w:p>
    <w:p w14:paraId="56DDEE26" w14:textId="77777777" w:rsidR="00477317" w:rsidRDefault="00000000">
      <w:pPr>
        <w:pStyle w:val="NormalWeb"/>
        <w:spacing w:line="360" w:lineRule="auto"/>
      </w:pPr>
      <w:r>
        <w:rPr>
          <w:rStyle w:val="Strong"/>
        </w:rPr>
        <w:t>Detect:</w:t>
      </w:r>
      <w:r>
        <w:t xml:space="preserve"> In place of constant monitoring and anomaly detection processes to detect cybersecurity incidents in time frame. Install security surveillance systems, detection mechanisms, and channels of communication to make sure of aberrant behavior.</w:t>
      </w:r>
    </w:p>
    <w:p w14:paraId="1B060338" w14:textId="77777777" w:rsidR="00477317" w:rsidRDefault="00000000">
      <w:pPr>
        <w:pStyle w:val="NormalWeb"/>
        <w:spacing w:line="360" w:lineRule="auto"/>
      </w:pPr>
      <w:r>
        <w:rPr>
          <w:rStyle w:val="Strong"/>
        </w:rPr>
        <w:t>Respond:</w:t>
      </w:r>
      <w:r>
        <w:t xml:space="preserve"> Develop detailed incident response and communication documents to initiate response in relation to identified cybersecurity incidents.</w:t>
      </w:r>
    </w:p>
    <w:p w14:paraId="50B645E6" w14:textId="77777777" w:rsidR="00477317" w:rsidRDefault="00000000">
      <w:pPr>
        <w:pStyle w:val="NormalWeb"/>
        <w:spacing w:line="360" w:lineRule="auto"/>
      </w:pPr>
      <w:r>
        <w:rPr>
          <w:rStyle w:val="Strong"/>
        </w:rPr>
        <w:t>Recover:</w:t>
      </w:r>
      <w:r>
        <w:t xml:space="preserve"> Build business continuity and improvement procedures to keep resilience plans and recover any capabilities or services that were damaged in cybersecurity attacks. Introduce recovery planning, integration of improvements and communication coordination that would enable normal operations resume in good time and lessons learned after security incidents are put into consideration.</w:t>
      </w:r>
    </w:p>
    <w:p w14:paraId="7BA45820" w14:textId="77777777" w:rsidR="00477317" w:rsidRDefault="00000000">
      <w:pPr>
        <w:pStyle w:val="Heading3"/>
        <w:spacing w:line="360" w:lineRule="auto"/>
        <w:rPr>
          <w:rFonts w:ascii="Times New Roman" w:hAnsi="Times New Roman" w:cs="Times New Roman"/>
          <w:color w:val="auto"/>
        </w:rPr>
      </w:pPr>
      <w:bookmarkStart w:id="8" w:name="_Toc214918571"/>
      <w:r>
        <w:rPr>
          <w:rStyle w:val="Strong"/>
          <w:rFonts w:ascii="Times New Roman" w:hAnsi="Times New Roman" w:cs="Times New Roman"/>
          <w:b/>
          <w:bCs/>
          <w:color w:val="auto"/>
        </w:rPr>
        <w:lastRenderedPageBreak/>
        <w:t>3.3 ISO 27001 Compliance</w:t>
      </w:r>
      <w:bookmarkEnd w:id="8"/>
    </w:p>
    <w:p w14:paraId="6AD5C014" w14:textId="77777777" w:rsidR="00477317" w:rsidRDefault="00000000">
      <w:pPr>
        <w:pStyle w:val="NormalWeb"/>
        <w:spacing w:line="360" w:lineRule="auto"/>
      </w:pPr>
      <w:r>
        <w:t>The policies on security are clearly in line with ISO 27001:2022 controls, and it specifically focuses on:</w:t>
      </w:r>
    </w:p>
    <w:p w14:paraId="2536B43B" w14:textId="77777777" w:rsidR="00477317" w:rsidRDefault="00000000">
      <w:pPr>
        <w:numPr>
          <w:ilvl w:val="0"/>
          <w:numId w:val="1"/>
        </w:numPr>
        <w:spacing w:before="100" w:beforeAutospacing="1" w:after="100" w:afterAutospacing="1" w:line="360" w:lineRule="auto"/>
        <w:rPr>
          <w:rFonts w:ascii="Times New Roman" w:hAnsi="Times New Roman" w:cs="Times New Roman"/>
        </w:rPr>
      </w:pPr>
      <w:r>
        <w:rPr>
          <w:rStyle w:val="Strong"/>
          <w:rFonts w:ascii="Times New Roman" w:hAnsi="Times New Roman" w:cs="Times New Roman"/>
        </w:rPr>
        <w:t>A.5.7 Threat intelligence</w:t>
      </w:r>
      <w:r>
        <w:rPr>
          <w:rFonts w:ascii="Times New Roman" w:hAnsi="Times New Roman" w:cs="Times New Roman"/>
        </w:rPr>
        <w:t xml:space="preserve"> - Implementing formal guiding processes of gathering and analyzing threat intelligence to financial services industry.</w:t>
      </w:r>
    </w:p>
    <w:p w14:paraId="3EAD03BD" w14:textId="77777777" w:rsidR="00477317" w:rsidRDefault="00000000">
      <w:pPr>
        <w:numPr>
          <w:ilvl w:val="0"/>
          <w:numId w:val="1"/>
        </w:numPr>
        <w:spacing w:before="100" w:beforeAutospacing="1" w:after="100" w:afterAutospacing="1" w:line="360" w:lineRule="auto"/>
        <w:rPr>
          <w:rFonts w:ascii="Times New Roman" w:hAnsi="Times New Roman" w:cs="Times New Roman"/>
        </w:rPr>
      </w:pPr>
      <w:r>
        <w:rPr>
          <w:rStyle w:val="Strong"/>
          <w:rFonts w:ascii="Times New Roman" w:hAnsi="Times New Roman" w:cs="Times New Roman"/>
        </w:rPr>
        <w:t>A.8.2 Asset management</w:t>
      </w:r>
      <w:r>
        <w:rPr>
          <w:rFonts w:ascii="Times New Roman" w:hAnsi="Times New Roman" w:cs="Times New Roman"/>
        </w:rPr>
        <w:t xml:space="preserve"> - Caring of accurate ideal inventory on information assets that has assigned owners and classification.</w:t>
      </w:r>
    </w:p>
    <w:p w14:paraId="0E754E5E" w14:textId="77777777" w:rsidR="00477317" w:rsidRDefault="00000000">
      <w:pPr>
        <w:numPr>
          <w:ilvl w:val="0"/>
          <w:numId w:val="1"/>
        </w:numPr>
        <w:spacing w:before="100" w:beforeAutospacing="1" w:after="100" w:afterAutospacing="1" w:line="360" w:lineRule="auto"/>
        <w:rPr>
          <w:rFonts w:ascii="Times New Roman" w:hAnsi="Times New Roman" w:cs="Times New Roman"/>
        </w:rPr>
      </w:pPr>
      <w:r>
        <w:rPr>
          <w:rStyle w:val="Strong"/>
          <w:rFonts w:ascii="Times New Roman" w:hAnsi="Times New Roman" w:cs="Times New Roman"/>
        </w:rPr>
        <w:t>A.8.23 Web filtering</w:t>
      </w:r>
      <w:r>
        <w:rPr>
          <w:rFonts w:ascii="Times New Roman" w:hAnsi="Times New Roman" w:cs="Times New Roman"/>
        </w:rPr>
        <w:t xml:space="preserve"> - Control over access to other websites and avoidance of threats based on the web: the implementation of the controls.</w:t>
      </w:r>
    </w:p>
    <w:p w14:paraId="454C246B" w14:textId="77777777" w:rsidR="00477317" w:rsidRDefault="00000000">
      <w:pPr>
        <w:numPr>
          <w:ilvl w:val="0"/>
          <w:numId w:val="1"/>
        </w:numPr>
        <w:spacing w:before="100" w:beforeAutospacing="1" w:after="100" w:afterAutospacing="1" w:line="360" w:lineRule="auto"/>
        <w:rPr>
          <w:rFonts w:ascii="Times New Roman" w:hAnsi="Times New Roman" w:cs="Times New Roman"/>
        </w:rPr>
      </w:pPr>
      <w:r>
        <w:rPr>
          <w:rStyle w:val="Strong"/>
          <w:rFonts w:ascii="Times New Roman" w:hAnsi="Times New Roman" w:cs="Times New Roman"/>
        </w:rPr>
        <w:t>A.8.28 Secure coding</w:t>
      </w:r>
      <w:r>
        <w:rPr>
          <w:rFonts w:ascii="Times New Roman" w:hAnsi="Times New Roman" w:cs="Times New Roman"/>
        </w:rPr>
        <w:t xml:space="preserve"> - Having secure development systems in place regarding the in-house software and code audits regarding the third-party software.</w:t>
      </w:r>
    </w:p>
    <w:p w14:paraId="151E0686" w14:textId="77777777" w:rsidR="00477317" w:rsidRDefault="00000000">
      <w:pPr>
        <w:pStyle w:val="NormalWeb"/>
        <w:spacing w:line="360" w:lineRule="auto"/>
      </w:pPr>
      <w:r>
        <w:rPr>
          <w:rStyle w:val="Strong"/>
        </w:rPr>
        <w:t>Table 1: Security Policies Mapping to Frameworks</w:t>
      </w:r>
    </w:p>
    <w:tbl>
      <w:tblPr>
        <w:tblW w:w="9468"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26"/>
        <w:gridCol w:w="3535"/>
        <w:gridCol w:w="1596"/>
        <w:gridCol w:w="1611"/>
      </w:tblGrid>
      <w:tr w:rsidR="00477317" w14:paraId="7D4428C1" w14:textId="77777777">
        <w:trPr>
          <w:trHeight w:val="732"/>
          <w:tblHeader/>
          <w:tblCellSpacing w:w="15" w:type="dxa"/>
        </w:trPr>
        <w:tc>
          <w:tcPr>
            <w:tcW w:w="0" w:type="auto"/>
            <w:vAlign w:val="center"/>
          </w:tcPr>
          <w:p w14:paraId="3BECFA80" w14:textId="77777777" w:rsidR="00477317" w:rsidRDefault="00000000">
            <w:pPr>
              <w:spacing w:after="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Policy Area</w:t>
            </w:r>
          </w:p>
        </w:tc>
        <w:tc>
          <w:tcPr>
            <w:tcW w:w="0" w:type="auto"/>
            <w:vAlign w:val="center"/>
          </w:tcPr>
          <w:p w14:paraId="0D52E6B5" w14:textId="77777777" w:rsidR="00477317" w:rsidRDefault="00000000">
            <w:pPr>
              <w:spacing w:after="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Zero Trust Principle</w:t>
            </w:r>
          </w:p>
        </w:tc>
        <w:tc>
          <w:tcPr>
            <w:tcW w:w="0" w:type="auto"/>
            <w:vAlign w:val="center"/>
          </w:tcPr>
          <w:p w14:paraId="406957F0" w14:textId="77777777" w:rsidR="00477317" w:rsidRDefault="00000000">
            <w:pPr>
              <w:spacing w:after="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NIST CSF</w:t>
            </w:r>
          </w:p>
        </w:tc>
        <w:tc>
          <w:tcPr>
            <w:tcW w:w="0" w:type="auto"/>
            <w:vAlign w:val="center"/>
          </w:tcPr>
          <w:p w14:paraId="245F7625" w14:textId="77777777" w:rsidR="00477317" w:rsidRDefault="00000000">
            <w:pPr>
              <w:spacing w:after="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ISO 27001</w:t>
            </w:r>
          </w:p>
        </w:tc>
      </w:tr>
      <w:tr w:rsidR="00477317" w14:paraId="5C7E99C8" w14:textId="77777777">
        <w:trPr>
          <w:trHeight w:val="732"/>
          <w:tblCellSpacing w:w="15" w:type="dxa"/>
        </w:trPr>
        <w:tc>
          <w:tcPr>
            <w:tcW w:w="0" w:type="auto"/>
            <w:vAlign w:val="center"/>
          </w:tcPr>
          <w:p w14:paraId="3ADC609C" w14:textId="77777777" w:rsidR="00477317" w:rsidRDefault="00000000">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Access Control</w:t>
            </w:r>
          </w:p>
        </w:tc>
        <w:tc>
          <w:tcPr>
            <w:tcW w:w="0" w:type="auto"/>
            <w:vAlign w:val="center"/>
          </w:tcPr>
          <w:p w14:paraId="33731B1D" w14:textId="77777777" w:rsidR="00477317" w:rsidRDefault="00000000">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Verify explicitly</w:t>
            </w:r>
          </w:p>
        </w:tc>
        <w:tc>
          <w:tcPr>
            <w:tcW w:w="0" w:type="auto"/>
            <w:vAlign w:val="center"/>
          </w:tcPr>
          <w:p w14:paraId="61E3E43A" w14:textId="77777777" w:rsidR="00477317" w:rsidRDefault="00000000">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PR.AC-1</w:t>
            </w:r>
          </w:p>
        </w:tc>
        <w:tc>
          <w:tcPr>
            <w:tcW w:w="0" w:type="auto"/>
            <w:vAlign w:val="center"/>
          </w:tcPr>
          <w:p w14:paraId="7EB763DA" w14:textId="77777777" w:rsidR="00477317" w:rsidRDefault="00000000">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A.9.2.2</w:t>
            </w:r>
          </w:p>
        </w:tc>
      </w:tr>
      <w:tr w:rsidR="00477317" w14:paraId="3F3F2732" w14:textId="77777777">
        <w:trPr>
          <w:trHeight w:val="773"/>
          <w:tblCellSpacing w:w="15" w:type="dxa"/>
        </w:trPr>
        <w:tc>
          <w:tcPr>
            <w:tcW w:w="0" w:type="auto"/>
            <w:vAlign w:val="center"/>
          </w:tcPr>
          <w:p w14:paraId="7FDE6398" w14:textId="77777777" w:rsidR="00477317" w:rsidRDefault="00000000">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Network Security</w:t>
            </w:r>
          </w:p>
        </w:tc>
        <w:tc>
          <w:tcPr>
            <w:tcW w:w="0" w:type="auto"/>
            <w:vAlign w:val="center"/>
          </w:tcPr>
          <w:p w14:paraId="119FCB89" w14:textId="77777777" w:rsidR="00477317" w:rsidRDefault="00000000">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Assume breach</w:t>
            </w:r>
          </w:p>
        </w:tc>
        <w:tc>
          <w:tcPr>
            <w:tcW w:w="0" w:type="auto"/>
            <w:vAlign w:val="center"/>
          </w:tcPr>
          <w:p w14:paraId="3A501046" w14:textId="77777777" w:rsidR="00477317" w:rsidRDefault="00000000">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PR.AC-3</w:t>
            </w:r>
          </w:p>
        </w:tc>
        <w:tc>
          <w:tcPr>
            <w:tcW w:w="0" w:type="auto"/>
            <w:vAlign w:val="center"/>
          </w:tcPr>
          <w:p w14:paraId="2C8D2E8A" w14:textId="77777777" w:rsidR="00477317" w:rsidRDefault="00000000">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A.13.1.1</w:t>
            </w:r>
          </w:p>
        </w:tc>
      </w:tr>
      <w:tr w:rsidR="00477317" w14:paraId="298026DC" w14:textId="77777777">
        <w:trPr>
          <w:trHeight w:val="732"/>
          <w:tblCellSpacing w:w="15" w:type="dxa"/>
        </w:trPr>
        <w:tc>
          <w:tcPr>
            <w:tcW w:w="0" w:type="auto"/>
            <w:vAlign w:val="center"/>
          </w:tcPr>
          <w:p w14:paraId="74CF7271" w14:textId="77777777" w:rsidR="00477317" w:rsidRDefault="00000000">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Monitoring</w:t>
            </w:r>
          </w:p>
        </w:tc>
        <w:tc>
          <w:tcPr>
            <w:tcW w:w="0" w:type="auto"/>
            <w:vAlign w:val="center"/>
          </w:tcPr>
          <w:p w14:paraId="55664B9D" w14:textId="77777777" w:rsidR="00477317" w:rsidRDefault="00000000">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Inspect and log</w:t>
            </w:r>
          </w:p>
        </w:tc>
        <w:tc>
          <w:tcPr>
            <w:tcW w:w="0" w:type="auto"/>
            <w:vAlign w:val="center"/>
          </w:tcPr>
          <w:p w14:paraId="506FBBE6" w14:textId="77777777" w:rsidR="00477317" w:rsidRDefault="00000000">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DE.AE-1</w:t>
            </w:r>
          </w:p>
        </w:tc>
        <w:tc>
          <w:tcPr>
            <w:tcW w:w="0" w:type="auto"/>
            <w:vAlign w:val="center"/>
          </w:tcPr>
          <w:p w14:paraId="698835AD" w14:textId="77777777" w:rsidR="00477317" w:rsidRDefault="00000000">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A.12.4.1</w:t>
            </w:r>
          </w:p>
        </w:tc>
      </w:tr>
      <w:tr w:rsidR="00477317" w14:paraId="5E550C05" w14:textId="77777777">
        <w:trPr>
          <w:trHeight w:val="732"/>
          <w:tblCellSpacing w:w="15" w:type="dxa"/>
        </w:trPr>
        <w:tc>
          <w:tcPr>
            <w:tcW w:w="0" w:type="auto"/>
            <w:vAlign w:val="center"/>
          </w:tcPr>
          <w:p w14:paraId="345F86D0" w14:textId="77777777" w:rsidR="00477317" w:rsidRDefault="00000000">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Data Protection</w:t>
            </w:r>
          </w:p>
        </w:tc>
        <w:tc>
          <w:tcPr>
            <w:tcW w:w="0" w:type="auto"/>
            <w:vAlign w:val="center"/>
          </w:tcPr>
          <w:p w14:paraId="4FC39894" w14:textId="77777777" w:rsidR="00477317" w:rsidRDefault="00000000">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Encrypt and segment</w:t>
            </w:r>
          </w:p>
        </w:tc>
        <w:tc>
          <w:tcPr>
            <w:tcW w:w="0" w:type="auto"/>
            <w:vAlign w:val="center"/>
          </w:tcPr>
          <w:p w14:paraId="1DC13664" w14:textId="77777777" w:rsidR="00477317" w:rsidRDefault="00000000">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PR.DS-1</w:t>
            </w:r>
          </w:p>
        </w:tc>
        <w:tc>
          <w:tcPr>
            <w:tcW w:w="0" w:type="auto"/>
            <w:vAlign w:val="center"/>
          </w:tcPr>
          <w:p w14:paraId="18505EE4" w14:textId="77777777" w:rsidR="00477317" w:rsidRDefault="00000000">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A.10.1.1</w:t>
            </w:r>
          </w:p>
        </w:tc>
      </w:tr>
      <w:tr w:rsidR="00477317" w14:paraId="7D632493" w14:textId="77777777">
        <w:trPr>
          <w:trHeight w:val="773"/>
          <w:tblCellSpacing w:w="15" w:type="dxa"/>
        </w:trPr>
        <w:tc>
          <w:tcPr>
            <w:tcW w:w="0" w:type="auto"/>
            <w:vAlign w:val="center"/>
          </w:tcPr>
          <w:p w14:paraId="7FBB08AF" w14:textId="77777777" w:rsidR="00477317" w:rsidRDefault="00000000">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Incident Response</w:t>
            </w:r>
          </w:p>
        </w:tc>
        <w:tc>
          <w:tcPr>
            <w:tcW w:w="0" w:type="auto"/>
            <w:vAlign w:val="center"/>
          </w:tcPr>
          <w:p w14:paraId="45491EDB" w14:textId="77777777" w:rsidR="00477317" w:rsidRDefault="00000000">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Automate and orchestrate</w:t>
            </w:r>
          </w:p>
        </w:tc>
        <w:tc>
          <w:tcPr>
            <w:tcW w:w="0" w:type="auto"/>
            <w:vAlign w:val="center"/>
          </w:tcPr>
          <w:p w14:paraId="21318603" w14:textId="77777777" w:rsidR="00477317" w:rsidRDefault="00000000">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RS.RP-1</w:t>
            </w:r>
          </w:p>
        </w:tc>
        <w:tc>
          <w:tcPr>
            <w:tcW w:w="0" w:type="auto"/>
            <w:vAlign w:val="center"/>
          </w:tcPr>
          <w:p w14:paraId="03EEDB63" w14:textId="77777777" w:rsidR="00477317" w:rsidRDefault="00000000">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A.16.1.4</w:t>
            </w:r>
          </w:p>
        </w:tc>
      </w:tr>
    </w:tbl>
    <w:p w14:paraId="5F7F23C5" w14:textId="77777777" w:rsidR="00477317" w:rsidRDefault="00477317">
      <w:pPr>
        <w:spacing w:line="360" w:lineRule="auto"/>
        <w:rPr>
          <w:rFonts w:ascii="Times New Roman" w:hAnsi="Times New Roman" w:cs="Times New Roman"/>
        </w:rPr>
      </w:pPr>
    </w:p>
    <w:p w14:paraId="2B8C2CE3" w14:textId="77777777" w:rsidR="00477317" w:rsidRDefault="00477317">
      <w:pPr>
        <w:pStyle w:val="Heading2"/>
        <w:spacing w:line="360" w:lineRule="auto"/>
        <w:rPr>
          <w:rStyle w:val="Strong"/>
          <w:b/>
          <w:bCs/>
        </w:rPr>
      </w:pPr>
      <w:bookmarkStart w:id="9" w:name="_Toc214918572"/>
    </w:p>
    <w:p w14:paraId="3BA2BEA8" w14:textId="77777777" w:rsidR="00477317" w:rsidRDefault="00477317">
      <w:pPr>
        <w:pStyle w:val="Heading2"/>
        <w:spacing w:line="360" w:lineRule="auto"/>
        <w:rPr>
          <w:rStyle w:val="Strong"/>
          <w:b/>
          <w:bCs/>
        </w:rPr>
      </w:pPr>
    </w:p>
    <w:p w14:paraId="6D7903BA" w14:textId="77777777" w:rsidR="00477317" w:rsidRDefault="00000000">
      <w:pPr>
        <w:pStyle w:val="Heading2"/>
        <w:spacing w:line="360" w:lineRule="auto"/>
      </w:pPr>
      <w:r>
        <w:rPr>
          <w:rStyle w:val="Strong"/>
          <w:b/>
          <w:bCs/>
        </w:rPr>
        <w:lastRenderedPageBreak/>
        <w:t>4. TECHNICAL MITIGATION MEASURES</w:t>
      </w:r>
      <w:bookmarkEnd w:id="9"/>
    </w:p>
    <w:p w14:paraId="5690E876" w14:textId="77777777" w:rsidR="00477317" w:rsidRDefault="00000000">
      <w:pPr>
        <w:pStyle w:val="Heading3"/>
        <w:spacing w:line="360" w:lineRule="auto"/>
        <w:rPr>
          <w:rFonts w:ascii="Times New Roman" w:hAnsi="Times New Roman" w:cs="Times New Roman"/>
          <w:color w:val="auto"/>
        </w:rPr>
      </w:pPr>
      <w:bookmarkStart w:id="10" w:name="_Toc214918573"/>
      <w:r>
        <w:rPr>
          <w:rStyle w:val="Strong"/>
          <w:rFonts w:ascii="Times New Roman" w:hAnsi="Times New Roman" w:cs="Times New Roman"/>
          <w:b/>
          <w:bCs/>
          <w:color w:val="auto"/>
        </w:rPr>
        <w:t>4.1 Multi-Factor Authentication (MFA)</w:t>
      </w:r>
      <w:bookmarkEnd w:id="10"/>
    </w:p>
    <w:p w14:paraId="1032D44E" w14:textId="77777777" w:rsidR="00477317" w:rsidRDefault="00000000">
      <w:pPr>
        <w:pStyle w:val="NormalWeb"/>
        <w:spacing w:line="360" w:lineRule="auto"/>
      </w:pPr>
      <w:r>
        <w:t>Implement phishing resistant MFA with FIDO2 security keys, or Windows Hello for Business to all administrative accounts and all business applications considered vulnerable. Microsoft security reports affirm that MFA helps to remove 99.9% of the account compromise attacks by compiling several verification factors other than mere passwords. Adaptive authentication mechanisms that consider contextual information such as user location, device compliance, and pattern of access should be the most important aspect implemented to establish authentication requirement.</w:t>
      </w:r>
    </w:p>
    <w:p w14:paraId="09077B39" w14:textId="77777777" w:rsidR="00477317" w:rsidRDefault="00000000">
      <w:pPr>
        <w:pStyle w:val="Heading3"/>
        <w:spacing w:line="360" w:lineRule="auto"/>
        <w:rPr>
          <w:rFonts w:ascii="Times New Roman" w:hAnsi="Times New Roman" w:cs="Times New Roman"/>
          <w:color w:val="auto"/>
        </w:rPr>
      </w:pPr>
      <w:bookmarkStart w:id="11" w:name="_Toc214918574"/>
      <w:r>
        <w:rPr>
          <w:rStyle w:val="Strong"/>
          <w:rFonts w:ascii="Times New Roman" w:hAnsi="Times New Roman" w:cs="Times New Roman"/>
          <w:b/>
          <w:bCs/>
          <w:color w:val="auto"/>
        </w:rPr>
        <w:t>4.2 Security Information and Event Management (SIEM)</w:t>
      </w:r>
      <w:bookmarkEnd w:id="11"/>
    </w:p>
    <w:p w14:paraId="7F0EE6BC" w14:textId="77777777" w:rsidR="00477317" w:rsidRDefault="00000000">
      <w:pPr>
        <w:pStyle w:val="NormalWeb"/>
        <w:spacing w:line="360" w:lineRule="auto"/>
      </w:pPr>
      <w:r>
        <w:t>Implement Microsoft Sentinel or Splunk Enterprise Security being the central log collection, correlation, and real-time threat detection tool over the entire IT environment. Securities events should be collated by the SIEM solution on network devices, servers, endpoints, cloud services, and applications in order to offer all-encompassing visibility.</w:t>
      </w:r>
    </w:p>
    <w:p w14:paraId="79B6C0DD" w14:textId="77777777" w:rsidR="00477317" w:rsidRDefault="00000000">
      <w:pPr>
        <w:pStyle w:val="Heading3"/>
        <w:spacing w:line="360" w:lineRule="auto"/>
        <w:rPr>
          <w:rFonts w:ascii="Times New Roman" w:hAnsi="Times New Roman" w:cs="Times New Roman"/>
          <w:color w:val="auto"/>
        </w:rPr>
      </w:pPr>
      <w:bookmarkStart w:id="12" w:name="_Toc214918575"/>
      <w:r>
        <w:rPr>
          <w:rStyle w:val="Strong"/>
          <w:rFonts w:ascii="Times New Roman" w:hAnsi="Times New Roman" w:cs="Times New Roman"/>
          <w:b/>
          <w:bCs/>
          <w:color w:val="auto"/>
        </w:rPr>
        <w:t>4.3 Cloud Security Posture Management (CSPM)</w:t>
      </w:r>
      <w:bookmarkEnd w:id="12"/>
    </w:p>
    <w:p w14:paraId="7311E72D" w14:textId="77777777" w:rsidR="00477317" w:rsidRDefault="00000000">
      <w:pPr>
        <w:pStyle w:val="NormalWeb"/>
        <w:spacing w:line="360" w:lineRule="auto"/>
      </w:pPr>
      <w:r>
        <w:t>Identify or use Microsoft Defender for Cloud or AWS Security Hub to continuously scan cloud configurations against the set security benchmarks and standards to comply. These devices can automatically detect misconfigurations of IaaS, PaaS and SaaS environments and offer prioritized remediation advice, depending on the severity of risk.</w:t>
      </w:r>
    </w:p>
    <w:p w14:paraId="10DEA429" w14:textId="77777777" w:rsidR="00477317" w:rsidRDefault="00000000">
      <w:pPr>
        <w:pStyle w:val="Heading3"/>
        <w:spacing w:line="360" w:lineRule="auto"/>
        <w:rPr>
          <w:rFonts w:ascii="Times New Roman" w:hAnsi="Times New Roman" w:cs="Times New Roman"/>
          <w:color w:val="auto"/>
        </w:rPr>
      </w:pPr>
      <w:bookmarkStart w:id="13" w:name="_Toc214918576"/>
      <w:r>
        <w:rPr>
          <w:rStyle w:val="Strong"/>
          <w:rFonts w:ascii="Times New Roman" w:hAnsi="Times New Roman" w:cs="Times New Roman"/>
          <w:b/>
          <w:bCs/>
          <w:color w:val="auto"/>
        </w:rPr>
        <w:t>4.4 Immutable Backups</w:t>
      </w:r>
      <w:bookmarkEnd w:id="13"/>
    </w:p>
    <w:p w14:paraId="484C6148" w14:textId="77777777" w:rsidR="00477317" w:rsidRDefault="00000000">
      <w:pPr>
        <w:pStyle w:val="NormalWeb"/>
        <w:spacing w:line="360" w:lineRule="auto"/>
      </w:pPr>
      <w:r>
        <w:t xml:space="preserve">Configure Veeam Backup and Replication with immutable storage settings which rely on cloud object lock features or in an on-premises hardened repository with write-once-read-many (WORM) </w:t>
      </w:r>
      <w:proofErr w:type="gramStart"/>
      <w:r>
        <w:t>protection</w:t>
      </w:r>
      <w:proofErr w:type="gramEnd"/>
      <w:r>
        <w:t xml:space="preserve">. Keep critical data backups of a minimum of 30 days maintaining at least three copies that have to be stored in a 3-2-1 backup rule with at least one copy located in a geographically dispersed location. </w:t>
      </w:r>
    </w:p>
    <w:p w14:paraId="353CDD53" w14:textId="77777777" w:rsidR="00477317" w:rsidRDefault="00000000">
      <w:pPr>
        <w:pStyle w:val="Heading3"/>
        <w:spacing w:line="360" w:lineRule="auto"/>
        <w:rPr>
          <w:rStyle w:val="Strong"/>
          <w:rFonts w:ascii="Times New Roman" w:hAnsi="Times New Roman" w:cs="Times New Roman"/>
          <w:b/>
          <w:bCs/>
          <w:color w:val="auto"/>
        </w:rPr>
      </w:pPr>
      <w:bookmarkStart w:id="14" w:name="_Toc214918577"/>
      <w:r>
        <w:rPr>
          <w:rStyle w:val="Strong"/>
          <w:rFonts w:ascii="Times New Roman" w:hAnsi="Times New Roman" w:cs="Times New Roman"/>
          <w:b/>
          <w:bCs/>
          <w:color w:val="auto"/>
        </w:rPr>
        <w:lastRenderedPageBreak/>
        <w:t>4.5 Patch Management</w:t>
      </w:r>
      <w:bookmarkEnd w:id="14"/>
    </w:p>
    <w:p w14:paraId="7B038EA4" w14:textId="77777777" w:rsidR="00477317" w:rsidRDefault="00000000">
      <w:pPr>
        <w:pStyle w:val="NormalWeb"/>
        <w:spacing w:line="360" w:lineRule="auto"/>
      </w:pPr>
      <w:r>
        <w:rPr>
          <w:bCs/>
          <w:noProof/>
        </w:rPr>
        <w:drawing>
          <wp:anchor distT="0" distB="0" distL="114300" distR="114300" simplePos="0" relativeHeight="251660288" behindDoc="0" locked="0" layoutInCell="1" allowOverlap="1" wp14:anchorId="6E8A0E15" wp14:editId="414B23B4">
            <wp:simplePos x="0" y="0"/>
            <wp:positionH relativeFrom="column">
              <wp:posOffset>-685800</wp:posOffset>
            </wp:positionH>
            <wp:positionV relativeFrom="paragraph">
              <wp:posOffset>1845945</wp:posOffset>
            </wp:positionV>
            <wp:extent cx="7174865" cy="3774440"/>
            <wp:effectExtent l="171450" t="171450" r="368935" b="359410"/>
            <wp:wrapTopAndBottom/>
            <wp:docPr id="2" name="Picture 2" descr="C:\Users\Dell\Downloads\fig2.drawi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Users\Dell\Downloads\fig2.drawio.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7174865" cy="3774440"/>
                    </a:xfrm>
                    <a:prstGeom prst="rect">
                      <a:avLst/>
                    </a:prstGeom>
                    <a:ln>
                      <a:noFill/>
                    </a:ln>
                    <a:effectLst>
                      <a:outerShdw blurRad="292100" dist="139700" dir="2700000" algn="tl" rotWithShape="0">
                        <a:srgbClr val="333333">
                          <a:alpha val="65000"/>
                        </a:srgbClr>
                      </a:outerShdw>
                    </a:effectLst>
                  </pic:spPr>
                </pic:pic>
              </a:graphicData>
            </a:graphic>
          </wp:anchor>
        </w:drawing>
      </w:r>
      <w:r>
        <w:rPr>
          <w:bCs/>
        </w:rPr>
        <w:t>Rank patching efforts according to CISA Known Exploited Vulnerabilities (KEV) catalog and aim at remediation of the vulnerabilities with recent exposure to exploitation in the wild. Introducing formal service level agreements with 72 hours remediation time of critical vulnerabilities and 30days SLA of high severity vulnerabilities</w:t>
      </w:r>
      <w:r>
        <w:t>.</w:t>
      </w:r>
    </w:p>
    <w:p w14:paraId="52843372" w14:textId="77777777" w:rsidR="00477317" w:rsidRDefault="00477317">
      <w:pPr>
        <w:pStyle w:val="NormalWeb"/>
        <w:spacing w:line="360" w:lineRule="auto"/>
        <w:jc w:val="center"/>
        <w:rPr>
          <w:rStyle w:val="Strong"/>
        </w:rPr>
      </w:pPr>
    </w:p>
    <w:p w14:paraId="34B67EA5" w14:textId="77777777" w:rsidR="00477317" w:rsidRDefault="00000000">
      <w:pPr>
        <w:pStyle w:val="NormalWeb"/>
        <w:spacing w:line="360" w:lineRule="auto"/>
        <w:jc w:val="center"/>
      </w:pPr>
      <w:r>
        <w:rPr>
          <w:rStyle w:val="Strong"/>
        </w:rPr>
        <w:t>Figure 2: Zero Trust Architecture for VTAM</w:t>
      </w:r>
      <w:r>
        <w:br/>
      </w:r>
    </w:p>
    <w:p w14:paraId="58255ECD" w14:textId="77777777" w:rsidR="00477317" w:rsidRDefault="00477317">
      <w:pPr>
        <w:pStyle w:val="Heading2"/>
        <w:spacing w:line="360" w:lineRule="auto"/>
        <w:rPr>
          <w:rStyle w:val="Strong"/>
          <w:b/>
          <w:bCs/>
        </w:rPr>
      </w:pPr>
      <w:bookmarkStart w:id="15" w:name="_Toc214918578"/>
    </w:p>
    <w:p w14:paraId="2CB2B6AA" w14:textId="77777777" w:rsidR="00477317" w:rsidRDefault="00000000">
      <w:pPr>
        <w:pStyle w:val="Heading2"/>
        <w:spacing w:line="360" w:lineRule="auto"/>
      </w:pPr>
      <w:r>
        <w:rPr>
          <w:rStyle w:val="Strong"/>
          <w:b/>
          <w:bCs/>
        </w:rPr>
        <w:lastRenderedPageBreak/>
        <w:t>5. PROACTIVE MONITORING &amp; INCIDENT RESPONSE</w:t>
      </w:r>
      <w:bookmarkEnd w:id="15"/>
    </w:p>
    <w:p w14:paraId="5F166994" w14:textId="77777777" w:rsidR="00477317" w:rsidRDefault="00000000">
      <w:pPr>
        <w:pStyle w:val="Heading3"/>
        <w:spacing w:line="360" w:lineRule="auto"/>
        <w:rPr>
          <w:rFonts w:ascii="Times New Roman" w:hAnsi="Times New Roman" w:cs="Times New Roman"/>
          <w:color w:val="auto"/>
        </w:rPr>
      </w:pPr>
      <w:bookmarkStart w:id="16" w:name="_Toc214918579"/>
      <w:r>
        <w:rPr>
          <w:rStyle w:val="Strong"/>
          <w:rFonts w:ascii="Times New Roman" w:hAnsi="Times New Roman" w:cs="Times New Roman"/>
          <w:b/>
          <w:bCs/>
          <w:color w:val="auto"/>
        </w:rPr>
        <w:t>5.1 24/7 Security Operations</w:t>
      </w:r>
      <w:bookmarkEnd w:id="16"/>
    </w:p>
    <w:p w14:paraId="79DD3A17" w14:textId="77777777" w:rsidR="00477317" w:rsidRDefault="00000000">
      <w:pPr>
        <w:pStyle w:val="NormalWeb"/>
        <w:spacing w:line="360" w:lineRule="auto"/>
      </w:pPr>
      <w:r>
        <w:t>Develop full Security Operations Center (SOC) functions either by increasing the size of an in-house security team or by utilizing the services of managed security service providers (MSSP). Install a shift-based monitoring across all the time zones in which VTAM has operations and hence cover the entire business hours in the global operations. The SOC must have visibility in real-time of the network infrastructure, cloud infrastructure, endpoints, and applications and security analysts with training on the patterns of attacks specific to financial services.</w:t>
      </w:r>
    </w:p>
    <w:p w14:paraId="370A70B4" w14:textId="77777777" w:rsidR="00477317" w:rsidRDefault="00000000">
      <w:pPr>
        <w:pStyle w:val="Heading3"/>
        <w:spacing w:line="360" w:lineRule="auto"/>
        <w:rPr>
          <w:rFonts w:ascii="Times New Roman" w:hAnsi="Times New Roman" w:cs="Times New Roman"/>
          <w:color w:val="auto"/>
        </w:rPr>
      </w:pPr>
      <w:bookmarkStart w:id="17" w:name="_Toc214918580"/>
      <w:r>
        <w:rPr>
          <w:rStyle w:val="Strong"/>
          <w:rFonts w:ascii="Times New Roman" w:hAnsi="Times New Roman" w:cs="Times New Roman"/>
          <w:b/>
          <w:bCs/>
          <w:color w:val="auto"/>
        </w:rPr>
        <w:t>5.2 SIEM/SOAR Integration</w:t>
      </w:r>
      <w:bookmarkEnd w:id="17"/>
    </w:p>
    <w:p w14:paraId="269275E5" w14:textId="77777777" w:rsidR="00477317" w:rsidRDefault="00000000">
      <w:pPr>
        <w:pStyle w:val="NormalWeb"/>
        <w:spacing w:line="360" w:lineRule="auto"/>
      </w:pPr>
      <w:r>
        <w:t xml:space="preserve">Automated incident response </w:t>
      </w:r>
      <w:proofErr w:type="spellStart"/>
      <w:r>
        <w:t>Response</w:t>
      </w:r>
      <w:proofErr w:type="spellEnd"/>
      <w:r>
        <w:t xml:space="preserve"> Playbooks Automated incident response is configured using playbooks of Security Orchestration, Automation and Response (SOAR), which decreases mean time to detection (MTTD) and mean time to response (MTTR) to frequent attack types. Phishing email analysis and containment processes are a few of the main automation processes that automatically quarantine the suspicious content, identify indicators of compromise (IOC) and update email filtering configurations to protect against future attacks. </w:t>
      </w:r>
    </w:p>
    <w:p w14:paraId="5BC19720" w14:textId="77777777" w:rsidR="00477317" w:rsidRDefault="00000000">
      <w:pPr>
        <w:pStyle w:val="Heading3"/>
        <w:spacing w:line="360" w:lineRule="auto"/>
        <w:rPr>
          <w:rFonts w:ascii="Times New Roman" w:hAnsi="Times New Roman" w:cs="Times New Roman"/>
          <w:color w:val="auto"/>
        </w:rPr>
      </w:pPr>
      <w:bookmarkStart w:id="18" w:name="_Toc214918581"/>
      <w:r>
        <w:rPr>
          <w:rStyle w:val="Strong"/>
          <w:rFonts w:ascii="Times New Roman" w:hAnsi="Times New Roman" w:cs="Times New Roman"/>
          <w:b/>
          <w:bCs/>
          <w:color w:val="auto"/>
        </w:rPr>
        <w:t>5.3 Ransomware Response Plan</w:t>
      </w:r>
      <w:bookmarkEnd w:id="18"/>
    </w:p>
    <w:p w14:paraId="2CCF84A9" w14:textId="77777777" w:rsidR="00477317" w:rsidRDefault="00000000">
      <w:pPr>
        <w:pStyle w:val="NormalWeb"/>
        <w:spacing w:line="360" w:lineRule="auto"/>
      </w:pPr>
      <w:r>
        <w:rPr>
          <w:rStyle w:val="Strong"/>
        </w:rPr>
        <w:t>Immediate Actions:</w:t>
      </w:r>
    </w:p>
    <w:p w14:paraId="30211FA9" w14:textId="77777777" w:rsidR="00477317" w:rsidRDefault="00000000">
      <w:pPr>
        <w:numPr>
          <w:ilvl w:val="0"/>
          <w:numId w:val="2"/>
        </w:num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Physically disconnect infected systems off the network, by disabling ports on a switch, or deploying network isolation policies to limit the infection.</w:t>
      </w:r>
    </w:p>
    <w:p w14:paraId="01C86F30" w14:textId="77777777" w:rsidR="00477317" w:rsidRDefault="00000000">
      <w:pPr>
        <w:numPr>
          <w:ilvl w:val="0"/>
          <w:numId w:val="2"/>
        </w:num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Formal activation of incident response team with well-articulated technical analysis, communication and decision-making roles and responsibilities.</w:t>
      </w:r>
    </w:p>
    <w:p w14:paraId="015E4149" w14:textId="77777777" w:rsidR="00477317" w:rsidRDefault="00000000">
      <w:pPr>
        <w:numPr>
          <w:ilvl w:val="0"/>
          <w:numId w:val="2"/>
        </w:num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Inform legal and compliance teams to deal with regulatory reporting requirements and use outside counsel to deal with legal advice.</w:t>
      </w:r>
    </w:p>
    <w:p w14:paraId="17FB2D85" w14:textId="77777777" w:rsidR="00477317" w:rsidRDefault="00000000">
      <w:pPr>
        <w:numPr>
          <w:ilvl w:val="0"/>
          <w:numId w:val="2"/>
        </w:num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Contact cyber insurance distributor to file claim and claim incident response retainers to aid in forensic investigation and recovery.</w:t>
      </w:r>
    </w:p>
    <w:p w14:paraId="1A0E00EF" w14:textId="77777777" w:rsidR="00477317" w:rsidRDefault="00477317">
      <w:pPr>
        <w:pStyle w:val="NormalWeb"/>
        <w:spacing w:line="360" w:lineRule="auto"/>
        <w:rPr>
          <w:rStyle w:val="Strong"/>
        </w:rPr>
      </w:pPr>
    </w:p>
    <w:p w14:paraId="26468B54" w14:textId="77777777" w:rsidR="00477317" w:rsidRDefault="00477317">
      <w:pPr>
        <w:pStyle w:val="NormalWeb"/>
        <w:spacing w:line="360" w:lineRule="auto"/>
        <w:rPr>
          <w:rStyle w:val="Strong"/>
        </w:rPr>
      </w:pPr>
    </w:p>
    <w:p w14:paraId="7B5BCB84" w14:textId="77777777" w:rsidR="00477317" w:rsidRDefault="00000000">
      <w:pPr>
        <w:pStyle w:val="NormalWeb"/>
        <w:spacing w:line="360" w:lineRule="auto"/>
      </w:pPr>
      <w:r>
        <w:rPr>
          <w:rStyle w:val="Strong"/>
        </w:rPr>
        <w:t>Recovery Procedures:</w:t>
      </w:r>
    </w:p>
    <w:p w14:paraId="0B9B8D9A" w14:textId="77777777" w:rsidR="00477317" w:rsidRDefault="00000000">
      <w:pPr>
        <w:numPr>
          <w:ilvl w:val="0"/>
          <w:numId w:val="3"/>
        </w:num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Recover verified impeccable backups of encrypted systems after the established recovery priority lists according to business importance.</w:t>
      </w:r>
    </w:p>
    <w:p w14:paraId="69941027" w14:textId="77777777" w:rsidR="00477317" w:rsidRDefault="00000000">
      <w:pPr>
        <w:numPr>
          <w:ilvl w:val="0"/>
          <w:numId w:val="3"/>
        </w:num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Carry out thorough forensic investigation to determine first attack vector, scope of attack, and possible data exfiltration.</w:t>
      </w:r>
    </w:p>
    <w:p w14:paraId="703CA5BF" w14:textId="77777777" w:rsidR="00477317" w:rsidRDefault="00000000">
      <w:pPr>
        <w:numPr>
          <w:ilvl w:val="0"/>
          <w:numId w:val="3"/>
        </w:num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Establish more security controls on the identified gaps before returning systems to production so as to avoid reinfection.</w:t>
      </w:r>
    </w:p>
    <w:p w14:paraId="61AF7AB5" w14:textId="77777777" w:rsidR="00477317" w:rsidRDefault="00000000">
      <w:pPr>
        <w:numPr>
          <w:ilvl w:val="0"/>
          <w:numId w:val="3"/>
        </w:num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1312" behindDoc="0" locked="0" layoutInCell="1" allowOverlap="1" wp14:anchorId="7AA595C4" wp14:editId="3D6F7731">
            <wp:simplePos x="0" y="0"/>
            <wp:positionH relativeFrom="column">
              <wp:posOffset>-742950</wp:posOffset>
            </wp:positionH>
            <wp:positionV relativeFrom="paragraph">
              <wp:posOffset>984250</wp:posOffset>
            </wp:positionV>
            <wp:extent cx="7319645" cy="2225040"/>
            <wp:effectExtent l="171450" t="171450" r="357505" b="365760"/>
            <wp:wrapTopAndBottom/>
            <wp:docPr id="3" name="Picture 3" descr="C:\Users\Dell\Downloads\fig_3.drawi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Users\Dell\Downloads\fig_3.drawio.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7319645" cy="2225040"/>
                    </a:xfrm>
                    <a:prstGeom prst="rect">
                      <a:avLst/>
                    </a:prstGeom>
                    <a:ln>
                      <a:noFill/>
                    </a:ln>
                    <a:effectLst>
                      <a:outerShdw blurRad="292100" dist="139700" dir="2700000" algn="tl" rotWithShape="0">
                        <a:srgbClr val="333333">
                          <a:alpha val="65000"/>
                        </a:srgbClr>
                      </a:outerShdw>
                    </a:effectLst>
                  </pic:spPr>
                </pic:pic>
              </a:graphicData>
            </a:graphic>
          </wp:anchor>
        </w:drawing>
      </w:r>
      <w:r>
        <w:rPr>
          <w:rFonts w:ascii="Times New Roman" w:hAnsi="Times New Roman" w:cs="Times New Roman"/>
          <w:sz w:val="24"/>
          <w:szCs w:val="24"/>
        </w:rPr>
        <w:t>Conduct systematic communication and sensitization of employees to ensure there is trust without causing panic and misinformation.</w:t>
      </w:r>
    </w:p>
    <w:p w14:paraId="2403685E" w14:textId="77777777" w:rsidR="00477317" w:rsidRDefault="00000000">
      <w:pPr>
        <w:pStyle w:val="NormalWeb"/>
        <w:spacing w:line="360" w:lineRule="auto"/>
        <w:jc w:val="center"/>
      </w:pPr>
      <w:r>
        <w:rPr>
          <w:rStyle w:val="Strong"/>
        </w:rPr>
        <w:t>Figure 3: SIEM/SOAR Incident Response Workflow</w:t>
      </w:r>
      <w:r>
        <w:br/>
      </w:r>
    </w:p>
    <w:p w14:paraId="31C7A63B" w14:textId="77777777" w:rsidR="00477317" w:rsidRDefault="00000000">
      <w:pPr>
        <w:pStyle w:val="Heading2"/>
        <w:spacing w:line="360" w:lineRule="auto"/>
      </w:pPr>
      <w:bookmarkStart w:id="19" w:name="_Toc214918582"/>
      <w:r>
        <w:rPr>
          <w:rStyle w:val="Strong"/>
          <w:b/>
          <w:bCs/>
        </w:rPr>
        <w:t>6. CONTINUOUS TRAINING &amp; AWARENESS</w:t>
      </w:r>
      <w:bookmarkEnd w:id="19"/>
    </w:p>
    <w:p w14:paraId="5340F53B" w14:textId="77777777" w:rsidR="00477317" w:rsidRDefault="00000000">
      <w:pPr>
        <w:pStyle w:val="Heading3"/>
        <w:spacing w:line="360" w:lineRule="auto"/>
        <w:rPr>
          <w:rFonts w:ascii="Times New Roman" w:hAnsi="Times New Roman" w:cs="Times New Roman"/>
          <w:color w:val="auto"/>
        </w:rPr>
      </w:pPr>
      <w:bookmarkStart w:id="20" w:name="_Toc214918583"/>
      <w:r>
        <w:rPr>
          <w:rStyle w:val="Strong"/>
          <w:rFonts w:ascii="Times New Roman" w:hAnsi="Times New Roman" w:cs="Times New Roman"/>
          <w:b/>
          <w:bCs/>
          <w:color w:val="auto"/>
        </w:rPr>
        <w:lastRenderedPageBreak/>
        <w:t>6.1 Phishing Simulation Program</w:t>
      </w:r>
      <w:bookmarkEnd w:id="20"/>
    </w:p>
    <w:p w14:paraId="7E0CC36D" w14:textId="77777777" w:rsidR="00477317" w:rsidRDefault="00000000">
      <w:pPr>
        <w:pStyle w:val="NormalWeb"/>
        <w:spacing w:line="360" w:lineRule="auto"/>
      </w:pPr>
      <w:r>
        <w:t>Implement simulated phishing applications such as KnowBe4 and Proofpoint to build real-life and cycling security awareness initiatives. Perform simulated phishing exercises on a monthly or quarterly basis, with graded levels of difficulty in terms of complexity of phishing templates and complexity of business email compromise (BEC) attacks that simulates the actual threat actor behavior. The 2024 IBM Security Cost of a Data Breach Report found that organizations that have detailed security awareness training programs incur half the costs on data breaches as compared to organizations that do not have such training.</w:t>
      </w:r>
    </w:p>
    <w:p w14:paraId="4AB23B7C" w14:textId="77777777" w:rsidR="00477317" w:rsidRDefault="00000000">
      <w:pPr>
        <w:pStyle w:val="Heading3"/>
        <w:spacing w:line="360" w:lineRule="auto"/>
        <w:rPr>
          <w:rFonts w:ascii="Times New Roman" w:hAnsi="Times New Roman" w:cs="Times New Roman"/>
          <w:color w:val="auto"/>
        </w:rPr>
      </w:pPr>
      <w:bookmarkStart w:id="21" w:name="_Toc214918584"/>
      <w:r>
        <w:rPr>
          <w:rStyle w:val="Strong"/>
          <w:rFonts w:ascii="Times New Roman" w:hAnsi="Times New Roman" w:cs="Times New Roman"/>
          <w:b/>
          <w:bCs/>
          <w:color w:val="auto"/>
        </w:rPr>
        <w:t>6.2 Vishing Awareness Campaign</w:t>
      </w:r>
      <w:bookmarkEnd w:id="21"/>
    </w:p>
    <w:p w14:paraId="32A0ECDF" w14:textId="77777777" w:rsidR="00477317" w:rsidRDefault="00000000">
      <w:pPr>
        <w:pStyle w:val="NormalWeb"/>
        <w:spacing w:line="360" w:lineRule="auto"/>
      </w:pPr>
      <w:r>
        <w:t>Introduce vishing simulation trainings every quarter with enhanced AI voice cloning technology so as to simulate a real-life situation of social engineering. These simulations will be aimed at all the employees in the various departments although especially executive assistants, finance people and those in the IT helpdesk who are likely to be inclined to handle sensitive requests. Educate the employees to screen suspicious voice transfers by creating alternative ways of contacting via other platforms, such as having a back-up option of checking through the official company messaging protocols or call back policies using the already published numbers.</w:t>
      </w:r>
    </w:p>
    <w:p w14:paraId="62AC0545" w14:textId="77777777" w:rsidR="00477317" w:rsidRDefault="00000000">
      <w:pPr>
        <w:pStyle w:val="Heading3"/>
        <w:spacing w:line="360" w:lineRule="auto"/>
        <w:rPr>
          <w:rFonts w:ascii="Times New Roman" w:hAnsi="Times New Roman" w:cs="Times New Roman"/>
          <w:color w:val="auto"/>
        </w:rPr>
      </w:pPr>
      <w:bookmarkStart w:id="22" w:name="_Toc214918585"/>
      <w:r>
        <w:rPr>
          <w:rStyle w:val="Strong"/>
          <w:rFonts w:ascii="Times New Roman" w:hAnsi="Times New Roman" w:cs="Times New Roman"/>
          <w:b/>
          <w:bCs/>
          <w:color w:val="auto"/>
        </w:rPr>
        <w:t>6.3 Role-Based Training Modules</w:t>
      </w:r>
      <w:bookmarkEnd w:id="22"/>
    </w:p>
    <w:p w14:paraId="7C53153C" w14:textId="77777777" w:rsidR="00477317" w:rsidRDefault="00000000">
      <w:pPr>
        <w:pStyle w:val="NormalWeb"/>
        <w:spacing w:line="360" w:lineRule="auto"/>
      </w:pPr>
      <w:r>
        <w:t>Establish training modules to be developed that are specific to each job task and risk in the organization. To apply to executive leadership, develop deepfake video detection and advanced business email compromise awareness, the impact of executive impersonation attacks is financial and reputational and should be prioritized. Introduce the practice of security briefing to top managers that would turn technical risks into business risks, so that they can make informed decisions on investments on security.</w:t>
      </w:r>
    </w:p>
    <w:p w14:paraId="1A629197" w14:textId="77777777" w:rsidR="00477317" w:rsidRDefault="00000000">
      <w:pPr>
        <w:pStyle w:val="Heading2"/>
        <w:spacing w:line="360" w:lineRule="auto"/>
      </w:pPr>
      <w:bookmarkStart w:id="23" w:name="_Toc214918586"/>
      <w:r>
        <w:rPr>
          <w:rStyle w:val="Strong"/>
          <w:b/>
          <w:bCs/>
        </w:rPr>
        <w:t>7. CONCLUSION</w:t>
      </w:r>
      <w:bookmarkEnd w:id="23"/>
    </w:p>
    <w:p w14:paraId="52780BD2" w14:textId="77777777" w:rsidR="00477317" w:rsidRDefault="00000000">
      <w:pPr>
        <w:pStyle w:val="NormalWeb"/>
        <w:spacing w:line="360" w:lineRule="auto"/>
      </w:pPr>
      <w:r>
        <w:t xml:space="preserve">The suggested Zero Trust security model offers the entire, staying abreast security to VTAM in the ever-utilizing cyber menace context. VTAM can make several improvements in its security </w:t>
      </w:r>
      <w:r>
        <w:lastRenderedPageBreak/>
        <w:t>posture and resilience by deploying identity-based security controls to authenticate each request to the system, create continuous viewing capabilities to identify abnormal behaviors in real-time, and create proactive incident response strategies to reduce the business footprint. The strategic alignment to the proven international standards such as NIST Cybersecurity Framework and POSIO 27001 will be a guarantee of compliance with industry best practices and regulatory needs of financial services organizations.</w:t>
      </w:r>
    </w:p>
    <w:p w14:paraId="626A5971" w14:textId="77777777" w:rsidR="00477317" w:rsidRDefault="00000000">
      <w:pPr>
        <w:pStyle w:val="NormalWeb"/>
        <w:spacing w:line="360" w:lineRule="auto"/>
      </w:pPr>
      <w:r>
        <w:t xml:space="preserve">The continuous, role-based security training emphasis cultivates a sustainable organizational culture of security awareness that is changing employees, who could be viewed as the vulnerability, to the asset of active security </w:t>
      </w:r>
      <w:proofErr w:type="spellStart"/>
      <w:r>
        <w:t>defences</w:t>
      </w:r>
      <w:proofErr w:type="spellEnd"/>
      <w:r>
        <w:t>. This people-focused measure is an adjunct to technical controls and seeks to deal with the cause of a large number of security incidents the human error and the social engineering manipulation.</w:t>
      </w:r>
    </w:p>
    <w:p w14:paraId="24F6424F" w14:textId="77777777" w:rsidR="00477317" w:rsidRDefault="00477317">
      <w:pPr>
        <w:pStyle w:val="NormalWeb"/>
      </w:pPr>
    </w:p>
    <w:p w14:paraId="165A86A7" w14:textId="77777777" w:rsidR="00477317" w:rsidRDefault="00477317">
      <w:pPr>
        <w:pStyle w:val="NormalWeb"/>
      </w:pPr>
    </w:p>
    <w:p w14:paraId="29EC5FC1" w14:textId="77777777" w:rsidR="00477317" w:rsidRDefault="00477317">
      <w:pPr>
        <w:pStyle w:val="NormalWeb"/>
      </w:pPr>
    </w:p>
    <w:p w14:paraId="6C223398" w14:textId="77777777" w:rsidR="00477317" w:rsidRDefault="00477317">
      <w:pPr>
        <w:pStyle w:val="NormalWeb"/>
      </w:pPr>
    </w:p>
    <w:p w14:paraId="77224F2B" w14:textId="77777777" w:rsidR="00477317" w:rsidRDefault="00477317">
      <w:pPr>
        <w:pStyle w:val="NormalWeb"/>
      </w:pPr>
    </w:p>
    <w:p w14:paraId="7A4415AF" w14:textId="77777777" w:rsidR="00477317" w:rsidRDefault="00477317">
      <w:pPr>
        <w:pStyle w:val="NormalWeb"/>
      </w:pPr>
    </w:p>
    <w:p w14:paraId="2100DE86" w14:textId="77777777" w:rsidR="00477317" w:rsidRDefault="00477317">
      <w:pPr>
        <w:pStyle w:val="NormalWeb"/>
      </w:pPr>
    </w:p>
    <w:p w14:paraId="39658F93" w14:textId="77777777" w:rsidR="00477317" w:rsidRDefault="00477317">
      <w:pPr>
        <w:pStyle w:val="NormalWeb"/>
      </w:pPr>
    </w:p>
    <w:p w14:paraId="0841CC87" w14:textId="77777777" w:rsidR="00477317" w:rsidRDefault="00477317">
      <w:pPr>
        <w:pStyle w:val="NormalWeb"/>
      </w:pPr>
    </w:p>
    <w:p w14:paraId="5F500D84" w14:textId="77777777" w:rsidR="00477317" w:rsidRDefault="00477317">
      <w:pPr>
        <w:pStyle w:val="NormalWeb"/>
      </w:pPr>
    </w:p>
    <w:p w14:paraId="1D235CD1" w14:textId="77777777" w:rsidR="00477317" w:rsidRDefault="00477317">
      <w:pPr>
        <w:pStyle w:val="NormalWeb"/>
      </w:pPr>
    </w:p>
    <w:p w14:paraId="70AC8BEC" w14:textId="77777777" w:rsidR="00477317" w:rsidRDefault="00477317">
      <w:pPr>
        <w:pStyle w:val="NormalWeb"/>
      </w:pPr>
    </w:p>
    <w:p w14:paraId="2680E04F" w14:textId="77777777" w:rsidR="00477317" w:rsidRDefault="00477317">
      <w:pPr>
        <w:pStyle w:val="NormalWeb"/>
      </w:pPr>
    </w:p>
    <w:p w14:paraId="392A0F0A" w14:textId="77777777" w:rsidR="00477317" w:rsidRDefault="00477317">
      <w:pPr>
        <w:pStyle w:val="NormalWeb"/>
      </w:pPr>
    </w:p>
    <w:p w14:paraId="1D8FD265" w14:textId="77777777" w:rsidR="00477317" w:rsidRDefault="00000000">
      <w:pPr>
        <w:spacing w:before="100" w:beforeAutospacing="1" w:after="100" w:afterAutospacing="1" w:line="240" w:lineRule="auto"/>
        <w:outlineLvl w:val="0"/>
        <w:rPr>
          <w:rFonts w:ascii="Times New Roman" w:eastAsia="Times New Roman" w:hAnsi="Times New Roman" w:cs="Times New Roman"/>
          <w:b/>
          <w:bCs/>
          <w:kern w:val="36"/>
          <w:sz w:val="48"/>
          <w:szCs w:val="48"/>
        </w:rPr>
      </w:pPr>
      <w:bookmarkStart w:id="24" w:name="_Toc214918587"/>
      <w:r>
        <w:rPr>
          <w:rFonts w:ascii="Times New Roman" w:eastAsia="Times New Roman" w:hAnsi="Times New Roman" w:cs="Times New Roman"/>
          <w:b/>
          <w:bCs/>
          <w:kern w:val="36"/>
          <w:sz w:val="48"/>
          <w:szCs w:val="48"/>
        </w:rPr>
        <w:lastRenderedPageBreak/>
        <w:t>8. REFERENCES</w:t>
      </w:r>
      <w:bookmarkEnd w:id="24"/>
    </w:p>
    <w:p w14:paraId="3187256A" w14:textId="77777777" w:rsidR="00477317" w:rsidRDefault="00000000">
      <w:pPr>
        <w:numPr>
          <w:ilvl w:val="0"/>
          <w:numId w:val="4"/>
        </w:numPr>
        <w:spacing w:before="100" w:beforeAutospacing="1" w:after="100" w:afterAutospacing="1"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National Institute of Standards and Technology (NIST). (2023). </w:t>
      </w:r>
      <w:r>
        <w:rPr>
          <w:rFonts w:ascii="Times New Roman" w:eastAsia="Times New Roman" w:hAnsi="Times New Roman" w:cs="Times New Roman"/>
          <w:i/>
          <w:iCs/>
          <w:sz w:val="24"/>
          <w:szCs w:val="24"/>
        </w:rPr>
        <w:t>Cybersecurity Framework Version 2.0</w:t>
      </w:r>
      <w:r>
        <w:rPr>
          <w:rFonts w:ascii="Times New Roman" w:eastAsia="Times New Roman" w:hAnsi="Times New Roman" w:cs="Times New Roman"/>
          <w:sz w:val="24"/>
          <w:szCs w:val="24"/>
        </w:rPr>
        <w:t xml:space="preserve">. </w:t>
      </w:r>
      <w:hyperlink r:id="rId11" w:history="1">
        <w:r w:rsidR="00477317">
          <w:rPr>
            <w:rFonts w:ascii="Times New Roman" w:eastAsia="Times New Roman" w:hAnsi="Times New Roman" w:cs="Times New Roman"/>
            <w:color w:val="0000FF"/>
            <w:sz w:val="24"/>
            <w:szCs w:val="24"/>
            <w:u w:val="single"/>
          </w:rPr>
          <w:t>https://www.nist.gov/cyberframework</w:t>
        </w:r>
      </w:hyperlink>
    </w:p>
    <w:p w14:paraId="28B31A3E" w14:textId="77777777" w:rsidR="00477317" w:rsidRDefault="00000000">
      <w:pPr>
        <w:numPr>
          <w:ilvl w:val="0"/>
          <w:numId w:val="4"/>
        </w:numPr>
        <w:spacing w:before="100" w:beforeAutospacing="1" w:after="100" w:afterAutospacing="1"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Cybersecurity and Infrastructure Security Agency (CISA). (2024). </w:t>
      </w:r>
      <w:r>
        <w:rPr>
          <w:rFonts w:ascii="Times New Roman" w:eastAsia="Times New Roman" w:hAnsi="Times New Roman" w:cs="Times New Roman"/>
          <w:i/>
          <w:iCs/>
          <w:sz w:val="24"/>
          <w:szCs w:val="24"/>
        </w:rPr>
        <w:t>Zero Trust Maturity Model</w:t>
      </w:r>
      <w:r>
        <w:rPr>
          <w:rFonts w:ascii="Times New Roman" w:eastAsia="Times New Roman" w:hAnsi="Times New Roman" w:cs="Times New Roman"/>
          <w:sz w:val="24"/>
          <w:szCs w:val="24"/>
        </w:rPr>
        <w:t xml:space="preserve">. </w:t>
      </w:r>
      <w:hyperlink r:id="rId12" w:history="1">
        <w:r w:rsidR="00477317">
          <w:rPr>
            <w:rFonts w:ascii="Times New Roman" w:eastAsia="Times New Roman" w:hAnsi="Times New Roman" w:cs="Times New Roman"/>
            <w:color w:val="0000FF"/>
            <w:sz w:val="24"/>
            <w:szCs w:val="24"/>
            <w:u w:val="single"/>
          </w:rPr>
          <w:t>https://www.cisa.gov/zero-trust-maturity-model</w:t>
        </w:r>
      </w:hyperlink>
    </w:p>
    <w:p w14:paraId="7A0281FB" w14:textId="77777777" w:rsidR="00477317" w:rsidRDefault="00000000">
      <w:pPr>
        <w:numPr>
          <w:ilvl w:val="0"/>
          <w:numId w:val="4"/>
        </w:numPr>
        <w:spacing w:before="100" w:beforeAutospacing="1" w:after="100" w:afterAutospacing="1"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ISO/IEC 27001:2022. </w:t>
      </w:r>
      <w:r>
        <w:rPr>
          <w:rFonts w:ascii="Times New Roman" w:eastAsia="Times New Roman" w:hAnsi="Times New Roman" w:cs="Times New Roman"/>
          <w:i/>
          <w:iCs/>
          <w:sz w:val="24"/>
          <w:szCs w:val="24"/>
        </w:rPr>
        <w:t>Information security, cybersecurity and privacy protection — Information security management systems — Requirements</w:t>
      </w:r>
      <w:r>
        <w:rPr>
          <w:rFonts w:ascii="Times New Roman" w:eastAsia="Times New Roman" w:hAnsi="Times New Roman" w:cs="Times New Roman"/>
          <w:sz w:val="24"/>
          <w:szCs w:val="24"/>
        </w:rPr>
        <w:t>.</w:t>
      </w:r>
    </w:p>
    <w:p w14:paraId="4D4162A2" w14:textId="77777777" w:rsidR="00477317" w:rsidRDefault="00000000">
      <w:pPr>
        <w:numPr>
          <w:ilvl w:val="0"/>
          <w:numId w:val="4"/>
        </w:numPr>
        <w:spacing w:before="100" w:beforeAutospacing="1" w:after="100" w:afterAutospacing="1"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European Union Agency for Cybersecurity (ENISA). (2024). </w:t>
      </w:r>
      <w:r>
        <w:rPr>
          <w:rFonts w:ascii="Times New Roman" w:eastAsia="Times New Roman" w:hAnsi="Times New Roman" w:cs="Times New Roman"/>
          <w:i/>
          <w:iCs/>
          <w:sz w:val="24"/>
          <w:szCs w:val="24"/>
        </w:rPr>
        <w:t>Threat Landscape for Financial Institutions</w:t>
      </w:r>
      <w:r>
        <w:rPr>
          <w:rFonts w:ascii="Times New Roman" w:eastAsia="Times New Roman" w:hAnsi="Times New Roman" w:cs="Times New Roman"/>
          <w:sz w:val="24"/>
          <w:szCs w:val="24"/>
        </w:rPr>
        <w:t xml:space="preserve">. </w:t>
      </w:r>
      <w:hyperlink r:id="rId13" w:history="1">
        <w:r w:rsidR="00477317">
          <w:rPr>
            <w:rFonts w:ascii="Times New Roman" w:eastAsia="Times New Roman" w:hAnsi="Times New Roman" w:cs="Times New Roman"/>
            <w:color w:val="0000FF"/>
            <w:sz w:val="24"/>
            <w:szCs w:val="24"/>
            <w:u w:val="single"/>
          </w:rPr>
          <w:t>https://www.enisa.europa.eu/publications/enisa-threat-landscape-2024</w:t>
        </w:r>
      </w:hyperlink>
    </w:p>
    <w:p w14:paraId="6071C2A2" w14:textId="77777777" w:rsidR="00477317" w:rsidRDefault="00000000">
      <w:pPr>
        <w:numPr>
          <w:ilvl w:val="0"/>
          <w:numId w:val="4"/>
        </w:numPr>
        <w:spacing w:before="100" w:beforeAutospacing="1" w:after="100" w:afterAutospacing="1"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Microsoft. (2024). </w:t>
      </w:r>
      <w:r>
        <w:rPr>
          <w:rFonts w:ascii="Times New Roman" w:eastAsia="Times New Roman" w:hAnsi="Times New Roman" w:cs="Times New Roman"/>
          <w:i/>
          <w:iCs/>
          <w:sz w:val="24"/>
          <w:szCs w:val="24"/>
        </w:rPr>
        <w:t>Microsoft Digital Defense Report</w:t>
      </w:r>
      <w:r>
        <w:rPr>
          <w:rFonts w:ascii="Times New Roman" w:eastAsia="Times New Roman" w:hAnsi="Times New Roman" w:cs="Times New Roman"/>
          <w:sz w:val="24"/>
          <w:szCs w:val="24"/>
        </w:rPr>
        <w:t xml:space="preserve">. </w:t>
      </w:r>
      <w:hyperlink r:id="rId14" w:history="1">
        <w:r w:rsidR="00477317">
          <w:rPr>
            <w:rFonts w:ascii="Times New Roman" w:eastAsia="Times New Roman" w:hAnsi="Times New Roman" w:cs="Times New Roman"/>
            <w:color w:val="0000FF"/>
            <w:sz w:val="24"/>
            <w:szCs w:val="24"/>
            <w:u w:val="single"/>
          </w:rPr>
          <w:t>https://www.microsoft.com/en-us/security/business/microsoft-digital-defense-report</w:t>
        </w:r>
      </w:hyperlink>
    </w:p>
    <w:p w14:paraId="07449C45" w14:textId="77777777" w:rsidR="00477317" w:rsidRDefault="00000000">
      <w:pPr>
        <w:numPr>
          <w:ilvl w:val="0"/>
          <w:numId w:val="4"/>
        </w:numPr>
        <w:spacing w:before="100" w:beforeAutospacing="1" w:after="100" w:afterAutospacing="1"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Cloud Security Alliance. (2023). </w:t>
      </w:r>
      <w:r>
        <w:rPr>
          <w:rFonts w:ascii="Times New Roman" w:eastAsia="Times New Roman" w:hAnsi="Times New Roman" w:cs="Times New Roman"/>
          <w:i/>
          <w:iCs/>
          <w:sz w:val="24"/>
          <w:szCs w:val="24"/>
        </w:rPr>
        <w:t>Zero Trust Architecture for Financial Services</w:t>
      </w:r>
      <w:r>
        <w:rPr>
          <w:rFonts w:ascii="Times New Roman" w:eastAsia="Times New Roman" w:hAnsi="Times New Roman" w:cs="Times New Roman"/>
          <w:sz w:val="24"/>
          <w:szCs w:val="24"/>
        </w:rPr>
        <w:t xml:space="preserve">. </w:t>
      </w:r>
    </w:p>
    <w:p w14:paraId="6E2BA741" w14:textId="77777777" w:rsidR="00477317" w:rsidRDefault="00000000">
      <w:pPr>
        <w:numPr>
          <w:ilvl w:val="0"/>
          <w:numId w:val="4"/>
        </w:numPr>
        <w:spacing w:before="100" w:beforeAutospacing="1" w:after="100" w:afterAutospacing="1"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Verizon. (2024). </w:t>
      </w:r>
      <w:r>
        <w:rPr>
          <w:rFonts w:ascii="Times New Roman" w:eastAsia="Times New Roman" w:hAnsi="Times New Roman" w:cs="Times New Roman"/>
          <w:i/>
          <w:iCs/>
          <w:sz w:val="24"/>
          <w:szCs w:val="24"/>
        </w:rPr>
        <w:t>Data Breach Investigations Report</w:t>
      </w:r>
      <w:r>
        <w:rPr>
          <w:rFonts w:ascii="Times New Roman" w:eastAsia="Times New Roman" w:hAnsi="Times New Roman" w:cs="Times New Roman"/>
          <w:sz w:val="24"/>
          <w:szCs w:val="24"/>
        </w:rPr>
        <w:t xml:space="preserve">. </w:t>
      </w:r>
      <w:hyperlink r:id="rId15" w:history="1">
        <w:r w:rsidR="00477317">
          <w:rPr>
            <w:rFonts w:ascii="Times New Roman" w:eastAsia="Times New Roman" w:hAnsi="Times New Roman" w:cs="Times New Roman"/>
            <w:color w:val="0000FF"/>
            <w:sz w:val="24"/>
            <w:szCs w:val="24"/>
            <w:u w:val="single"/>
          </w:rPr>
          <w:t>https://www.verizon.com/business/resources/reports/dbir/</w:t>
        </w:r>
      </w:hyperlink>
    </w:p>
    <w:p w14:paraId="1BBC5E8E" w14:textId="77777777" w:rsidR="00477317" w:rsidRDefault="00000000">
      <w:pPr>
        <w:numPr>
          <w:ilvl w:val="0"/>
          <w:numId w:val="4"/>
        </w:numPr>
        <w:spacing w:before="100" w:beforeAutospacing="1" w:after="100" w:afterAutospacing="1"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National Institute of Standards and Technology (NIST). (2020). </w:t>
      </w:r>
      <w:r>
        <w:rPr>
          <w:rFonts w:ascii="Times New Roman" w:eastAsia="Times New Roman" w:hAnsi="Times New Roman" w:cs="Times New Roman"/>
          <w:i/>
          <w:iCs/>
          <w:sz w:val="24"/>
          <w:szCs w:val="24"/>
        </w:rPr>
        <w:t>Zero Trust Architecture (SP 800-207)</w:t>
      </w:r>
      <w:r>
        <w:rPr>
          <w:rFonts w:ascii="Times New Roman" w:eastAsia="Times New Roman" w:hAnsi="Times New Roman" w:cs="Times New Roman"/>
          <w:sz w:val="24"/>
          <w:szCs w:val="24"/>
        </w:rPr>
        <w:t xml:space="preserve">. </w:t>
      </w:r>
      <w:hyperlink r:id="rId16" w:history="1">
        <w:r w:rsidR="00477317">
          <w:rPr>
            <w:rFonts w:ascii="Times New Roman" w:eastAsia="Times New Roman" w:hAnsi="Times New Roman" w:cs="Times New Roman"/>
            <w:color w:val="0000FF"/>
            <w:sz w:val="24"/>
            <w:szCs w:val="24"/>
            <w:u w:val="single"/>
          </w:rPr>
          <w:t>https://csrc.nist.gov/pubs/sp/800/207/final</w:t>
        </w:r>
      </w:hyperlink>
    </w:p>
    <w:p w14:paraId="24841D51" w14:textId="77777777" w:rsidR="00477317" w:rsidRDefault="00000000">
      <w:pPr>
        <w:numPr>
          <w:ilvl w:val="0"/>
          <w:numId w:val="4"/>
        </w:numPr>
        <w:spacing w:before="100" w:beforeAutospacing="1" w:after="100" w:afterAutospacing="1"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Cybersecurity and Infrastructure Security Agency (CISA). (2023). </w:t>
      </w:r>
      <w:r>
        <w:rPr>
          <w:rFonts w:ascii="Times New Roman" w:eastAsia="Times New Roman" w:hAnsi="Times New Roman" w:cs="Times New Roman"/>
          <w:i/>
          <w:iCs/>
          <w:sz w:val="24"/>
          <w:szCs w:val="24"/>
        </w:rPr>
        <w:t>Known Exploited Vulnerabilities Catalog</w:t>
      </w:r>
      <w:r>
        <w:rPr>
          <w:rFonts w:ascii="Times New Roman" w:eastAsia="Times New Roman" w:hAnsi="Times New Roman" w:cs="Times New Roman"/>
          <w:sz w:val="24"/>
          <w:szCs w:val="24"/>
        </w:rPr>
        <w:t xml:space="preserve">. </w:t>
      </w:r>
      <w:hyperlink r:id="rId17" w:history="1">
        <w:r w:rsidR="00477317">
          <w:rPr>
            <w:rFonts w:ascii="Times New Roman" w:eastAsia="Times New Roman" w:hAnsi="Times New Roman" w:cs="Times New Roman"/>
            <w:color w:val="0000FF"/>
            <w:sz w:val="24"/>
            <w:szCs w:val="24"/>
            <w:u w:val="single"/>
          </w:rPr>
          <w:t>https://www.cisa.gov/known-exploited-vulnerabilities-catalog</w:t>
        </w:r>
      </w:hyperlink>
    </w:p>
    <w:p w14:paraId="7B657AF3" w14:textId="77777777" w:rsidR="00477317" w:rsidRDefault="00000000">
      <w:pPr>
        <w:numPr>
          <w:ilvl w:val="0"/>
          <w:numId w:val="4"/>
        </w:numPr>
        <w:spacing w:before="100" w:beforeAutospacing="1" w:after="100" w:afterAutospacing="1"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Financial Services Information Sharing and Analysis Center (FS-ISAC). (2024). </w:t>
      </w:r>
      <w:r>
        <w:rPr>
          <w:rFonts w:ascii="Times New Roman" w:eastAsia="Times New Roman" w:hAnsi="Times New Roman" w:cs="Times New Roman"/>
          <w:i/>
          <w:iCs/>
          <w:sz w:val="24"/>
          <w:szCs w:val="24"/>
        </w:rPr>
        <w:t>Global Intelligence Office Report</w:t>
      </w:r>
      <w:r>
        <w:rPr>
          <w:rFonts w:ascii="Times New Roman" w:eastAsia="Times New Roman" w:hAnsi="Times New Roman" w:cs="Times New Roman"/>
          <w:sz w:val="24"/>
          <w:szCs w:val="24"/>
        </w:rPr>
        <w:t xml:space="preserve">. </w:t>
      </w:r>
      <w:hyperlink r:id="rId18" w:history="1">
        <w:r w:rsidR="00477317">
          <w:rPr>
            <w:rFonts w:ascii="Times New Roman" w:eastAsia="Times New Roman" w:hAnsi="Times New Roman" w:cs="Times New Roman"/>
            <w:color w:val="0000FF"/>
            <w:sz w:val="24"/>
            <w:szCs w:val="24"/>
            <w:u w:val="single"/>
          </w:rPr>
          <w:t>https://www.fsisac.com/</w:t>
        </w:r>
      </w:hyperlink>
    </w:p>
    <w:p w14:paraId="7F2AA3E6" w14:textId="77777777" w:rsidR="00477317" w:rsidRDefault="00000000">
      <w:pPr>
        <w:numPr>
          <w:ilvl w:val="0"/>
          <w:numId w:val="4"/>
        </w:numPr>
        <w:spacing w:before="100" w:beforeAutospacing="1" w:after="100" w:afterAutospacing="1"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International Organization for Standardization. (2022). </w:t>
      </w:r>
      <w:r>
        <w:rPr>
          <w:rFonts w:ascii="Times New Roman" w:eastAsia="Times New Roman" w:hAnsi="Times New Roman" w:cs="Times New Roman"/>
          <w:i/>
          <w:iCs/>
          <w:sz w:val="24"/>
          <w:szCs w:val="24"/>
        </w:rPr>
        <w:t>ISO/IEC 27002:2022 — Information security, cybersecurity and privacy protection — Information security controls</w:t>
      </w:r>
      <w:r>
        <w:rPr>
          <w:rFonts w:ascii="Times New Roman" w:eastAsia="Times New Roman" w:hAnsi="Times New Roman" w:cs="Times New Roman"/>
          <w:sz w:val="24"/>
          <w:szCs w:val="24"/>
        </w:rPr>
        <w:t>.</w:t>
      </w:r>
    </w:p>
    <w:p w14:paraId="21DEB6DA" w14:textId="77777777" w:rsidR="00477317" w:rsidRDefault="00000000">
      <w:pPr>
        <w:numPr>
          <w:ilvl w:val="0"/>
          <w:numId w:val="4"/>
        </w:numPr>
        <w:spacing w:before="100" w:beforeAutospacing="1" w:after="100" w:afterAutospacing="1"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MITRE Corporation. (2024). </w:t>
      </w:r>
      <w:r>
        <w:rPr>
          <w:rFonts w:ascii="Times New Roman" w:eastAsia="Times New Roman" w:hAnsi="Times New Roman" w:cs="Times New Roman"/>
          <w:i/>
          <w:iCs/>
          <w:sz w:val="24"/>
          <w:szCs w:val="24"/>
        </w:rPr>
        <w:t>ATT&amp;CK Framework for Enterprise</w:t>
      </w:r>
      <w:r>
        <w:rPr>
          <w:rFonts w:ascii="Times New Roman" w:eastAsia="Times New Roman" w:hAnsi="Times New Roman" w:cs="Times New Roman"/>
          <w:sz w:val="24"/>
          <w:szCs w:val="24"/>
        </w:rPr>
        <w:t xml:space="preserve">. </w:t>
      </w:r>
      <w:hyperlink r:id="rId19" w:history="1">
        <w:r w:rsidR="00477317">
          <w:rPr>
            <w:rFonts w:ascii="Times New Roman" w:eastAsia="Times New Roman" w:hAnsi="Times New Roman" w:cs="Times New Roman"/>
            <w:color w:val="0000FF"/>
            <w:sz w:val="24"/>
            <w:szCs w:val="24"/>
            <w:u w:val="single"/>
          </w:rPr>
          <w:t>https://attack.mitre.org/</w:t>
        </w:r>
      </w:hyperlink>
    </w:p>
    <w:p w14:paraId="78198C41" w14:textId="77777777" w:rsidR="00477317" w:rsidRDefault="00477317">
      <w:pPr>
        <w:spacing w:before="100" w:beforeAutospacing="1" w:after="100" w:afterAutospacing="1" w:line="240" w:lineRule="auto"/>
        <w:outlineLvl w:val="0"/>
        <w:rPr>
          <w:rFonts w:ascii="Times New Roman" w:eastAsia="Times New Roman" w:hAnsi="Times New Roman" w:cs="Times New Roman"/>
          <w:sz w:val="24"/>
          <w:szCs w:val="24"/>
        </w:rPr>
      </w:pPr>
    </w:p>
    <w:p w14:paraId="17D83523" w14:textId="77777777" w:rsidR="00477317" w:rsidRDefault="00477317">
      <w:pPr>
        <w:rPr>
          <w:rFonts w:ascii="Times New Roman" w:hAnsi="Times New Roman" w:cs="Times New Roman"/>
        </w:rPr>
      </w:pPr>
    </w:p>
    <w:sectPr w:rsidR="004773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788F3D" w14:textId="77777777" w:rsidR="007B17CA" w:rsidRDefault="007B17CA">
      <w:pPr>
        <w:spacing w:line="240" w:lineRule="auto"/>
      </w:pPr>
      <w:r>
        <w:separator/>
      </w:r>
    </w:p>
  </w:endnote>
  <w:endnote w:type="continuationSeparator" w:id="0">
    <w:p w14:paraId="08E644A4" w14:textId="77777777" w:rsidR="007B17CA" w:rsidRDefault="007B17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default"/>
    <w:sig w:usb0="00000203" w:usb1="288F0000" w:usb2="00000006" w:usb3="00000000" w:csb0="00040001" w:csb1="00000000"/>
  </w:font>
  <w:font w:name="Tahoma">
    <w:panose1 w:val="020B0604030504040204"/>
    <w:charset w:val="00"/>
    <w:family w:val="swiss"/>
    <w:pitch w:val="default"/>
    <w:sig w:usb0="E1002EFF" w:usb1="C000605B" w:usb2="00000029" w:usb3="00000000" w:csb0="200101FF" w:csb1="2028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45B5F6" w14:textId="77777777" w:rsidR="007B17CA" w:rsidRDefault="007B17CA">
      <w:pPr>
        <w:spacing w:after="0"/>
      </w:pPr>
      <w:r>
        <w:separator/>
      </w:r>
    </w:p>
  </w:footnote>
  <w:footnote w:type="continuationSeparator" w:id="0">
    <w:p w14:paraId="64098DAD" w14:textId="77777777" w:rsidR="007B17CA" w:rsidRDefault="007B17C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81291B"/>
    <w:multiLevelType w:val="multilevel"/>
    <w:tmpl w:val="3A81291B"/>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 w15:restartNumberingAfterBreak="0">
    <w:nsid w:val="47CD56AB"/>
    <w:multiLevelType w:val="multilevel"/>
    <w:tmpl w:val="47CD56AB"/>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2" w15:restartNumberingAfterBreak="0">
    <w:nsid w:val="4BA964D8"/>
    <w:multiLevelType w:val="multilevel"/>
    <w:tmpl w:val="4BA964D8"/>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3" w15:restartNumberingAfterBreak="0">
    <w:nsid w:val="6C845459"/>
    <w:multiLevelType w:val="multilevel"/>
    <w:tmpl w:val="6C845459"/>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16cid:durableId="824469628">
    <w:abstractNumId w:val="3"/>
  </w:num>
  <w:num w:numId="2" w16cid:durableId="2118937757">
    <w:abstractNumId w:val="1"/>
  </w:num>
  <w:num w:numId="3" w16cid:durableId="353968440">
    <w:abstractNumId w:val="2"/>
  </w:num>
  <w:num w:numId="4" w16cid:durableId="3563903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11B40"/>
    <w:rsid w:val="00011AC5"/>
    <w:rsid w:val="00092058"/>
    <w:rsid w:val="00114D65"/>
    <w:rsid w:val="00187B7D"/>
    <w:rsid w:val="003C0590"/>
    <w:rsid w:val="003F20D3"/>
    <w:rsid w:val="00477317"/>
    <w:rsid w:val="00581F25"/>
    <w:rsid w:val="005E72ED"/>
    <w:rsid w:val="006B6829"/>
    <w:rsid w:val="00712CF2"/>
    <w:rsid w:val="007340DC"/>
    <w:rsid w:val="00747EF4"/>
    <w:rsid w:val="007B17CA"/>
    <w:rsid w:val="00886246"/>
    <w:rsid w:val="009572EB"/>
    <w:rsid w:val="00AE2EF2"/>
    <w:rsid w:val="00B50BE1"/>
    <w:rsid w:val="00B50F00"/>
    <w:rsid w:val="00BB2D5F"/>
    <w:rsid w:val="00D11B40"/>
    <w:rsid w:val="00D84F5F"/>
    <w:rsid w:val="00ED45BB"/>
    <w:rsid w:val="00F240B8"/>
    <w:rsid w:val="00F94688"/>
    <w:rsid w:val="12DF64B8"/>
    <w:rsid w:val="16354610"/>
    <w:rsid w:val="27BA147E"/>
    <w:rsid w:val="341A3E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6CCBFD1A"/>
  <w15:docId w15:val="{5EA76653-0682-6541-8788-D7F063412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en-US"/>
    </w:rPr>
  </w:style>
  <w:style w:type="paragraph" w:styleId="Heading1">
    <w:name w:val="heading 1"/>
    <w:basedOn w:val="Normal"/>
    <w:link w:val="Heading1Char"/>
    <w:uiPriority w:val="9"/>
    <w:qFormat/>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styleId="Emphasis">
    <w:name w:val="Emphasis"/>
    <w:basedOn w:val="DefaultParagraphFont"/>
    <w:uiPriority w:val="20"/>
    <w:qFormat/>
    <w:rPr>
      <w:i/>
      <w:iCs/>
    </w:rPr>
  </w:style>
  <w:style w:type="character" w:styleId="Hyperlink">
    <w:name w:val="Hyperlink"/>
    <w:basedOn w:val="DefaultParagraphFont"/>
    <w:uiPriority w:val="99"/>
    <w:unhideWhenUsed/>
    <w:rPr>
      <w:color w:val="0000FF"/>
      <w:u w:val="single"/>
    </w:rPr>
  </w:style>
  <w:style w:type="paragraph" w:styleId="NormalWeb">
    <w:name w:val="Normal (Web)"/>
    <w:basedOn w:val="Normal"/>
    <w:uiPriority w:val="99"/>
    <w:unhideWhenUse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Pr>
      <w:b/>
      <w:b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character" w:customStyle="1" w:styleId="Heading1Char">
    <w:name w:val="Heading 1 Char"/>
    <w:basedOn w:val="DefaultParagraphFont"/>
    <w:link w:val="Heading1"/>
    <w:uiPriority w:val="9"/>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Pr>
      <w:rFonts w:asciiTheme="majorHAnsi" w:eastAsiaTheme="majorEastAsia" w:hAnsiTheme="majorHAnsi" w:cstheme="majorBidi"/>
      <w:b/>
      <w:bCs/>
      <w:color w:val="4F81BD" w:themeColor="accent1"/>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customStyle="1" w:styleId="TOCHeading1">
    <w:name w:val="TOC Heading1"/>
    <w:basedOn w:val="Heading1"/>
    <w:next w:val="Normal"/>
    <w:uiPriority w:val="39"/>
    <w:semiHidden/>
    <w:unhideWhenUsed/>
    <w:qFormat/>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isa.europa.eu/publications/enisa-threat-landscape-2024" TargetMode="External"/><Relationship Id="rId18" Type="http://schemas.openxmlformats.org/officeDocument/2006/relationships/hyperlink" Target="https://www.fsisac.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isa.gov/zero-trust-maturity-model" TargetMode="External"/><Relationship Id="rId17" Type="http://schemas.openxmlformats.org/officeDocument/2006/relationships/hyperlink" Target="https://www.cisa.gov/known-exploited-vulnerabilities-catalog" TargetMode="External"/><Relationship Id="rId2" Type="http://schemas.openxmlformats.org/officeDocument/2006/relationships/numbering" Target="numbering.xml"/><Relationship Id="rId16" Type="http://schemas.openxmlformats.org/officeDocument/2006/relationships/hyperlink" Target="https://csrc.nist.gov/pubs/sp/800/207/fina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st.gov/cyberframework" TargetMode="External"/><Relationship Id="rId5" Type="http://schemas.openxmlformats.org/officeDocument/2006/relationships/webSettings" Target="webSettings.xml"/><Relationship Id="rId15" Type="http://schemas.openxmlformats.org/officeDocument/2006/relationships/hyperlink" Target="https://www.verizon.com/business/resources/reports/dbir/" TargetMode="External"/><Relationship Id="rId10" Type="http://schemas.openxmlformats.org/officeDocument/2006/relationships/image" Target="media/image3.png"/><Relationship Id="rId19" Type="http://schemas.openxmlformats.org/officeDocument/2006/relationships/hyperlink" Target="https://attack.mitre.or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icrosoft.com/en-us/security/business/microsoft-digital-defense-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4169D1-0326-4BE2-ADF9-C056FF6392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1791</TotalTime>
  <Pages>15</Pages>
  <Words>2941</Words>
  <Characters>16770</Characters>
  <Application>Microsoft Office Word</Application>
  <DocSecurity>0</DocSecurity>
  <Lines>139</Lines>
  <Paragraphs>39</Paragraphs>
  <ScaleCrop>false</ScaleCrop>
  <Company/>
  <LinksUpToDate>false</LinksUpToDate>
  <CharactersWithSpaces>19672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Muhammad Waqas Akram (2429948)</cp:lastModifiedBy>
  <cp:revision>23</cp:revision>
  <dcterms:created xsi:type="dcterms:W3CDTF">2025-11-24T14:16:00Z</dcterms:created>
  <dcterms:modified xsi:type="dcterms:W3CDTF">2025-12-15T14:37:00Z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1758D7FD34594703AAFF9FAD1B691D67_12</vt:lpwstr>
  </property>
</Properties>
</file>